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88"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205105</wp:posOffset>
            </wp:positionH>
            <wp:positionV relativeFrom="page">
              <wp:posOffset>1049655</wp:posOffset>
            </wp:positionV>
            <wp:extent cx="712152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21525" cy="8255"/>
                    </a:xfrm>
                    <a:prstGeom prst="rect">
                      <a:avLst/>
                    </a:prstGeom>
                    <a:noFill/>
                  </pic:spPr>
                </pic:pic>
              </a:graphicData>
            </a:graphic>
          </wp:anchor>
        </w:drawing>
        <w:drawing>
          <wp:anchor simplePos="0" relativeHeight="251657728" behindDoc="1" locked="0" layoutInCell="0" allowOverlap="1">
            <wp:simplePos x="0" y="0"/>
            <wp:positionH relativeFrom="page">
              <wp:posOffset>205105</wp:posOffset>
            </wp:positionH>
            <wp:positionV relativeFrom="page">
              <wp:posOffset>1009015</wp:posOffset>
            </wp:positionV>
            <wp:extent cx="7121525" cy="165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21525" cy="1651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21"/>
          <w:szCs w:val="21"/>
          <w:b w:val="1"/>
          <w:bCs w:val="1"/>
          <w:color w:val="auto"/>
        </w:rPr>
        <w:t>UNITED STATES</w:t>
      </w: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SECURITIES AND EXCHANGE COMMISSION</w:t>
      </w:r>
    </w:p>
    <w:p>
      <w:pPr>
        <w:jc w:val="center"/>
        <w:spacing w:after="0" w:line="237" w:lineRule="auto"/>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1"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14"/>
          <w:szCs w:val="14"/>
          <w:color w:val="auto"/>
        </w:rPr>
        <w:t>____________________________</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FORM 10-Q</w:t>
      </w:r>
    </w:p>
    <w:p>
      <w:pPr>
        <w:spacing w:after="0" w:line="16" w:lineRule="exact"/>
        <w:rPr>
          <w:sz w:val="24"/>
          <w:szCs w:val="24"/>
          <w:color w:val="auto"/>
        </w:rPr>
      </w:pPr>
    </w:p>
    <w:p>
      <w:pPr>
        <w:ind w:left="4420"/>
        <w:spacing w:after="0"/>
        <w:rPr>
          <w:sz w:val="20"/>
          <w:szCs w:val="20"/>
          <w:color w:val="auto"/>
        </w:rPr>
      </w:pPr>
      <w:r>
        <w:rPr>
          <w:rFonts w:ascii="Times New Roman" w:cs="Times New Roman" w:eastAsia="Times New Roman" w:hAnsi="Times New Roman"/>
          <w:sz w:val="17"/>
          <w:szCs w:val="17"/>
          <w:color w:val="auto"/>
        </w:rPr>
        <w:t>____________________________</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(Mark One)</w:t>
      </w:r>
    </w:p>
    <w:p>
      <w:pPr>
        <w:spacing w:after="0" w:line="11" w:lineRule="exact"/>
        <w:rPr>
          <w:sz w:val="24"/>
          <w:szCs w:val="24"/>
          <w:color w:val="auto"/>
        </w:rPr>
      </w:pPr>
    </w:p>
    <w:p>
      <w:pPr>
        <w:spacing w:after="0"/>
        <w:rPr>
          <w:sz w:val="20"/>
          <w:szCs w:val="20"/>
          <w:color w:val="auto"/>
        </w:rPr>
      </w:pPr>
      <w:r>
        <w:rPr>
          <w:rFonts w:ascii="Arial" w:cs="Arial" w:eastAsia="Arial" w:hAnsi="Arial"/>
          <w:sz w:val="16"/>
          <w:szCs w:val="16"/>
          <w:color w:val="auto"/>
        </w:rPr>
        <w:t xml:space="preserve">x </w:t>
      </w:r>
      <w:r>
        <w:rPr>
          <w:rFonts w:ascii="Times New Roman" w:cs="Times New Roman" w:eastAsia="Times New Roman" w:hAnsi="Times New Roman"/>
          <w:sz w:val="16"/>
          <w:szCs w:val="16"/>
          <w:b w:val="1"/>
          <w:bCs w:val="1"/>
          <w:color w:val="auto"/>
        </w:rPr>
        <w:t>QUARTERLY REPORT PURSUANT TO SECTION 13 OR 15(d) OF THE SECURITIES EXCHANGE ACT OF 1934</w:t>
      </w:r>
    </w:p>
    <w:p>
      <w:pPr>
        <w:spacing w:after="0" w:line="84"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16"/>
          <w:szCs w:val="16"/>
          <w:b w:val="1"/>
          <w:bCs w:val="1"/>
          <w:color w:val="auto"/>
        </w:rPr>
        <w:t>FOR THE QUARTERLY PERIOD ENDED June 30, 2022</w:t>
      </w:r>
    </w:p>
    <w:p>
      <w:pPr>
        <w:spacing w:after="0" w:line="114" w:lineRule="exact"/>
        <w:rPr>
          <w:sz w:val="24"/>
          <w:szCs w:val="24"/>
          <w:color w:val="auto"/>
        </w:rPr>
      </w:pPr>
    </w:p>
    <w:p>
      <w:pPr>
        <w:ind w:left="4160" w:right="3160" w:hanging="4157"/>
        <w:spacing w:after="0" w:line="378" w:lineRule="auto"/>
        <w:tabs>
          <w:tab w:leader="none" w:pos="197"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 COMMISSION FILE NUMBER: 814-00852</w:t>
      </w:r>
    </w:p>
    <w:p>
      <w:pPr>
        <w:ind w:left="4500"/>
        <w:spacing w:after="0"/>
        <w:rPr>
          <w:sz w:val="20"/>
          <w:szCs w:val="20"/>
          <w:color w:val="auto"/>
        </w:rPr>
      </w:pPr>
      <w:r>
        <w:rPr>
          <w:rFonts w:ascii="Times New Roman" w:cs="Times New Roman" w:eastAsia="Times New Roman" w:hAnsi="Times New Roman"/>
          <w:sz w:val="17"/>
          <w:szCs w:val="17"/>
          <w:color w:val="auto"/>
        </w:rPr>
        <w:t>__________________________</w:t>
      </w: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SuRo Capital Corp.</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2" w:lineRule="exact"/>
        <w:rPr>
          <w:sz w:val="24"/>
          <w:szCs w:val="24"/>
          <w:color w:val="auto"/>
        </w:rPr>
      </w:pPr>
    </w:p>
    <w:p>
      <w:pPr>
        <w:ind w:left="4420"/>
        <w:spacing w:after="0"/>
        <w:rPr>
          <w:sz w:val="20"/>
          <w:szCs w:val="20"/>
          <w:color w:val="auto"/>
        </w:rPr>
      </w:pPr>
      <w:r>
        <w:rPr>
          <w:rFonts w:ascii="Times New Roman" w:cs="Times New Roman" w:eastAsia="Times New Roman" w:hAnsi="Times New Roman"/>
          <w:sz w:val="17"/>
          <w:szCs w:val="17"/>
          <w:color w:val="auto"/>
        </w:rPr>
        <w:t>____________________________</w:t>
      </w:r>
    </w:p>
    <w:p>
      <w:pPr>
        <w:spacing w:after="0" w:line="135" w:lineRule="exact"/>
        <w:rPr>
          <w:sz w:val="24"/>
          <w:szCs w:val="24"/>
          <w:color w:val="auto"/>
        </w:rPr>
      </w:pPr>
    </w:p>
    <w:tbl>
      <w:tblPr>
        <w:tblLayout w:type="fixed"/>
        <w:tblInd w:w="20" w:type="dxa"/>
        <w:tblCellMar>
          <w:top w:w="0" w:type="dxa"/>
          <w:left w:w="0" w:type="dxa"/>
          <w:bottom w:w="0" w:type="dxa"/>
          <w:right w:w="0" w:type="dxa"/>
        </w:tblCellMar>
      </w:tblPr>
      <w:tr>
        <w:trPr>
          <w:trHeight w:val="203"/>
        </w:trPr>
        <w:tc>
          <w:tcPr>
            <w:tcW w:w="3560" w:type="dxa"/>
            <w:vAlign w:val="bottom"/>
          </w:tcPr>
          <w:p>
            <w:pPr>
              <w:jc w:val="center"/>
              <w:ind w:left="1946"/>
              <w:spacing w:after="0"/>
              <w:rPr>
                <w:sz w:val="20"/>
                <w:szCs w:val="20"/>
                <w:color w:val="auto"/>
              </w:rPr>
            </w:pPr>
            <w:r>
              <w:rPr>
                <w:rFonts w:ascii="Times New Roman" w:cs="Times New Roman" w:eastAsia="Times New Roman" w:hAnsi="Times New Roman"/>
                <w:sz w:val="16"/>
                <w:szCs w:val="16"/>
                <w:b w:val="1"/>
                <w:bCs w:val="1"/>
                <w:color w:val="auto"/>
                <w:w w:val="96"/>
              </w:rPr>
              <w:t>Maryland</w:t>
            </w: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00" w:type="dxa"/>
            <w:vAlign w:val="bottom"/>
          </w:tcPr>
          <w:p>
            <w:pPr>
              <w:jc w:val="right"/>
              <w:ind w:right="2386"/>
              <w:spacing w:after="0"/>
              <w:rPr>
                <w:sz w:val="20"/>
                <w:szCs w:val="20"/>
                <w:color w:val="auto"/>
              </w:rPr>
            </w:pPr>
            <w:r>
              <w:rPr>
                <w:rFonts w:ascii="Times New Roman" w:cs="Times New Roman" w:eastAsia="Times New Roman" w:hAnsi="Times New Roman"/>
                <w:sz w:val="16"/>
                <w:szCs w:val="16"/>
                <w:b w:val="1"/>
                <w:bCs w:val="1"/>
                <w:color w:val="auto"/>
              </w:rPr>
              <w:t>27-4443543</w:t>
            </w:r>
          </w:p>
        </w:tc>
      </w:tr>
      <w:tr>
        <w:trPr>
          <w:trHeight w:val="179"/>
        </w:trPr>
        <w:tc>
          <w:tcPr>
            <w:tcW w:w="3560" w:type="dxa"/>
            <w:vAlign w:val="bottom"/>
          </w:tcPr>
          <w:p>
            <w:pPr>
              <w:jc w:val="center"/>
              <w:ind w:left="1946"/>
              <w:spacing w:after="0"/>
              <w:rPr>
                <w:sz w:val="20"/>
                <w:szCs w:val="20"/>
                <w:color w:val="auto"/>
              </w:rPr>
            </w:pPr>
            <w:r>
              <w:rPr>
                <w:rFonts w:ascii="Times New Roman" w:cs="Times New Roman" w:eastAsia="Times New Roman" w:hAnsi="Times New Roman"/>
                <w:sz w:val="14"/>
                <w:szCs w:val="14"/>
                <w:color w:val="auto"/>
                <w:w w:val="98"/>
              </w:rPr>
              <w:t>(State of incorporation)</w:t>
            </w: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00" w:type="dxa"/>
            <w:vAlign w:val="bottom"/>
          </w:tcPr>
          <w:p>
            <w:pPr>
              <w:jc w:val="center"/>
              <w:ind w:right="1606"/>
              <w:spacing w:after="0"/>
              <w:rPr>
                <w:sz w:val="20"/>
                <w:szCs w:val="20"/>
                <w:color w:val="auto"/>
              </w:rPr>
            </w:pPr>
            <w:r>
              <w:rPr>
                <w:rFonts w:ascii="Times New Roman" w:cs="Times New Roman" w:eastAsia="Times New Roman" w:hAnsi="Times New Roman"/>
                <w:sz w:val="14"/>
                <w:szCs w:val="14"/>
                <w:color w:val="auto"/>
                <w:w w:val="98"/>
              </w:rPr>
              <w:t>(I.R.S. Employer Identification No.)</w:t>
            </w:r>
          </w:p>
        </w:tc>
      </w:tr>
      <w:tr>
        <w:trPr>
          <w:trHeight w:val="222"/>
        </w:trPr>
        <w:tc>
          <w:tcPr>
            <w:tcW w:w="7220" w:type="dxa"/>
            <w:vAlign w:val="bottom"/>
            <w:gridSpan w:val="6"/>
          </w:tcPr>
          <w:p>
            <w:pPr>
              <w:jc w:val="center"/>
              <w:ind w:right="1660"/>
              <w:spacing w:after="0"/>
              <w:rPr>
                <w:sz w:val="20"/>
                <w:szCs w:val="20"/>
                <w:color w:val="auto"/>
              </w:rPr>
            </w:pPr>
            <w:r>
              <w:rPr>
                <w:rFonts w:ascii="Times New Roman" w:cs="Times New Roman" w:eastAsia="Times New Roman" w:hAnsi="Times New Roman"/>
                <w:sz w:val="16"/>
                <w:szCs w:val="16"/>
                <w:b w:val="1"/>
                <w:bCs w:val="1"/>
                <w:color w:val="auto"/>
                <w:w w:val="95"/>
              </w:rPr>
              <w:t>640 Fifth Avenue, 12th Floor, New York, NY</w:t>
            </w:r>
          </w:p>
        </w:tc>
        <w:tc>
          <w:tcPr>
            <w:tcW w:w="4000" w:type="dxa"/>
            <w:vAlign w:val="bottom"/>
          </w:tcPr>
          <w:p>
            <w:pPr>
              <w:jc w:val="right"/>
              <w:ind w:right="2566"/>
              <w:spacing w:after="0"/>
              <w:rPr>
                <w:sz w:val="20"/>
                <w:szCs w:val="20"/>
                <w:color w:val="auto"/>
              </w:rPr>
            </w:pPr>
            <w:r>
              <w:rPr>
                <w:rFonts w:ascii="Times New Roman" w:cs="Times New Roman" w:eastAsia="Times New Roman" w:hAnsi="Times New Roman"/>
                <w:sz w:val="16"/>
                <w:szCs w:val="16"/>
                <w:b w:val="1"/>
                <w:bCs w:val="1"/>
                <w:color w:val="auto"/>
              </w:rPr>
              <w:t>10019</w:t>
            </w:r>
          </w:p>
        </w:tc>
      </w:tr>
      <w:tr>
        <w:trPr>
          <w:trHeight w:val="179"/>
        </w:trPr>
        <w:tc>
          <w:tcPr>
            <w:tcW w:w="7220" w:type="dxa"/>
            <w:vAlign w:val="bottom"/>
            <w:gridSpan w:val="6"/>
          </w:tcPr>
          <w:p>
            <w:pPr>
              <w:jc w:val="center"/>
              <w:ind w:right="1640"/>
              <w:spacing w:after="0"/>
              <w:rPr>
                <w:sz w:val="20"/>
                <w:szCs w:val="20"/>
                <w:color w:val="auto"/>
              </w:rPr>
            </w:pPr>
            <w:r>
              <w:rPr>
                <w:rFonts w:ascii="Times New Roman" w:cs="Times New Roman" w:eastAsia="Times New Roman" w:hAnsi="Times New Roman"/>
                <w:sz w:val="14"/>
                <w:szCs w:val="14"/>
                <w:color w:val="auto"/>
                <w:w w:val="98"/>
              </w:rPr>
              <w:t>(Address of principal executive offices)</w:t>
            </w:r>
          </w:p>
        </w:tc>
        <w:tc>
          <w:tcPr>
            <w:tcW w:w="4000" w:type="dxa"/>
            <w:vAlign w:val="bottom"/>
          </w:tcPr>
          <w:p>
            <w:pPr>
              <w:jc w:val="center"/>
              <w:ind w:right="1606"/>
              <w:spacing w:after="0"/>
              <w:rPr>
                <w:sz w:val="20"/>
                <w:szCs w:val="20"/>
                <w:color w:val="auto"/>
              </w:rPr>
            </w:pPr>
            <w:r>
              <w:rPr>
                <w:rFonts w:ascii="Times New Roman" w:cs="Times New Roman" w:eastAsia="Times New Roman" w:hAnsi="Times New Roman"/>
                <w:sz w:val="14"/>
                <w:szCs w:val="14"/>
                <w:color w:val="auto"/>
                <w:w w:val="96"/>
              </w:rPr>
              <w:t>(Zip Code)</w:t>
            </w:r>
          </w:p>
        </w:tc>
      </w:tr>
      <w:tr>
        <w:trPr>
          <w:trHeight w:val="274"/>
        </w:trPr>
        <w:tc>
          <w:tcPr>
            <w:tcW w:w="3560" w:type="dxa"/>
            <w:vAlign w:val="bottom"/>
          </w:tcPr>
          <w:p>
            <w:pPr>
              <w:spacing w:after="0"/>
              <w:rPr>
                <w:sz w:val="23"/>
                <w:szCs w:val="23"/>
                <w:color w:val="auto"/>
              </w:rPr>
            </w:pPr>
          </w:p>
        </w:tc>
        <w:tc>
          <w:tcPr>
            <w:tcW w:w="3180" w:type="dxa"/>
            <w:vAlign w:val="bottom"/>
            <w:gridSpan w:val="3"/>
          </w:tcPr>
          <w:p>
            <w:pPr>
              <w:jc w:val="right"/>
              <w:ind w:right="605"/>
              <w:spacing w:after="0"/>
              <w:rPr>
                <w:sz w:val="20"/>
                <w:szCs w:val="20"/>
                <w:color w:val="auto"/>
              </w:rPr>
            </w:pPr>
            <w:r>
              <w:rPr>
                <w:rFonts w:ascii="Times New Roman" w:cs="Times New Roman" w:eastAsia="Times New Roman" w:hAnsi="Times New Roman"/>
                <w:sz w:val="16"/>
                <w:szCs w:val="16"/>
                <w:b w:val="1"/>
                <w:bCs w:val="1"/>
                <w:color w:val="auto"/>
              </w:rPr>
              <w:t>(212) 931-6331</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000" w:type="dxa"/>
            <w:vAlign w:val="bottom"/>
          </w:tcPr>
          <w:p>
            <w:pPr>
              <w:spacing w:after="0"/>
              <w:rPr>
                <w:sz w:val="23"/>
                <w:szCs w:val="23"/>
                <w:color w:val="auto"/>
              </w:rPr>
            </w:pPr>
          </w:p>
        </w:tc>
      </w:tr>
      <w:tr>
        <w:trPr>
          <w:trHeight w:val="179"/>
        </w:trPr>
        <w:tc>
          <w:tcPr>
            <w:tcW w:w="3560" w:type="dxa"/>
            <w:vAlign w:val="bottom"/>
          </w:tcPr>
          <w:p>
            <w:pPr>
              <w:spacing w:after="0"/>
              <w:rPr>
                <w:sz w:val="15"/>
                <w:szCs w:val="15"/>
                <w:color w:val="auto"/>
              </w:rPr>
            </w:pPr>
          </w:p>
        </w:tc>
        <w:tc>
          <w:tcPr>
            <w:tcW w:w="3660" w:type="dxa"/>
            <w:vAlign w:val="bottom"/>
            <w:gridSpan w:val="5"/>
          </w:tcPr>
          <w:p>
            <w:pPr>
              <w:jc w:val="center"/>
              <w:ind w:left="305"/>
              <w:spacing w:after="0"/>
              <w:rPr>
                <w:sz w:val="20"/>
                <w:szCs w:val="20"/>
                <w:color w:val="auto"/>
              </w:rPr>
            </w:pPr>
            <w:r>
              <w:rPr>
                <w:rFonts w:ascii="Times New Roman" w:cs="Times New Roman" w:eastAsia="Times New Roman" w:hAnsi="Times New Roman"/>
                <w:sz w:val="14"/>
                <w:szCs w:val="14"/>
                <w:color w:val="auto"/>
                <w:w w:val="98"/>
              </w:rPr>
              <w:t>(Registrant’s telephone number, including area code)</w:t>
            </w:r>
          </w:p>
        </w:tc>
        <w:tc>
          <w:tcPr>
            <w:tcW w:w="4000" w:type="dxa"/>
            <w:vAlign w:val="bottom"/>
          </w:tcPr>
          <w:p>
            <w:pPr>
              <w:spacing w:after="0"/>
              <w:rPr>
                <w:sz w:val="15"/>
                <w:szCs w:val="15"/>
                <w:color w:val="auto"/>
              </w:rPr>
            </w:pPr>
          </w:p>
        </w:tc>
      </w:tr>
      <w:tr>
        <w:trPr>
          <w:trHeight w:val="289"/>
        </w:trPr>
        <w:tc>
          <w:tcPr>
            <w:tcW w:w="3560" w:type="dxa"/>
            <w:vAlign w:val="bottom"/>
          </w:tcPr>
          <w:p>
            <w:pPr>
              <w:spacing w:after="0"/>
              <w:rPr>
                <w:sz w:val="24"/>
                <w:szCs w:val="24"/>
                <w:color w:val="auto"/>
              </w:rPr>
            </w:pPr>
          </w:p>
        </w:tc>
        <w:tc>
          <w:tcPr>
            <w:tcW w:w="7660" w:type="dxa"/>
            <w:vAlign w:val="bottom"/>
            <w:gridSpan w:val="6"/>
          </w:tcPr>
          <w:p>
            <w:pPr>
              <w:ind w:left="120"/>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tc>
      </w:tr>
      <w:tr>
        <w:trPr>
          <w:trHeight w:val="281"/>
        </w:trPr>
        <w:tc>
          <w:tcPr>
            <w:tcW w:w="3560" w:type="dxa"/>
            <w:vAlign w:val="bottom"/>
          </w:tcPr>
          <w:p>
            <w:pPr>
              <w:jc w:val="center"/>
              <w:ind w:left="526"/>
              <w:spacing w:after="0"/>
              <w:rPr>
                <w:sz w:val="20"/>
                <w:szCs w:val="20"/>
                <w:color w:val="auto"/>
              </w:rPr>
            </w:pPr>
            <w:r>
              <w:rPr>
                <w:rFonts w:ascii="Times New Roman" w:cs="Times New Roman" w:eastAsia="Times New Roman" w:hAnsi="Times New Roman"/>
                <w:sz w:val="14"/>
                <w:szCs w:val="14"/>
                <w:b w:val="1"/>
                <w:bCs w:val="1"/>
                <w:color w:val="auto"/>
                <w:w w:val="99"/>
              </w:rPr>
              <w:t>Title of Each Class</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60" w:type="dxa"/>
            <w:vAlign w:val="bottom"/>
            <w:gridSpan w:val="3"/>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w w:val="98"/>
              </w:rPr>
              <w:t>Trading Symbol</w:t>
            </w:r>
          </w:p>
        </w:tc>
        <w:tc>
          <w:tcPr>
            <w:tcW w:w="4000" w:type="dxa"/>
            <w:vAlign w:val="bottom"/>
          </w:tcPr>
          <w:p>
            <w:pPr>
              <w:ind w:left="460"/>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3"/>
        </w:trPr>
        <w:tc>
          <w:tcPr>
            <w:tcW w:w="35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r>
      <w:tr>
        <w:trPr>
          <w:trHeight w:val="195"/>
        </w:trPr>
        <w:tc>
          <w:tcPr>
            <w:tcW w:w="3560" w:type="dxa"/>
            <w:vAlign w:val="bottom"/>
            <w:tcBorders>
              <w:top w:val="single" w:sz="8" w:color="auto"/>
            </w:tcBorders>
          </w:tcPr>
          <w:p>
            <w:pPr>
              <w:jc w:val="center"/>
              <w:ind w:left="526"/>
              <w:spacing w:after="0"/>
              <w:rPr>
                <w:sz w:val="20"/>
                <w:szCs w:val="20"/>
                <w:color w:val="auto"/>
              </w:rPr>
            </w:pPr>
            <w:r>
              <w:rPr>
                <w:rFonts w:ascii="Times New Roman" w:cs="Times New Roman" w:eastAsia="Times New Roman" w:hAnsi="Times New Roman"/>
                <w:sz w:val="16"/>
                <w:szCs w:val="16"/>
                <w:color w:val="auto"/>
                <w:w w:val="96"/>
              </w:rPr>
              <w:t>Common Stock, par value $0.01 per share</w:t>
            </w:r>
          </w:p>
        </w:tc>
        <w:tc>
          <w:tcPr>
            <w:tcW w:w="6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SSSS</w:t>
            </w:r>
          </w:p>
        </w:tc>
        <w:tc>
          <w:tcPr>
            <w:tcW w:w="100" w:type="dxa"/>
            <w:vAlign w:val="bottom"/>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4000" w:type="dxa"/>
            <w:vAlign w:val="bottom"/>
            <w:tcBorders>
              <w:top w:val="single" w:sz="8" w:color="auto"/>
            </w:tcBorders>
          </w:tcPr>
          <w:p>
            <w:pPr>
              <w:ind w:left="1060"/>
              <w:spacing w:after="0"/>
              <w:rPr>
                <w:sz w:val="20"/>
                <w:szCs w:val="20"/>
                <w:color w:val="auto"/>
              </w:rPr>
            </w:pPr>
            <w:r>
              <w:rPr>
                <w:rFonts w:ascii="Times New Roman" w:cs="Times New Roman" w:eastAsia="Times New Roman" w:hAnsi="Times New Roman"/>
                <w:sz w:val="16"/>
                <w:szCs w:val="16"/>
                <w:color w:val="auto"/>
              </w:rPr>
              <w:t>Nasdaq Global Select Market</w:t>
            </w:r>
          </w:p>
        </w:tc>
      </w:tr>
      <w:tr>
        <w:trPr>
          <w:trHeight w:val="206"/>
        </w:trPr>
        <w:tc>
          <w:tcPr>
            <w:tcW w:w="3560" w:type="dxa"/>
            <w:vAlign w:val="bottom"/>
          </w:tcPr>
          <w:p>
            <w:pPr>
              <w:jc w:val="center"/>
              <w:ind w:left="526"/>
              <w:spacing w:after="0"/>
              <w:rPr>
                <w:sz w:val="20"/>
                <w:szCs w:val="20"/>
                <w:color w:val="auto"/>
              </w:rPr>
            </w:pPr>
            <w:r>
              <w:rPr>
                <w:rFonts w:ascii="Times New Roman" w:cs="Times New Roman" w:eastAsia="Times New Roman" w:hAnsi="Times New Roman"/>
                <w:sz w:val="16"/>
                <w:szCs w:val="16"/>
                <w:color w:val="auto"/>
                <w:w w:val="96"/>
              </w:rPr>
              <w:t>6.00% Notes due 2026</w:t>
            </w: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960" w:type="dxa"/>
            <w:vAlign w:val="bottom"/>
            <w:gridSpan w:val="3"/>
          </w:tcPr>
          <w:p>
            <w:pPr>
              <w:jc w:val="center"/>
              <w:ind w:right="480"/>
              <w:spacing w:after="0"/>
              <w:rPr>
                <w:sz w:val="20"/>
                <w:szCs w:val="20"/>
                <w:color w:val="auto"/>
              </w:rPr>
            </w:pPr>
            <w:r>
              <w:rPr>
                <w:rFonts w:ascii="Times New Roman" w:cs="Times New Roman" w:eastAsia="Times New Roman" w:hAnsi="Times New Roman"/>
                <w:sz w:val="16"/>
                <w:szCs w:val="16"/>
                <w:color w:val="auto"/>
                <w:w w:val="96"/>
              </w:rPr>
              <w:t>SSSSL</w:t>
            </w:r>
          </w:p>
        </w:tc>
        <w:tc>
          <w:tcPr>
            <w:tcW w:w="4000" w:type="dxa"/>
            <w:vAlign w:val="bottom"/>
          </w:tcPr>
          <w:p>
            <w:pPr>
              <w:ind w:left="1060"/>
              <w:spacing w:after="0"/>
              <w:rPr>
                <w:sz w:val="20"/>
                <w:szCs w:val="20"/>
                <w:color w:val="auto"/>
              </w:rPr>
            </w:pPr>
            <w:r>
              <w:rPr>
                <w:rFonts w:ascii="Times New Roman" w:cs="Times New Roman" w:eastAsia="Times New Roman" w:hAnsi="Times New Roman"/>
                <w:sz w:val="16"/>
                <w:szCs w:val="16"/>
                <w:color w:val="auto"/>
              </w:rPr>
              <w:t>Nasdaq Global Select Market</w:t>
            </w:r>
          </w:p>
        </w:tc>
      </w:tr>
    </w:tbl>
    <w:p>
      <w:pPr>
        <w:spacing w:after="0" w:line="315" w:lineRule="exact"/>
        <w:rPr>
          <w:sz w:val="24"/>
          <w:szCs w:val="24"/>
          <w:color w:val="auto"/>
        </w:rPr>
      </w:pPr>
    </w:p>
    <w:p>
      <w:pPr>
        <w:ind w:right="120" w:firstLine="349"/>
        <w:spacing w:after="0" w:line="20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periods as the registrant was required to file such reports), and (2) has been subject to such filing requirements for the past 90 days. YES </w:t>
      </w:r>
      <w:r>
        <w:rPr>
          <w:rFonts w:ascii="Arial" w:cs="Arial" w:eastAsia="Arial" w:hAnsi="Arial"/>
          <w:sz w:val="14"/>
          <w:szCs w:val="14"/>
          <w:color w:val="auto"/>
        </w:rPr>
        <w:t>x</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207" w:lineRule="exact"/>
        <w:rPr>
          <w:sz w:val="24"/>
          <w:szCs w:val="24"/>
          <w:color w:val="auto"/>
        </w:rPr>
      </w:pPr>
    </w:p>
    <w:p>
      <w:pPr>
        <w:ind w:firstLine="349"/>
        <w:spacing w:after="0" w:line="201"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08" w:lineRule="exact"/>
        <w:rPr>
          <w:sz w:val="24"/>
          <w:szCs w:val="24"/>
          <w:color w:val="auto"/>
        </w:rPr>
      </w:pPr>
    </w:p>
    <w:p>
      <w:pPr>
        <w:ind w:firstLine="349"/>
        <w:spacing w:after="0" w:line="33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1440" w:right="339" w:bottom="1440" w:gutter="0" w:footer="0" w:header="0"/>
        </w:sectPr>
      </w:pPr>
    </w:p>
    <w:p>
      <w:pPr>
        <w:spacing w:after="0" w:line="48"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4"/>
          <w:szCs w:val="14"/>
          <w:color w:val="auto"/>
        </w:rPr>
        <w:t xml:space="preserve">Large accelerated filer </w:t>
      </w:r>
      <w:r>
        <w:rPr>
          <w:rFonts w:ascii="Arial" w:cs="Arial" w:eastAsia="Arial" w:hAnsi="Arial"/>
          <w:sz w:val="14"/>
          <w:szCs w:val="14"/>
          <w:color w:val="auto"/>
        </w:rPr>
        <w:t>o</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 xml:space="preserve">Accelerated filer </w:t>
      </w:r>
      <w:r>
        <w:rPr>
          <w:rFonts w:ascii="Arial" w:cs="Arial" w:eastAsia="Arial" w:hAnsi="Arial"/>
          <w:sz w:val="14"/>
          <w:szCs w:val="14"/>
          <w:color w:val="auto"/>
        </w:rPr>
        <w:t>o</w:t>
      </w:r>
    </w:p>
    <w:p>
      <w:pPr>
        <w:spacing w:after="0" w:line="45" w:lineRule="exact"/>
        <w:rPr>
          <w:sz w:val="24"/>
          <w:szCs w:val="24"/>
          <w:color w:val="auto"/>
        </w:rPr>
      </w:pPr>
    </w:p>
    <w:p>
      <w:pPr>
        <w:sectPr>
          <w:pgSz w:w="11900" w:h="16838" w:orient="portrait"/>
          <w:cols w:equalWidth="0" w:num="2">
            <w:col w:w="7020" w:space="720"/>
            <w:col w:w="3500"/>
          </w:cols>
          <w:pgMar w:left="320" w:top="1440" w:right="339" w:bottom="1440" w:gutter="0" w:footer="0" w:header="0"/>
          <w:type w:val="continuous"/>
        </w:sectPr>
      </w:pPr>
    </w:p>
    <w:p>
      <w:pPr>
        <w:ind w:left="340"/>
        <w:spacing w:after="0"/>
        <w:rPr>
          <w:sz w:val="20"/>
          <w:szCs w:val="20"/>
          <w:color w:val="auto"/>
        </w:rPr>
      </w:pPr>
      <w:r>
        <w:rPr>
          <w:rFonts w:ascii="Times New Roman" w:cs="Times New Roman" w:eastAsia="Times New Roman" w:hAnsi="Times New Roman"/>
          <w:sz w:val="14"/>
          <w:szCs w:val="14"/>
          <w:color w:val="auto"/>
        </w:rPr>
        <w:t xml:space="preserve">Non-accelerated filer </w:t>
      </w:r>
      <w:r>
        <w:rPr>
          <w:rFonts w:ascii="Arial" w:cs="Arial" w:eastAsia="Arial" w:hAnsi="Arial"/>
          <w:sz w:val="14"/>
          <w:szCs w:val="14"/>
          <w:color w:val="auto"/>
        </w:rPr>
        <w:t>x</w:t>
      </w:r>
      <w:r>
        <w:rPr>
          <w:rFonts w:ascii="Times New Roman" w:cs="Times New Roman" w:eastAsia="Times New Roman" w:hAnsi="Times New Roman"/>
          <w:sz w:val="14"/>
          <w:szCs w:val="14"/>
          <w:color w:val="auto"/>
        </w:rPr>
        <w:t xml:space="preserve"> (Do not check if a 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 xml:space="preserve">Smaller reporting company </w:t>
      </w:r>
      <w:r>
        <w:rPr>
          <w:rFonts w:ascii="Arial" w:cs="Arial" w:eastAsia="Arial" w:hAnsi="Arial"/>
          <w:sz w:val="14"/>
          <w:szCs w:val="14"/>
          <w:color w:val="auto"/>
        </w:rPr>
        <w:t>o</w:t>
      </w:r>
    </w:p>
    <w:p>
      <w:pPr>
        <w:spacing w:after="0" w:line="45" w:lineRule="exact"/>
        <w:rPr>
          <w:sz w:val="24"/>
          <w:szCs w:val="24"/>
          <w:color w:val="auto"/>
        </w:rPr>
      </w:pPr>
    </w:p>
    <w:p>
      <w:pPr>
        <w:sectPr>
          <w:pgSz w:w="11900" w:h="16838" w:orient="portrait"/>
          <w:cols w:equalWidth="0" w:num="2">
            <w:col w:w="7020" w:space="720"/>
            <w:col w:w="3500"/>
          </w:cols>
          <w:pgMar w:left="320" w:top="1440" w:right="339" w:bottom="1440" w:gutter="0" w:footer="0" w:header="0"/>
          <w:type w:val="continuous"/>
        </w:sectPr>
      </w:pPr>
    </w:p>
    <w:p>
      <w:pPr>
        <w:ind w:left="340"/>
        <w:spacing w:after="0"/>
        <w:rPr>
          <w:sz w:val="20"/>
          <w:szCs w:val="20"/>
          <w:color w:val="auto"/>
        </w:rPr>
      </w:pPr>
      <w:r>
        <w:rPr>
          <w:rFonts w:ascii="Times New Roman" w:cs="Times New Roman" w:eastAsia="Times New Roman" w:hAnsi="Times New Roman"/>
          <w:sz w:val="14"/>
          <w:szCs w:val="14"/>
          <w:color w:val="auto"/>
        </w:rPr>
        <w:t xml:space="preserve">Emerging growth company </w:t>
      </w:r>
      <w:r>
        <w:rPr>
          <w:rFonts w:ascii="Arial" w:cs="Arial" w:eastAsia="Arial" w:hAnsi="Arial"/>
          <w:sz w:val="14"/>
          <w:szCs w:val="14"/>
          <w:color w:val="auto"/>
        </w:rPr>
        <w:t>o</w:t>
      </w:r>
    </w:p>
    <w:p>
      <w:pPr>
        <w:sectPr>
          <w:pgSz w:w="11900" w:h="16838" w:orient="portrait"/>
          <w:cols w:equalWidth="0" w:num="1">
            <w:col w:w="11240"/>
          </w:cols>
          <w:pgMar w:left="320" w:top="1440" w:right="339" w:bottom="1440" w:gutter="0" w:footer="0" w:header="0"/>
          <w:type w:val="continuous"/>
        </w:sectPr>
      </w:pPr>
    </w:p>
    <w:p>
      <w:pPr>
        <w:spacing w:after="0" w:line="123" w:lineRule="exact"/>
        <w:rPr>
          <w:sz w:val="24"/>
          <w:szCs w:val="24"/>
          <w:color w:val="auto"/>
        </w:rPr>
      </w:pPr>
    </w:p>
    <w:p>
      <w:pPr>
        <w:ind w:firstLine="349"/>
        <w:spacing w:after="0" w:line="264" w:lineRule="auto"/>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w:cs="Arial" w:eastAsia="Arial" w:hAnsi="Arial"/>
          <w:sz w:val="16"/>
          <w:szCs w:val="16"/>
          <w:color w:val="auto"/>
        </w:rPr>
        <w:t>o</w:t>
      </w:r>
    </w:p>
    <w:p>
      <w:pPr>
        <w:spacing w:after="0" w:line="166" w:lineRule="exact"/>
        <w:rPr>
          <w:sz w:val="24"/>
          <w:szCs w:val="24"/>
          <w:color w:val="auto"/>
        </w:rPr>
      </w:pPr>
    </w:p>
    <w:p>
      <w:pPr>
        <w:spacing w:after="0" w:line="185"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Arial" w:cs="Arial" w:eastAsia="Arial" w:hAnsi="Arial"/>
          <w:sz w:val="16"/>
          <w:szCs w:val="16"/>
          <w:color w:val="auto"/>
        </w:rPr>
        <w:t>x</w:t>
      </w:r>
    </w:p>
    <w:p>
      <w:pPr>
        <w:spacing w:after="0" w:line="266" w:lineRule="exact"/>
        <w:rPr>
          <w:sz w:val="24"/>
          <w:szCs w:val="24"/>
          <w:color w:val="auto"/>
        </w:rPr>
      </w:pPr>
    </w:p>
    <w:p>
      <w:pPr>
        <w:ind w:left="360"/>
        <w:spacing w:after="0"/>
        <w:rPr>
          <w:sz w:val="20"/>
          <w:szCs w:val="20"/>
          <w:color w:val="auto"/>
        </w:rPr>
      </w:pPr>
      <w:r>
        <w:rPr>
          <w:rFonts w:ascii="Times New Roman" w:cs="Times New Roman" w:eastAsia="Times New Roman" w:hAnsi="Times New Roman"/>
          <w:sz w:val="16"/>
          <w:szCs w:val="16"/>
          <w:color w:val="auto"/>
        </w:rPr>
        <w:t>The issuer had 30,325,187 shares of common stock, $0.01 par value per share, outstanding as of August 3,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224155</wp:posOffset>
            </wp:positionH>
            <wp:positionV relativeFrom="paragraph">
              <wp:posOffset>196215</wp:posOffset>
            </wp:positionV>
            <wp:extent cx="6976745" cy="165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76745" cy="16510"/>
                    </a:xfrm>
                    <a:prstGeom prst="rect">
                      <a:avLst/>
                    </a:prstGeom>
                    <a:noFill/>
                  </pic:spPr>
                </pic:pic>
              </a:graphicData>
            </a:graphic>
          </wp:anchor>
        </w:drawing>
        <w:drawing>
          <wp:anchor simplePos="0" relativeHeight="251657728" behindDoc="1" locked="0" layoutInCell="0" allowOverlap="1">
            <wp:simplePos x="0" y="0"/>
            <wp:positionH relativeFrom="column">
              <wp:posOffset>224155</wp:posOffset>
            </wp:positionH>
            <wp:positionV relativeFrom="paragraph">
              <wp:posOffset>171450</wp:posOffset>
            </wp:positionV>
            <wp:extent cx="697674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76745"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SURO CAPITAL CORP.</w:t>
      </w:r>
    </w:p>
    <w:p>
      <w:pPr>
        <w:spacing w:after="0" w:line="2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TABLE OF CONTENTS</w:t>
      </w:r>
    </w:p>
    <w:p>
      <w:pPr>
        <w:spacing w:after="0" w:line="370" w:lineRule="exact"/>
        <w:rPr>
          <w:sz w:val="20"/>
          <w:szCs w:val="20"/>
          <w:color w:val="auto"/>
        </w:rPr>
      </w:pPr>
    </w:p>
    <w:tbl>
      <w:tblPr>
        <w:tblLayout w:type="fixed"/>
        <w:tblInd w:w="40" w:type="dxa"/>
        <w:tblCellMar>
          <w:top w:w="0" w:type="dxa"/>
          <w:left w:w="0" w:type="dxa"/>
          <w:bottom w:w="0" w:type="dxa"/>
          <w:right w:w="0" w:type="dxa"/>
        </w:tblCellMar>
      </w:tblPr>
      <w:tr>
        <w:trPr>
          <w:trHeight w:val="183"/>
        </w:trPr>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60" w:type="dxa"/>
            <w:vAlign w:val="bottom"/>
            <w:gridSpan w:val="4"/>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3"/>
        </w:trPr>
        <w:tc>
          <w:tcPr>
            <w:tcW w:w="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gridSpan w:val="2"/>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7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213"/>
        </w:trPr>
        <w:tc>
          <w:tcPr>
            <w:tcW w:w="10500" w:type="dxa"/>
            <w:vAlign w:val="bottom"/>
            <w:gridSpan w:val="20"/>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PART I. FINANCIAL INFORMATION</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181"/>
        </w:trPr>
        <w:tc>
          <w:tcPr>
            <w:tcW w:w="1140" w:type="dxa"/>
            <w:vAlign w:val="bottom"/>
            <w:gridSpan w:val="5"/>
          </w:tcPr>
          <w:p>
            <w:pPr>
              <w:ind w:left="20"/>
              <w:spacing w:after="0" w:line="181" w:lineRule="exact"/>
              <w:rPr>
                <w:sz w:val="20"/>
                <w:szCs w:val="20"/>
                <w:color w:val="auto"/>
              </w:rPr>
            </w:pPr>
            <w:r>
              <w:rPr>
                <w:rFonts w:ascii="Times New Roman" w:cs="Times New Roman" w:eastAsia="Times New Roman" w:hAnsi="Times New Roman"/>
                <w:sz w:val="17"/>
                <w:szCs w:val="17"/>
                <w:color w:val="0000FF"/>
              </w:rPr>
              <w:t>Item 1.</w:t>
            </w:r>
          </w:p>
        </w:tc>
        <w:tc>
          <w:tcPr>
            <w:tcW w:w="9360" w:type="dxa"/>
            <w:vAlign w:val="bottom"/>
            <w:gridSpan w:val="15"/>
          </w:tcPr>
          <w:p>
            <w:pPr>
              <w:spacing w:after="0" w:line="181" w:lineRule="exact"/>
              <w:rPr>
                <w:sz w:val="20"/>
                <w:szCs w:val="20"/>
                <w:color w:val="auto"/>
              </w:rPr>
            </w:pPr>
            <w:r>
              <w:rPr>
                <w:rFonts w:ascii="Times New Roman" w:cs="Times New Roman" w:eastAsia="Times New Roman" w:hAnsi="Times New Roman"/>
                <w:sz w:val="17"/>
                <w:szCs w:val="17"/>
                <w:color w:val="0000FF"/>
              </w:rPr>
              <w:t>Condensed Consolidated Financial Statements</w:t>
            </w:r>
          </w:p>
        </w:tc>
        <w:tc>
          <w:tcPr>
            <w:tcW w:w="660" w:type="dxa"/>
            <w:vAlign w:val="bottom"/>
            <w:gridSpan w:val="4"/>
          </w:tcPr>
          <w:p>
            <w:pPr>
              <w:jc w:val="right"/>
              <w:ind w:right="20"/>
              <w:spacing w:after="0" w:line="181" w:lineRule="exact"/>
              <w:rPr>
                <w:sz w:val="20"/>
                <w:szCs w:val="20"/>
                <w:color w:val="auto"/>
              </w:rPr>
            </w:pPr>
            <w:r>
              <w:rPr>
                <w:rFonts w:ascii="Times New Roman" w:cs="Times New Roman" w:eastAsia="Times New Roman" w:hAnsi="Times New Roman"/>
                <w:sz w:val="17"/>
                <w:szCs w:val="17"/>
                <w:color w:val="0000FF"/>
              </w:rPr>
              <w:t>1</w:t>
            </w:r>
          </w:p>
        </w:tc>
      </w:tr>
      <w:tr>
        <w:trPr>
          <w:trHeight w:val="29"/>
        </w:trPr>
        <w:tc>
          <w:tcPr>
            <w:tcW w:w="20" w:type="dxa"/>
            <w:vAlign w:val="bottom"/>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420" w:type="dxa"/>
            <w:vAlign w:val="bottom"/>
            <w:tcBorders>
              <w:right w:val="single" w:sz="8" w:color="0000FF"/>
            </w:tcBorders>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980" w:type="dxa"/>
            <w:vAlign w:val="bottom"/>
            <w:shd w:val="clear" w:color="auto" w:fill="0000FF"/>
          </w:tcPr>
          <w:p>
            <w:pPr>
              <w:spacing w:after="0"/>
              <w:rPr>
                <w:sz w:val="2"/>
                <w:szCs w:val="2"/>
                <w:color w:val="auto"/>
              </w:rPr>
            </w:pPr>
          </w:p>
        </w:tc>
        <w:tc>
          <w:tcPr>
            <w:tcW w:w="9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7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1"/>
        </w:trPr>
        <w:tc>
          <w:tcPr>
            <w:tcW w:w="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180" w:type="dxa"/>
            <w:vAlign w:val="bottom"/>
            <w:gridSpan w:val="13"/>
            <w:shd w:val="clear" w:color="auto" w:fill="CCEEFF"/>
          </w:tcPr>
          <w:p>
            <w:pPr>
              <w:spacing w:after="0" w:line="190" w:lineRule="exact"/>
              <w:rPr>
                <w:sz w:val="20"/>
                <w:szCs w:val="20"/>
                <w:color w:val="auto"/>
              </w:rPr>
            </w:pPr>
            <w:r>
              <w:rPr>
                <w:rFonts w:ascii="Times New Roman" w:cs="Times New Roman" w:eastAsia="Times New Roman" w:hAnsi="Times New Roman"/>
                <w:sz w:val="17"/>
                <w:szCs w:val="17"/>
                <w:color w:val="0000FF"/>
              </w:rPr>
              <w:t>Condensed Consolidated Statements of Assets and Liabilities as of June 30, 2022 (Unaudited) and December 31, 2021</w:t>
            </w:r>
          </w:p>
        </w:tc>
        <w:tc>
          <w:tcPr>
            <w:tcW w:w="1180" w:type="dxa"/>
            <w:vAlign w:val="bottom"/>
            <w:gridSpan w:val="2"/>
            <w:shd w:val="clear" w:color="auto" w:fill="CCEEFF"/>
          </w:tcPr>
          <w:p>
            <w:pPr>
              <w:spacing w:after="0"/>
              <w:rPr>
                <w:sz w:val="16"/>
                <w:szCs w:val="16"/>
                <w:color w:val="auto"/>
              </w:rPr>
            </w:pPr>
          </w:p>
        </w:tc>
        <w:tc>
          <w:tcPr>
            <w:tcW w:w="560" w:type="dxa"/>
            <w:vAlign w:val="bottom"/>
            <w:gridSpan w:val="2"/>
            <w:shd w:val="clear" w:color="auto" w:fill="CCEEFF"/>
          </w:tcPr>
          <w:p>
            <w:pPr>
              <w:spacing w:after="0"/>
              <w:rPr>
                <w:sz w:val="16"/>
                <w:szCs w:val="16"/>
                <w:color w:val="auto"/>
              </w:rPr>
            </w:pPr>
          </w:p>
        </w:tc>
        <w:tc>
          <w:tcPr>
            <w:tcW w:w="100" w:type="dxa"/>
            <w:vAlign w:val="bottom"/>
            <w:gridSpan w:val="2"/>
            <w:shd w:val="clear" w:color="auto" w:fill="CCEEFF"/>
          </w:tcPr>
          <w:p>
            <w:pPr>
              <w:jc w:val="right"/>
              <w:ind w:right="20"/>
              <w:spacing w:after="0" w:line="190" w:lineRule="exact"/>
              <w:rPr>
                <w:sz w:val="20"/>
                <w:szCs w:val="20"/>
                <w:color w:val="auto"/>
              </w:rPr>
            </w:pPr>
            <w:r>
              <w:rPr>
                <w:rFonts w:ascii="Times New Roman" w:cs="Times New Roman" w:eastAsia="Times New Roman" w:hAnsi="Times New Roman"/>
                <w:sz w:val="17"/>
                <w:szCs w:val="17"/>
                <w:color w:val="0000FF"/>
                <w:w w:val="70"/>
              </w:rPr>
              <w:t>1</w:t>
            </w:r>
          </w:p>
        </w:tc>
      </w:tr>
      <w:tr>
        <w:trPr>
          <w:trHeight w:val="39"/>
        </w:trPr>
        <w:tc>
          <w:tcPr>
            <w:tcW w:w="2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56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420" w:type="dxa"/>
            <w:vAlign w:val="bottom"/>
            <w:tcBorders>
              <w:right w:val="single" w:sz="8" w:color="0000FF"/>
            </w:tcBorders>
            <w:shd w:val="clear" w:color="auto" w:fill="0000FF"/>
          </w:tcPr>
          <w:p>
            <w:pPr>
              <w:spacing w:after="0"/>
              <w:rPr>
                <w:sz w:val="3"/>
                <w:szCs w:val="3"/>
                <w:color w:val="auto"/>
              </w:rPr>
            </w:pPr>
          </w:p>
        </w:tc>
        <w:tc>
          <w:tcPr>
            <w:tcW w:w="400" w:type="dxa"/>
            <w:vAlign w:val="bottom"/>
            <w:shd w:val="clear" w:color="auto" w:fill="0000FF"/>
          </w:tcPr>
          <w:p>
            <w:pPr>
              <w:spacing w:after="0"/>
              <w:rPr>
                <w:sz w:val="3"/>
                <w:szCs w:val="3"/>
                <w:color w:val="auto"/>
              </w:rPr>
            </w:pPr>
          </w:p>
        </w:tc>
        <w:tc>
          <w:tcPr>
            <w:tcW w:w="540" w:type="dxa"/>
            <w:vAlign w:val="bottom"/>
            <w:shd w:val="clear" w:color="auto" w:fill="0000FF"/>
          </w:tcPr>
          <w:p>
            <w:pPr>
              <w:spacing w:after="0"/>
              <w:rPr>
                <w:sz w:val="3"/>
                <w:szCs w:val="3"/>
                <w:color w:val="auto"/>
              </w:rPr>
            </w:pPr>
          </w:p>
        </w:tc>
        <w:tc>
          <w:tcPr>
            <w:tcW w:w="980" w:type="dxa"/>
            <w:vAlign w:val="bottom"/>
            <w:shd w:val="clear" w:color="auto" w:fill="0000FF"/>
          </w:tcPr>
          <w:p>
            <w:pPr>
              <w:spacing w:after="0"/>
              <w:rPr>
                <w:sz w:val="3"/>
                <w:szCs w:val="3"/>
                <w:color w:val="auto"/>
              </w:rPr>
            </w:pPr>
          </w:p>
        </w:tc>
        <w:tc>
          <w:tcPr>
            <w:tcW w:w="960" w:type="dxa"/>
            <w:vAlign w:val="bottom"/>
            <w:shd w:val="clear" w:color="auto" w:fill="0000FF"/>
          </w:tcPr>
          <w:p>
            <w:pPr>
              <w:spacing w:after="0"/>
              <w:rPr>
                <w:sz w:val="3"/>
                <w:szCs w:val="3"/>
                <w:color w:val="auto"/>
              </w:rPr>
            </w:pPr>
          </w:p>
        </w:tc>
        <w:tc>
          <w:tcPr>
            <w:tcW w:w="1060" w:type="dxa"/>
            <w:vAlign w:val="bottom"/>
            <w:shd w:val="clear" w:color="auto" w:fill="0000FF"/>
          </w:tcPr>
          <w:p>
            <w:pPr>
              <w:spacing w:after="0"/>
              <w:rPr>
                <w:sz w:val="3"/>
                <w:szCs w:val="3"/>
                <w:color w:val="auto"/>
              </w:rPr>
            </w:pPr>
          </w:p>
        </w:tc>
        <w:tc>
          <w:tcPr>
            <w:tcW w:w="480" w:type="dxa"/>
            <w:vAlign w:val="bottom"/>
            <w:shd w:val="clear" w:color="auto" w:fill="0000FF"/>
          </w:tcPr>
          <w:p>
            <w:pPr>
              <w:spacing w:after="0"/>
              <w:rPr>
                <w:sz w:val="3"/>
                <w:szCs w:val="3"/>
                <w:color w:val="auto"/>
              </w:rPr>
            </w:pPr>
          </w:p>
        </w:tc>
        <w:tc>
          <w:tcPr>
            <w:tcW w:w="38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760" w:type="dxa"/>
            <w:vAlign w:val="bottom"/>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740" w:type="dxa"/>
            <w:vAlign w:val="bottom"/>
            <w:tcBorders>
              <w:left w:val="single" w:sz="8" w:color="CCEEFF"/>
            </w:tcBorders>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1"/>
        </w:trPr>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360" w:type="dxa"/>
            <w:vAlign w:val="bottom"/>
            <w:gridSpan w:val="15"/>
          </w:tcPr>
          <w:p>
            <w:pPr>
              <w:spacing w:after="0" w:line="181" w:lineRule="exact"/>
              <w:rPr>
                <w:sz w:val="20"/>
                <w:szCs w:val="20"/>
                <w:color w:val="auto"/>
              </w:rPr>
            </w:pPr>
            <w:r>
              <w:rPr>
                <w:rFonts w:ascii="Times New Roman" w:cs="Times New Roman" w:eastAsia="Times New Roman" w:hAnsi="Times New Roman"/>
                <w:sz w:val="17"/>
                <w:szCs w:val="17"/>
                <w:color w:val="0000FF"/>
              </w:rPr>
              <w:t>Condensed Consolidated Statements of Operations for the Three and Six Months Ended June 30, 2022 and 2021 (Unaudited)</w:t>
            </w:r>
          </w:p>
        </w:tc>
        <w:tc>
          <w:tcPr>
            <w:tcW w:w="660" w:type="dxa"/>
            <w:vAlign w:val="bottom"/>
            <w:gridSpan w:val="4"/>
          </w:tcPr>
          <w:p>
            <w:pPr>
              <w:jc w:val="right"/>
              <w:ind w:right="20"/>
              <w:spacing w:after="0" w:line="181" w:lineRule="exact"/>
              <w:rPr>
                <w:sz w:val="20"/>
                <w:szCs w:val="20"/>
                <w:color w:val="auto"/>
              </w:rPr>
            </w:pPr>
            <w:r>
              <w:rPr>
                <w:rFonts w:ascii="Times New Roman" w:cs="Times New Roman" w:eastAsia="Times New Roman" w:hAnsi="Times New Roman"/>
                <w:sz w:val="17"/>
                <w:szCs w:val="17"/>
                <w:color w:val="0000FF"/>
              </w:rPr>
              <w:t>2</w:t>
            </w:r>
          </w:p>
        </w:tc>
      </w:tr>
      <w:tr>
        <w:trPr>
          <w:trHeight w:val="29"/>
        </w:trPr>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420" w:type="dxa"/>
            <w:vAlign w:val="bottom"/>
            <w:tcBorders>
              <w:right w:val="single" w:sz="8" w:color="0000FF"/>
            </w:tcBorders>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980" w:type="dxa"/>
            <w:vAlign w:val="bottom"/>
            <w:shd w:val="clear" w:color="auto" w:fill="0000FF"/>
          </w:tcPr>
          <w:p>
            <w:pPr>
              <w:spacing w:after="0"/>
              <w:rPr>
                <w:sz w:val="2"/>
                <w:szCs w:val="2"/>
                <w:color w:val="auto"/>
              </w:rPr>
            </w:pPr>
          </w:p>
        </w:tc>
        <w:tc>
          <w:tcPr>
            <w:tcW w:w="960" w:type="dxa"/>
            <w:vAlign w:val="bottom"/>
            <w:shd w:val="clear" w:color="auto" w:fill="0000FF"/>
          </w:tcPr>
          <w:p>
            <w:pPr>
              <w:spacing w:after="0"/>
              <w:rPr>
                <w:sz w:val="2"/>
                <w:szCs w:val="2"/>
                <w:color w:val="auto"/>
              </w:rPr>
            </w:pPr>
          </w:p>
        </w:tc>
        <w:tc>
          <w:tcPr>
            <w:tcW w:w="1060" w:type="dxa"/>
            <w:vAlign w:val="bottom"/>
            <w:shd w:val="clear" w:color="auto" w:fill="0000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76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7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1"/>
        </w:trPr>
        <w:tc>
          <w:tcPr>
            <w:tcW w:w="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9360" w:type="dxa"/>
            <w:vAlign w:val="bottom"/>
            <w:gridSpan w:val="15"/>
            <w:shd w:val="clear" w:color="auto" w:fill="CCEEFF"/>
          </w:tcPr>
          <w:p>
            <w:pPr>
              <w:spacing w:after="0" w:line="190" w:lineRule="exact"/>
              <w:rPr>
                <w:sz w:val="20"/>
                <w:szCs w:val="20"/>
                <w:color w:val="auto"/>
              </w:rPr>
            </w:pPr>
            <w:r>
              <w:rPr>
                <w:rFonts w:ascii="Times New Roman" w:cs="Times New Roman" w:eastAsia="Times New Roman" w:hAnsi="Times New Roman"/>
                <w:sz w:val="17"/>
                <w:szCs w:val="17"/>
                <w:color w:val="0000FF"/>
              </w:rPr>
              <w:t>Condensed Consolidated Statements of Changes in Net Assets for the Six Months Ended June 30, 2022 and 2021 (Unaudited)</w:t>
            </w:r>
          </w:p>
        </w:tc>
        <w:tc>
          <w:tcPr>
            <w:tcW w:w="660" w:type="dxa"/>
            <w:vAlign w:val="bottom"/>
            <w:gridSpan w:val="4"/>
            <w:shd w:val="clear" w:color="auto" w:fill="CCEEFF"/>
          </w:tcPr>
          <w:p>
            <w:pPr>
              <w:jc w:val="right"/>
              <w:ind w:right="20"/>
              <w:spacing w:after="0" w:line="190" w:lineRule="exact"/>
              <w:rPr>
                <w:sz w:val="20"/>
                <w:szCs w:val="20"/>
                <w:color w:val="auto"/>
              </w:rPr>
            </w:pPr>
            <w:r>
              <w:rPr>
                <w:rFonts w:ascii="Times New Roman" w:cs="Times New Roman" w:eastAsia="Times New Roman" w:hAnsi="Times New Roman"/>
                <w:sz w:val="17"/>
                <w:szCs w:val="17"/>
                <w:color w:val="0000FF"/>
              </w:rPr>
              <w:t>3</w:t>
            </w:r>
          </w:p>
        </w:tc>
      </w:tr>
      <w:tr>
        <w:trPr>
          <w:trHeight w:val="39"/>
        </w:trPr>
        <w:tc>
          <w:tcPr>
            <w:tcW w:w="2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56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420" w:type="dxa"/>
            <w:vAlign w:val="bottom"/>
            <w:tcBorders>
              <w:right w:val="single" w:sz="8" w:color="0000FF"/>
            </w:tcBorders>
            <w:shd w:val="clear" w:color="auto" w:fill="0000FF"/>
          </w:tcPr>
          <w:p>
            <w:pPr>
              <w:spacing w:after="0"/>
              <w:rPr>
                <w:sz w:val="3"/>
                <w:szCs w:val="3"/>
                <w:color w:val="auto"/>
              </w:rPr>
            </w:pPr>
          </w:p>
        </w:tc>
        <w:tc>
          <w:tcPr>
            <w:tcW w:w="400" w:type="dxa"/>
            <w:vAlign w:val="bottom"/>
            <w:shd w:val="clear" w:color="auto" w:fill="0000FF"/>
          </w:tcPr>
          <w:p>
            <w:pPr>
              <w:spacing w:after="0"/>
              <w:rPr>
                <w:sz w:val="3"/>
                <w:szCs w:val="3"/>
                <w:color w:val="auto"/>
              </w:rPr>
            </w:pPr>
          </w:p>
        </w:tc>
        <w:tc>
          <w:tcPr>
            <w:tcW w:w="540" w:type="dxa"/>
            <w:vAlign w:val="bottom"/>
            <w:shd w:val="clear" w:color="auto" w:fill="0000FF"/>
          </w:tcPr>
          <w:p>
            <w:pPr>
              <w:spacing w:after="0"/>
              <w:rPr>
                <w:sz w:val="3"/>
                <w:szCs w:val="3"/>
                <w:color w:val="auto"/>
              </w:rPr>
            </w:pPr>
          </w:p>
        </w:tc>
        <w:tc>
          <w:tcPr>
            <w:tcW w:w="980" w:type="dxa"/>
            <w:vAlign w:val="bottom"/>
            <w:shd w:val="clear" w:color="auto" w:fill="0000FF"/>
          </w:tcPr>
          <w:p>
            <w:pPr>
              <w:spacing w:after="0"/>
              <w:rPr>
                <w:sz w:val="3"/>
                <w:szCs w:val="3"/>
                <w:color w:val="auto"/>
              </w:rPr>
            </w:pPr>
          </w:p>
        </w:tc>
        <w:tc>
          <w:tcPr>
            <w:tcW w:w="960" w:type="dxa"/>
            <w:vAlign w:val="bottom"/>
            <w:shd w:val="clear" w:color="auto" w:fill="0000FF"/>
          </w:tcPr>
          <w:p>
            <w:pPr>
              <w:spacing w:after="0"/>
              <w:rPr>
                <w:sz w:val="3"/>
                <w:szCs w:val="3"/>
                <w:color w:val="auto"/>
              </w:rPr>
            </w:pPr>
          </w:p>
        </w:tc>
        <w:tc>
          <w:tcPr>
            <w:tcW w:w="1060" w:type="dxa"/>
            <w:vAlign w:val="bottom"/>
            <w:shd w:val="clear" w:color="auto" w:fill="0000FF"/>
          </w:tcPr>
          <w:p>
            <w:pPr>
              <w:spacing w:after="0"/>
              <w:rPr>
                <w:sz w:val="3"/>
                <w:szCs w:val="3"/>
                <w:color w:val="auto"/>
              </w:rPr>
            </w:pPr>
          </w:p>
        </w:tc>
        <w:tc>
          <w:tcPr>
            <w:tcW w:w="480" w:type="dxa"/>
            <w:vAlign w:val="bottom"/>
            <w:shd w:val="clear" w:color="auto" w:fill="0000FF"/>
          </w:tcPr>
          <w:p>
            <w:pPr>
              <w:spacing w:after="0"/>
              <w:rPr>
                <w:sz w:val="3"/>
                <w:szCs w:val="3"/>
                <w:color w:val="auto"/>
              </w:rPr>
            </w:pPr>
          </w:p>
        </w:tc>
        <w:tc>
          <w:tcPr>
            <w:tcW w:w="38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760" w:type="dxa"/>
            <w:vAlign w:val="bottom"/>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440" w:type="dxa"/>
            <w:vAlign w:val="bottom"/>
            <w:shd w:val="clear" w:color="auto" w:fill="0000FF"/>
          </w:tcPr>
          <w:p>
            <w:pPr>
              <w:spacing w:after="0"/>
              <w:rPr>
                <w:sz w:val="3"/>
                <w:szCs w:val="3"/>
                <w:color w:val="auto"/>
              </w:rPr>
            </w:pPr>
          </w:p>
        </w:tc>
        <w:tc>
          <w:tcPr>
            <w:tcW w:w="740" w:type="dxa"/>
            <w:vAlign w:val="bottom"/>
            <w:tcBorders>
              <w:left w:val="single" w:sz="8" w:color="0000FF"/>
            </w:tcBorders>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1"/>
        </w:trPr>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940" w:type="dxa"/>
            <w:vAlign w:val="bottom"/>
            <w:gridSpan w:val="12"/>
          </w:tcPr>
          <w:p>
            <w:pPr>
              <w:spacing w:after="0" w:line="181" w:lineRule="exact"/>
              <w:rPr>
                <w:sz w:val="20"/>
                <w:szCs w:val="20"/>
                <w:color w:val="auto"/>
              </w:rPr>
            </w:pPr>
            <w:r>
              <w:rPr>
                <w:rFonts w:ascii="Times New Roman" w:cs="Times New Roman" w:eastAsia="Times New Roman" w:hAnsi="Times New Roman"/>
                <w:sz w:val="17"/>
                <w:szCs w:val="17"/>
                <w:color w:val="0000FF"/>
              </w:rPr>
              <w:t>Condensed Consolidated Statements of Cash Flows for the Six Months Ended June 30, 2022 and 2021 (Unaudited)</w:t>
            </w:r>
          </w:p>
        </w:tc>
        <w:tc>
          <w:tcPr>
            <w:tcW w:w="680" w:type="dxa"/>
            <w:vAlign w:val="bottom"/>
            <w:gridSpan w:val="2"/>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gridSpan w:val="2"/>
          </w:tcPr>
          <w:p>
            <w:pPr>
              <w:spacing w:after="0"/>
              <w:rPr>
                <w:sz w:val="15"/>
                <w:szCs w:val="15"/>
                <w:color w:val="auto"/>
              </w:rPr>
            </w:pPr>
          </w:p>
        </w:tc>
        <w:tc>
          <w:tcPr>
            <w:tcW w:w="100" w:type="dxa"/>
            <w:vAlign w:val="bottom"/>
            <w:gridSpan w:val="2"/>
          </w:tcPr>
          <w:p>
            <w:pPr>
              <w:jc w:val="right"/>
              <w:ind w:right="20"/>
              <w:spacing w:after="0" w:line="181" w:lineRule="exact"/>
              <w:rPr>
                <w:sz w:val="20"/>
                <w:szCs w:val="20"/>
                <w:color w:val="auto"/>
              </w:rPr>
            </w:pPr>
            <w:r>
              <w:rPr>
                <w:rFonts w:ascii="Times New Roman" w:cs="Times New Roman" w:eastAsia="Times New Roman" w:hAnsi="Times New Roman"/>
                <w:sz w:val="17"/>
                <w:szCs w:val="17"/>
                <w:color w:val="0000FF"/>
                <w:w w:val="70"/>
              </w:rPr>
              <w:t>4</w:t>
            </w:r>
          </w:p>
        </w:tc>
      </w:tr>
      <w:tr>
        <w:trPr>
          <w:trHeight w:val="29"/>
        </w:trPr>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420" w:type="dxa"/>
            <w:vAlign w:val="bottom"/>
            <w:tcBorders>
              <w:right w:val="single" w:sz="8" w:color="0000FF"/>
            </w:tcBorders>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980" w:type="dxa"/>
            <w:vAlign w:val="bottom"/>
            <w:shd w:val="clear" w:color="auto" w:fill="0000FF"/>
          </w:tcPr>
          <w:p>
            <w:pPr>
              <w:spacing w:after="0"/>
              <w:rPr>
                <w:sz w:val="2"/>
                <w:szCs w:val="2"/>
                <w:color w:val="auto"/>
              </w:rPr>
            </w:pPr>
          </w:p>
        </w:tc>
        <w:tc>
          <w:tcPr>
            <w:tcW w:w="960" w:type="dxa"/>
            <w:vAlign w:val="bottom"/>
            <w:shd w:val="clear" w:color="auto" w:fill="0000FF"/>
          </w:tcPr>
          <w:p>
            <w:pPr>
              <w:spacing w:after="0"/>
              <w:rPr>
                <w:sz w:val="2"/>
                <w:szCs w:val="2"/>
                <w:color w:val="auto"/>
              </w:rPr>
            </w:pPr>
          </w:p>
        </w:tc>
        <w:tc>
          <w:tcPr>
            <w:tcW w:w="1060" w:type="dxa"/>
            <w:vAlign w:val="bottom"/>
            <w:shd w:val="clear" w:color="auto" w:fill="0000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760" w:type="dxa"/>
            <w:vAlign w:val="bottom"/>
            <w:shd w:val="clear" w:color="auto" w:fill="0000FF"/>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7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1"/>
        </w:trPr>
        <w:tc>
          <w:tcPr>
            <w:tcW w:w="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940" w:type="dxa"/>
            <w:vAlign w:val="bottom"/>
            <w:gridSpan w:val="12"/>
            <w:shd w:val="clear" w:color="auto" w:fill="CCEEFF"/>
          </w:tcPr>
          <w:p>
            <w:pPr>
              <w:spacing w:after="0" w:line="190" w:lineRule="exact"/>
              <w:rPr>
                <w:sz w:val="20"/>
                <w:szCs w:val="20"/>
                <w:color w:val="auto"/>
              </w:rPr>
            </w:pPr>
            <w:r>
              <w:rPr>
                <w:rFonts w:ascii="Times New Roman" w:cs="Times New Roman" w:eastAsia="Times New Roman" w:hAnsi="Times New Roman"/>
                <w:sz w:val="17"/>
                <w:szCs w:val="17"/>
                <w:color w:val="0000FF"/>
              </w:rPr>
              <w:t>Condensed Consolidated Schedule of Investments as of June 30, 2022 (Unaudited)</w:t>
            </w:r>
          </w:p>
        </w:tc>
        <w:tc>
          <w:tcPr>
            <w:tcW w:w="1420" w:type="dxa"/>
            <w:vAlign w:val="bottom"/>
            <w:gridSpan w:val="3"/>
            <w:shd w:val="clear" w:color="auto" w:fill="CCEEFF"/>
          </w:tcPr>
          <w:p>
            <w:pPr>
              <w:spacing w:after="0"/>
              <w:rPr>
                <w:sz w:val="16"/>
                <w:szCs w:val="16"/>
                <w:color w:val="auto"/>
              </w:rPr>
            </w:pPr>
          </w:p>
        </w:tc>
        <w:tc>
          <w:tcPr>
            <w:tcW w:w="560" w:type="dxa"/>
            <w:vAlign w:val="bottom"/>
            <w:gridSpan w:val="2"/>
            <w:shd w:val="clear" w:color="auto" w:fill="CCEEFF"/>
          </w:tcPr>
          <w:p>
            <w:pPr>
              <w:spacing w:after="0"/>
              <w:rPr>
                <w:sz w:val="16"/>
                <w:szCs w:val="16"/>
                <w:color w:val="auto"/>
              </w:rPr>
            </w:pPr>
          </w:p>
        </w:tc>
        <w:tc>
          <w:tcPr>
            <w:tcW w:w="100" w:type="dxa"/>
            <w:vAlign w:val="bottom"/>
            <w:gridSpan w:val="2"/>
            <w:shd w:val="clear" w:color="auto" w:fill="CCEEFF"/>
          </w:tcPr>
          <w:p>
            <w:pPr>
              <w:jc w:val="right"/>
              <w:ind w:right="20"/>
              <w:spacing w:after="0" w:line="190" w:lineRule="exact"/>
              <w:rPr>
                <w:sz w:val="20"/>
                <w:szCs w:val="20"/>
                <w:color w:val="auto"/>
              </w:rPr>
            </w:pPr>
            <w:r>
              <w:rPr>
                <w:rFonts w:ascii="Times New Roman" w:cs="Times New Roman" w:eastAsia="Times New Roman" w:hAnsi="Times New Roman"/>
                <w:sz w:val="17"/>
                <w:szCs w:val="17"/>
                <w:color w:val="0000FF"/>
                <w:w w:val="70"/>
              </w:rPr>
              <w:t>5</w:t>
            </w:r>
          </w:p>
        </w:tc>
      </w:tr>
      <w:tr>
        <w:trPr>
          <w:trHeight w:val="39"/>
        </w:trPr>
        <w:tc>
          <w:tcPr>
            <w:tcW w:w="2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56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420" w:type="dxa"/>
            <w:vAlign w:val="bottom"/>
            <w:tcBorders>
              <w:right w:val="single" w:sz="8" w:color="0000FF"/>
            </w:tcBorders>
            <w:shd w:val="clear" w:color="auto" w:fill="0000FF"/>
          </w:tcPr>
          <w:p>
            <w:pPr>
              <w:spacing w:after="0"/>
              <w:rPr>
                <w:sz w:val="3"/>
                <w:szCs w:val="3"/>
                <w:color w:val="auto"/>
              </w:rPr>
            </w:pPr>
          </w:p>
        </w:tc>
        <w:tc>
          <w:tcPr>
            <w:tcW w:w="400" w:type="dxa"/>
            <w:vAlign w:val="bottom"/>
            <w:shd w:val="clear" w:color="auto" w:fill="0000FF"/>
          </w:tcPr>
          <w:p>
            <w:pPr>
              <w:spacing w:after="0"/>
              <w:rPr>
                <w:sz w:val="3"/>
                <w:szCs w:val="3"/>
                <w:color w:val="auto"/>
              </w:rPr>
            </w:pPr>
          </w:p>
        </w:tc>
        <w:tc>
          <w:tcPr>
            <w:tcW w:w="540" w:type="dxa"/>
            <w:vAlign w:val="bottom"/>
            <w:shd w:val="clear" w:color="auto" w:fill="0000FF"/>
          </w:tcPr>
          <w:p>
            <w:pPr>
              <w:spacing w:after="0"/>
              <w:rPr>
                <w:sz w:val="3"/>
                <w:szCs w:val="3"/>
                <w:color w:val="auto"/>
              </w:rPr>
            </w:pPr>
          </w:p>
        </w:tc>
        <w:tc>
          <w:tcPr>
            <w:tcW w:w="980" w:type="dxa"/>
            <w:vAlign w:val="bottom"/>
            <w:shd w:val="clear" w:color="auto" w:fill="0000FF"/>
          </w:tcPr>
          <w:p>
            <w:pPr>
              <w:spacing w:after="0"/>
              <w:rPr>
                <w:sz w:val="3"/>
                <w:szCs w:val="3"/>
                <w:color w:val="auto"/>
              </w:rPr>
            </w:pPr>
          </w:p>
        </w:tc>
        <w:tc>
          <w:tcPr>
            <w:tcW w:w="960" w:type="dxa"/>
            <w:vAlign w:val="bottom"/>
            <w:shd w:val="clear" w:color="auto" w:fill="0000FF"/>
          </w:tcPr>
          <w:p>
            <w:pPr>
              <w:spacing w:after="0"/>
              <w:rPr>
                <w:sz w:val="3"/>
                <w:szCs w:val="3"/>
                <w:color w:val="auto"/>
              </w:rPr>
            </w:pPr>
          </w:p>
        </w:tc>
        <w:tc>
          <w:tcPr>
            <w:tcW w:w="1060" w:type="dxa"/>
            <w:vAlign w:val="bottom"/>
            <w:shd w:val="clear" w:color="auto" w:fill="0000FF"/>
          </w:tcPr>
          <w:p>
            <w:pPr>
              <w:spacing w:after="0"/>
              <w:rPr>
                <w:sz w:val="3"/>
                <w:szCs w:val="3"/>
                <w:color w:val="auto"/>
              </w:rPr>
            </w:pPr>
          </w:p>
        </w:tc>
        <w:tc>
          <w:tcPr>
            <w:tcW w:w="480" w:type="dxa"/>
            <w:vAlign w:val="bottom"/>
            <w:shd w:val="clear" w:color="auto" w:fill="0000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76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740" w:type="dxa"/>
            <w:vAlign w:val="bottom"/>
            <w:tcBorders>
              <w:left w:val="single" w:sz="8" w:color="CCEEFF"/>
            </w:tcBorders>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1"/>
        </w:trPr>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700" w:type="dxa"/>
            <w:vAlign w:val="bottom"/>
            <w:gridSpan w:val="9"/>
          </w:tcPr>
          <w:p>
            <w:pPr>
              <w:spacing w:after="0" w:line="181" w:lineRule="exact"/>
              <w:rPr>
                <w:sz w:val="20"/>
                <w:szCs w:val="20"/>
                <w:color w:val="auto"/>
              </w:rPr>
            </w:pPr>
            <w:r>
              <w:rPr>
                <w:rFonts w:ascii="Times New Roman" w:cs="Times New Roman" w:eastAsia="Times New Roman" w:hAnsi="Times New Roman"/>
                <w:sz w:val="17"/>
                <w:szCs w:val="17"/>
                <w:color w:val="0000FF"/>
              </w:rPr>
              <w:t>Condensed Consolidated Schedule of Investments as of December 31, 2021</w:t>
            </w:r>
          </w:p>
        </w:tc>
        <w:tc>
          <w:tcPr>
            <w:tcW w:w="3660" w:type="dxa"/>
            <w:vAlign w:val="bottom"/>
            <w:gridSpan w:val="6"/>
          </w:tcPr>
          <w:p>
            <w:pPr>
              <w:spacing w:after="0"/>
              <w:rPr>
                <w:sz w:val="15"/>
                <w:szCs w:val="15"/>
                <w:color w:val="auto"/>
              </w:rPr>
            </w:pPr>
          </w:p>
        </w:tc>
        <w:tc>
          <w:tcPr>
            <w:tcW w:w="660" w:type="dxa"/>
            <w:vAlign w:val="bottom"/>
            <w:gridSpan w:val="4"/>
          </w:tcPr>
          <w:p>
            <w:pPr>
              <w:jc w:val="right"/>
              <w:ind w:right="20"/>
              <w:spacing w:after="0" w:line="181" w:lineRule="exact"/>
              <w:rPr>
                <w:sz w:val="20"/>
                <w:szCs w:val="20"/>
                <w:color w:val="auto"/>
              </w:rPr>
            </w:pPr>
            <w:r>
              <w:rPr>
                <w:rFonts w:ascii="Times New Roman" w:cs="Times New Roman" w:eastAsia="Times New Roman" w:hAnsi="Times New Roman"/>
                <w:sz w:val="17"/>
                <w:szCs w:val="17"/>
                <w:color w:val="0000FF"/>
              </w:rPr>
              <w:t>10</w:t>
            </w:r>
          </w:p>
        </w:tc>
      </w:tr>
      <w:tr>
        <w:trPr>
          <w:trHeight w:val="29"/>
        </w:trPr>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420" w:type="dxa"/>
            <w:vAlign w:val="bottom"/>
            <w:tcBorders>
              <w:right w:val="single" w:sz="8" w:color="0000FF"/>
            </w:tcBorders>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980" w:type="dxa"/>
            <w:vAlign w:val="bottom"/>
            <w:shd w:val="clear" w:color="auto" w:fill="0000FF"/>
          </w:tcPr>
          <w:p>
            <w:pPr>
              <w:spacing w:after="0"/>
              <w:rPr>
                <w:sz w:val="2"/>
                <w:szCs w:val="2"/>
                <w:color w:val="auto"/>
              </w:rPr>
            </w:pPr>
          </w:p>
        </w:tc>
        <w:tc>
          <w:tcPr>
            <w:tcW w:w="960" w:type="dxa"/>
            <w:vAlign w:val="bottom"/>
            <w:shd w:val="clear" w:color="auto" w:fill="0000FF"/>
          </w:tcPr>
          <w:p>
            <w:pPr>
              <w:spacing w:after="0"/>
              <w:rPr>
                <w:sz w:val="2"/>
                <w:szCs w:val="2"/>
                <w:color w:val="auto"/>
              </w:rPr>
            </w:pPr>
          </w:p>
        </w:tc>
        <w:tc>
          <w:tcPr>
            <w:tcW w:w="1060" w:type="dxa"/>
            <w:vAlign w:val="bottom"/>
            <w:shd w:val="clear" w:color="auto" w:fill="0000FF"/>
          </w:tcPr>
          <w:p>
            <w:pPr>
              <w:spacing w:after="0"/>
              <w:rPr>
                <w:sz w:val="2"/>
                <w:szCs w:val="2"/>
                <w:color w:val="auto"/>
              </w:rPr>
            </w:pPr>
          </w:p>
        </w:tc>
        <w:tc>
          <w:tcPr>
            <w:tcW w:w="4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7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1"/>
        </w:trPr>
        <w:tc>
          <w:tcPr>
            <w:tcW w:w="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080" w:type="dxa"/>
            <w:vAlign w:val="bottom"/>
            <w:gridSpan w:val="10"/>
            <w:shd w:val="clear" w:color="auto" w:fill="CCEEFF"/>
          </w:tcPr>
          <w:p>
            <w:pPr>
              <w:spacing w:after="0" w:line="190" w:lineRule="exact"/>
              <w:rPr>
                <w:sz w:val="20"/>
                <w:szCs w:val="20"/>
                <w:color w:val="auto"/>
              </w:rPr>
            </w:pPr>
            <w:r>
              <w:rPr>
                <w:rFonts w:ascii="Times New Roman" w:cs="Times New Roman" w:eastAsia="Times New Roman" w:hAnsi="Times New Roman"/>
                <w:sz w:val="17"/>
                <w:szCs w:val="17"/>
                <w:color w:val="0000FF"/>
              </w:rPr>
              <w:t>Notes to Condensed Consolidated Financial Statements as of June 30, 2022 (Unaudited)</w:t>
            </w:r>
          </w:p>
        </w:tc>
        <w:tc>
          <w:tcPr>
            <w:tcW w:w="3280" w:type="dxa"/>
            <w:vAlign w:val="bottom"/>
            <w:gridSpan w:val="5"/>
            <w:shd w:val="clear" w:color="auto" w:fill="CCEEFF"/>
          </w:tcPr>
          <w:p>
            <w:pPr>
              <w:spacing w:after="0"/>
              <w:rPr>
                <w:sz w:val="16"/>
                <w:szCs w:val="16"/>
                <w:color w:val="auto"/>
              </w:rPr>
            </w:pPr>
          </w:p>
        </w:tc>
        <w:tc>
          <w:tcPr>
            <w:tcW w:w="660" w:type="dxa"/>
            <w:vAlign w:val="bottom"/>
            <w:gridSpan w:val="4"/>
            <w:shd w:val="clear" w:color="auto" w:fill="CCEEFF"/>
          </w:tcPr>
          <w:p>
            <w:pPr>
              <w:jc w:val="right"/>
              <w:ind w:right="20"/>
              <w:spacing w:after="0" w:line="190" w:lineRule="exact"/>
              <w:rPr>
                <w:sz w:val="20"/>
                <w:szCs w:val="20"/>
                <w:color w:val="auto"/>
              </w:rPr>
            </w:pPr>
            <w:r>
              <w:rPr>
                <w:rFonts w:ascii="Times New Roman" w:cs="Times New Roman" w:eastAsia="Times New Roman" w:hAnsi="Times New Roman"/>
                <w:sz w:val="17"/>
                <w:szCs w:val="17"/>
                <w:color w:val="0000FF"/>
              </w:rPr>
              <w:t>15</w:t>
            </w:r>
          </w:p>
        </w:tc>
      </w:tr>
      <w:tr>
        <w:trPr>
          <w:trHeight w:val="39"/>
        </w:trPr>
        <w:tc>
          <w:tcPr>
            <w:tcW w:w="2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56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420" w:type="dxa"/>
            <w:vAlign w:val="bottom"/>
            <w:tcBorders>
              <w:right w:val="single" w:sz="8" w:color="0000FF"/>
            </w:tcBorders>
            <w:shd w:val="clear" w:color="auto" w:fill="0000FF"/>
          </w:tcPr>
          <w:p>
            <w:pPr>
              <w:spacing w:after="0"/>
              <w:rPr>
                <w:sz w:val="3"/>
                <w:szCs w:val="3"/>
                <w:color w:val="auto"/>
              </w:rPr>
            </w:pPr>
          </w:p>
        </w:tc>
        <w:tc>
          <w:tcPr>
            <w:tcW w:w="400" w:type="dxa"/>
            <w:vAlign w:val="bottom"/>
            <w:shd w:val="clear" w:color="auto" w:fill="0000FF"/>
          </w:tcPr>
          <w:p>
            <w:pPr>
              <w:spacing w:after="0"/>
              <w:rPr>
                <w:sz w:val="3"/>
                <w:szCs w:val="3"/>
                <w:color w:val="auto"/>
              </w:rPr>
            </w:pPr>
          </w:p>
        </w:tc>
        <w:tc>
          <w:tcPr>
            <w:tcW w:w="540" w:type="dxa"/>
            <w:vAlign w:val="bottom"/>
            <w:shd w:val="clear" w:color="auto" w:fill="0000FF"/>
          </w:tcPr>
          <w:p>
            <w:pPr>
              <w:spacing w:after="0"/>
              <w:rPr>
                <w:sz w:val="3"/>
                <w:szCs w:val="3"/>
                <w:color w:val="auto"/>
              </w:rPr>
            </w:pPr>
          </w:p>
        </w:tc>
        <w:tc>
          <w:tcPr>
            <w:tcW w:w="980" w:type="dxa"/>
            <w:vAlign w:val="bottom"/>
            <w:shd w:val="clear" w:color="auto" w:fill="0000FF"/>
          </w:tcPr>
          <w:p>
            <w:pPr>
              <w:spacing w:after="0"/>
              <w:rPr>
                <w:sz w:val="3"/>
                <w:szCs w:val="3"/>
                <w:color w:val="auto"/>
              </w:rPr>
            </w:pPr>
          </w:p>
        </w:tc>
        <w:tc>
          <w:tcPr>
            <w:tcW w:w="960" w:type="dxa"/>
            <w:vAlign w:val="bottom"/>
            <w:shd w:val="clear" w:color="auto" w:fill="0000FF"/>
          </w:tcPr>
          <w:p>
            <w:pPr>
              <w:spacing w:after="0"/>
              <w:rPr>
                <w:sz w:val="3"/>
                <w:szCs w:val="3"/>
                <w:color w:val="auto"/>
              </w:rPr>
            </w:pPr>
          </w:p>
        </w:tc>
        <w:tc>
          <w:tcPr>
            <w:tcW w:w="1060" w:type="dxa"/>
            <w:vAlign w:val="bottom"/>
            <w:shd w:val="clear" w:color="auto" w:fill="0000FF"/>
          </w:tcPr>
          <w:p>
            <w:pPr>
              <w:spacing w:after="0"/>
              <w:rPr>
                <w:sz w:val="3"/>
                <w:szCs w:val="3"/>
                <w:color w:val="auto"/>
              </w:rPr>
            </w:pPr>
          </w:p>
        </w:tc>
        <w:tc>
          <w:tcPr>
            <w:tcW w:w="480" w:type="dxa"/>
            <w:vAlign w:val="bottom"/>
            <w:shd w:val="clear" w:color="auto" w:fill="0000FF"/>
          </w:tcPr>
          <w:p>
            <w:pPr>
              <w:spacing w:after="0"/>
              <w:rPr>
                <w:sz w:val="3"/>
                <w:szCs w:val="3"/>
                <w:color w:val="auto"/>
              </w:rPr>
            </w:pPr>
          </w:p>
        </w:tc>
        <w:tc>
          <w:tcPr>
            <w:tcW w:w="380" w:type="dxa"/>
            <w:vAlign w:val="bottom"/>
            <w:shd w:val="clear" w:color="auto" w:fill="0000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76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740" w:type="dxa"/>
            <w:vAlign w:val="bottom"/>
            <w:tcBorders>
              <w:left w:val="single" w:sz="8" w:color="CCEEFF"/>
            </w:tcBorders>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1"/>
        </w:trPr>
        <w:tc>
          <w:tcPr>
            <w:tcW w:w="1140" w:type="dxa"/>
            <w:vAlign w:val="bottom"/>
            <w:gridSpan w:val="5"/>
          </w:tcPr>
          <w:p>
            <w:pPr>
              <w:ind w:left="20"/>
              <w:spacing w:after="0" w:line="181" w:lineRule="exact"/>
              <w:rPr>
                <w:sz w:val="20"/>
                <w:szCs w:val="20"/>
                <w:color w:val="auto"/>
              </w:rPr>
            </w:pPr>
            <w:r>
              <w:rPr>
                <w:rFonts w:ascii="Times New Roman" w:cs="Times New Roman" w:eastAsia="Times New Roman" w:hAnsi="Times New Roman"/>
                <w:sz w:val="17"/>
                <w:szCs w:val="17"/>
                <w:color w:val="0000FF"/>
              </w:rPr>
              <w:t>Item 2.</w:t>
            </w:r>
          </w:p>
        </w:tc>
        <w:tc>
          <w:tcPr>
            <w:tcW w:w="9360" w:type="dxa"/>
            <w:vAlign w:val="bottom"/>
            <w:gridSpan w:val="15"/>
          </w:tcPr>
          <w:p>
            <w:pPr>
              <w:spacing w:after="0" w:line="181" w:lineRule="exact"/>
              <w:rPr>
                <w:sz w:val="20"/>
                <w:szCs w:val="20"/>
                <w:color w:val="auto"/>
              </w:rPr>
            </w:pPr>
            <w:r>
              <w:rPr>
                <w:rFonts w:ascii="Times New Roman" w:cs="Times New Roman" w:eastAsia="Times New Roman" w:hAnsi="Times New Roman"/>
                <w:sz w:val="17"/>
                <w:szCs w:val="17"/>
                <w:color w:val="0000FF"/>
              </w:rPr>
              <w:t>Management’s Discussion and Analysis of Financial Condition and Results of Operations</w:t>
            </w:r>
          </w:p>
        </w:tc>
        <w:tc>
          <w:tcPr>
            <w:tcW w:w="660" w:type="dxa"/>
            <w:vAlign w:val="bottom"/>
            <w:gridSpan w:val="4"/>
          </w:tcPr>
          <w:p>
            <w:pPr>
              <w:jc w:val="right"/>
              <w:ind w:right="20"/>
              <w:spacing w:after="0" w:line="181" w:lineRule="exact"/>
              <w:rPr>
                <w:sz w:val="20"/>
                <w:szCs w:val="20"/>
                <w:color w:val="auto"/>
              </w:rPr>
            </w:pPr>
            <w:r>
              <w:rPr>
                <w:rFonts w:ascii="Times New Roman" w:cs="Times New Roman" w:eastAsia="Times New Roman" w:hAnsi="Times New Roman"/>
                <w:sz w:val="17"/>
                <w:szCs w:val="17"/>
                <w:color w:val="0000FF"/>
              </w:rPr>
              <w:t>55</w:t>
            </w:r>
          </w:p>
        </w:tc>
      </w:tr>
      <w:tr>
        <w:trPr>
          <w:trHeight w:val="29"/>
        </w:trPr>
        <w:tc>
          <w:tcPr>
            <w:tcW w:w="20" w:type="dxa"/>
            <w:vAlign w:val="bottom"/>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420" w:type="dxa"/>
            <w:vAlign w:val="bottom"/>
            <w:tcBorders>
              <w:right w:val="single" w:sz="8" w:color="0000FF"/>
            </w:tcBorders>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980" w:type="dxa"/>
            <w:vAlign w:val="bottom"/>
            <w:shd w:val="clear" w:color="auto" w:fill="0000FF"/>
          </w:tcPr>
          <w:p>
            <w:pPr>
              <w:spacing w:after="0"/>
              <w:rPr>
                <w:sz w:val="2"/>
                <w:szCs w:val="2"/>
                <w:color w:val="auto"/>
              </w:rPr>
            </w:pPr>
          </w:p>
        </w:tc>
        <w:tc>
          <w:tcPr>
            <w:tcW w:w="960" w:type="dxa"/>
            <w:vAlign w:val="bottom"/>
            <w:shd w:val="clear" w:color="auto" w:fill="0000FF"/>
          </w:tcPr>
          <w:p>
            <w:pPr>
              <w:spacing w:after="0"/>
              <w:rPr>
                <w:sz w:val="2"/>
                <w:szCs w:val="2"/>
                <w:color w:val="auto"/>
              </w:rPr>
            </w:pPr>
          </w:p>
        </w:tc>
        <w:tc>
          <w:tcPr>
            <w:tcW w:w="1060" w:type="dxa"/>
            <w:vAlign w:val="bottom"/>
            <w:shd w:val="clear" w:color="auto" w:fill="0000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7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1"/>
        </w:trPr>
        <w:tc>
          <w:tcPr>
            <w:tcW w:w="1140" w:type="dxa"/>
            <w:vAlign w:val="bottom"/>
            <w:gridSpan w:val="5"/>
            <w:shd w:val="clear" w:color="auto" w:fill="CCEEFF"/>
          </w:tcPr>
          <w:p>
            <w:pPr>
              <w:ind w:left="20"/>
              <w:spacing w:after="0" w:line="190" w:lineRule="exact"/>
              <w:rPr>
                <w:sz w:val="20"/>
                <w:szCs w:val="20"/>
                <w:color w:val="auto"/>
              </w:rPr>
            </w:pPr>
            <w:r>
              <w:rPr>
                <w:rFonts w:ascii="Times New Roman" w:cs="Times New Roman" w:eastAsia="Times New Roman" w:hAnsi="Times New Roman"/>
                <w:sz w:val="17"/>
                <w:szCs w:val="17"/>
                <w:color w:val="0000FF"/>
              </w:rPr>
              <w:t>Item 3.</w:t>
            </w:r>
          </w:p>
        </w:tc>
        <w:tc>
          <w:tcPr>
            <w:tcW w:w="9360" w:type="dxa"/>
            <w:vAlign w:val="bottom"/>
            <w:gridSpan w:val="15"/>
            <w:shd w:val="clear" w:color="auto" w:fill="CCEEFF"/>
          </w:tcPr>
          <w:p>
            <w:pPr>
              <w:spacing w:after="0" w:line="190" w:lineRule="exact"/>
              <w:rPr>
                <w:sz w:val="20"/>
                <w:szCs w:val="20"/>
                <w:color w:val="auto"/>
              </w:rPr>
            </w:pPr>
            <w:r>
              <w:rPr>
                <w:rFonts w:ascii="Times New Roman" w:cs="Times New Roman" w:eastAsia="Times New Roman" w:hAnsi="Times New Roman"/>
                <w:sz w:val="17"/>
                <w:szCs w:val="17"/>
                <w:color w:val="0000FF"/>
              </w:rPr>
              <w:t>Quantitative and Qualitative Disclosures About Market Risk</w:t>
            </w:r>
          </w:p>
        </w:tc>
        <w:tc>
          <w:tcPr>
            <w:tcW w:w="660" w:type="dxa"/>
            <w:vAlign w:val="bottom"/>
            <w:gridSpan w:val="4"/>
            <w:shd w:val="clear" w:color="auto" w:fill="CCEEFF"/>
          </w:tcPr>
          <w:p>
            <w:pPr>
              <w:jc w:val="right"/>
              <w:ind w:right="20"/>
              <w:spacing w:after="0" w:line="190" w:lineRule="exact"/>
              <w:rPr>
                <w:sz w:val="20"/>
                <w:szCs w:val="20"/>
                <w:color w:val="auto"/>
              </w:rPr>
            </w:pPr>
            <w:r>
              <w:rPr>
                <w:rFonts w:ascii="Times New Roman" w:cs="Times New Roman" w:eastAsia="Times New Roman" w:hAnsi="Times New Roman"/>
                <w:sz w:val="17"/>
                <w:szCs w:val="17"/>
                <w:color w:val="0000FF"/>
              </w:rPr>
              <w:t>68</w:t>
            </w:r>
          </w:p>
        </w:tc>
      </w:tr>
      <w:tr>
        <w:trPr>
          <w:trHeight w:val="39"/>
        </w:trPr>
        <w:tc>
          <w:tcPr>
            <w:tcW w:w="20" w:type="dxa"/>
            <w:vAlign w:val="bottom"/>
            <w:shd w:val="clear" w:color="auto" w:fill="CCEEFF"/>
          </w:tcPr>
          <w:p>
            <w:pPr>
              <w:spacing w:after="0"/>
              <w:rPr>
                <w:sz w:val="3"/>
                <w:szCs w:val="3"/>
                <w:color w:val="auto"/>
              </w:rPr>
            </w:pPr>
          </w:p>
        </w:tc>
        <w:tc>
          <w:tcPr>
            <w:tcW w:w="480" w:type="dxa"/>
            <w:vAlign w:val="bottom"/>
            <w:shd w:val="clear" w:color="auto" w:fill="0000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56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420" w:type="dxa"/>
            <w:vAlign w:val="bottom"/>
            <w:tcBorders>
              <w:right w:val="single" w:sz="8" w:color="0000FF"/>
            </w:tcBorders>
            <w:shd w:val="clear" w:color="auto" w:fill="0000FF"/>
          </w:tcPr>
          <w:p>
            <w:pPr>
              <w:spacing w:after="0"/>
              <w:rPr>
                <w:sz w:val="3"/>
                <w:szCs w:val="3"/>
                <w:color w:val="auto"/>
              </w:rPr>
            </w:pPr>
          </w:p>
        </w:tc>
        <w:tc>
          <w:tcPr>
            <w:tcW w:w="400" w:type="dxa"/>
            <w:vAlign w:val="bottom"/>
            <w:shd w:val="clear" w:color="auto" w:fill="0000FF"/>
          </w:tcPr>
          <w:p>
            <w:pPr>
              <w:spacing w:after="0"/>
              <w:rPr>
                <w:sz w:val="3"/>
                <w:szCs w:val="3"/>
                <w:color w:val="auto"/>
              </w:rPr>
            </w:pPr>
          </w:p>
        </w:tc>
        <w:tc>
          <w:tcPr>
            <w:tcW w:w="540" w:type="dxa"/>
            <w:vAlign w:val="bottom"/>
            <w:shd w:val="clear" w:color="auto" w:fill="0000FF"/>
          </w:tcPr>
          <w:p>
            <w:pPr>
              <w:spacing w:after="0"/>
              <w:rPr>
                <w:sz w:val="3"/>
                <w:szCs w:val="3"/>
                <w:color w:val="auto"/>
              </w:rPr>
            </w:pPr>
          </w:p>
        </w:tc>
        <w:tc>
          <w:tcPr>
            <w:tcW w:w="980" w:type="dxa"/>
            <w:vAlign w:val="bottom"/>
            <w:shd w:val="clear" w:color="auto" w:fill="0000FF"/>
          </w:tcPr>
          <w:p>
            <w:pPr>
              <w:spacing w:after="0"/>
              <w:rPr>
                <w:sz w:val="3"/>
                <w:szCs w:val="3"/>
                <w:color w:val="auto"/>
              </w:rPr>
            </w:pPr>
          </w:p>
        </w:tc>
        <w:tc>
          <w:tcPr>
            <w:tcW w:w="960" w:type="dxa"/>
            <w:vAlign w:val="bottom"/>
            <w:shd w:val="clear" w:color="auto" w:fill="0000FF"/>
          </w:tcPr>
          <w:p>
            <w:pPr>
              <w:spacing w:after="0"/>
              <w:rPr>
                <w:sz w:val="3"/>
                <w:szCs w:val="3"/>
                <w:color w:val="auto"/>
              </w:rPr>
            </w:pPr>
          </w:p>
        </w:tc>
        <w:tc>
          <w:tcPr>
            <w:tcW w:w="106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76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740" w:type="dxa"/>
            <w:vAlign w:val="bottom"/>
            <w:tcBorders>
              <w:left w:val="single" w:sz="8" w:color="CCEEFF"/>
            </w:tcBorders>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1"/>
        </w:trPr>
        <w:tc>
          <w:tcPr>
            <w:tcW w:w="1140" w:type="dxa"/>
            <w:vAlign w:val="bottom"/>
            <w:gridSpan w:val="5"/>
          </w:tcPr>
          <w:p>
            <w:pPr>
              <w:ind w:left="20"/>
              <w:spacing w:after="0" w:line="181" w:lineRule="exact"/>
              <w:rPr>
                <w:sz w:val="20"/>
                <w:szCs w:val="20"/>
                <w:color w:val="auto"/>
              </w:rPr>
            </w:pPr>
            <w:r>
              <w:rPr>
                <w:rFonts w:ascii="Times New Roman" w:cs="Times New Roman" w:eastAsia="Times New Roman" w:hAnsi="Times New Roman"/>
                <w:sz w:val="17"/>
                <w:szCs w:val="17"/>
                <w:color w:val="0000FF"/>
              </w:rPr>
              <w:t>Item 4.</w:t>
            </w:r>
          </w:p>
        </w:tc>
        <w:tc>
          <w:tcPr>
            <w:tcW w:w="9360" w:type="dxa"/>
            <w:vAlign w:val="bottom"/>
            <w:gridSpan w:val="15"/>
          </w:tcPr>
          <w:p>
            <w:pPr>
              <w:spacing w:after="0" w:line="181" w:lineRule="exact"/>
              <w:rPr>
                <w:sz w:val="20"/>
                <w:szCs w:val="20"/>
                <w:color w:val="auto"/>
              </w:rPr>
            </w:pPr>
            <w:r>
              <w:rPr>
                <w:rFonts w:ascii="Times New Roman" w:cs="Times New Roman" w:eastAsia="Times New Roman" w:hAnsi="Times New Roman"/>
                <w:sz w:val="17"/>
                <w:szCs w:val="17"/>
                <w:color w:val="0000FF"/>
              </w:rPr>
              <w:t>Controls and Procedures</w:t>
            </w:r>
          </w:p>
        </w:tc>
        <w:tc>
          <w:tcPr>
            <w:tcW w:w="660" w:type="dxa"/>
            <w:vAlign w:val="bottom"/>
            <w:gridSpan w:val="4"/>
          </w:tcPr>
          <w:p>
            <w:pPr>
              <w:jc w:val="right"/>
              <w:ind w:right="20"/>
              <w:spacing w:after="0" w:line="181" w:lineRule="exact"/>
              <w:rPr>
                <w:sz w:val="20"/>
                <w:szCs w:val="20"/>
                <w:color w:val="auto"/>
              </w:rPr>
            </w:pPr>
            <w:r>
              <w:rPr>
                <w:rFonts w:ascii="Times New Roman" w:cs="Times New Roman" w:eastAsia="Times New Roman" w:hAnsi="Times New Roman"/>
                <w:sz w:val="17"/>
                <w:szCs w:val="17"/>
                <w:color w:val="0000FF"/>
              </w:rPr>
              <w:t>68</w:t>
            </w:r>
          </w:p>
        </w:tc>
      </w:tr>
      <w:tr>
        <w:trPr>
          <w:trHeight w:val="29"/>
        </w:trPr>
        <w:tc>
          <w:tcPr>
            <w:tcW w:w="20" w:type="dxa"/>
            <w:vAlign w:val="bottom"/>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420" w:type="dxa"/>
            <w:vAlign w:val="bottom"/>
            <w:tcBorders>
              <w:right w:val="single" w:sz="8" w:color="0000FF"/>
            </w:tcBorders>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540" w:type="dxa"/>
            <w:vAlign w:val="bottom"/>
          </w:tcPr>
          <w:p>
            <w:pPr>
              <w:spacing w:after="0"/>
              <w:rPr>
                <w:sz w:val="2"/>
                <w:szCs w:val="2"/>
                <w:color w:val="auto"/>
              </w:rPr>
            </w:pPr>
          </w:p>
        </w:tc>
        <w:tc>
          <w:tcPr>
            <w:tcW w:w="9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7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242"/>
        </w:trPr>
        <w:tc>
          <w:tcPr>
            <w:tcW w:w="10500" w:type="dxa"/>
            <w:vAlign w:val="bottom"/>
            <w:gridSpan w:val="20"/>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PART II. OTHER INFORMATION</w:t>
            </w:r>
          </w:p>
        </w:tc>
        <w:tc>
          <w:tcPr>
            <w:tcW w:w="4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r>
      <w:tr>
        <w:trPr>
          <w:trHeight w:val="181"/>
        </w:trPr>
        <w:tc>
          <w:tcPr>
            <w:tcW w:w="1140" w:type="dxa"/>
            <w:vAlign w:val="bottom"/>
            <w:gridSpan w:val="5"/>
          </w:tcPr>
          <w:p>
            <w:pPr>
              <w:ind w:left="20"/>
              <w:spacing w:after="0" w:line="181" w:lineRule="exact"/>
              <w:rPr>
                <w:sz w:val="20"/>
                <w:szCs w:val="20"/>
                <w:color w:val="auto"/>
              </w:rPr>
            </w:pPr>
            <w:r>
              <w:rPr>
                <w:rFonts w:ascii="Times New Roman" w:cs="Times New Roman" w:eastAsia="Times New Roman" w:hAnsi="Times New Roman"/>
                <w:sz w:val="17"/>
                <w:szCs w:val="17"/>
                <w:color w:val="0000FF"/>
              </w:rPr>
              <w:t>Item 1.</w:t>
            </w:r>
          </w:p>
        </w:tc>
        <w:tc>
          <w:tcPr>
            <w:tcW w:w="9360" w:type="dxa"/>
            <w:vAlign w:val="bottom"/>
            <w:gridSpan w:val="15"/>
          </w:tcPr>
          <w:p>
            <w:pPr>
              <w:spacing w:after="0" w:line="181" w:lineRule="exact"/>
              <w:rPr>
                <w:sz w:val="20"/>
                <w:szCs w:val="20"/>
                <w:color w:val="auto"/>
              </w:rPr>
            </w:pPr>
            <w:r>
              <w:rPr>
                <w:rFonts w:ascii="Times New Roman" w:cs="Times New Roman" w:eastAsia="Times New Roman" w:hAnsi="Times New Roman"/>
                <w:sz w:val="17"/>
                <w:szCs w:val="17"/>
                <w:color w:val="0000FF"/>
              </w:rPr>
              <w:t>Legal Proceedings</w:t>
            </w:r>
          </w:p>
        </w:tc>
        <w:tc>
          <w:tcPr>
            <w:tcW w:w="660" w:type="dxa"/>
            <w:vAlign w:val="bottom"/>
            <w:gridSpan w:val="4"/>
          </w:tcPr>
          <w:p>
            <w:pPr>
              <w:jc w:val="right"/>
              <w:ind w:right="20"/>
              <w:spacing w:after="0" w:line="181" w:lineRule="exact"/>
              <w:rPr>
                <w:sz w:val="20"/>
                <w:szCs w:val="20"/>
                <w:color w:val="auto"/>
              </w:rPr>
            </w:pPr>
            <w:r>
              <w:rPr>
                <w:rFonts w:ascii="Times New Roman" w:cs="Times New Roman" w:eastAsia="Times New Roman" w:hAnsi="Times New Roman"/>
                <w:sz w:val="17"/>
                <w:szCs w:val="17"/>
                <w:color w:val="0000FF"/>
              </w:rPr>
              <w:t>70</w:t>
            </w:r>
          </w:p>
        </w:tc>
      </w:tr>
      <w:tr>
        <w:trPr>
          <w:trHeight w:val="29"/>
        </w:trPr>
        <w:tc>
          <w:tcPr>
            <w:tcW w:w="20" w:type="dxa"/>
            <w:vAlign w:val="bottom"/>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420" w:type="dxa"/>
            <w:vAlign w:val="bottom"/>
            <w:tcBorders>
              <w:right w:val="single" w:sz="8" w:color="0000FF"/>
            </w:tcBorders>
            <w:shd w:val="clear" w:color="auto" w:fill="0000FF"/>
          </w:tcPr>
          <w:p>
            <w:pPr>
              <w:spacing w:after="0"/>
              <w:rPr>
                <w:sz w:val="2"/>
                <w:szCs w:val="2"/>
                <w:color w:val="auto"/>
              </w:rPr>
            </w:pPr>
          </w:p>
        </w:tc>
        <w:tc>
          <w:tcPr>
            <w:tcW w:w="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7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1"/>
        </w:trPr>
        <w:tc>
          <w:tcPr>
            <w:tcW w:w="1140" w:type="dxa"/>
            <w:vAlign w:val="bottom"/>
            <w:gridSpan w:val="5"/>
            <w:shd w:val="clear" w:color="auto" w:fill="CCEEFF"/>
          </w:tcPr>
          <w:p>
            <w:pPr>
              <w:ind w:left="20"/>
              <w:spacing w:after="0" w:line="190" w:lineRule="exact"/>
              <w:rPr>
                <w:sz w:val="20"/>
                <w:szCs w:val="20"/>
                <w:color w:val="auto"/>
              </w:rPr>
            </w:pPr>
            <w:r>
              <w:rPr>
                <w:rFonts w:ascii="Times New Roman" w:cs="Times New Roman" w:eastAsia="Times New Roman" w:hAnsi="Times New Roman"/>
                <w:sz w:val="17"/>
                <w:szCs w:val="17"/>
                <w:color w:val="0000FF"/>
              </w:rPr>
              <w:t>Item 1A.</w:t>
            </w:r>
          </w:p>
        </w:tc>
        <w:tc>
          <w:tcPr>
            <w:tcW w:w="9360" w:type="dxa"/>
            <w:vAlign w:val="bottom"/>
            <w:gridSpan w:val="15"/>
            <w:shd w:val="clear" w:color="auto" w:fill="CCEEFF"/>
          </w:tcPr>
          <w:p>
            <w:pPr>
              <w:spacing w:after="0" w:line="190" w:lineRule="exact"/>
              <w:rPr>
                <w:sz w:val="20"/>
                <w:szCs w:val="20"/>
                <w:color w:val="auto"/>
              </w:rPr>
            </w:pPr>
            <w:r>
              <w:rPr>
                <w:rFonts w:ascii="Times New Roman" w:cs="Times New Roman" w:eastAsia="Times New Roman" w:hAnsi="Times New Roman"/>
                <w:sz w:val="17"/>
                <w:szCs w:val="17"/>
                <w:color w:val="0000FF"/>
              </w:rPr>
              <w:t>Risk Factors</w:t>
            </w:r>
          </w:p>
        </w:tc>
        <w:tc>
          <w:tcPr>
            <w:tcW w:w="660" w:type="dxa"/>
            <w:vAlign w:val="bottom"/>
            <w:gridSpan w:val="4"/>
            <w:shd w:val="clear" w:color="auto" w:fill="CCEEFF"/>
          </w:tcPr>
          <w:p>
            <w:pPr>
              <w:jc w:val="right"/>
              <w:ind w:right="20"/>
              <w:spacing w:after="0" w:line="190" w:lineRule="exact"/>
              <w:rPr>
                <w:sz w:val="20"/>
                <w:szCs w:val="20"/>
                <w:color w:val="auto"/>
              </w:rPr>
            </w:pPr>
            <w:r>
              <w:rPr>
                <w:rFonts w:ascii="Times New Roman" w:cs="Times New Roman" w:eastAsia="Times New Roman" w:hAnsi="Times New Roman"/>
                <w:sz w:val="17"/>
                <w:szCs w:val="17"/>
                <w:color w:val="0000FF"/>
              </w:rPr>
              <w:t>70</w:t>
            </w:r>
          </w:p>
        </w:tc>
      </w:tr>
      <w:tr>
        <w:trPr>
          <w:trHeight w:val="39"/>
        </w:trPr>
        <w:tc>
          <w:tcPr>
            <w:tcW w:w="20" w:type="dxa"/>
            <w:vAlign w:val="bottom"/>
            <w:shd w:val="clear" w:color="auto" w:fill="CCEEFF"/>
          </w:tcPr>
          <w:p>
            <w:pPr>
              <w:spacing w:after="0"/>
              <w:rPr>
                <w:sz w:val="3"/>
                <w:szCs w:val="3"/>
                <w:color w:val="auto"/>
              </w:rPr>
            </w:pPr>
          </w:p>
        </w:tc>
        <w:tc>
          <w:tcPr>
            <w:tcW w:w="48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56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420" w:type="dxa"/>
            <w:vAlign w:val="bottom"/>
            <w:tcBorders>
              <w:right w:val="single" w:sz="8" w:color="CCEEFF"/>
            </w:tcBorders>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98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106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76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740" w:type="dxa"/>
            <w:vAlign w:val="bottom"/>
            <w:tcBorders>
              <w:left w:val="single" w:sz="8" w:color="CCEEFF"/>
            </w:tcBorders>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1"/>
        </w:trPr>
        <w:tc>
          <w:tcPr>
            <w:tcW w:w="1140" w:type="dxa"/>
            <w:vAlign w:val="bottom"/>
            <w:gridSpan w:val="5"/>
          </w:tcPr>
          <w:p>
            <w:pPr>
              <w:ind w:left="20"/>
              <w:spacing w:after="0" w:line="181" w:lineRule="exact"/>
              <w:rPr>
                <w:sz w:val="20"/>
                <w:szCs w:val="20"/>
                <w:color w:val="auto"/>
              </w:rPr>
            </w:pPr>
            <w:r>
              <w:rPr>
                <w:rFonts w:ascii="Times New Roman" w:cs="Times New Roman" w:eastAsia="Times New Roman" w:hAnsi="Times New Roman"/>
                <w:sz w:val="17"/>
                <w:szCs w:val="17"/>
                <w:color w:val="0000FF"/>
              </w:rPr>
              <w:t>Item 2.</w:t>
            </w:r>
          </w:p>
        </w:tc>
        <w:tc>
          <w:tcPr>
            <w:tcW w:w="9360" w:type="dxa"/>
            <w:vAlign w:val="bottom"/>
            <w:gridSpan w:val="15"/>
          </w:tcPr>
          <w:p>
            <w:pPr>
              <w:spacing w:after="0" w:line="181" w:lineRule="exact"/>
              <w:rPr>
                <w:sz w:val="20"/>
                <w:szCs w:val="20"/>
                <w:color w:val="auto"/>
              </w:rPr>
            </w:pPr>
            <w:r>
              <w:rPr>
                <w:rFonts w:ascii="Times New Roman" w:cs="Times New Roman" w:eastAsia="Times New Roman" w:hAnsi="Times New Roman"/>
                <w:sz w:val="17"/>
                <w:szCs w:val="17"/>
                <w:color w:val="0000FF"/>
              </w:rPr>
              <w:t>Unregistered Sales of Equity Securities and Use of Proceeds</w:t>
            </w:r>
          </w:p>
        </w:tc>
        <w:tc>
          <w:tcPr>
            <w:tcW w:w="660" w:type="dxa"/>
            <w:vAlign w:val="bottom"/>
            <w:gridSpan w:val="4"/>
          </w:tcPr>
          <w:p>
            <w:pPr>
              <w:jc w:val="right"/>
              <w:ind w:right="20"/>
              <w:spacing w:after="0" w:line="181" w:lineRule="exact"/>
              <w:rPr>
                <w:sz w:val="20"/>
                <w:szCs w:val="20"/>
                <w:color w:val="auto"/>
              </w:rPr>
            </w:pPr>
            <w:r>
              <w:rPr>
                <w:rFonts w:ascii="Times New Roman" w:cs="Times New Roman" w:eastAsia="Times New Roman" w:hAnsi="Times New Roman"/>
                <w:sz w:val="17"/>
                <w:szCs w:val="17"/>
                <w:color w:val="0000FF"/>
              </w:rPr>
              <w:t>71</w:t>
            </w:r>
          </w:p>
        </w:tc>
      </w:tr>
      <w:tr>
        <w:trPr>
          <w:trHeight w:val="29"/>
        </w:trPr>
        <w:tc>
          <w:tcPr>
            <w:tcW w:w="20" w:type="dxa"/>
            <w:vAlign w:val="bottom"/>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420" w:type="dxa"/>
            <w:vAlign w:val="bottom"/>
            <w:tcBorders>
              <w:right w:val="single" w:sz="8" w:color="0000FF"/>
            </w:tcBorders>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980" w:type="dxa"/>
            <w:vAlign w:val="bottom"/>
            <w:shd w:val="clear" w:color="auto" w:fill="0000FF"/>
          </w:tcPr>
          <w:p>
            <w:pPr>
              <w:spacing w:after="0"/>
              <w:rPr>
                <w:sz w:val="2"/>
                <w:szCs w:val="2"/>
                <w:color w:val="auto"/>
              </w:rPr>
            </w:pPr>
          </w:p>
        </w:tc>
        <w:tc>
          <w:tcPr>
            <w:tcW w:w="960" w:type="dxa"/>
            <w:vAlign w:val="bottom"/>
            <w:shd w:val="clear" w:color="auto" w:fill="0000FF"/>
          </w:tcPr>
          <w:p>
            <w:pPr>
              <w:spacing w:after="0"/>
              <w:rPr>
                <w:sz w:val="2"/>
                <w:szCs w:val="2"/>
                <w:color w:val="auto"/>
              </w:rPr>
            </w:pPr>
          </w:p>
        </w:tc>
        <w:tc>
          <w:tcPr>
            <w:tcW w:w="1060" w:type="dxa"/>
            <w:vAlign w:val="bottom"/>
          </w:tcPr>
          <w:p>
            <w:pPr>
              <w:spacing w:after="0"/>
              <w:rPr>
                <w:sz w:val="2"/>
                <w:szCs w:val="2"/>
                <w:color w:val="auto"/>
              </w:rPr>
            </w:pPr>
          </w:p>
        </w:tc>
        <w:tc>
          <w:tcPr>
            <w:tcW w:w="4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7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1"/>
        </w:trPr>
        <w:tc>
          <w:tcPr>
            <w:tcW w:w="1140" w:type="dxa"/>
            <w:vAlign w:val="bottom"/>
            <w:gridSpan w:val="5"/>
            <w:shd w:val="clear" w:color="auto" w:fill="CCEEFF"/>
          </w:tcPr>
          <w:p>
            <w:pPr>
              <w:ind w:left="20"/>
              <w:spacing w:after="0" w:line="190" w:lineRule="exact"/>
              <w:rPr>
                <w:sz w:val="20"/>
                <w:szCs w:val="20"/>
                <w:color w:val="auto"/>
              </w:rPr>
            </w:pPr>
            <w:r>
              <w:rPr>
                <w:rFonts w:ascii="Times New Roman" w:cs="Times New Roman" w:eastAsia="Times New Roman" w:hAnsi="Times New Roman"/>
                <w:sz w:val="17"/>
                <w:szCs w:val="17"/>
                <w:color w:val="0000FF"/>
              </w:rPr>
              <w:t>Item 3.</w:t>
            </w:r>
          </w:p>
        </w:tc>
        <w:tc>
          <w:tcPr>
            <w:tcW w:w="9360" w:type="dxa"/>
            <w:vAlign w:val="bottom"/>
            <w:gridSpan w:val="15"/>
            <w:shd w:val="clear" w:color="auto" w:fill="CCEEFF"/>
          </w:tcPr>
          <w:p>
            <w:pPr>
              <w:spacing w:after="0" w:line="190" w:lineRule="exact"/>
              <w:rPr>
                <w:sz w:val="20"/>
                <w:szCs w:val="20"/>
                <w:color w:val="auto"/>
              </w:rPr>
            </w:pPr>
            <w:r>
              <w:rPr>
                <w:rFonts w:ascii="Times New Roman" w:cs="Times New Roman" w:eastAsia="Times New Roman" w:hAnsi="Times New Roman"/>
                <w:sz w:val="17"/>
                <w:szCs w:val="17"/>
                <w:color w:val="0000FF"/>
              </w:rPr>
              <w:t>Defaults Upon Senior Securities</w:t>
            </w:r>
          </w:p>
        </w:tc>
        <w:tc>
          <w:tcPr>
            <w:tcW w:w="660" w:type="dxa"/>
            <w:vAlign w:val="bottom"/>
            <w:gridSpan w:val="4"/>
            <w:shd w:val="clear" w:color="auto" w:fill="CCEEFF"/>
          </w:tcPr>
          <w:p>
            <w:pPr>
              <w:jc w:val="right"/>
              <w:ind w:right="20"/>
              <w:spacing w:after="0" w:line="190" w:lineRule="exact"/>
              <w:rPr>
                <w:sz w:val="20"/>
                <w:szCs w:val="20"/>
                <w:color w:val="auto"/>
              </w:rPr>
            </w:pPr>
            <w:r>
              <w:rPr>
                <w:rFonts w:ascii="Times New Roman" w:cs="Times New Roman" w:eastAsia="Times New Roman" w:hAnsi="Times New Roman"/>
                <w:sz w:val="17"/>
                <w:szCs w:val="17"/>
                <w:color w:val="0000FF"/>
              </w:rPr>
              <w:t>72</w:t>
            </w:r>
          </w:p>
        </w:tc>
      </w:tr>
      <w:tr>
        <w:trPr>
          <w:trHeight w:val="39"/>
        </w:trPr>
        <w:tc>
          <w:tcPr>
            <w:tcW w:w="20" w:type="dxa"/>
            <w:vAlign w:val="bottom"/>
            <w:shd w:val="clear" w:color="auto" w:fill="CCEEFF"/>
          </w:tcPr>
          <w:p>
            <w:pPr>
              <w:spacing w:after="0"/>
              <w:rPr>
                <w:sz w:val="3"/>
                <w:szCs w:val="3"/>
                <w:color w:val="auto"/>
              </w:rPr>
            </w:pPr>
          </w:p>
        </w:tc>
        <w:tc>
          <w:tcPr>
            <w:tcW w:w="480" w:type="dxa"/>
            <w:vAlign w:val="bottom"/>
            <w:shd w:val="clear" w:color="auto" w:fill="0000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56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420" w:type="dxa"/>
            <w:vAlign w:val="bottom"/>
            <w:tcBorders>
              <w:right w:val="single" w:sz="8" w:color="0000FF"/>
            </w:tcBorders>
            <w:shd w:val="clear" w:color="auto" w:fill="0000FF"/>
          </w:tcPr>
          <w:p>
            <w:pPr>
              <w:spacing w:after="0"/>
              <w:rPr>
                <w:sz w:val="3"/>
                <w:szCs w:val="3"/>
                <w:color w:val="auto"/>
              </w:rPr>
            </w:pPr>
          </w:p>
        </w:tc>
        <w:tc>
          <w:tcPr>
            <w:tcW w:w="400" w:type="dxa"/>
            <w:vAlign w:val="bottom"/>
            <w:shd w:val="clear" w:color="auto" w:fill="0000FF"/>
          </w:tcPr>
          <w:p>
            <w:pPr>
              <w:spacing w:after="0"/>
              <w:rPr>
                <w:sz w:val="3"/>
                <w:szCs w:val="3"/>
                <w:color w:val="auto"/>
              </w:rPr>
            </w:pPr>
          </w:p>
        </w:tc>
        <w:tc>
          <w:tcPr>
            <w:tcW w:w="540" w:type="dxa"/>
            <w:vAlign w:val="bottom"/>
            <w:shd w:val="clear" w:color="auto" w:fill="0000FF"/>
          </w:tcPr>
          <w:p>
            <w:pPr>
              <w:spacing w:after="0"/>
              <w:rPr>
                <w:sz w:val="3"/>
                <w:szCs w:val="3"/>
                <w:color w:val="auto"/>
              </w:rPr>
            </w:pPr>
          </w:p>
        </w:tc>
        <w:tc>
          <w:tcPr>
            <w:tcW w:w="98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106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76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740" w:type="dxa"/>
            <w:vAlign w:val="bottom"/>
            <w:tcBorders>
              <w:left w:val="single" w:sz="8" w:color="CCEEFF"/>
            </w:tcBorders>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1"/>
        </w:trPr>
        <w:tc>
          <w:tcPr>
            <w:tcW w:w="1140" w:type="dxa"/>
            <w:vAlign w:val="bottom"/>
            <w:gridSpan w:val="5"/>
          </w:tcPr>
          <w:p>
            <w:pPr>
              <w:ind w:left="20"/>
              <w:spacing w:after="0" w:line="181" w:lineRule="exact"/>
              <w:rPr>
                <w:sz w:val="20"/>
                <w:szCs w:val="20"/>
                <w:color w:val="auto"/>
              </w:rPr>
            </w:pPr>
            <w:r>
              <w:rPr>
                <w:rFonts w:ascii="Times New Roman" w:cs="Times New Roman" w:eastAsia="Times New Roman" w:hAnsi="Times New Roman"/>
                <w:sz w:val="17"/>
                <w:szCs w:val="17"/>
                <w:color w:val="0000FF"/>
              </w:rPr>
              <w:t>Item 4.</w:t>
            </w:r>
          </w:p>
        </w:tc>
        <w:tc>
          <w:tcPr>
            <w:tcW w:w="9360" w:type="dxa"/>
            <w:vAlign w:val="bottom"/>
            <w:gridSpan w:val="15"/>
          </w:tcPr>
          <w:p>
            <w:pPr>
              <w:spacing w:after="0" w:line="181" w:lineRule="exact"/>
              <w:rPr>
                <w:sz w:val="20"/>
                <w:szCs w:val="20"/>
                <w:color w:val="auto"/>
              </w:rPr>
            </w:pPr>
            <w:r>
              <w:rPr>
                <w:rFonts w:ascii="Times New Roman" w:cs="Times New Roman" w:eastAsia="Times New Roman" w:hAnsi="Times New Roman"/>
                <w:sz w:val="17"/>
                <w:szCs w:val="17"/>
                <w:color w:val="0000FF"/>
              </w:rPr>
              <w:t>Mine Safety Disclosures</w:t>
            </w:r>
          </w:p>
        </w:tc>
        <w:tc>
          <w:tcPr>
            <w:tcW w:w="660" w:type="dxa"/>
            <w:vAlign w:val="bottom"/>
            <w:gridSpan w:val="4"/>
          </w:tcPr>
          <w:p>
            <w:pPr>
              <w:jc w:val="right"/>
              <w:ind w:right="20"/>
              <w:spacing w:after="0" w:line="181" w:lineRule="exact"/>
              <w:rPr>
                <w:sz w:val="20"/>
                <w:szCs w:val="20"/>
                <w:color w:val="auto"/>
              </w:rPr>
            </w:pPr>
            <w:r>
              <w:rPr>
                <w:rFonts w:ascii="Times New Roman" w:cs="Times New Roman" w:eastAsia="Times New Roman" w:hAnsi="Times New Roman"/>
                <w:sz w:val="17"/>
                <w:szCs w:val="17"/>
                <w:color w:val="0000FF"/>
              </w:rPr>
              <w:t>72</w:t>
            </w:r>
          </w:p>
        </w:tc>
      </w:tr>
      <w:tr>
        <w:trPr>
          <w:trHeight w:val="29"/>
        </w:trPr>
        <w:tc>
          <w:tcPr>
            <w:tcW w:w="20" w:type="dxa"/>
            <w:vAlign w:val="bottom"/>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420" w:type="dxa"/>
            <w:vAlign w:val="bottom"/>
            <w:tcBorders>
              <w:right w:val="single" w:sz="8" w:color="0000FF"/>
            </w:tcBorders>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540" w:type="dxa"/>
            <w:vAlign w:val="bottom"/>
          </w:tcPr>
          <w:p>
            <w:pPr>
              <w:spacing w:after="0"/>
              <w:rPr>
                <w:sz w:val="2"/>
                <w:szCs w:val="2"/>
                <w:color w:val="auto"/>
              </w:rPr>
            </w:pPr>
          </w:p>
        </w:tc>
        <w:tc>
          <w:tcPr>
            <w:tcW w:w="9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7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1"/>
        </w:trPr>
        <w:tc>
          <w:tcPr>
            <w:tcW w:w="1140" w:type="dxa"/>
            <w:vAlign w:val="bottom"/>
            <w:gridSpan w:val="5"/>
            <w:shd w:val="clear" w:color="auto" w:fill="CCEEFF"/>
          </w:tcPr>
          <w:p>
            <w:pPr>
              <w:ind w:left="20"/>
              <w:spacing w:after="0" w:line="190" w:lineRule="exact"/>
              <w:rPr>
                <w:sz w:val="20"/>
                <w:szCs w:val="20"/>
                <w:color w:val="auto"/>
              </w:rPr>
            </w:pPr>
            <w:r>
              <w:rPr>
                <w:rFonts w:ascii="Times New Roman" w:cs="Times New Roman" w:eastAsia="Times New Roman" w:hAnsi="Times New Roman"/>
                <w:sz w:val="17"/>
                <w:szCs w:val="17"/>
                <w:color w:val="0000FF"/>
              </w:rPr>
              <w:t>Item 5.</w:t>
            </w:r>
          </w:p>
        </w:tc>
        <w:tc>
          <w:tcPr>
            <w:tcW w:w="9360" w:type="dxa"/>
            <w:vAlign w:val="bottom"/>
            <w:gridSpan w:val="15"/>
            <w:shd w:val="clear" w:color="auto" w:fill="CCEEFF"/>
          </w:tcPr>
          <w:p>
            <w:pPr>
              <w:spacing w:after="0" w:line="190" w:lineRule="exact"/>
              <w:rPr>
                <w:sz w:val="20"/>
                <w:szCs w:val="20"/>
                <w:color w:val="auto"/>
              </w:rPr>
            </w:pPr>
            <w:r>
              <w:rPr>
                <w:rFonts w:ascii="Times New Roman" w:cs="Times New Roman" w:eastAsia="Times New Roman" w:hAnsi="Times New Roman"/>
                <w:sz w:val="17"/>
                <w:szCs w:val="17"/>
                <w:color w:val="0000FF"/>
              </w:rPr>
              <w:t>Other Information</w:t>
            </w:r>
          </w:p>
        </w:tc>
        <w:tc>
          <w:tcPr>
            <w:tcW w:w="660" w:type="dxa"/>
            <w:vAlign w:val="bottom"/>
            <w:gridSpan w:val="4"/>
            <w:shd w:val="clear" w:color="auto" w:fill="CCEEFF"/>
          </w:tcPr>
          <w:p>
            <w:pPr>
              <w:jc w:val="right"/>
              <w:ind w:right="20"/>
              <w:spacing w:after="0" w:line="190" w:lineRule="exact"/>
              <w:rPr>
                <w:sz w:val="20"/>
                <w:szCs w:val="20"/>
                <w:color w:val="auto"/>
              </w:rPr>
            </w:pPr>
            <w:r>
              <w:rPr>
                <w:rFonts w:ascii="Times New Roman" w:cs="Times New Roman" w:eastAsia="Times New Roman" w:hAnsi="Times New Roman"/>
                <w:sz w:val="17"/>
                <w:szCs w:val="17"/>
                <w:color w:val="0000FF"/>
              </w:rPr>
              <w:t>72</w:t>
            </w:r>
          </w:p>
        </w:tc>
      </w:tr>
      <w:tr>
        <w:trPr>
          <w:trHeight w:val="39"/>
        </w:trPr>
        <w:tc>
          <w:tcPr>
            <w:tcW w:w="20" w:type="dxa"/>
            <w:vAlign w:val="bottom"/>
            <w:shd w:val="clear" w:color="auto" w:fill="CCEEFF"/>
          </w:tcPr>
          <w:p>
            <w:pPr>
              <w:spacing w:after="0"/>
              <w:rPr>
                <w:sz w:val="3"/>
                <w:szCs w:val="3"/>
                <w:color w:val="auto"/>
              </w:rPr>
            </w:pPr>
          </w:p>
        </w:tc>
        <w:tc>
          <w:tcPr>
            <w:tcW w:w="480" w:type="dxa"/>
            <w:vAlign w:val="bottom"/>
            <w:shd w:val="clear" w:color="auto" w:fill="0000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56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420" w:type="dxa"/>
            <w:vAlign w:val="bottom"/>
            <w:tcBorders>
              <w:right w:val="single" w:sz="8" w:color="CCEEFF"/>
            </w:tcBorders>
            <w:shd w:val="clear" w:color="auto" w:fill="0000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98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106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76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740" w:type="dxa"/>
            <w:vAlign w:val="bottom"/>
            <w:tcBorders>
              <w:left w:val="single" w:sz="8" w:color="CCEEFF"/>
            </w:tcBorders>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1"/>
        </w:trPr>
        <w:tc>
          <w:tcPr>
            <w:tcW w:w="1140" w:type="dxa"/>
            <w:vAlign w:val="bottom"/>
            <w:gridSpan w:val="5"/>
          </w:tcPr>
          <w:p>
            <w:pPr>
              <w:ind w:left="20"/>
              <w:spacing w:after="0" w:line="181" w:lineRule="exact"/>
              <w:rPr>
                <w:sz w:val="20"/>
                <w:szCs w:val="20"/>
                <w:color w:val="auto"/>
              </w:rPr>
            </w:pPr>
            <w:r>
              <w:rPr>
                <w:rFonts w:ascii="Times New Roman" w:cs="Times New Roman" w:eastAsia="Times New Roman" w:hAnsi="Times New Roman"/>
                <w:sz w:val="17"/>
                <w:szCs w:val="17"/>
                <w:color w:val="0000FF"/>
              </w:rPr>
              <w:t>Item 6.</w:t>
            </w:r>
          </w:p>
        </w:tc>
        <w:tc>
          <w:tcPr>
            <w:tcW w:w="9360" w:type="dxa"/>
            <w:vAlign w:val="bottom"/>
            <w:gridSpan w:val="15"/>
          </w:tcPr>
          <w:p>
            <w:pPr>
              <w:spacing w:after="0" w:line="181" w:lineRule="exact"/>
              <w:rPr>
                <w:sz w:val="20"/>
                <w:szCs w:val="20"/>
                <w:color w:val="auto"/>
              </w:rPr>
            </w:pPr>
            <w:r>
              <w:rPr>
                <w:rFonts w:ascii="Times New Roman" w:cs="Times New Roman" w:eastAsia="Times New Roman" w:hAnsi="Times New Roman"/>
                <w:sz w:val="17"/>
                <w:szCs w:val="17"/>
                <w:color w:val="0000FF"/>
              </w:rPr>
              <w:t>Exhibits</w:t>
            </w:r>
          </w:p>
        </w:tc>
        <w:tc>
          <w:tcPr>
            <w:tcW w:w="660" w:type="dxa"/>
            <w:vAlign w:val="bottom"/>
            <w:gridSpan w:val="4"/>
          </w:tcPr>
          <w:p>
            <w:pPr>
              <w:jc w:val="right"/>
              <w:ind w:right="20"/>
              <w:spacing w:after="0" w:line="181" w:lineRule="exact"/>
              <w:rPr>
                <w:sz w:val="20"/>
                <w:szCs w:val="20"/>
                <w:color w:val="auto"/>
              </w:rPr>
            </w:pPr>
            <w:r>
              <w:rPr>
                <w:rFonts w:ascii="Times New Roman" w:cs="Times New Roman" w:eastAsia="Times New Roman" w:hAnsi="Times New Roman"/>
                <w:sz w:val="17"/>
                <w:szCs w:val="17"/>
                <w:color w:val="0000FF"/>
              </w:rPr>
              <w:t>73</w:t>
            </w:r>
          </w:p>
        </w:tc>
      </w:tr>
      <w:tr>
        <w:trPr>
          <w:trHeight w:val="29"/>
        </w:trPr>
        <w:tc>
          <w:tcPr>
            <w:tcW w:w="20" w:type="dxa"/>
            <w:vAlign w:val="bottom"/>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7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1"/>
        </w:trPr>
        <w:tc>
          <w:tcPr>
            <w:tcW w:w="1140" w:type="dxa"/>
            <w:vAlign w:val="bottom"/>
            <w:gridSpan w:val="5"/>
            <w:shd w:val="clear" w:color="auto" w:fill="CCEEFF"/>
          </w:tcPr>
          <w:p>
            <w:pPr>
              <w:ind w:left="20"/>
              <w:spacing w:after="0" w:line="190" w:lineRule="exact"/>
              <w:rPr>
                <w:sz w:val="20"/>
                <w:szCs w:val="20"/>
                <w:color w:val="auto"/>
              </w:rPr>
            </w:pPr>
            <w:r>
              <w:rPr>
                <w:rFonts w:ascii="Times New Roman" w:cs="Times New Roman" w:eastAsia="Times New Roman" w:hAnsi="Times New Roman"/>
                <w:sz w:val="17"/>
                <w:szCs w:val="17"/>
                <w:color w:val="0000FF"/>
              </w:rPr>
              <w:t>Signatures</w:t>
            </w:r>
          </w:p>
        </w:tc>
        <w:tc>
          <w:tcPr>
            <w:tcW w:w="5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20" w:type="dxa"/>
            <w:vAlign w:val="bottom"/>
            <w:tcBorders>
              <w:right w:val="single" w:sz="8" w:color="CCEEFF"/>
            </w:tcBorders>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7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740" w:type="dxa"/>
            <w:vAlign w:val="bottom"/>
            <w:tcBorders>
              <w:left w:val="single" w:sz="8" w:color="CCEEFF"/>
            </w:tcBorders>
            <w:shd w:val="clear" w:color="auto" w:fill="CCEEFF"/>
          </w:tcPr>
          <w:p>
            <w:pPr>
              <w:spacing w:after="0"/>
              <w:rPr>
                <w:sz w:val="16"/>
                <w:szCs w:val="16"/>
                <w:color w:val="auto"/>
              </w:rPr>
            </w:pPr>
          </w:p>
        </w:tc>
        <w:tc>
          <w:tcPr>
            <w:tcW w:w="660" w:type="dxa"/>
            <w:vAlign w:val="bottom"/>
            <w:gridSpan w:val="4"/>
            <w:shd w:val="clear" w:color="auto" w:fill="CCEEFF"/>
          </w:tcPr>
          <w:p>
            <w:pPr>
              <w:jc w:val="right"/>
              <w:ind w:right="20"/>
              <w:spacing w:after="0" w:line="190" w:lineRule="exact"/>
              <w:rPr>
                <w:sz w:val="20"/>
                <w:szCs w:val="20"/>
                <w:color w:val="auto"/>
              </w:rPr>
            </w:pPr>
            <w:r>
              <w:rPr>
                <w:rFonts w:ascii="Times New Roman" w:cs="Times New Roman" w:eastAsia="Times New Roman" w:hAnsi="Times New Roman"/>
                <w:sz w:val="17"/>
                <w:szCs w:val="17"/>
                <w:color w:val="0000FF"/>
              </w:rPr>
              <w:t>74</w:t>
            </w:r>
          </w:p>
        </w:tc>
      </w:tr>
      <w:tr>
        <w:trPr>
          <w:trHeight w:val="39"/>
        </w:trPr>
        <w:tc>
          <w:tcPr>
            <w:tcW w:w="20" w:type="dxa"/>
            <w:vAlign w:val="bottom"/>
            <w:shd w:val="clear" w:color="auto" w:fill="CCEEFF"/>
          </w:tcPr>
          <w:p>
            <w:pPr>
              <w:spacing w:after="0"/>
              <w:rPr>
                <w:sz w:val="3"/>
                <w:szCs w:val="3"/>
                <w:color w:val="auto"/>
              </w:rPr>
            </w:pPr>
          </w:p>
        </w:tc>
        <w:tc>
          <w:tcPr>
            <w:tcW w:w="48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420" w:type="dxa"/>
            <w:vAlign w:val="bottom"/>
            <w:tcBorders>
              <w:right w:val="single" w:sz="8" w:color="CCEEFF"/>
            </w:tcBorders>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98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106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76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740" w:type="dxa"/>
            <w:vAlign w:val="bottom"/>
            <w:tcBorders>
              <w:left w:val="single" w:sz="8" w:color="CCEEFF"/>
            </w:tcBorders>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-1403985</wp:posOffset>
            </wp:positionV>
            <wp:extent cx="6661785" cy="147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1785" cy="147955"/>
                    </a:xfrm>
                    <a:prstGeom prst="rect">
                      <a:avLst/>
                    </a:prstGeom>
                    <a:noFill/>
                  </pic:spPr>
                </pic:pic>
              </a:graphicData>
            </a:graphic>
          </wp:anchor>
        </w:drawing>
        <w:drawing>
          <wp:anchor simplePos="0" relativeHeight="251657728" behindDoc="1" locked="0" layoutInCell="0" allowOverlap="1">
            <wp:simplePos x="0" y="0"/>
            <wp:positionH relativeFrom="column">
              <wp:posOffset>26670</wp:posOffset>
            </wp:positionH>
            <wp:positionV relativeFrom="paragraph">
              <wp:posOffset>-2948305</wp:posOffset>
            </wp:positionV>
            <wp:extent cx="66617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17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i</w:t>
      </w:r>
    </w:p>
    <w:p>
      <w:pPr>
        <w:sectPr>
          <w:pgSz w:w="11900" w:h="16838" w:orient="portrait"/>
          <w:cols w:equalWidth="0" w:num="1">
            <w:col w:w="11200"/>
          </w:cols>
          <w:pgMar w:left="320" w:top="118" w:right="37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color w:val="0000FF"/>
        </w:rPr>
        <w:t>TABLE OF CONTENTS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PART I</w:t>
      </w:r>
    </w:p>
    <w:p>
      <w:pPr>
        <w:spacing w:after="0" w:line="244"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7"/>
          <w:szCs w:val="17"/>
          <w:b w:val="1"/>
          <w:bCs w:val="1"/>
          <w:color w:val="auto"/>
        </w:rPr>
        <w:t>Item 1.</w:t>
        <w:tab/>
        <w:t>Financial Statements and Supplementary Data</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SURO CAPITAL CORP.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ASSETS AND LIABILITIES (UNAUDITED)</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200" w:type="dxa"/>
            <w:vAlign w:val="bottom"/>
          </w:tcPr>
          <w:p>
            <w:pPr>
              <w:spacing w:after="0"/>
              <w:rPr>
                <w:sz w:val="15"/>
                <w:szCs w:val="15"/>
                <w:color w:val="auto"/>
              </w:rPr>
            </w:pPr>
          </w:p>
        </w:tc>
        <w:tc>
          <w:tcPr>
            <w:tcW w:w="1500" w:type="dxa"/>
            <w:vAlign w:val="bottom"/>
          </w:tcPr>
          <w:p>
            <w:pPr>
              <w:jc w:val="right"/>
              <w:ind w:right="203"/>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23"/>
        </w:trPr>
        <w:tc>
          <w:tcPr>
            <w:tcW w:w="77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6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7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Investments at fair value:</w:t>
            </w:r>
          </w:p>
        </w:tc>
        <w:tc>
          <w:tcPr>
            <w:tcW w:w="2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Non-controlled/non-affiliate investments (cost of $153,356,838 and $146,360,300, respectively)</w:t>
            </w:r>
          </w:p>
        </w:tc>
        <w:tc>
          <w:tcPr>
            <w:tcW w:w="26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171,870,750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231,768,290</w:t>
            </w:r>
          </w:p>
        </w:tc>
        <w:tc>
          <w:tcPr>
            <w:tcW w:w="0" w:type="dxa"/>
            <w:vAlign w:val="bottom"/>
          </w:tcPr>
          <w:p>
            <w:pPr>
              <w:spacing w:after="0"/>
              <w:rPr>
                <w:sz w:val="1"/>
                <w:szCs w:val="1"/>
                <w:color w:val="auto"/>
              </w:rPr>
            </w:pPr>
          </w:p>
        </w:tc>
      </w:tr>
      <w:tr>
        <w:trPr>
          <w:trHeight w:val="205"/>
        </w:trPr>
        <w:tc>
          <w:tcPr>
            <w:tcW w:w="7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Non-controlled/affiliate investments (cost of $41,140,804 and $41,211,183, respectively)</w:t>
            </w:r>
          </w:p>
        </w:tc>
        <w:tc>
          <w:tcPr>
            <w:tcW w:w="26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14,177,090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14,609,089</w:t>
            </w:r>
          </w:p>
        </w:tc>
        <w:tc>
          <w:tcPr>
            <w:tcW w:w="0" w:type="dxa"/>
            <w:vAlign w:val="bottom"/>
          </w:tcPr>
          <w:p>
            <w:pPr>
              <w:spacing w:after="0"/>
              <w:rPr>
                <w:sz w:val="1"/>
                <w:szCs w:val="1"/>
                <w:color w:val="auto"/>
              </w:rPr>
            </w:pPr>
          </w:p>
        </w:tc>
      </w:tr>
      <w:tr>
        <w:trPr>
          <w:trHeight w:val="209"/>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Controlled investments (cost of $19,883,894 and $19,883,894, respectively)</w:t>
            </w:r>
          </w:p>
        </w:tc>
        <w:tc>
          <w:tcPr>
            <w:tcW w:w="26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14,018,874</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13,758,874</w:t>
            </w:r>
          </w:p>
        </w:tc>
        <w:tc>
          <w:tcPr>
            <w:tcW w:w="0" w:type="dxa"/>
            <w:vAlign w:val="bottom"/>
          </w:tcPr>
          <w:p>
            <w:pPr>
              <w:spacing w:after="0"/>
              <w:rPr>
                <w:sz w:val="1"/>
                <w:szCs w:val="1"/>
                <w:color w:val="auto"/>
              </w:rPr>
            </w:pPr>
          </w:p>
        </w:tc>
      </w:tr>
      <w:tr>
        <w:trPr>
          <w:trHeight w:val="198"/>
        </w:trPr>
        <w:tc>
          <w:tcPr>
            <w:tcW w:w="7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Investments (cost of $214,381,536 and $207,455,377, respectively)</w:t>
            </w:r>
          </w:p>
        </w:tc>
        <w:tc>
          <w:tcPr>
            <w:tcW w:w="26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200,066,714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260,136,253</w:t>
            </w:r>
          </w:p>
        </w:tc>
        <w:tc>
          <w:tcPr>
            <w:tcW w:w="0" w:type="dxa"/>
            <w:vAlign w:val="bottom"/>
          </w:tcPr>
          <w:p>
            <w:pPr>
              <w:spacing w:after="0"/>
              <w:rPr>
                <w:sz w:val="1"/>
                <w:szCs w:val="1"/>
                <w:color w:val="auto"/>
              </w:rPr>
            </w:pPr>
          </w:p>
        </w:tc>
      </w:tr>
      <w:tr>
        <w:trPr>
          <w:trHeight w:val="209"/>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w:t>
            </w: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152,984,799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198,437,078</w:t>
            </w:r>
          </w:p>
        </w:tc>
        <w:tc>
          <w:tcPr>
            <w:tcW w:w="0" w:type="dxa"/>
            <w:vAlign w:val="bottom"/>
          </w:tcPr>
          <w:p>
            <w:pPr>
              <w:spacing w:after="0"/>
              <w:rPr>
                <w:sz w:val="1"/>
                <w:szCs w:val="1"/>
                <w:color w:val="auto"/>
              </w:rPr>
            </w:pPr>
          </w:p>
        </w:tc>
      </w:tr>
      <w:tr>
        <w:trPr>
          <w:trHeight w:val="217"/>
        </w:trPr>
        <w:tc>
          <w:tcPr>
            <w:tcW w:w="7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Proceeds receivable</w:t>
            </w:r>
          </w:p>
        </w:tc>
        <w:tc>
          <w:tcPr>
            <w:tcW w:w="2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55,943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52,493</w:t>
            </w:r>
          </w:p>
        </w:tc>
        <w:tc>
          <w:tcPr>
            <w:tcW w:w="0" w:type="dxa"/>
            <w:vAlign w:val="bottom"/>
          </w:tcPr>
          <w:p>
            <w:pPr>
              <w:spacing w:after="0"/>
              <w:rPr>
                <w:sz w:val="1"/>
                <w:szCs w:val="1"/>
                <w:color w:val="auto"/>
              </w:rPr>
            </w:pPr>
          </w:p>
        </w:tc>
      </w:tr>
      <w:tr>
        <w:trPr>
          <w:trHeight w:val="210"/>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Escrow proceeds receivable</w:t>
            </w: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2,005,019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2,046,645</w:t>
            </w:r>
          </w:p>
        </w:tc>
        <w:tc>
          <w:tcPr>
            <w:tcW w:w="0" w:type="dxa"/>
            <w:vAlign w:val="bottom"/>
          </w:tcPr>
          <w:p>
            <w:pPr>
              <w:spacing w:after="0"/>
              <w:rPr>
                <w:sz w:val="1"/>
                <w:szCs w:val="1"/>
                <w:color w:val="auto"/>
              </w:rPr>
            </w:pPr>
          </w:p>
        </w:tc>
      </w:tr>
      <w:tr>
        <w:trPr>
          <w:trHeight w:val="205"/>
        </w:trPr>
        <w:tc>
          <w:tcPr>
            <w:tcW w:w="7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and dividends receivable</w:t>
            </w:r>
          </w:p>
        </w:tc>
        <w:tc>
          <w:tcPr>
            <w:tcW w:w="26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156,637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83,655</w:t>
            </w:r>
          </w:p>
        </w:tc>
        <w:tc>
          <w:tcPr>
            <w:tcW w:w="0" w:type="dxa"/>
            <w:vAlign w:val="bottom"/>
          </w:tcPr>
          <w:p>
            <w:pPr>
              <w:spacing w:after="0"/>
              <w:rPr>
                <w:sz w:val="1"/>
                <w:szCs w:val="1"/>
                <w:color w:val="auto"/>
              </w:rPr>
            </w:pPr>
          </w:p>
        </w:tc>
      </w:tr>
      <w:tr>
        <w:trPr>
          <w:trHeight w:val="209"/>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financing costs</w:t>
            </w: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589,781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621,719</w:t>
            </w:r>
          </w:p>
        </w:tc>
        <w:tc>
          <w:tcPr>
            <w:tcW w:w="0" w:type="dxa"/>
            <w:vAlign w:val="bottom"/>
          </w:tcPr>
          <w:p>
            <w:pPr>
              <w:spacing w:after="0"/>
              <w:rPr>
                <w:sz w:val="1"/>
                <w:szCs w:val="1"/>
                <w:color w:val="auto"/>
              </w:rPr>
            </w:pPr>
          </w:p>
        </w:tc>
      </w:tr>
      <w:tr>
        <w:trPr>
          <w:trHeight w:val="207"/>
        </w:trPr>
        <w:tc>
          <w:tcPr>
            <w:tcW w:w="7760" w:type="dxa"/>
            <w:vAlign w:val="bottom"/>
            <w:tcBorders>
              <w:bottom w:val="single" w:sz="8" w:color="CCEEFF"/>
            </w:tcBorders>
          </w:tcPr>
          <w:p>
            <w:pPr>
              <w:ind w:left="20"/>
              <w:spacing w:after="0" w:line="207" w:lineRule="exact"/>
              <w:rPr>
                <w:sz w:val="20"/>
                <w:szCs w:val="20"/>
                <w:color w:val="auto"/>
              </w:rPr>
            </w:pPr>
            <w:r>
              <w:rPr>
                <w:rFonts w:ascii="Times New Roman" w:cs="Times New Roman" w:eastAsia="Times New Roman" w:hAnsi="Times New Roman"/>
                <w:sz w:val="16"/>
                <w:szCs w:val="16"/>
                <w:color w:val="auto"/>
              </w:rPr>
              <w:t>Prepaid expenses and other assets</w:t>
            </w:r>
            <w:r>
              <w:rPr>
                <w:rFonts w:ascii="Times New Roman" w:cs="Times New Roman" w:eastAsia="Times New Roman" w:hAnsi="Times New Roman"/>
                <w:sz w:val="20"/>
                <w:szCs w:val="20"/>
                <w:color w:val="auto"/>
                <w:vertAlign w:val="superscript"/>
              </w:rPr>
              <w:t>(1)</w:t>
            </w:r>
          </w:p>
        </w:tc>
        <w:tc>
          <w:tcPr>
            <w:tcW w:w="2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588,499</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937,984</w:t>
            </w:r>
          </w:p>
        </w:tc>
        <w:tc>
          <w:tcPr>
            <w:tcW w:w="0" w:type="dxa"/>
            <w:vAlign w:val="bottom"/>
          </w:tcPr>
          <w:p>
            <w:pPr>
              <w:spacing w:after="0"/>
              <w:rPr>
                <w:sz w:val="1"/>
                <w:szCs w:val="1"/>
                <w:color w:val="auto"/>
              </w:rPr>
            </w:pPr>
          </w:p>
        </w:tc>
      </w:tr>
      <w:tr>
        <w:trPr>
          <w:trHeight w:val="198"/>
        </w:trPr>
        <w:tc>
          <w:tcPr>
            <w:tcW w:w="77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26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356,447,392</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462,315,827</w:t>
            </w:r>
          </w:p>
        </w:tc>
        <w:tc>
          <w:tcPr>
            <w:tcW w:w="0" w:type="dxa"/>
            <w:vAlign w:val="bottom"/>
          </w:tcPr>
          <w:p>
            <w:pPr>
              <w:spacing w:after="0"/>
              <w:rPr>
                <w:sz w:val="1"/>
                <w:szCs w:val="1"/>
                <w:color w:val="auto"/>
              </w:rPr>
            </w:pPr>
          </w:p>
        </w:tc>
      </w:tr>
      <w:tr>
        <w:trPr>
          <w:trHeight w:val="201"/>
        </w:trPr>
        <w:tc>
          <w:tcPr>
            <w:tcW w:w="77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2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7760" w:type="dxa"/>
            <w:vAlign w:val="bottom"/>
            <w:shd w:val="clear" w:color="auto" w:fill="CCEEFF"/>
          </w:tcPr>
          <w:p>
            <w:pPr>
              <w:ind w:left="20"/>
              <w:spacing w:after="0" w:line="208" w:lineRule="exact"/>
              <w:rPr>
                <w:sz w:val="20"/>
                <w:szCs w:val="20"/>
                <w:color w:val="auto"/>
              </w:rPr>
            </w:pPr>
            <w:r>
              <w:rPr>
                <w:rFonts w:ascii="Times New Roman" w:cs="Times New Roman" w:eastAsia="Times New Roman" w:hAnsi="Times New Roman"/>
                <w:sz w:val="16"/>
                <w:szCs w:val="16"/>
                <w:color w:val="auto"/>
              </w:rPr>
              <w:t>Accounts payable and accrued expenses</w:t>
            </w:r>
            <w:r>
              <w:rPr>
                <w:rFonts w:ascii="Times New Roman" w:cs="Times New Roman" w:eastAsia="Times New Roman" w:hAnsi="Times New Roman"/>
                <w:sz w:val="20"/>
                <w:szCs w:val="20"/>
                <w:color w:val="auto"/>
                <w:vertAlign w:val="superscript"/>
              </w:rPr>
              <w:t>(1)</w:t>
            </w: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2,705,829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875,047</w:t>
            </w:r>
          </w:p>
        </w:tc>
        <w:tc>
          <w:tcPr>
            <w:tcW w:w="0" w:type="dxa"/>
            <w:vAlign w:val="bottom"/>
          </w:tcPr>
          <w:p>
            <w:pPr>
              <w:spacing w:after="0"/>
              <w:rPr>
                <w:sz w:val="1"/>
                <w:szCs w:val="1"/>
                <w:color w:val="auto"/>
              </w:rPr>
            </w:pPr>
          </w:p>
        </w:tc>
      </w:tr>
      <w:tr>
        <w:trPr>
          <w:trHeight w:val="205"/>
        </w:trPr>
        <w:tc>
          <w:tcPr>
            <w:tcW w:w="7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Accrued interest payable</w:t>
            </w:r>
          </w:p>
        </w:tc>
        <w:tc>
          <w:tcPr>
            <w:tcW w:w="26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12,500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175,000</w:t>
            </w:r>
          </w:p>
        </w:tc>
        <w:tc>
          <w:tcPr>
            <w:tcW w:w="0" w:type="dxa"/>
            <w:vAlign w:val="bottom"/>
          </w:tcPr>
          <w:p>
            <w:pPr>
              <w:spacing w:after="0"/>
              <w:rPr>
                <w:sz w:val="1"/>
                <w:szCs w:val="1"/>
                <w:color w:val="auto"/>
              </w:rPr>
            </w:pPr>
          </w:p>
        </w:tc>
      </w:tr>
      <w:tr>
        <w:trPr>
          <w:trHeight w:val="209"/>
        </w:trPr>
        <w:tc>
          <w:tcPr>
            <w:tcW w:w="7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Dividends payable</w:t>
            </w: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349,929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23,390,048</w:t>
            </w:r>
          </w:p>
        </w:tc>
        <w:tc>
          <w:tcPr>
            <w:tcW w:w="0" w:type="dxa"/>
            <w:vAlign w:val="bottom"/>
          </w:tcPr>
          <w:p>
            <w:pPr>
              <w:spacing w:after="0"/>
              <w:rPr>
                <w:sz w:val="1"/>
                <w:szCs w:val="1"/>
                <w:color w:val="auto"/>
              </w:rPr>
            </w:pPr>
          </w:p>
        </w:tc>
      </w:tr>
      <w:tr>
        <w:trPr>
          <w:trHeight w:val="200"/>
        </w:trPr>
        <w:tc>
          <w:tcPr>
            <w:tcW w:w="7760" w:type="dxa"/>
            <w:vAlign w:val="bottom"/>
            <w:tcBorders>
              <w:bottom w:val="single" w:sz="8" w:color="CCEEFF"/>
            </w:tcBorders>
          </w:tcPr>
          <w:p>
            <w:pPr>
              <w:ind w:left="20"/>
              <w:spacing w:after="0" w:line="200" w:lineRule="exact"/>
              <w:rPr>
                <w:sz w:val="20"/>
                <w:szCs w:val="20"/>
                <w:color w:val="auto"/>
              </w:rPr>
            </w:pPr>
            <w:r>
              <w:rPr>
                <w:rFonts w:ascii="Times New Roman" w:cs="Times New Roman" w:eastAsia="Times New Roman" w:hAnsi="Times New Roman"/>
                <w:sz w:val="16"/>
                <w:szCs w:val="16"/>
                <w:color w:val="auto"/>
              </w:rPr>
              <w:t>6.00% Notes due December 30, 2026</w:t>
            </w:r>
            <w:r>
              <w:rPr>
                <w:rFonts w:ascii="Times New Roman" w:cs="Times New Roman" w:eastAsia="Times New Roman" w:hAnsi="Times New Roman"/>
                <w:sz w:val="20"/>
                <w:szCs w:val="20"/>
                <w:color w:val="auto"/>
                <w:vertAlign w:val="superscript"/>
              </w:rPr>
              <w:t>(2)</w:t>
            </w:r>
          </w:p>
        </w:tc>
        <w:tc>
          <w:tcPr>
            <w:tcW w:w="2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73,206,662</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73,029,108</w:t>
            </w:r>
          </w:p>
        </w:tc>
        <w:tc>
          <w:tcPr>
            <w:tcW w:w="0" w:type="dxa"/>
            <w:vAlign w:val="bottom"/>
          </w:tcPr>
          <w:p>
            <w:pPr>
              <w:spacing w:after="0"/>
              <w:rPr>
                <w:sz w:val="1"/>
                <w:szCs w:val="1"/>
                <w:color w:val="auto"/>
              </w:rPr>
            </w:pPr>
          </w:p>
        </w:tc>
      </w:tr>
      <w:tr>
        <w:trPr>
          <w:trHeight w:val="200"/>
        </w:trPr>
        <w:tc>
          <w:tcPr>
            <w:tcW w:w="77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26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76,274,920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97,469,203</w:t>
            </w:r>
          </w:p>
        </w:tc>
        <w:tc>
          <w:tcPr>
            <w:tcW w:w="0" w:type="dxa"/>
            <w:vAlign w:val="bottom"/>
          </w:tcPr>
          <w:p>
            <w:pPr>
              <w:spacing w:after="0"/>
              <w:rPr>
                <w:sz w:val="1"/>
                <w:szCs w:val="1"/>
                <w:color w:val="auto"/>
              </w:rPr>
            </w:pPr>
          </w:p>
        </w:tc>
      </w:tr>
      <w:tr>
        <w:trPr>
          <w:trHeight w:val="217"/>
        </w:trPr>
        <w:tc>
          <w:tcPr>
            <w:tcW w:w="77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Commitments and contingencies (Notes 7 and 10)</w:t>
            </w:r>
          </w:p>
        </w:tc>
        <w:tc>
          <w:tcPr>
            <w:tcW w:w="2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7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Assets</w:t>
            </w:r>
          </w:p>
        </w:tc>
        <w:tc>
          <w:tcPr>
            <w:tcW w:w="260" w:type="dxa"/>
            <w:vAlign w:val="bottom"/>
            <w:tcBorders>
              <w:bottom w:val="single" w:sz="8" w:color="auto"/>
            </w:tcBorders>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280,172,472</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364,846,624</w:t>
            </w:r>
          </w:p>
        </w:tc>
        <w:tc>
          <w:tcPr>
            <w:tcW w:w="0" w:type="dxa"/>
            <w:vAlign w:val="bottom"/>
          </w:tcPr>
          <w:p>
            <w:pPr>
              <w:spacing w:after="0"/>
              <w:rPr>
                <w:sz w:val="1"/>
                <w:szCs w:val="1"/>
                <w:color w:val="auto"/>
              </w:rPr>
            </w:pPr>
          </w:p>
        </w:tc>
      </w:tr>
      <w:tr>
        <w:trPr>
          <w:trHeight w:val="20"/>
        </w:trPr>
        <w:tc>
          <w:tcPr>
            <w:tcW w:w="77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NET ASSETS</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776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760" w:type="dxa"/>
            <w:vAlign w:val="bottom"/>
            <w:shd w:val="clear" w:color="auto" w:fill="CCEEFF"/>
          </w:tcPr>
          <w:p>
            <w:pPr>
              <w:ind w:left="80"/>
              <w:spacing w:after="0" w:line="157" w:lineRule="exact"/>
              <w:rPr>
                <w:sz w:val="20"/>
                <w:szCs w:val="20"/>
                <w:color w:val="auto"/>
              </w:rPr>
            </w:pPr>
            <w:r>
              <w:rPr>
                <w:rFonts w:ascii="Times New Roman" w:cs="Times New Roman" w:eastAsia="Times New Roman" w:hAnsi="Times New Roman"/>
                <w:sz w:val="16"/>
                <w:szCs w:val="16"/>
                <w:color w:val="auto"/>
              </w:rPr>
              <w:t>Common stock, par value $0.01 per share (100,000,000 authorized; 30,325,187 and 31,118,556 issued and outstanding,</w:t>
            </w:r>
          </w:p>
        </w:tc>
        <w:tc>
          <w:tcPr>
            <w:tcW w:w="260" w:type="dxa"/>
            <w:vAlign w:val="bottom"/>
            <w:vMerge w:val="restart"/>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303,252</w:t>
            </w:r>
          </w:p>
        </w:tc>
        <w:tc>
          <w:tcPr>
            <w:tcW w:w="100" w:type="dxa"/>
            <w:vAlign w:val="bottom"/>
            <w:shd w:val="clear" w:color="auto" w:fill="CCEEFF"/>
          </w:tcPr>
          <w:p>
            <w:pPr>
              <w:spacing w:after="0"/>
              <w:rPr>
                <w:sz w:val="13"/>
                <w:szCs w:val="13"/>
                <w:color w:val="auto"/>
              </w:rPr>
            </w:pPr>
          </w:p>
        </w:tc>
        <w:tc>
          <w:tcPr>
            <w:tcW w:w="200" w:type="dxa"/>
            <w:vAlign w:val="bottom"/>
            <w:vMerge w:val="restart"/>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311,185</w:t>
            </w:r>
          </w:p>
        </w:tc>
        <w:tc>
          <w:tcPr>
            <w:tcW w:w="0" w:type="dxa"/>
            <w:vAlign w:val="bottom"/>
          </w:tcPr>
          <w:p>
            <w:pPr>
              <w:spacing w:after="0"/>
              <w:rPr>
                <w:sz w:val="1"/>
                <w:szCs w:val="1"/>
                <w:color w:val="auto"/>
              </w:rPr>
            </w:pPr>
          </w:p>
        </w:tc>
      </w:tr>
      <w:tr>
        <w:trPr>
          <w:trHeight w:val="207"/>
        </w:trPr>
        <w:tc>
          <w:tcPr>
            <w:tcW w:w="77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respectively)</w:t>
            </w:r>
          </w:p>
        </w:tc>
        <w:tc>
          <w:tcPr>
            <w:tcW w:w="260" w:type="dxa"/>
            <w:vAlign w:val="bottom"/>
            <w:vMerge w:val="continue"/>
            <w:shd w:val="clear" w:color="auto" w:fill="CCEEFF"/>
          </w:tcPr>
          <w:p>
            <w:pPr>
              <w:spacing w:after="0"/>
              <w:rPr>
                <w:sz w:val="17"/>
                <w:szCs w:val="17"/>
                <w:color w:val="auto"/>
              </w:rPr>
            </w:pPr>
          </w:p>
        </w:tc>
        <w:tc>
          <w:tcPr>
            <w:tcW w:w="14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vMerge w:val="continue"/>
            <w:shd w:val="clear" w:color="auto" w:fill="CCEEFF"/>
          </w:tcPr>
          <w:p>
            <w:pPr>
              <w:spacing w:after="0"/>
              <w:rPr>
                <w:sz w:val="17"/>
                <w:szCs w:val="17"/>
                <w:color w:val="auto"/>
              </w:rPr>
            </w:pPr>
          </w:p>
        </w:tc>
        <w:tc>
          <w:tcPr>
            <w:tcW w:w="15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7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Paid-in capital in excess of par</w:t>
            </w:r>
          </w:p>
        </w:tc>
        <w:tc>
          <w:tcPr>
            <w:tcW w:w="26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342,738,247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350,079,409</w:t>
            </w:r>
          </w:p>
        </w:tc>
        <w:tc>
          <w:tcPr>
            <w:tcW w:w="0" w:type="dxa"/>
            <w:vAlign w:val="bottom"/>
          </w:tcPr>
          <w:p>
            <w:pPr>
              <w:spacing w:after="0"/>
              <w:rPr>
                <w:sz w:val="1"/>
                <w:szCs w:val="1"/>
                <w:color w:val="auto"/>
              </w:rPr>
            </w:pPr>
          </w:p>
        </w:tc>
      </w:tr>
      <w:tr>
        <w:trPr>
          <w:trHeight w:val="209"/>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Accumulated net investment loss</w:t>
            </w: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(58,160,190)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(50,124,597)</w:t>
            </w:r>
          </w:p>
        </w:tc>
        <w:tc>
          <w:tcPr>
            <w:tcW w:w="0" w:type="dxa"/>
            <w:vAlign w:val="bottom"/>
          </w:tcPr>
          <w:p>
            <w:pPr>
              <w:spacing w:after="0"/>
              <w:rPr>
                <w:sz w:val="1"/>
                <w:szCs w:val="1"/>
                <w:color w:val="auto"/>
              </w:rPr>
            </w:pPr>
          </w:p>
        </w:tc>
      </w:tr>
      <w:tr>
        <w:trPr>
          <w:trHeight w:val="205"/>
        </w:trPr>
        <w:tc>
          <w:tcPr>
            <w:tcW w:w="7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Accumulated net realized gain on investments, net of distributions</w:t>
            </w:r>
          </w:p>
        </w:tc>
        <w:tc>
          <w:tcPr>
            <w:tcW w:w="26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9,587,968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11,899,742</w:t>
            </w:r>
          </w:p>
        </w:tc>
        <w:tc>
          <w:tcPr>
            <w:tcW w:w="0" w:type="dxa"/>
            <w:vAlign w:val="bottom"/>
          </w:tcPr>
          <w:p>
            <w:pPr>
              <w:spacing w:after="0"/>
              <w:rPr>
                <w:sz w:val="1"/>
                <w:szCs w:val="1"/>
                <w:color w:val="auto"/>
              </w:rPr>
            </w:pPr>
          </w:p>
        </w:tc>
      </w:tr>
      <w:tr>
        <w:trPr>
          <w:trHeight w:val="207"/>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Accumulated net unrealized appreciation/(depreciation) of investments</w:t>
            </w:r>
          </w:p>
        </w:tc>
        <w:tc>
          <w:tcPr>
            <w:tcW w:w="26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(14,296,805)</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52,680,885</w:t>
            </w:r>
          </w:p>
        </w:tc>
        <w:tc>
          <w:tcPr>
            <w:tcW w:w="0" w:type="dxa"/>
            <w:vAlign w:val="bottom"/>
          </w:tcPr>
          <w:p>
            <w:pPr>
              <w:spacing w:after="0"/>
              <w:rPr>
                <w:sz w:val="1"/>
                <w:szCs w:val="1"/>
                <w:color w:val="auto"/>
              </w:rPr>
            </w:pPr>
          </w:p>
        </w:tc>
      </w:tr>
      <w:tr>
        <w:trPr>
          <w:trHeight w:val="202"/>
        </w:trPr>
        <w:tc>
          <w:tcPr>
            <w:tcW w:w="7760" w:type="dxa"/>
            <w:vAlign w:val="bottom"/>
          </w:tcPr>
          <w:p>
            <w:pPr>
              <w:ind w:left="340"/>
              <w:spacing w:after="0"/>
              <w:rPr>
                <w:sz w:val="20"/>
                <w:szCs w:val="20"/>
                <w:color w:val="auto"/>
              </w:rPr>
            </w:pPr>
            <w:r>
              <w:rPr>
                <w:rFonts w:ascii="Times New Roman" w:cs="Times New Roman" w:eastAsia="Times New Roman" w:hAnsi="Times New Roman"/>
                <w:sz w:val="16"/>
                <w:szCs w:val="16"/>
                <w:b w:val="1"/>
                <w:bCs w:val="1"/>
                <w:color w:val="auto"/>
              </w:rPr>
              <w:t>Net Assets</w:t>
            </w:r>
          </w:p>
        </w:tc>
        <w:tc>
          <w:tcPr>
            <w:tcW w:w="26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280,172,472</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364,846,624</w:t>
            </w:r>
          </w:p>
        </w:tc>
        <w:tc>
          <w:tcPr>
            <w:tcW w:w="0" w:type="dxa"/>
            <w:vAlign w:val="bottom"/>
          </w:tcPr>
          <w:p>
            <w:pPr>
              <w:spacing w:after="0"/>
              <w:rPr>
                <w:sz w:val="1"/>
                <w:szCs w:val="1"/>
                <w:color w:val="auto"/>
              </w:rPr>
            </w:pPr>
          </w:p>
        </w:tc>
      </w:tr>
      <w:tr>
        <w:trPr>
          <w:trHeight w:val="20"/>
        </w:trPr>
        <w:tc>
          <w:tcPr>
            <w:tcW w:w="77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7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b w:val="1"/>
                <w:bCs w:val="1"/>
                <w:color w:val="auto"/>
              </w:rPr>
              <w:t>Net Asset Value Per Share</w:t>
            </w:r>
          </w:p>
        </w:tc>
        <w:tc>
          <w:tcPr>
            <w:tcW w:w="260" w:type="dxa"/>
            <w:vAlign w:val="bottom"/>
            <w:tcBorders>
              <w:bottom w:val="single" w:sz="8" w:color="auto"/>
            </w:tcBorders>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9.24</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11.72</w:t>
            </w:r>
          </w:p>
        </w:tc>
        <w:tc>
          <w:tcPr>
            <w:tcW w:w="0" w:type="dxa"/>
            <w:vAlign w:val="bottom"/>
          </w:tcPr>
          <w:p>
            <w:pPr>
              <w:spacing w:after="0"/>
              <w:rPr>
                <w:sz w:val="1"/>
                <w:szCs w:val="1"/>
                <w:color w:val="auto"/>
              </w:rPr>
            </w:pPr>
          </w:p>
        </w:tc>
      </w:tr>
      <w:tr>
        <w:trPr>
          <w:trHeight w:val="20"/>
        </w:trPr>
        <w:tc>
          <w:tcPr>
            <w:tcW w:w="77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-4065270</wp:posOffset>
            </wp:positionV>
            <wp:extent cx="49199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919980" cy="8255"/>
                    </a:xfrm>
                    <a:prstGeom prst="rect">
                      <a:avLst/>
                    </a:prstGeom>
                    <a:noFill/>
                  </pic:spPr>
                </pic:pic>
              </a:graphicData>
            </a:graphic>
          </wp:anchor>
        </w:drawing>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See accompanying notes to condensed consolidated financial statements.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__________________________________________________</w:t>
      </w:r>
    </w:p>
    <w:p>
      <w:pPr>
        <w:spacing w:after="0" w:line="7" w:lineRule="exact"/>
        <w:rPr>
          <w:sz w:val="20"/>
          <w:szCs w:val="20"/>
          <w:color w:val="auto"/>
        </w:rPr>
      </w:pPr>
    </w:p>
    <w:p>
      <w:pPr>
        <w:ind w:left="320" w:hanging="317"/>
        <w:spacing w:after="0" w:line="250" w:lineRule="auto"/>
        <w:tabs>
          <w:tab w:leader="none" w:pos="312"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balance includes a right of use asset and corresponding operating lease liability, respectively. Refer to "Note 7—Commitments and Contingencies—</w:t>
      </w:r>
      <w:r>
        <w:rPr>
          <w:rFonts w:ascii="Times New Roman" w:cs="Times New Roman" w:eastAsia="Times New Roman" w:hAnsi="Times New Roman"/>
          <w:sz w:val="14"/>
          <w:szCs w:val="14"/>
          <w:i w:val="1"/>
          <w:iCs w:val="1"/>
          <w:color w:val="auto"/>
        </w:rPr>
        <w:t>Operating Leases and Related Deposits</w:t>
      </w:r>
      <w:r>
        <w:rPr>
          <w:rFonts w:ascii="Times New Roman" w:cs="Times New Roman" w:eastAsia="Times New Roman" w:hAnsi="Times New Roman"/>
          <w:sz w:val="14"/>
          <w:szCs w:val="14"/>
          <w:color w:val="auto"/>
        </w:rPr>
        <w:t>" for more detail.</w:t>
      </w:r>
    </w:p>
    <w:p>
      <w:pPr>
        <w:ind w:left="320" w:hanging="317"/>
        <w:spacing w:after="0" w:line="242" w:lineRule="auto"/>
        <w:tabs>
          <w:tab w:leader="none" w:pos="323"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June 30, 2022, the 6.00% Notes due December 30, 2026 (effective interest rate of 6.53%) had a face value $75,000,000. As of December 31, 2021, the 6.00% Notes due December 30, 2026 (effective interest rate of 6.13%) had a face value $75,000,000. Refer to “Note 10—Debt Capital Activities” for a reconciliation of the carrying value to the face value.</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w:t>
      </w:r>
    </w:p>
    <w:p>
      <w:pPr>
        <w:sectPr>
          <w:pgSz w:w="11900" w:h="16838" w:orient="portrait"/>
          <w:cols w:equalWidth="0" w:num="1">
            <w:col w:w="11240"/>
          </w:cols>
          <w:pgMar w:left="320" w:top="118"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color w:val="0000FF"/>
        </w:rPr>
        <w:t>TABLE OF CONTENTS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SURO CAPITAL CORP. AND SUBSIDIARIES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OPERATIONS (UNAUDITED)</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34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40" w:type="dxa"/>
            <w:vAlign w:val="bottom"/>
          </w:tcPr>
          <w:p>
            <w:pPr>
              <w:spacing w:after="0"/>
              <w:rPr>
                <w:sz w:val="15"/>
                <w:szCs w:val="15"/>
                <w:color w:val="auto"/>
              </w:rPr>
            </w:pPr>
          </w:p>
        </w:tc>
        <w:tc>
          <w:tcPr>
            <w:tcW w:w="2260" w:type="dxa"/>
            <w:vAlign w:val="bottom"/>
            <w:gridSpan w:val="4"/>
          </w:tcPr>
          <w:p>
            <w:pPr>
              <w:jc w:val="right"/>
              <w:ind w:right="363"/>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6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60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8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83"/>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03"/>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83"/>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93"/>
        </w:trPr>
        <w:tc>
          <w:tcPr>
            <w:tcW w:w="6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INVESTMENT INCOME</w:t>
            </w:r>
          </w:p>
        </w:tc>
        <w:tc>
          <w:tcPr>
            <w:tcW w:w="2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6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Non-controlled/non-affiliate investments:</w:t>
            </w: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1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Interest income</w:t>
            </w:r>
          </w:p>
        </w:tc>
        <w:tc>
          <w:tcPr>
            <w:tcW w:w="24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149,282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145,851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311,737</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312,696</w:t>
            </w:r>
          </w:p>
        </w:tc>
        <w:tc>
          <w:tcPr>
            <w:tcW w:w="0" w:type="dxa"/>
            <w:vAlign w:val="bottom"/>
          </w:tcPr>
          <w:p>
            <w:pPr>
              <w:spacing w:after="0"/>
              <w:rPr>
                <w:sz w:val="1"/>
                <w:szCs w:val="1"/>
                <w:color w:val="auto"/>
              </w:rPr>
            </w:pPr>
          </w:p>
        </w:tc>
      </w:tr>
      <w:tr>
        <w:trPr>
          <w:trHeight w:val="205"/>
        </w:trPr>
        <w:tc>
          <w:tcPr>
            <w:tcW w:w="616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Dividend income</w:t>
            </w:r>
          </w:p>
        </w:tc>
        <w:tc>
          <w:tcPr>
            <w:tcW w:w="2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191,349</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128,969</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321,994</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150,844</w:t>
            </w:r>
          </w:p>
        </w:tc>
        <w:tc>
          <w:tcPr>
            <w:tcW w:w="0" w:type="dxa"/>
            <w:vAlign w:val="bottom"/>
          </w:tcPr>
          <w:p>
            <w:pPr>
              <w:spacing w:after="0"/>
              <w:rPr>
                <w:sz w:val="1"/>
                <w:szCs w:val="1"/>
                <w:color w:val="auto"/>
              </w:rPr>
            </w:pPr>
          </w:p>
        </w:tc>
      </w:tr>
      <w:tr>
        <w:trPr>
          <w:trHeight w:val="209"/>
        </w:trPr>
        <w:tc>
          <w:tcPr>
            <w:tcW w:w="6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Non-controlled/affiliate investments:</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616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Dividend income</w:t>
            </w:r>
          </w:p>
        </w:tc>
        <w:tc>
          <w:tcPr>
            <w:tcW w:w="24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102,632</w:t>
            </w:r>
          </w:p>
        </w:tc>
        <w:tc>
          <w:tcPr>
            <w:tcW w:w="0" w:type="dxa"/>
            <w:vAlign w:val="bottom"/>
          </w:tcPr>
          <w:p>
            <w:pPr>
              <w:spacing w:after="0"/>
              <w:rPr>
                <w:sz w:val="1"/>
                <w:szCs w:val="1"/>
                <w:color w:val="auto"/>
              </w:rPr>
            </w:pPr>
          </w:p>
        </w:tc>
      </w:tr>
      <w:tr>
        <w:trPr>
          <w:trHeight w:val="209"/>
        </w:trPr>
        <w:tc>
          <w:tcPr>
            <w:tcW w:w="6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Controlled investments:</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616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Interest income</w:t>
            </w:r>
          </w:p>
        </w:tc>
        <w:tc>
          <w:tcPr>
            <w:tcW w:w="2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550,000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9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840,000</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2"/>
        </w:trPr>
        <w:tc>
          <w:tcPr>
            <w:tcW w:w="608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Investment Income</w:t>
            </w: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890,631</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274,820</w:t>
            </w: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1,473,731</w:t>
            </w:r>
          </w:p>
        </w:tc>
        <w:tc>
          <w:tcPr>
            <w:tcW w:w="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566,172</w:t>
            </w:r>
          </w:p>
        </w:tc>
        <w:tc>
          <w:tcPr>
            <w:tcW w:w="0" w:type="dxa"/>
            <w:vAlign w:val="bottom"/>
          </w:tcPr>
          <w:p>
            <w:pPr>
              <w:spacing w:after="0"/>
              <w:rPr>
                <w:sz w:val="1"/>
                <w:szCs w:val="1"/>
                <w:color w:val="auto"/>
              </w:rPr>
            </w:pPr>
          </w:p>
        </w:tc>
      </w:tr>
      <w:tr>
        <w:trPr>
          <w:trHeight w:val="199"/>
        </w:trPr>
        <w:tc>
          <w:tcPr>
            <w:tcW w:w="60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EXPENSES</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6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Compensation expense</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1,759,261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1,345,892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3,619,963</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2,639,202</w:t>
            </w:r>
          </w:p>
        </w:tc>
        <w:tc>
          <w:tcPr>
            <w:tcW w:w="0" w:type="dxa"/>
            <w:vAlign w:val="bottom"/>
          </w:tcPr>
          <w:p>
            <w:pPr>
              <w:spacing w:after="0"/>
              <w:rPr>
                <w:sz w:val="1"/>
                <w:szCs w:val="1"/>
                <w:color w:val="auto"/>
              </w:rPr>
            </w:pPr>
          </w:p>
        </w:tc>
      </w:tr>
      <w:tr>
        <w:trPr>
          <w:trHeight w:val="207"/>
        </w:trPr>
        <w:tc>
          <w:tcPr>
            <w:tcW w:w="6160" w:type="dxa"/>
            <w:vAlign w:val="bottom"/>
            <w:gridSpan w:val="2"/>
          </w:tcPr>
          <w:p>
            <w:pPr>
              <w:ind w:left="20"/>
              <w:spacing w:after="0" w:line="207" w:lineRule="exact"/>
              <w:rPr>
                <w:sz w:val="20"/>
                <w:szCs w:val="20"/>
                <w:color w:val="auto"/>
              </w:rPr>
            </w:pPr>
            <w:r>
              <w:rPr>
                <w:rFonts w:ascii="Times New Roman" w:cs="Times New Roman" w:eastAsia="Times New Roman" w:hAnsi="Times New Roman"/>
                <w:sz w:val="16"/>
                <w:szCs w:val="16"/>
                <w:color w:val="auto"/>
              </w:rPr>
              <w:t>Directors’ fees</w:t>
            </w:r>
            <w:r>
              <w:rPr>
                <w:rFonts w:ascii="Times New Roman" w:cs="Times New Roman" w:eastAsia="Times New Roman" w:hAnsi="Times New Roman"/>
                <w:sz w:val="20"/>
                <w:szCs w:val="20"/>
                <w:color w:val="auto"/>
                <w:vertAlign w:val="superscript"/>
              </w:rPr>
              <w:t>(2)</w:t>
            </w:r>
          </w:p>
        </w:tc>
        <w:tc>
          <w:tcPr>
            <w:tcW w:w="2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191,829</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111,250</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352,394</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222,500</w:t>
            </w:r>
          </w:p>
        </w:tc>
        <w:tc>
          <w:tcPr>
            <w:tcW w:w="0" w:type="dxa"/>
            <w:vAlign w:val="bottom"/>
          </w:tcPr>
          <w:p>
            <w:pPr>
              <w:spacing w:after="0"/>
              <w:rPr>
                <w:sz w:val="1"/>
                <w:szCs w:val="1"/>
                <w:color w:val="auto"/>
              </w:rPr>
            </w:pPr>
          </w:p>
        </w:tc>
      </w:tr>
      <w:tr>
        <w:trPr>
          <w:trHeight w:val="207"/>
        </w:trPr>
        <w:tc>
          <w:tcPr>
            <w:tcW w:w="6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Professional fees</w:t>
            </w: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1,078,459</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529,524</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2,351,172</w:t>
            </w: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1,502,683</w:t>
            </w:r>
          </w:p>
        </w:tc>
        <w:tc>
          <w:tcPr>
            <w:tcW w:w="0" w:type="dxa"/>
            <w:vAlign w:val="bottom"/>
          </w:tcPr>
          <w:p>
            <w:pPr>
              <w:spacing w:after="0"/>
              <w:rPr>
                <w:sz w:val="1"/>
                <w:szCs w:val="1"/>
                <w:color w:val="auto"/>
              </w:rPr>
            </w:pPr>
          </w:p>
        </w:tc>
      </w:tr>
      <w:tr>
        <w:trPr>
          <w:trHeight w:val="205"/>
        </w:trPr>
        <w:tc>
          <w:tcPr>
            <w:tcW w:w="6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2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1,226,767</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9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2,427,553</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504,793</w:t>
            </w:r>
          </w:p>
        </w:tc>
        <w:tc>
          <w:tcPr>
            <w:tcW w:w="0" w:type="dxa"/>
            <w:vAlign w:val="bottom"/>
          </w:tcPr>
          <w:p>
            <w:pPr>
              <w:spacing w:after="0"/>
              <w:rPr>
                <w:sz w:val="1"/>
                <w:szCs w:val="1"/>
                <w:color w:val="auto"/>
              </w:rPr>
            </w:pPr>
          </w:p>
        </w:tc>
      </w:tr>
      <w:tr>
        <w:trPr>
          <w:trHeight w:val="209"/>
        </w:trPr>
        <w:tc>
          <w:tcPr>
            <w:tcW w:w="6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5,691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7,598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7,741</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9,623</w:t>
            </w:r>
          </w:p>
        </w:tc>
        <w:tc>
          <w:tcPr>
            <w:tcW w:w="0" w:type="dxa"/>
            <w:vAlign w:val="bottom"/>
          </w:tcPr>
          <w:p>
            <w:pPr>
              <w:spacing w:after="0"/>
              <w:rPr>
                <w:sz w:val="1"/>
                <w:szCs w:val="1"/>
                <w:color w:val="auto"/>
              </w:rPr>
            </w:pPr>
          </w:p>
        </w:tc>
      </w:tr>
      <w:tr>
        <w:trPr>
          <w:trHeight w:val="205"/>
        </w:trPr>
        <w:tc>
          <w:tcPr>
            <w:tcW w:w="61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Other expenses</w:t>
            </w:r>
          </w:p>
        </w:tc>
        <w:tc>
          <w:tcPr>
            <w:tcW w:w="2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439,512</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323,556</w:t>
            </w: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750,501</w:t>
            </w:r>
          </w:p>
        </w:tc>
        <w:tc>
          <w:tcPr>
            <w:tcW w:w="6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564,689</w:t>
            </w:r>
          </w:p>
        </w:tc>
        <w:tc>
          <w:tcPr>
            <w:tcW w:w="0" w:type="dxa"/>
            <w:vAlign w:val="bottom"/>
          </w:tcPr>
          <w:p>
            <w:pPr>
              <w:spacing w:after="0"/>
              <w:rPr>
                <w:sz w:val="1"/>
                <w:szCs w:val="1"/>
                <w:color w:val="auto"/>
              </w:rPr>
            </w:pPr>
          </w:p>
        </w:tc>
      </w:tr>
      <w:tr>
        <w:trPr>
          <w:trHeight w:val="202"/>
        </w:trPr>
        <w:tc>
          <w:tcPr>
            <w:tcW w:w="61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Operating Expenses</w:t>
            </w:r>
          </w:p>
        </w:tc>
        <w:tc>
          <w:tcPr>
            <w:tcW w:w="24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4,701,519</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2,317,820</w:t>
            </w:r>
          </w:p>
        </w:tc>
        <w:tc>
          <w:tcPr>
            <w:tcW w:w="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9,509,324</w:t>
            </w:r>
          </w:p>
        </w:tc>
        <w:tc>
          <w:tcPr>
            <w:tcW w:w="6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5,443,490</w:t>
            </w:r>
          </w:p>
        </w:tc>
        <w:tc>
          <w:tcPr>
            <w:tcW w:w="0" w:type="dxa"/>
            <w:vAlign w:val="bottom"/>
          </w:tcPr>
          <w:p>
            <w:pPr>
              <w:spacing w:after="0"/>
              <w:rPr>
                <w:sz w:val="1"/>
                <w:szCs w:val="1"/>
                <w:color w:val="auto"/>
              </w:rPr>
            </w:pPr>
          </w:p>
        </w:tc>
      </w:tr>
      <w:tr>
        <w:trPr>
          <w:trHeight w:val="198"/>
        </w:trPr>
        <w:tc>
          <w:tcPr>
            <w:tcW w:w="616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Net Investment Loss</w:t>
            </w:r>
          </w:p>
        </w:tc>
        <w:tc>
          <w:tcPr>
            <w:tcW w:w="2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(3,810,888)</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(2,043,000)</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(8,035,593)</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(4,877,318)</w:t>
            </w:r>
          </w:p>
        </w:tc>
        <w:tc>
          <w:tcPr>
            <w:tcW w:w="0" w:type="dxa"/>
            <w:vAlign w:val="bottom"/>
          </w:tcPr>
          <w:p>
            <w:pPr>
              <w:spacing w:after="0"/>
              <w:rPr>
                <w:sz w:val="1"/>
                <w:szCs w:val="1"/>
                <w:color w:val="auto"/>
              </w:rPr>
            </w:pPr>
          </w:p>
        </w:tc>
      </w:tr>
      <w:tr>
        <w:trPr>
          <w:trHeight w:val="222"/>
        </w:trPr>
        <w:tc>
          <w:tcPr>
            <w:tcW w:w="6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Realized Gain/(Loss) on Investments:</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6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Non-controlled/non-affiliated investments</w:t>
            </w:r>
          </w:p>
        </w:tc>
        <w:tc>
          <w:tcPr>
            <w:tcW w:w="2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(1,895,846)</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27,658,812</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1,200,429</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139,811,330</w:t>
            </w:r>
          </w:p>
        </w:tc>
        <w:tc>
          <w:tcPr>
            <w:tcW w:w="0" w:type="dxa"/>
            <w:vAlign w:val="bottom"/>
          </w:tcPr>
          <w:p>
            <w:pPr>
              <w:spacing w:after="0"/>
              <w:rPr>
                <w:sz w:val="1"/>
                <w:szCs w:val="1"/>
                <w:color w:val="auto"/>
              </w:rPr>
            </w:pPr>
          </w:p>
        </w:tc>
      </w:tr>
      <w:tr>
        <w:trPr>
          <w:trHeight w:val="209"/>
        </w:trPr>
        <w:tc>
          <w:tcPr>
            <w:tcW w:w="6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Non-controlled/affiliate investments</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(70,379)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(70,379)</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8"/>
        </w:trPr>
        <w:tc>
          <w:tcPr>
            <w:tcW w:w="616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Net Realized Gain/(Loss) on Investments</w:t>
            </w:r>
          </w:p>
        </w:tc>
        <w:tc>
          <w:tcPr>
            <w:tcW w:w="2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(1,966,225)</w:t>
            </w: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27,658,812</w:t>
            </w:r>
          </w:p>
        </w:tc>
        <w:tc>
          <w:tcPr>
            <w:tcW w:w="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1,130,050</w:t>
            </w:r>
          </w:p>
        </w:tc>
        <w:tc>
          <w:tcPr>
            <w:tcW w:w="6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139,811,330</w:t>
            </w:r>
          </w:p>
        </w:tc>
        <w:tc>
          <w:tcPr>
            <w:tcW w:w="0" w:type="dxa"/>
            <w:vAlign w:val="bottom"/>
          </w:tcPr>
          <w:p>
            <w:pPr>
              <w:spacing w:after="0"/>
              <w:rPr>
                <w:sz w:val="1"/>
                <w:szCs w:val="1"/>
                <w:color w:val="auto"/>
              </w:rPr>
            </w:pPr>
          </w:p>
        </w:tc>
      </w:tr>
      <w:tr>
        <w:trPr>
          <w:trHeight w:val="209"/>
        </w:trPr>
        <w:tc>
          <w:tcPr>
            <w:tcW w:w="6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Change in Unrealized Appreciation/(Depreciation) of Investments:</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6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Non-controlled/non-affiliated investments</w:t>
            </w:r>
          </w:p>
        </w:tc>
        <w:tc>
          <w:tcPr>
            <w:tcW w:w="2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(88,620,056)</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(12,065,362)</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(66,876,069)</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(15,330,669)</w:t>
            </w:r>
          </w:p>
        </w:tc>
        <w:tc>
          <w:tcPr>
            <w:tcW w:w="0" w:type="dxa"/>
            <w:vAlign w:val="bottom"/>
          </w:tcPr>
          <w:p>
            <w:pPr>
              <w:spacing w:after="0"/>
              <w:rPr>
                <w:sz w:val="1"/>
                <w:szCs w:val="1"/>
                <w:color w:val="auto"/>
              </w:rPr>
            </w:pPr>
          </w:p>
        </w:tc>
      </w:tr>
      <w:tr>
        <w:trPr>
          <w:trHeight w:val="209"/>
        </w:trPr>
        <w:tc>
          <w:tcPr>
            <w:tcW w:w="6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Non-controlled/affiliate investments</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(72,519)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19,817,253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(361,621)</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21,661,723</w:t>
            </w:r>
          </w:p>
        </w:tc>
        <w:tc>
          <w:tcPr>
            <w:tcW w:w="0" w:type="dxa"/>
            <w:vAlign w:val="bottom"/>
          </w:tcPr>
          <w:p>
            <w:pPr>
              <w:spacing w:after="0"/>
              <w:rPr>
                <w:sz w:val="1"/>
                <w:szCs w:val="1"/>
                <w:color w:val="auto"/>
              </w:rPr>
            </w:pPr>
          </w:p>
        </w:tc>
      </w:tr>
      <w:tr>
        <w:trPr>
          <w:trHeight w:val="205"/>
        </w:trPr>
        <w:tc>
          <w:tcPr>
            <w:tcW w:w="61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Controlled investments</w:t>
            </w:r>
          </w:p>
        </w:tc>
        <w:tc>
          <w:tcPr>
            <w:tcW w:w="2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130,000</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(10,639)</w:t>
            </w: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260,000</w:t>
            </w:r>
          </w:p>
        </w:tc>
        <w:tc>
          <w:tcPr>
            <w:tcW w:w="6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94,361</w:t>
            </w:r>
          </w:p>
        </w:tc>
        <w:tc>
          <w:tcPr>
            <w:tcW w:w="0" w:type="dxa"/>
            <w:vAlign w:val="bottom"/>
          </w:tcPr>
          <w:p>
            <w:pPr>
              <w:spacing w:after="0"/>
              <w:rPr>
                <w:sz w:val="1"/>
                <w:szCs w:val="1"/>
                <w:color w:val="auto"/>
              </w:rPr>
            </w:pPr>
          </w:p>
        </w:tc>
      </w:tr>
      <w:tr>
        <w:trPr>
          <w:trHeight w:val="200"/>
        </w:trPr>
        <w:tc>
          <w:tcPr>
            <w:tcW w:w="61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b w:val="1"/>
                <w:bCs w:val="1"/>
                <w:color w:val="auto"/>
              </w:rPr>
              <w:t>Net Change in Unrealized Appreciation/(Depreciation) of Investments</w:t>
            </w:r>
          </w:p>
        </w:tc>
        <w:tc>
          <w:tcPr>
            <w:tcW w:w="24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(88,562,575)</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7,741,252</w:t>
            </w:r>
          </w:p>
        </w:tc>
        <w:tc>
          <w:tcPr>
            <w:tcW w:w="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(66,977,690)</w:t>
            </w:r>
          </w:p>
        </w:tc>
        <w:tc>
          <w:tcPr>
            <w:tcW w:w="6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6,425,415</w:t>
            </w:r>
          </w:p>
        </w:tc>
        <w:tc>
          <w:tcPr>
            <w:tcW w:w="0" w:type="dxa"/>
            <w:vAlign w:val="bottom"/>
          </w:tcPr>
          <w:p>
            <w:pPr>
              <w:spacing w:after="0"/>
              <w:rPr>
                <w:sz w:val="1"/>
                <w:szCs w:val="1"/>
                <w:color w:val="auto"/>
              </w:rPr>
            </w:pPr>
          </w:p>
        </w:tc>
      </w:tr>
      <w:tr>
        <w:trPr>
          <w:trHeight w:val="202"/>
        </w:trPr>
        <w:tc>
          <w:tcPr>
            <w:tcW w:w="616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Net Change in Net Assets Resulting from Operations</w:t>
            </w:r>
          </w:p>
        </w:tc>
        <w:tc>
          <w:tcPr>
            <w:tcW w:w="24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(94,339,688)</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33,357,064</w:t>
            </w:r>
          </w:p>
        </w:tc>
        <w:tc>
          <w:tcPr>
            <w:tcW w:w="80" w:type="dxa"/>
            <w:vAlign w:val="bottom"/>
          </w:tcPr>
          <w:p>
            <w:pPr>
              <w:spacing w:after="0"/>
              <w:rPr>
                <w:sz w:val="17"/>
                <w:szCs w:val="17"/>
                <w:color w:val="auto"/>
              </w:rPr>
            </w:pPr>
          </w:p>
        </w:tc>
        <w:tc>
          <w:tcPr>
            <w:tcW w:w="24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(73,883,233)</w:t>
            </w:r>
          </w:p>
        </w:tc>
        <w:tc>
          <w:tcPr>
            <w:tcW w:w="60" w:type="dxa"/>
            <w:vAlign w:val="bottom"/>
          </w:tcPr>
          <w:p>
            <w:pPr>
              <w:spacing w:after="0"/>
              <w:rPr>
                <w:sz w:val="17"/>
                <w:szCs w:val="17"/>
                <w:color w:val="auto"/>
              </w:rPr>
            </w:pPr>
          </w:p>
        </w:tc>
        <w:tc>
          <w:tcPr>
            <w:tcW w:w="24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141,359,427</w:t>
            </w:r>
          </w:p>
        </w:tc>
        <w:tc>
          <w:tcPr>
            <w:tcW w:w="0" w:type="dxa"/>
            <w:vAlign w:val="bottom"/>
          </w:tcPr>
          <w:p>
            <w:pPr>
              <w:spacing w:after="0"/>
              <w:rPr>
                <w:sz w:val="1"/>
                <w:szCs w:val="1"/>
                <w:color w:val="auto"/>
              </w:rPr>
            </w:pPr>
          </w:p>
        </w:tc>
      </w:tr>
      <w:tr>
        <w:trPr>
          <w:trHeight w:val="20"/>
        </w:trPr>
        <w:tc>
          <w:tcPr>
            <w:tcW w:w="60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61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b w:val="1"/>
                <w:bCs w:val="1"/>
                <w:color w:val="auto"/>
              </w:rPr>
              <w:t>Net Change in Net Assets Resulting from Operations per Common Share:</w:t>
            </w:r>
          </w:p>
        </w:tc>
        <w:tc>
          <w:tcPr>
            <w:tcW w:w="2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616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Basic</w:t>
            </w:r>
          </w:p>
        </w:tc>
        <w:tc>
          <w:tcPr>
            <w:tcW w:w="24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(3.08)</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80" w:type="dxa"/>
            <w:vAlign w:val="bottom"/>
          </w:tcPr>
          <w:p>
            <w:pPr>
              <w:spacing w:after="0"/>
              <w:rPr>
                <w:sz w:val="17"/>
                <w:szCs w:val="17"/>
                <w:color w:val="auto"/>
              </w:rPr>
            </w:pPr>
          </w:p>
        </w:tc>
        <w:tc>
          <w:tcPr>
            <w:tcW w:w="24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(2.39)</w:t>
            </w:r>
          </w:p>
        </w:tc>
        <w:tc>
          <w:tcPr>
            <w:tcW w:w="60" w:type="dxa"/>
            <w:vAlign w:val="bottom"/>
          </w:tcPr>
          <w:p>
            <w:pPr>
              <w:spacing w:after="0"/>
              <w:rPr>
                <w:sz w:val="17"/>
                <w:szCs w:val="17"/>
                <w:color w:val="auto"/>
              </w:rPr>
            </w:pPr>
          </w:p>
        </w:tc>
        <w:tc>
          <w:tcPr>
            <w:tcW w:w="24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6.17</w:t>
            </w:r>
          </w:p>
        </w:tc>
        <w:tc>
          <w:tcPr>
            <w:tcW w:w="0" w:type="dxa"/>
            <w:vAlign w:val="bottom"/>
          </w:tcPr>
          <w:p>
            <w:pPr>
              <w:spacing w:after="0"/>
              <w:rPr>
                <w:sz w:val="1"/>
                <w:szCs w:val="1"/>
                <w:color w:val="auto"/>
              </w:rPr>
            </w:pPr>
          </w:p>
        </w:tc>
      </w:tr>
      <w:tr>
        <w:trPr>
          <w:trHeight w:val="20"/>
        </w:trPr>
        <w:tc>
          <w:tcPr>
            <w:tcW w:w="60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160" w:type="dxa"/>
            <w:vAlign w:val="bottom"/>
            <w:tcBorders>
              <w:bottom w:val="single" w:sz="8" w:color="CCEEFF"/>
            </w:tcBorders>
            <w:gridSpan w:val="2"/>
            <w:shd w:val="clear" w:color="auto" w:fill="CCEEFF"/>
          </w:tcPr>
          <w:p>
            <w:pPr>
              <w:ind w:left="340"/>
              <w:spacing w:after="0" w:line="199" w:lineRule="exact"/>
              <w:rPr>
                <w:sz w:val="20"/>
                <w:szCs w:val="20"/>
                <w:color w:val="auto"/>
              </w:rPr>
            </w:pPr>
            <w:r>
              <w:rPr>
                <w:rFonts w:ascii="Times New Roman" w:cs="Times New Roman" w:eastAsia="Times New Roman" w:hAnsi="Times New Roman"/>
                <w:sz w:val="16"/>
                <w:szCs w:val="16"/>
                <w:color w:val="auto"/>
              </w:rPr>
              <w:t>Diluted</w:t>
            </w:r>
            <w:r>
              <w:rPr>
                <w:rFonts w:ascii="Times New Roman" w:cs="Times New Roman" w:eastAsia="Times New Roman" w:hAnsi="Times New Roman"/>
                <w:sz w:val="20"/>
                <w:szCs w:val="20"/>
                <w:color w:val="auto"/>
                <w:vertAlign w:val="superscript"/>
              </w:rPr>
              <w:t>(1)</w:t>
            </w:r>
          </w:p>
        </w:tc>
        <w:tc>
          <w:tcPr>
            <w:tcW w:w="240" w:type="dxa"/>
            <w:vAlign w:val="bottom"/>
            <w:tcBorders>
              <w:bottom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w:t>
            </w:r>
          </w:p>
        </w:tc>
        <w:tc>
          <w:tcPr>
            <w:tcW w:w="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5.74</w:t>
            </w:r>
          </w:p>
        </w:tc>
        <w:tc>
          <w:tcPr>
            <w:tcW w:w="0" w:type="dxa"/>
            <w:vAlign w:val="bottom"/>
          </w:tcPr>
          <w:p>
            <w:pPr>
              <w:spacing w:after="0"/>
              <w:rPr>
                <w:sz w:val="1"/>
                <w:szCs w:val="1"/>
                <w:color w:val="auto"/>
              </w:rPr>
            </w:pPr>
          </w:p>
        </w:tc>
      </w:tr>
      <w:tr>
        <w:trPr>
          <w:trHeight w:val="20"/>
        </w:trPr>
        <w:tc>
          <w:tcPr>
            <w:tcW w:w="616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Weighted-Average Common Shares Outstanding</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616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61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Basic</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30,633,878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25,334,482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30,929,321</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22,923,943</w:t>
            </w:r>
          </w:p>
        </w:tc>
        <w:tc>
          <w:tcPr>
            <w:tcW w:w="0" w:type="dxa"/>
            <w:vAlign w:val="bottom"/>
          </w:tcPr>
          <w:p>
            <w:pPr>
              <w:spacing w:after="0"/>
              <w:rPr>
                <w:sz w:val="1"/>
                <w:szCs w:val="1"/>
                <w:color w:val="auto"/>
              </w:rPr>
            </w:pPr>
          </w:p>
        </w:tc>
      </w:tr>
      <w:tr>
        <w:trPr>
          <w:trHeight w:val="268"/>
        </w:trPr>
        <w:tc>
          <w:tcPr>
            <w:tcW w:w="616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Diluted</w:t>
            </w:r>
            <w:r>
              <w:rPr>
                <w:rFonts w:ascii="Times New Roman" w:cs="Times New Roman" w:eastAsia="Times New Roman" w:hAnsi="Times New Roman"/>
                <w:sz w:val="20"/>
                <w:szCs w:val="20"/>
                <w:color w:val="auto"/>
                <w:vertAlign w:val="superscript"/>
              </w:rPr>
              <w:t>(1)</w:t>
            </w:r>
          </w:p>
        </w:tc>
        <w:tc>
          <w:tcPr>
            <w:tcW w:w="2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30,633,878</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25,334,482</w:t>
            </w: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30,929,321</w:t>
            </w: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24,732,256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-2387600</wp:posOffset>
            </wp:positionV>
            <wp:extent cx="3852545" cy="1479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852545" cy="14795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4"/>
          <w:szCs w:val="14"/>
          <w:i w:val="1"/>
          <w:iCs w:val="1"/>
          <w:color w:val="auto"/>
        </w:rPr>
        <w:t>See accompanying notes to condensed consolidated financial statements.</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3"/>
          <w:szCs w:val="3"/>
          <w:color w:val="auto"/>
        </w:rPr>
        <w:t>____________________________________________________________________________________________________________________________</w:t>
      </w:r>
    </w:p>
    <w:p>
      <w:pPr>
        <w:spacing w:after="0" w:line="200" w:lineRule="exact"/>
        <w:rPr>
          <w:sz w:val="20"/>
          <w:szCs w:val="20"/>
          <w:color w:val="auto"/>
        </w:rPr>
      </w:pPr>
    </w:p>
    <w:p>
      <w:pPr>
        <w:spacing w:after="0" w:line="269" w:lineRule="exact"/>
        <w:rPr>
          <w:sz w:val="20"/>
          <w:szCs w:val="20"/>
          <w:color w:val="auto"/>
        </w:rPr>
      </w:pPr>
    </w:p>
    <w:p>
      <w:pPr>
        <w:ind w:left="320" w:hanging="317"/>
        <w:spacing w:after="0" w:line="249" w:lineRule="auto"/>
        <w:tabs>
          <w:tab w:leader="none" w:pos="381"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three and six months ended June 30, 2022 and June 30, 2021, there were no potentially dilutive securities outstanding. Refer to "Note 6—Net Change in Net Assets Resulting from Operations per Common Share—Basic and Diluted".</w:t>
      </w:r>
    </w:p>
    <w:p>
      <w:pPr>
        <w:ind w:left="300" w:hanging="297"/>
        <w:spacing w:after="0"/>
        <w:tabs>
          <w:tab w:leader="none" w:pos="3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Refer to "Note 11—Stock-Based Compensation" for more detail.</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ectPr>
          <w:pgSz w:w="11900" w:h="16838" w:orient="portrait"/>
          <w:cols w:equalWidth="0" w:num="1">
            <w:col w:w="11240"/>
          </w:cols>
          <w:pgMar w:left="320" w:top="118"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color w:val="0000FF"/>
        </w:rPr>
        <w:t>TABLE OF CONTENTS</w:t>
      </w:r>
    </w:p>
    <w:p>
      <w:pPr>
        <w:spacing w:after="0" w:line="200" w:lineRule="exact"/>
        <w:rPr>
          <w:sz w:val="20"/>
          <w:szCs w:val="20"/>
          <w:color w:val="auto"/>
        </w:rPr>
      </w:pPr>
    </w:p>
    <w:p>
      <w:pPr>
        <w:spacing w:after="0" w:line="378" w:lineRule="exact"/>
        <w:rPr>
          <w:sz w:val="20"/>
          <w:szCs w:val="20"/>
          <w:color w:val="auto"/>
        </w:rPr>
      </w:pPr>
    </w:p>
    <w:p>
      <w:pPr>
        <w:jc w:val="center"/>
        <w:ind w:right="-739"/>
        <w:spacing w:after="0"/>
        <w:rPr>
          <w:sz w:val="20"/>
          <w:szCs w:val="20"/>
          <w:color w:val="auto"/>
        </w:rPr>
      </w:pPr>
      <w:r>
        <w:rPr>
          <w:rFonts w:ascii="Times New Roman" w:cs="Times New Roman" w:eastAsia="Times New Roman" w:hAnsi="Times New Roman"/>
          <w:sz w:val="17"/>
          <w:szCs w:val="17"/>
          <w:b w:val="1"/>
          <w:bCs w:val="1"/>
          <w:color w:val="auto"/>
        </w:rPr>
        <w:t>SURO CAPITAL CORP. AND SUBSIDIARIES</w:t>
      </w:r>
    </w:p>
    <w:p>
      <w:pPr>
        <w:spacing w:after="0" w:line="32" w:lineRule="exact"/>
        <w:rPr>
          <w:sz w:val="20"/>
          <w:szCs w:val="20"/>
          <w:color w:val="auto"/>
        </w:rPr>
      </w:pPr>
    </w:p>
    <w:p>
      <w:pPr>
        <w:jc w:val="center"/>
        <w:ind w:right="-739"/>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CHANGES IN NET ASSETS (UNAUDITED)</w:t>
      </w:r>
    </w:p>
    <w:p>
      <w:pPr>
        <w:spacing w:after="0" w:line="258" w:lineRule="exact"/>
        <w:rPr>
          <w:sz w:val="20"/>
          <w:szCs w:val="20"/>
          <w:color w:val="auto"/>
        </w:rPr>
      </w:pPr>
    </w:p>
    <w:tbl>
      <w:tblPr>
        <w:tblLayout w:type="fixed"/>
        <w:tblInd w:w="740" w:type="dxa"/>
        <w:tblCellMar>
          <w:top w:w="0" w:type="dxa"/>
          <w:left w:w="0" w:type="dxa"/>
          <w:bottom w:w="0" w:type="dxa"/>
          <w:right w:w="0" w:type="dxa"/>
        </w:tblCellMar>
      </w:tblPr>
      <w:tr>
        <w:trPr>
          <w:trHeight w:val="183"/>
        </w:trPr>
        <w:tc>
          <w:tcPr>
            <w:tcW w:w="68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0" w:type="dxa"/>
            <w:vAlign w:val="bottom"/>
            <w:gridSpan w:val="4"/>
          </w:tcPr>
          <w:p>
            <w:pPr>
              <w:jc w:val="right"/>
              <w:ind w:right="563"/>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3"/>
        </w:trPr>
        <w:tc>
          <w:tcPr>
            <w:tcW w:w="68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81"/>
        </w:trPr>
        <w:tc>
          <w:tcPr>
            <w:tcW w:w="686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8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8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05"/>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Assets at Beginning of Year</w:t>
            </w:r>
          </w:p>
        </w:tc>
        <w:tc>
          <w:tcPr>
            <w:tcW w:w="30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364,846,624</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301,583,073</w:t>
            </w:r>
          </w:p>
        </w:tc>
      </w:tr>
      <w:tr>
        <w:trPr>
          <w:trHeight w:val="259"/>
        </w:trPr>
        <w:tc>
          <w:tcPr>
            <w:tcW w:w="68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07"/>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Change in Net Assets Resulting from Operations</w:t>
            </w:r>
          </w:p>
        </w:tc>
        <w:tc>
          <w:tcPr>
            <w:tcW w:w="3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05"/>
        </w:trPr>
        <w:tc>
          <w:tcPr>
            <w:tcW w:w="6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investment loss</w:t>
            </w:r>
          </w:p>
        </w:tc>
        <w:tc>
          <w:tcPr>
            <w:tcW w:w="3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(4,224,705)</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(2,834,318)</w:t>
            </w:r>
          </w:p>
        </w:tc>
      </w:tr>
      <w:tr>
        <w:trPr>
          <w:trHeight w:val="209"/>
        </w:trPr>
        <w:tc>
          <w:tcPr>
            <w:tcW w:w="6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realized gain on investments</w:t>
            </w: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3,096,275</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112,152,518</w:t>
            </w:r>
          </w:p>
        </w:tc>
      </w:tr>
      <w:tr>
        <w:trPr>
          <w:trHeight w:val="205"/>
        </w:trPr>
        <w:tc>
          <w:tcPr>
            <w:tcW w:w="68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Net change in unrealized appreciation/(depreciation) of investments</w:t>
            </w:r>
          </w:p>
        </w:tc>
        <w:tc>
          <w:tcPr>
            <w:tcW w:w="3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21,584,885</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(1,315,837)</w:t>
            </w:r>
          </w:p>
        </w:tc>
      </w:tr>
      <w:tr>
        <w:trPr>
          <w:trHeight w:val="202"/>
        </w:trPr>
        <w:tc>
          <w:tcPr>
            <w:tcW w:w="6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b w:val="1"/>
                <w:bCs w:val="1"/>
                <w:color w:val="auto"/>
              </w:rPr>
              <w:t>Net Change in Net Assets Resulting from Operations</w:t>
            </w:r>
          </w:p>
        </w:tc>
        <w:tc>
          <w:tcPr>
            <w:tcW w:w="3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20,456,455</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108,002,363</w:t>
            </w:r>
          </w:p>
        </w:tc>
      </w:tr>
      <w:tr>
        <w:trPr>
          <w:trHeight w:val="206"/>
        </w:trPr>
        <w:tc>
          <w:tcPr>
            <w:tcW w:w="68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Distributions</w:t>
            </w: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8"/>
        </w:trPr>
        <w:tc>
          <w:tcPr>
            <w:tcW w:w="6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Dividends declared</w:t>
            </w:r>
          </w:p>
        </w:tc>
        <w:tc>
          <w:tcPr>
            <w:tcW w:w="3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(3,441,824)</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(11,032,436)</w:t>
            </w:r>
          </w:p>
        </w:tc>
      </w:tr>
      <w:tr>
        <w:trPr>
          <w:trHeight w:val="198"/>
        </w:trPr>
        <w:tc>
          <w:tcPr>
            <w:tcW w:w="686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Total Distributions</w:t>
            </w:r>
          </w:p>
        </w:tc>
        <w:tc>
          <w:tcPr>
            <w:tcW w:w="3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(3,441,824)</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(11,032,436)</w:t>
            </w:r>
          </w:p>
        </w:tc>
      </w:tr>
      <w:tr>
        <w:trPr>
          <w:trHeight w:val="209"/>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Change in Net Assets Resulting from Capital Transactions</w:t>
            </w: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05"/>
        </w:trPr>
        <w:tc>
          <w:tcPr>
            <w:tcW w:w="6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Issuance of common stock from public offering</w:t>
            </w:r>
          </w:p>
        </w:tc>
        <w:tc>
          <w:tcPr>
            <w:tcW w:w="3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229,896</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9"/>
        </w:trPr>
        <w:tc>
          <w:tcPr>
            <w:tcW w:w="6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Issuance of common stock from conversion of 4.75% Convertible Notes due 2023</w:t>
            </w:r>
          </w:p>
        </w:tc>
        <w:tc>
          <w:tcPr>
            <w:tcW w:w="3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37,259,819</w:t>
            </w:r>
          </w:p>
        </w:tc>
      </w:tr>
      <w:tr>
        <w:trPr>
          <w:trHeight w:val="205"/>
        </w:trPr>
        <w:tc>
          <w:tcPr>
            <w:tcW w:w="6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Stock-based compensation</w:t>
            </w:r>
          </w:p>
        </w:tc>
        <w:tc>
          <w:tcPr>
            <w:tcW w:w="3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(30,016)</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148,802</w:t>
            </w:r>
          </w:p>
        </w:tc>
      </w:tr>
      <w:tr>
        <w:trPr>
          <w:trHeight w:val="209"/>
        </w:trPr>
        <w:tc>
          <w:tcPr>
            <w:tcW w:w="6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Repurchases of common stock</w:t>
            </w:r>
          </w:p>
        </w:tc>
        <w:tc>
          <w:tcPr>
            <w:tcW w:w="3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(1,359,607)</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98"/>
        </w:trPr>
        <w:tc>
          <w:tcPr>
            <w:tcW w:w="68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b w:val="1"/>
                <w:bCs w:val="1"/>
                <w:color w:val="auto"/>
              </w:rPr>
              <w:t>Net Change in Net Assets Resulting from Capital Transactions</w:t>
            </w:r>
          </w:p>
        </w:tc>
        <w:tc>
          <w:tcPr>
            <w:tcW w:w="3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(1,159,727)</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37,408,621</w:t>
            </w:r>
          </w:p>
        </w:tc>
      </w:tr>
      <w:tr>
        <w:trPr>
          <w:trHeight w:val="200"/>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Change in Net Assets</w:t>
            </w:r>
          </w:p>
        </w:tc>
        <w:tc>
          <w:tcPr>
            <w:tcW w:w="30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15,854,904</w:t>
            </w:r>
          </w:p>
        </w:tc>
        <w:tc>
          <w:tcPr>
            <w:tcW w:w="1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134,378,548</w:t>
            </w:r>
          </w:p>
        </w:tc>
      </w:tr>
      <w:tr>
        <w:trPr>
          <w:trHeight w:val="202"/>
        </w:trPr>
        <w:tc>
          <w:tcPr>
            <w:tcW w:w="68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Assets at March 31</w:t>
            </w:r>
          </w:p>
        </w:tc>
        <w:tc>
          <w:tcPr>
            <w:tcW w:w="30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380,701,528</w:t>
            </w:r>
          </w:p>
        </w:tc>
        <w:tc>
          <w:tcPr>
            <w:tcW w:w="120" w:type="dxa"/>
            <w:vAlign w:val="bottom"/>
          </w:tcPr>
          <w:p>
            <w:pPr>
              <w:spacing w:after="0"/>
              <w:rPr>
                <w:sz w:val="17"/>
                <w:szCs w:val="17"/>
                <w:color w:val="auto"/>
              </w:rPr>
            </w:pPr>
          </w:p>
        </w:tc>
        <w:tc>
          <w:tcPr>
            <w:tcW w:w="320" w:type="dxa"/>
            <w:vAlign w:val="bottom"/>
            <w:tcBorders>
              <w:bottom w:val="single" w:sz="8" w:color="auto"/>
            </w:tcBorders>
          </w:tcPr>
          <w:p>
            <w:pPr>
              <w:jc w:val="right"/>
              <w:ind w:right="162"/>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435,961,621</w:t>
            </w:r>
          </w:p>
        </w:tc>
      </w:tr>
      <w:tr>
        <w:trPr>
          <w:trHeight w:val="20"/>
        </w:trPr>
        <w:tc>
          <w:tcPr>
            <w:tcW w:w="68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25"/>
        </w:trPr>
        <w:tc>
          <w:tcPr>
            <w:tcW w:w="68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06"/>
        </w:trPr>
        <w:tc>
          <w:tcPr>
            <w:tcW w:w="68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Change in Net Assets Resulting from Operations</w:t>
            </w: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8"/>
        </w:trPr>
        <w:tc>
          <w:tcPr>
            <w:tcW w:w="6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investment loss</w:t>
            </w: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(3,810,888)</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(2,043,000)</w:t>
            </w:r>
          </w:p>
        </w:tc>
      </w:tr>
      <w:tr>
        <w:trPr>
          <w:trHeight w:val="205"/>
        </w:trPr>
        <w:tc>
          <w:tcPr>
            <w:tcW w:w="6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realized gain/(loss) on investments</w:t>
            </w:r>
          </w:p>
        </w:tc>
        <w:tc>
          <w:tcPr>
            <w:tcW w:w="3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(1,966,225)</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27,658,812</w:t>
            </w:r>
          </w:p>
        </w:tc>
      </w:tr>
      <w:tr>
        <w:trPr>
          <w:trHeight w:val="209"/>
        </w:trPr>
        <w:tc>
          <w:tcPr>
            <w:tcW w:w="6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change in unrealized appreciation/(depreciation) of investments</w:t>
            </w:r>
          </w:p>
        </w:tc>
        <w:tc>
          <w:tcPr>
            <w:tcW w:w="3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(88,562,575)</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7,741,252</w:t>
            </w:r>
          </w:p>
        </w:tc>
      </w:tr>
      <w:tr>
        <w:trPr>
          <w:trHeight w:val="198"/>
        </w:trPr>
        <w:tc>
          <w:tcPr>
            <w:tcW w:w="6860" w:type="dxa"/>
            <w:vAlign w:val="bottom"/>
          </w:tcPr>
          <w:p>
            <w:pPr>
              <w:ind w:left="220"/>
              <w:spacing w:after="0"/>
              <w:rPr>
                <w:sz w:val="20"/>
                <w:szCs w:val="20"/>
                <w:color w:val="auto"/>
              </w:rPr>
            </w:pPr>
            <w:r>
              <w:rPr>
                <w:rFonts w:ascii="Times New Roman" w:cs="Times New Roman" w:eastAsia="Times New Roman" w:hAnsi="Times New Roman"/>
                <w:sz w:val="16"/>
                <w:szCs w:val="16"/>
                <w:b w:val="1"/>
                <w:bCs w:val="1"/>
                <w:color w:val="auto"/>
              </w:rPr>
              <w:t>Net Change in Net Assets Resulting from Operations</w:t>
            </w:r>
          </w:p>
        </w:tc>
        <w:tc>
          <w:tcPr>
            <w:tcW w:w="3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(94,339,688)</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33,357,064</w:t>
            </w:r>
          </w:p>
        </w:tc>
      </w:tr>
      <w:tr>
        <w:trPr>
          <w:trHeight w:val="209"/>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Distributions</w:t>
            </w: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05"/>
        </w:trPr>
        <w:tc>
          <w:tcPr>
            <w:tcW w:w="6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Dividends declared</w:t>
            </w:r>
          </w:p>
        </w:tc>
        <w:tc>
          <w:tcPr>
            <w:tcW w:w="300" w:type="dxa"/>
            <w:vAlign w:val="bottom"/>
          </w:tcPr>
          <w:p>
            <w:pPr>
              <w:spacing w:after="0"/>
              <w:rPr>
                <w:sz w:val="17"/>
                <w:szCs w:val="17"/>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(60,513,038)</w:t>
            </w:r>
          </w:p>
        </w:tc>
      </w:tr>
      <w:tr>
        <w:trPr>
          <w:trHeight w:val="202"/>
        </w:trPr>
        <w:tc>
          <w:tcPr>
            <w:tcW w:w="686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Total Distributions</w:t>
            </w:r>
          </w:p>
        </w:tc>
        <w:tc>
          <w:tcPr>
            <w:tcW w:w="30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(60,513,038)</w:t>
            </w:r>
          </w:p>
        </w:tc>
      </w:tr>
      <w:tr>
        <w:trPr>
          <w:trHeight w:val="206"/>
        </w:trPr>
        <w:tc>
          <w:tcPr>
            <w:tcW w:w="68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Change in Net Assets Resulting from Capital Transactions</w:t>
            </w: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8"/>
        </w:trPr>
        <w:tc>
          <w:tcPr>
            <w:tcW w:w="6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Issuance of common stock from stock dividend</w:t>
            </w:r>
          </w:p>
        </w:tc>
        <w:tc>
          <w:tcPr>
            <w:tcW w:w="3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30,525,336</w:t>
            </w:r>
          </w:p>
        </w:tc>
      </w:tr>
      <w:tr>
        <w:trPr>
          <w:trHeight w:val="205"/>
        </w:trPr>
        <w:tc>
          <w:tcPr>
            <w:tcW w:w="6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Stock-based compensation</w:t>
            </w:r>
          </w:p>
        </w:tc>
        <w:tc>
          <w:tcPr>
            <w:tcW w:w="3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703,566</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261,746</w:t>
            </w:r>
          </w:p>
        </w:tc>
      </w:tr>
      <w:tr>
        <w:trPr>
          <w:trHeight w:val="207"/>
        </w:trPr>
        <w:tc>
          <w:tcPr>
            <w:tcW w:w="68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Repurchases of common stock</w:t>
            </w:r>
          </w:p>
        </w:tc>
        <w:tc>
          <w:tcPr>
            <w:tcW w:w="30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(6,892,934)</w:t>
            </w:r>
          </w:p>
        </w:tc>
        <w:tc>
          <w:tcPr>
            <w:tcW w:w="1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1"/>
        </w:trPr>
        <w:tc>
          <w:tcPr>
            <w:tcW w:w="68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b w:val="1"/>
                <w:bCs w:val="1"/>
                <w:color w:val="auto"/>
              </w:rPr>
              <w:t>Net Change in Net Assets Resulting from Capital Transactions</w:t>
            </w:r>
          </w:p>
        </w:tc>
        <w:tc>
          <w:tcPr>
            <w:tcW w:w="3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(6,189,368)</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30,787,082</w:t>
            </w:r>
          </w:p>
        </w:tc>
      </w:tr>
      <w:tr>
        <w:trPr>
          <w:trHeight w:val="199"/>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Change in Net Assets</w:t>
            </w:r>
          </w:p>
        </w:tc>
        <w:tc>
          <w:tcPr>
            <w:tcW w:w="30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(100,529,056)</w:t>
            </w:r>
          </w:p>
        </w:tc>
        <w:tc>
          <w:tcPr>
            <w:tcW w:w="1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3,631,108</w:t>
            </w:r>
          </w:p>
        </w:tc>
      </w:tr>
      <w:tr>
        <w:trPr>
          <w:trHeight w:val="202"/>
        </w:trPr>
        <w:tc>
          <w:tcPr>
            <w:tcW w:w="68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Assets at June 30</w:t>
            </w:r>
          </w:p>
        </w:tc>
        <w:tc>
          <w:tcPr>
            <w:tcW w:w="30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280,172,472</w:t>
            </w:r>
          </w:p>
        </w:tc>
        <w:tc>
          <w:tcPr>
            <w:tcW w:w="120" w:type="dxa"/>
            <w:vAlign w:val="bottom"/>
          </w:tcPr>
          <w:p>
            <w:pPr>
              <w:spacing w:after="0"/>
              <w:rPr>
                <w:sz w:val="17"/>
                <w:szCs w:val="17"/>
                <w:color w:val="auto"/>
              </w:rPr>
            </w:pPr>
          </w:p>
        </w:tc>
        <w:tc>
          <w:tcPr>
            <w:tcW w:w="320" w:type="dxa"/>
            <w:vAlign w:val="bottom"/>
            <w:tcBorders>
              <w:bottom w:val="single" w:sz="8" w:color="auto"/>
            </w:tcBorders>
          </w:tcPr>
          <w:p>
            <w:pPr>
              <w:jc w:val="right"/>
              <w:ind w:right="162"/>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439,592,729</w:t>
            </w:r>
          </w:p>
        </w:tc>
      </w:tr>
      <w:tr>
        <w:trPr>
          <w:trHeight w:val="20"/>
        </w:trPr>
        <w:tc>
          <w:tcPr>
            <w:tcW w:w="68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25"/>
        </w:trPr>
        <w:tc>
          <w:tcPr>
            <w:tcW w:w="68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06"/>
        </w:trPr>
        <w:tc>
          <w:tcPr>
            <w:tcW w:w="68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Capital Share Activity</w:t>
            </w: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8"/>
        </w:trPr>
        <w:tc>
          <w:tcPr>
            <w:tcW w:w="6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Shares outstanding at beginning of year</w:t>
            </w: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31,118,556</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19,914,023</w:t>
            </w:r>
          </w:p>
        </w:tc>
      </w:tr>
      <w:tr>
        <w:trPr>
          <w:trHeight w:val="205"/>
        </w:trPr>
        <w:tc>
          <w:tcPr>
            <w:tcW w:w="6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Issuance of common stock from public offering</w:t>
            </w:r>
          </w:p>
        </w:tc>
        <w:tc>
          <w:tcPr>
            <w:tcW w:w="3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17,807</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9"/>
        </w:trPr>
        <w:tc>
          <w:tcPr>
            <w:tcW w:w="6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Issuance of common stock under restricted stock plan</w:t>
            </w: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197,500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193,385</w:t>
            </w:r>
          </w:p>
        </w:tc>
      </w:tr>
      <w:tr>
        <w:trPr>
          <w:trHeight w:val="205"/>
        </w:trPr>
        <w:tc>
          <w:tcPr>
            <w:tcW w:w="6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Issuance of common stock from conversion of 4.75% Convertible Notes due 2023</w:t>
            </w:r>
          </w:p>
        </w:tc>
        <w:tc>
          <w:tcPr>
            <w:tcW w:w="300" w:type="dxa"/>
            <w:vAlign w:val="bottom"/>
          </w:tcPr>
          <w:p>
            <w:pPr>
              <w:spacing w:after="0"/>
              <w:rPr>
                <w:sz w:val="17"/>
                <w:szCs w:val="17"/>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4,097,808</w:t>
            </w:r>
          </w:p>
        </w:tc>
      </w:tr>
      <w:tr>
        <w:trPr>
          <w:trHeight w:val="209"/>
        </w:trPr>
        <w:tc>
          <w:tcPr>
            <w:tcW w:w="6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Issuance of common stock from stock dividend</w:t>
            </w:r>
          </w:p>
        </w:tc>
        <w:tc>
          <w:tcPr>
            <w:tcW w:w="3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2,335,527</w:t>
            </w:r>
          </w:p>
        </w:tc>
      </w:tr>
      <w:tr>
        <w:trPr>
          <w:trHeight w:val="205"/>
        </w:trPr>
        <w:tc>
          <w:tcPr>
            <w:tcW w:w="68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Shares repurchased</w:t>
            </w:r>
          </w:p>
        </w:tc>
        <w:tc>
          <w:tcPr>
            <w:tcW w:w="3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(1,008,676)</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7"/>
        </w:trPr>
        <w:tc>
          <w:tcPr>
            <w:tcW w:w="6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Shares Outstanding at End of Period</w:t>
            </w: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30,325,187</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26,540,743</w:t>
            </w: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470535</wp:posOffset>
            </wp:positionH>
            <wp:positionV relativeFrom="paragraph">
              <wp:posOffset>-1691640</wp:posOffset>
            </wp:positionV>
            <wp:extent cx="4361815" cy="1479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361815" cy="147955"/>
                    </a:xfrm>
                    <a:prstGeom prst="rect">
                      <a:avLst/>
                    </a:prstGeom>
                    <a:noFill/>
                  </pic:spPr>
                </pic:pic>
              </a:graphicData>
            </a:graphic>
          </wp:anchor>
        </w:drawing>
        <w:drawing>
          <wp:anchor simplePos="0" relativeHeight="251657728" behindDoc="1" locked="0" layoutInCell="0" allowOverlap="1">
            <wp:simplePos x="0" y="0"/>
            <wp:positionH relativeFrom="column">
              <wp:posOffset>470535</wp:posOffset>
            </wp:positionH>
            <wp:positionV relativeFrom="paragraph">
              <wp:posOffset>-3884930</wp:posOffset>
            </wp:positionV>
            <wp:extent cx="4361815" cy="1479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361815" cy="147955"/>
                    </a:xfrm>
                    <a:prstGeom prst="rect">
                      <a:avLst/>
                    </a:prstGeom>
                    <a:noFill/>
                  </pic:spPr>
                </pic:pic>
              </a:graphicData>
            </a:graphic>
          </wp:anchor>
        </w:drawing>
      </w:r>
    </w:p>
    <w:p>
      <w:pPr>
        <w:spacing w:after="0" w:line="253"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4"/>
          <w:szCs w:val="14"/>
          <w:i w:val="1"/>
          <w:iCs w:val="1"/>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7"/>
          <w:szCs w:val="17"/>
          <w:color w:val="auto"/>
        </w:rPr>
        <w:t>3</w:t>
      </w:r>
    </w:p>
    <w:p>
      <w:pPr>
        <w:sectPr>
          <w:pgSz w:w="11900" w:h="16838" w:orient="portrait"/>
          <w:cols w:equalWidth="0" w:num="1">
            <w:col w:w="10500"/>
          </w:cols>
          <w:pgMar w:left="320" w:top="118" w:right="107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color w:val="0000FF"/>
        </w:rPr>
        <w:t>TABLE OF CONTENTS</w:t>
      </w:r>
    </w:p>
    <w:p>
      <w:pPr>
        <w:spacing w:after="0" w:line="19" w:lineRule="exact"/>
        <w:rPr>
          <w:sz w:val="20"/>
          <w:szCs w:val="20"/>
          <w:color w:val="auto"/>
        </w:rPr>
      </w:pPr>
    </w:p>
    <w:p>
      <w:pPr>
        <w:jc w:val="center"/>
        <w:ind w:right="-819"/>
        <w:spacing w:after="0"/>
        <w:rPr>
          <w:sz w:val="20"/>
          <w:szCs w:val="20"/>
          <w:color w:val="auto"/>
        </w:rPr>
      </w:pPr>
      <w:r>
        <w:rPr>
          <w:rFonts w:ascii="Times New Roman" w:cs="Times New Roman" w:eastAsia="Times New Roman" w:hAnsi="Times New Roman"/>
          <w:sz w:val="17"/>
          <w:szCs w:val="17"/>
          <w:b w:val="1"/>
          <w:bCs w:val="1"/>
          <w:color w:val="auto"/>
        </w:rPr>
        <w:t>SURO CAPITAL CORP. AND SUBSIDIARIES</w:t>
      </w:r>
    </w:p>
    <w:p>
      <w:pPr>
        <w:spacing w:after="0" w:line="21" w:lineRule="exact"/>
        <w:rPr>
          <w:sz w:val="20"/>
          <w:szCs w:val="20"/>
          <w:color w:val="auto"/>
        </w:rPr>
      </w:pPr>
    </w:p>
    <w:p>
      <w:pPr>
        <w:jc w:val="center"/>
        <w:ind w:right="-819"/>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CASH FLOWS (UNAUDITED)</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tbl>
      <w:tblPr>
        <w:tblLayout w:type="fixed"/>
        <w:tblInd w:w="820" w:type="dxa"/>
        <w:tblCellMar>
          <w:top w:w="0" w:type="dxa"/>
          <w:left w:w="0" w:type="dxa"/>
          <w:bottom w:w="0" w:type="dxa"/>
          <w:right w:w="0" w:type="dxa"/>
        </w:tblCellMar>
      </w:tblPr>
      <w:tr>
        <w:trPr>
          <w:trHeight w:val="183"/>
        </w:trPr>
        <w:tc>
          <w:tcPr>
            <w:tcW w:w="64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800" w:type="dxa"/>
            <w:vAlign w:val="bottom"/>
            <w:gridSpan w:val="4"/>
          </w:tcPr>
          <w:p>
            <w:pPr>
              <w:jc w:val="right"/>
              <w:ind w:right="683"/>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94"/>
        </w:trPr>
        <w:tc>
          <w:tcPr>
            <w:tcW w:w="64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ind w:right="56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ind w:right="54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
        </w:trPr>
        <w:tc>
          <w:tcPr>
            <w:tcW w:w="64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87"/>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r>
      <w:tr>
        <w:trPr>
          <w:trHeight w:val="205"/>
        </w:trPr>
        <w:tc>
          <w:tcPr>
            <w:tcW w:w="6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change in net assets resulting from operations</w:t>
            </w:r>
          </w:p>
        </w:tc>
        <w:tc>
          <w:tcPr>
            <w:tcW w:w="360" w:type="dxa"/>
            <w:vAlign w:val="bottom"/>
          </w:tcPr>
          <w:p>
            <w:pPr>
              <w:jc w:val="right"/>
              <w:ind w:right="182"/>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(73,883,233)</w:t>
            </w:r>
          </w:p>
        </w:tc>
        <w:tc>
          <w:tcPr>
            <w:tcW w:w="100" w:type="dxa"/>
            <w:vAlign w:val="bottom"/>
          </w:tcPr>
          <w:p>
            <w:pPr>
              <w:spacing w:after="0"/>
              <w:rPr>
                <w:sz w:val="17"/>
                <w:szCs w:val="17"/>
                <w:color w:val="auto"/>
              </w:rPr>
            </w:pPr>
          </w:p>
        </w:tc>
        <w:tc>
          <w:tcPr>
            <w:tcW w:w="360" w:type="dxa"/>
            <w:vAlign w:val="bottom"/>
          </w:tcPr>
          <w:p>
            <w:pPr>
              <w:jc w:val="right"/>
              <w:ind w:right="182"/>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141,359,427</w:t>
            </w:r>
          </w:p>
        </w:tc>
      </w:tr>
      <w:tr>
        <w:trPr>
          <w:trHeight w:val="158"/>
        </w:trPr>
        <w:tc>
          <w:tcPr>
            <w:tcW w:w="6440" w:type="dxa"/>
            <w:vAlign w:val="bottom"/>
            <w:shd w:val="clear" w:color="auto" w:fill="CCEEFF"/>
          </w:tcPr>
          <w:p>
            <w:pPr>
              <w:ind w:left="180"/>
              <w:spacing w:after="0" w:line="158" w:lineRule="exact"/>
              <w:rPr>
                <w:sz w:val="20"/>
                <w:szCs w:val="20"/>
                <w:color w:val="auto"/>
              </w:rPr>
            </w:pPr>
            <w:r>
              <w:rPr>
                <w:rFonts w:ascii="Times New Roman" w:cs="Times New Roman" w:eastAsia="Times New Roman" w:hAnsi="Times New Roman"/>
                <w:sz w:val="16"/>
                <w:szCs w:val="16"/>
                <w:color w:val="auto"/>
              </w:rPr>
              <w:t>Adjustments to reconcile net change in net assets resulting from operations to net cash provided</w:t>
            </w:r>
          </w:p>
        </w:tc>
        <w:tc>
          <w:tcPr>
            <w:tcW w:w="36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r>
      <w:tr>
        <w:trPr>
          <w:trHeight w:val="207"/>
        </w:trPr>
        <w:tc>
          <w:tcPr>
            <w:tcW w:w="6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by/(used in) operating activities:</w:t>
            </w: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05"/>
        </w:trPr>
        <w:tc>
          <w:tcPr>
            <w:tcW w:w="64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realized gain on investments</w:t>
            </w: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(1,130,050)</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(139,811,330)</w:t>
            </w:r>
          </w:p>
        </w:tc>
      </w:tr>
      <w:tr>
        <w:trPr>
          <w:trHeight w:val="209"/>
        </w:trPr>
        <w:tc>
          <w:tcPr>
            <w:tcW w:w="6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change in unrealized (appreciation)/depreciation of investments</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66,977,690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(6,425,415)</w:t>
            </w:r>
          </w:p>
        </w:tc>
      </w:tr>
      <w:tr>
        <w:trPr>
          <w:trHeight w:val="205"/>
        </w:trPr>
        <w:tc>
          <w:tcPr>
            <w:tcW w:w="64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Amortization of discount on 4.75% Convertible Senior Notes due 2023</w:t>
            </w:r>
          </w:p>
        </w:tc>
        <w:tc>
          <w:tcPr>
            <w:tcW w:w="360" w:type="dxa"/>
            <w:vAlign w:val="bottom"/>
          </w:tcPr>
          <w:p>
            <w:pPr>
              <w:spacing w:after="0"/>
              <w:rPr>
                <w:sz w:val="17"/>
                <w:szCs w:val="17"/>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76,925</w:t>
            </w:r>
          </w:p>
        </w:tc>
      </w:tr>
      <w:tr>
        <w:trPr>
          <w:trHeight w:val="209"/>
        </w:trPr>
        <w:tc>
          <w:tcPr>
            <w:tcW w:w="6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Amortization of discount on 6.00% Notes due 2026</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211,033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5"/>
        </w:trPr>
        <w:tc>
          <w:tcPr>
            <w:tcW w:w="64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Stock-based compensation</w:t>
            </w: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673,550</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410,548</w:t>
            </w:r>
          </w:p>
        </w:tc>
      </w:tr>
      <w:tr>
        <w:trPr>
          <w:trHeight w:val="209"/>
        </w:trPr>
        <w:tc>
          <w:tcPr>
            <w:tcW w:w="6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Adjustments to escrow proceeds receivable</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179,134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2,653</w:t>
            </w:r>
          </w:p>
        </w:tc>
      </w:tr>
      <w:tr>
        <w:trPr>
          <w:trHeight w:val="205"/>
        </w:trPr>
        <w:tc>
          <w:tcPr>
            <w:tcW w:w="64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Forfeited interest on 4.75% Convertible Senior Notes due 2023</w:t>
            </w:r>
          </w:p>
        </w:tc>
        <w:tc>
          <w:tcPr>
            <w:tcW w:w="360" w:type="dxa"/>
            <w:vAlign w:val="bottom"/>
          </w:tcPr>
          <w:p>
            <w:pPr>
              <w:spacing w:after="0"/>
              <w:rPr>
                <w:sz w:val="17"/>
                <w:szCs w:val="17"/>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102,917</w:t>
            </w:r>
          </w:p>
        </w:tc>
      </w:tr>
      <w:tr>
        <w:trPr>
          <w:trHeight w:val="209"/>
        </w:trPr>
        <w:tc>
          <w:tcPr>
            <w:tcW w:w="6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Purchases of investments in:</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05"/>
        </w:trPr>
        <w:tc>
          <w:tcPr>
            <w:tcW w:w="64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Portfolio investments</w:t>
            </w: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(11,008,515)</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(39,362,863)</w:t>
            </w:r>
          </w:p>
        </w:tc>
      </w:tr>
      <w:tr>
        <w:trPr>
          <w:trHeight w:val="209"/>
        </w:trPr>
        <w:tc>
          <w:tcPr>
            <w:tcW w:w="6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Proceeds from sales or maturity of investments in:</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05"/>
        </w:trPr>
        <w:tc>
          <w:tcPr>
            <w:tcW w:w="64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Portfolio investments</w:t>
            </w: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5,051,279</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157,018,332</w:t>
            </w:r>
          </w:p>
        </w:tc>
      </w:tr>
      <w:tr>
        <w:trPr>
          <w:trHeight w:val="209"/>
        </w:trPr>
        <w:tc>
          <w:tcPr>
            <w:tcW w:w="64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U.S. Treasury bills</w:t>
            </w:r>
          </w:p>
        </w:tc>
        <w:tc>
          <w:tcPr>
            <w:tcW w:w="3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150,000,000</w:t>
            </w:r>
          </w:p>
        </w:tc>
      </w:tr>
      <w:tr>
        <w:trPr>
          <w:trHeight w:val="205"/>
        </w:trPr>
        <w:tc>
          <w:tcPr>
            <w:tcW w:w="6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 in operating assets and liabilities:</w:t>
            </w: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9"/>
        </w:trPr>
        <w:tc>
          <w:tcPr>
            <w:tcW w:w="6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349,485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265,658</w:t>
            </w:r>
          </w:p>
        </w:tc>
      </w:tr>
      <w:tr>
        <w:trPr>
          <w:trHeight w:val="205"/>
        </w:trPr>
        <w:tc>
          <w:tcPr>
            <w:tcW w:w="64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Interest and dividends receivable</w:t>
            </w: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(72,982)</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(34,865)</w:t>
            </w:r>
          </w:p>
        </w:tc>
      </w:tr>
      <w:tr>
        <w:trPr>
          <w:trHeight w:val="209"/>
        </w:trPr>
        <w:tc>
          <w:tcPr>
            <w:tcW w:w="6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Proceeds receivable</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(268,479)</w:t>
            </w:r>
          </w:p>
        </w:tc>
      </w:tr>
      <w:tr>
        <w:trPr>
          <w:trHeight w:val="205"/>
        </w:trPr>
        <w:tc>
          <w:tcPr>
            <w:tcW w:w="64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Escrow proceeds receivable</w:t>
            </w: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41,626</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r>
      <w:tr>
        <w:trPr>
          <w:trHeight w:val="209"/>
        </w:trPr>
        <w:tc>
          <w:tcPr>
            <w:tcW w:w="6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Deposits</w:t>
            </w:r>
          </w:p>
        </w:tc>
        <w:tc>
          <w:tcPr>
            <w:tcW w:w="3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w:t>
            </w:r>
          </w:p>
        </w:tc>
      </w:tr>
      <w:tr>
        <w:trPr>
          <w:trHeight w:val="205"/>
        </w:trPr>
        <w:tc>
          <w:tcPr>
            <w:tcW w:w="64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Payable for securities purchased</w:t>
            </w:r>
          </w:p>
        </w:tc>
        <w:tc>
          <w:tcPr>
            <w:tcW w:w="360" w:type="dxa"/>
            <w:vAlign w:val="bottom"/>
          </w:tcPr>
          <w:p>
            <w:pPr>
              <w:spacing w:after="0"/>
              <w:rPr>
                <w:sz w:val="17"/>
                <w:szCs w:val="17"/>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(134,250,000)</w:t>
            </w:r>
          </w:p>
        </w:tc>
      </w:tr>
      <w:tr>
        <w:trPr>
          <w:trHeight w:val="209"/>
        </w:trPr>
        <w:tc>
          <w:tcPr>
            <w:tcW w:w="6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Accounts payable and accrued expenses</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1,830,782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1,362,022</w:t>
            </w:r>
          </w:p>
        </w:tc>
      </w:tr>
      <w:tr>
        <w:trPr>
          <w:trHeight w:val="205"/>
        </w:trPr>
        <w:tc>
          <w:tcPr>
            <w:tcW w:w="64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Income tax payable</w:t>
            </w:r>
          </w:p>
        </w:tc>
        <w:tc>
          <w:tcPr>
            <w:tcW w:w="360" w:type="dxa"/>
            <w:vAlign w:val="bottom"/>
          </w:tcPr>
          <w:p>
            <w:pPr>
              <w:spacing w:after="0"/>
              <w:rPr>
                <w:sz w:val="17"/>
                <w:szCs w:val="17"/>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(35,850)</w:t>
            </w:r>
          </w:p>
        </w:tc>
      </w:tr>
      <w:tr>
        <w:trPr>
          <w:trHeight w:val="209"/>
        </w:trPr>
        <w:tc>
          <w:tcPr>
            <w:tcW w:w="6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Accrued interest payable</w:t>
            </w: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(162,500)</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(453,803)</w:t>
            </w:r>
          </w:p>
        </w:tc>
      </w:tr>
      <w:tr>
        <w:trPr>
          <w:trHeight w:val="198"/>
        </w:trPr>
        <w:tc>
          <w:tcPr>
            <w:tcW w:w="6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Provided by/(Used in) Operating Activities</w:t>
            </w: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(10,946,151)</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129,905,906</w:t>
            </w:r>
          </w:p>
        </w:tc>
      </w:tr>
      <w:tr>
        <w:trPr>
          <w:trHeight w:val="202"/>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05"/>
        </w:trPr>
        <w:tc>
          <w:tcPr>
            <w:tcW w:w="6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Proceeds from the issuance of common stock, net</w:t>
            </w: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229,896</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9"/>
        </w:trPr>
        <w:tc>
          <w:tcPr>
            <w:tcW w:w="6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Redemption of 4.75% Convertible Senior Notes due 2023</w:t>
            </w:r>
          </w:p>
        </w:tc>
        <w:tc>
          <w:tcPr>
            <w:tcW w:w="3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(290,000)</w:t>
            </w:r>
          </w:p>
        </w:tc>
      </w:tr>
      <w:tr>
        <w:trPr>
          <w:trHeight w:val="198"/>
        </w:trPr>
        <w:tc>
          <w:tcPr>
            <w:tcW w:w="6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Repurchases of common stock</w:t>
            </w: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(8,252,541)</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2"/>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dividends paid</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(26,481,943)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(45,334,391)</w:t>
            </w:r>
          </w:p>
        </w:tc>
      </w:tr>
      <w:tr>
        <w:trPr>
          <w:trHeight w:val="217"/>
        </w:trPr>
        <w:tc>
          <w:tcPr>
            <w:tcW w:w="6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paid for fractional shares</w:t>
            </w:r>
          </w:p>
        </w:tc>
        <w:tc>
          <w:tcPr>
            <w:tcW w:w="36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w:t>
            </w:r>
          </w:p>
        </w:tc>
      </w:tr>
      <w:tr>
        <w:trPr>
          <w:trHeight w:val="210"/>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financing costs</w:t>
            </w: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(1,540)</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(13,977)</w:t>
            </w:r>
          </w:p>
        </w:tc>
      </w:tr>
      <w:tr>
        <w:trPr>
          <w:trHeight w:val="198"/>
        </w:trPr>
        <w:tc>
          <w:tcPr>
            <w:tcW w:w="6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Used in Financing Activities</w:t>
            </w: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(34,506,128)</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(45,638,581)</w:t>
            </w:r>
          </w:p>
        </w:tc>
      </w:tr>
      <w:tr>
        <w:trPr>
          <w:trHeight w:val="202"/>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Increase/(Decrease) in Cash Balance</w:t>
            </w:r>
          </w:p>
        </w:tc>
        <w:tc>
          <w:tcPr>
            <w:tcW w:w="3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(45,452,279)</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84,267,325</w:t>
            </w:r>
          </w:p>
        </w:tc>
      </w:tr>
      <w:tr>
        <w:trPr>
          <w:trHeight w:val="198"/>
        </w:trPr>
        <w:tc>
          <w:tcPr>
            <w:tcW w:w="6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Cash Balance at Beginning of Year</w:t>
            </w: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198,437,078</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45,793,724</w:t>
            </w:r>
          </w:p>
        </w:tc>
      </w:tr>
      <w:tr>
        <w:trPr>
          <w:trHeight w:val="202"/>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Balance at End of Period</w:t>
            </w:r>
          </w:p>
        </w:tc>
        <w:tc>
          <w:tcPr>
            <w:tcW w:w="360" w:type="dxa"/>
            <w:vAlign w:val="bottom"/>
            <w:tcBorders>
              <w:bottom w:val="single" w:sz="8" w:color="auto"/>
            </w:tcBorders>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152,984,799</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130,061,049</w:t>
            </w:r>
          </w:p>
        </w:tc>
      </w:tr>
      <w:tr>
        <w:trPr>
          <w:trHeight w:val="186"/>
        </w:trPr>
        <w:tc>
          <w:tcPr>
            <w:tcW w:w="6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Information:</w:t>
            </w: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6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4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01"/>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paid</w:t>
            </w:r>
          </w:p>
        </w:tc>
        <w:tc>
          <w:tcPr>
            <w:tcW w:w="360" w:type="dxa"/>
            <w:vAlign w:val="bottom"/>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2,412,500</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794,206</w:t>
            </w:r>
          </w:p>
        </w:tc>
      </w:tr>
      <w:tr>
        <w:trPr>
          <w:trHeight w:val="205"/>
        </w:trPr>
        <w:tc>
          <w:tcPr>
            <w:tcW w:w="6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Taxes paid</w:t>
            </w: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7,569</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45,473</w:t>
            </w:r>
          </w:p>
        </w:tc>
      </w:tr>
      <w:tr>
        <w:trPr>
          <w:trHeight w:val="209"/>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Conversion of 4.75% Convertible Senior Notes due 2023</w:t>
            </w:r>
          </w:p>
        </w:tc>
        <w:tc>
          <w:tcPr>
            <w:tcW w:w="3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37,925,000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-1642110</wp:posOffset>
            </wp:positionV>
            <wp:extent cx="4090670" cy="1479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090670" cy="147955"/>
                    </a:xfrm>
                    <a:prstGeom prst="rect">
                      <a:avLst/>
                    </a:prstGeom>
                    <a:noFill/>
                  </pic:spPr>
                </pic:pic>
              </a:graphicData>
            </a:graphic>
          </wp:anchor>
        </w:drawing>
      </w:r>
    </w:p>
    <w:p>
      <w:pPr>
        <w:spacing w:after="0" w:line="46"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4"/>
          <w:szCs w:val="14"/>
          <w:i w:val="1"/>
          <w:iCs w:val="1"/>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7"/>
          <w:szCs w:val="17"/>
          <w:color w:val="auto"/>
        </w:rPr>
        <w:t>4</w:t>
      </w:r>
    </w:p>
    <w:p>
      <w:pPr>
        <w:sectPr>
          <w:pgSz w:w="11900" w:h="16838" w:orient="portrait"/>
          <w:cols w:equalWidth="0" w:num="1">
            <w:col w:w="10420"/>
          </w:cols>
          <w:pgMar w:left="320" w:top="118" w:right="11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color w:val="0000FF"/>
        </w:rPr>
        <w:t>TABLE OF CONTENTS</w:t>
      </w:r>
    </w:p>
    <w:p>
      <w:pPr>
        <w:spacing w:after="0" w:line="200" w:lineRule="exact"/>
        <w:rPr>
          <w:sz w:val="20"/>
          <w:szCs w:val="20"/>
          <w:color w:val="auto"/>
        </w:rPr>
      </w:pPr>
    </w:p>
    <w:p>
      <w:pPr>
        <w:spacing w:after="0" w:line="378" w:lineRule="exact"/>
        <w:rPr>
          <w:sz w:val="20"/>
          <w:szCs w:val="20"/>
          <w:color w:val="auto"/>
        </w:rPr>
      </w:pPr>
    </w:p>
    <w:p>
      <w:pPr>
        <w:jc w:val="center"/>
        <w:spacing w:after="0" w:line="285" w:lineRule="auto"/>
        <w:rPr>
          <w:sz w:val="20"/>
          <w:szCs w:val="20"/>
          <w:color w:val="auto"/>
        </w:rPr>
      </w:pPr>
      <w:r>
        <w:rPr>
          <w:rFonts w:ascii="Times New Roman" w:cs="Times New Roman" w:eastAsia="Times New Roman" w:hAnsi="Times New Roman"/>
          <w:sz w:val="17"/>
          <w:szCs w:val="17"/>
          <w:b w:val="1"/>
          <w:bCs w:val="1"/>
          <w:color w:val="auto"/>
        </w:rPr>
        <w:t>SURO CAPITAL CORP. AND SUBSIDIARIES CONDENSED CONSOLIDATED SCHEDULE OF INVESTMENTS (UNAUDITED) June 30, 2022</w:t>
      </w:r>
    </w:p>
    <w:p>
      <w:pPr>
        <w:spacing w:after="0" w:line="262"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580" w:type="dxa"/>
            <w:vAlign w:val="bottom"/>
            <w:gridSpan w:val="15"/>
            <w:vMerge w:val="restart"/>
          </w:tcPr>
          <w:p>
            <w:pPr>
              <w:spacing w:after="0"/>
              <w:rPr>
                <w:sz w:val="20"/>
                <w:szCs w:val="20"/>
                <w:color w:val="auto"/>
              </w:rPr>
            </w:pPr>
            <w:r>
              <w:rPr>
                <w:rFonts w:ascii="Times New Roman" w:cs="Times New Roman" w:eastAsia="Times New Roman" w:hAnsi="Times New Roman"/>
                <w:sz w:val="14"/>
                <w:szCs w:val="14"/>
                <w:b w:val="1"/>
                <w:bCs w:val="1"/>
                <w:color w:val="auto"/>
              </w:rPr>
              <w:t>Portfolio Investments*</w:t>
            </w:r>
          </w:p>
        </w:tc>
        <w:tc>
          <w:tcPr>
            <w:tcW w:w="100" w:type="dxa"/>
            <w:vAlign w:val="bottom"/>
          </w:tcPr>
          <w:p>
            <w:pPr>
              <w:spacing w:after="0"/>
              <w:rPr>
                <w:sz w:val="13"/>
                <w:szCs w:val="13"/>
                <w:color w:val="auto"/>
              </w:rPr>
            </w:pPr>
          </w:p>
        </w:tc>
        <w:tc>
          <w:tcPr>
            <w:tcW w:w="20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6"/>
              </w:rPr>
              <w:t>Headquarters/</w:t>
            </w:r>
          </w:p>
        </w:tc>
        <w:tc>
          <w:tcPr>
            <w:tcW w:w="10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8"/>
              </w:rPr>
              <w:t>Date of Initial</w:t>
            </w:r>
          </w:p>
        </w:tc>
        <w:tc>
          <w:tcPr>
            <w:tcW w:w="140" w:type="dxa"/>
            <w:vAlign w:val="bottom"/>
          </w:tcPr>
          <w:p>
            <w:pPr>
              <w:spacing w:after="0"/>
              <w:rPr>
                <w:sz w:val="13"/>
                <w:szCs w:val="13"/>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4"/>
              </w:rPr>
              <w:t>Shares/</w:t>
            </w:r>
          </w:p>
        </w:tc>
        <w:tc>
          <w:tcPr>
            <w:tcW w:w="240" w:type="dxa"/>
            <w:vAlign w:val="bottom"/>
          </w:tcPr>
          <w:p>
            <w:pPr>
              <w:spacing w:after="0"/>
              <w:rPr>
                <w:sz w:val="13"/>
                <w:szCs w:val="13"/>
                <w:color w:val="auto"/>
              </w:rPr>
            </w:pPr>
          </w:p>
        </w:tc>
        <w:tc>
          <w:tcPr>
            <w:tcW w:w="9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40" w:type="dxa"/>
            <w:vAlign w:val="bottom"/>
          </w:tcPr>
          <w:p>
            <w:pPr>
              <w:spacing w:after="0"/>
              <w:rPr>
                <w:sz w:val="13"/>
                <w:szCs w:val="13"/>
                <w:color w:val="auto"/>
              </w:rPr>
            </w:pPr>
          </w:p>
        </w:tc>
        <w:tc>
          <w:tcPr>
            <w:tcW w:w="10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920" w:type="dxa"/>
            <w:vAlign w:val="bottom"/>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 of Net</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580" w:type="dxa"/>
            <w:vAlign w:val="bottom"/>
            <w:gridSpan w:val="15"/>
            <w:vMerge w:val="continue"/>
          </w:tcPr>
          <w:p>
            <w:pPr>
              <w:spacing w:after="0"/>
              <w:rPr>
                <w:sz w:val="16"/>
                <w:szCs w:val="16"/>
                <w:color w:val="auto"/>
              </w:rPr>
            </w:pPr>
          </w:p>
        </w:tc>
        <w:tc>
          <w:tcPr>
            <w:tcW w:w="100" w:type="dxa"/>
            <w:vAlign w:val="bottom"/>
          </w:tcPr>
          <w:p>
            <w:pPr>
              <w:spacing w:after="0"/>
              <w:rPr>
                <w:sz w:val="16"/>
                <w:szCs w:val="16"/>
                <w:color w:val="auto"/>
              </w:rPr>
            </w:pPr>
          </w:p>
        </w:tc>
        <w:tc>
          <w:tcPr>
            <w:tcW w:w="20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Industry</w:t>
            </w:r>
          </w:p>
        </w:tc>
        <w:tc>
          <w:tcPr>
            <w:tcW w:w="10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8"/>
              </w:rPr>
              <w:t>Investment</w:t>
            </w:r>
          </w:p>
        </w:tc>
        <w:tc>
          <w:tcPr>
            <w:tcW w:w="140" w:type="dxa"/>
            <w:vAlign w:val="bottom"/>
          </w:tcPr>
          <w:p>
            <w:pPr>
              <w:spacing w:after="0"/>
              <w:rPr>
                <w:sz w:val="16"/>
                <w:szCs w:val="16"/>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7"/>
              </w:rPr>
              <w:t>Principal</w:t>
            </w:r>
          </w:p>
        </w:tc>
        <w:tc>
          <w:tcPr>
            <w:tcW w:w="24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920" w:type="dxa"/>
            <w:vAlign w:val="bottom"/>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0" w:type="dxa"/>
            <w:vAlign w:val="bottom"/>
          </w:tcPr>
          <w:p>
            <w:pPr>
              <w:spacing w:after="0"/>
              <w:rPr>
                <w:sz w:val="1"/>
                <w:szCs w:val="1"/>
                <w:color w:val="auto"/>
              </w:rPr>
            </w:pPr>
          </w:p>
        </w:tc>
      </w:tr>
      <w:tr>
        <w:trPr>
          <w:trHeight w:val="193"/>
        </w:trPr>
        <w:tc>
          <w:tcPr>
            <w:tcW w:w="20" w:type="dxa"/>
            <w:vAlign w:val="bottom"/>
            <w:tcBorders>
              <w:top w:val="single" w:sz="8" w:color="auto"/>
            </w:tcBorders>
            <w:shd w:val="clear" w:color="auto" w:fill="CCEEFF"/>
          </w:tcPr>
          <w:p>
            <w:pPr>
              <w:spacing w:after="0"/>
              <w:rPr>
                <w:sz w:val="16"/>
                <w:szCs w:val="16"/>
                <w:color w:val="auto"/>
              </w:rPr>
            </w:pPr>
          </w:p>
        </w:tc>
        <w:tc>
          <w:tcPr>
            <w:tcW w:w="3580" w:type="dxa"/>
            <w:vAlign w:val="bottom"/>
            <w:tcBorders>
              <w:top w:val="single" w:sz="8" w:color="auto"/>
            </w:tcBorders>
            <w:gridSpan w:val="15"/>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NON-CONTROLLED/NON-AFFILIATE</w:t>
            </w:r>
          </w:p>
        </w:tc>
        <w:tc>
          <w:tcPr>
            <w:tcW w:w="100" w:type="dxa"/>
            <w:vAlign w:val="bottom"/>
            <w:tcBorders>
              <w:top w:val="single" w:sz="8" w:color="CCEEFF"/>
            </w:tcBorders>
            <w:shd w:val="clear" w:color="auto" w:fill="CCEEFF"/>
          </w:tcPr>
          <w:p>
            <w:pPr>
              <w:spacing w:after="0"/>
              <w:rPr>
                <w:sz w:val="16"/>
                <w:szCs w:val="16"/>
                <w:color w:val="auto"/>
              </w:rPr>
            </w:pPr>
          </w:p>
        </w:tc>
        <w:tc>
          <w:tcPr>
            <w:tcW w:w="19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580" w:type="dxa"/>
            <w:vAlign w:val="bottom"/>
            <w:gridSpan w:val="15"/>
          </w:tcPr>
          <w:p>
            <w:pPr>
              <w:spacing w:after="0" w:line="143" w:lineRule="exact"/>
              <w:rPr>
                <w:sz w:val="20"/>
                <w:szCs w:val="20"/>
                <w:color w:val="auto"/>
              </w:rPr>
            </w:pPr>
            <w:r>
              <w:rPr>
                <w:rFonts w:ascii="Times New Roman" w:cs="Times New Roman" w:eastAsia="Times New Roman" w:hAnsi="Times New Roman"/>
                <w:sz w:val="14"/>
                <w:szCs w:val="14"/>
                <w:b w:val="1"/>
                <w:bCs w:val="1"/>
                <w:color w:val="auto"/>
              </w:rPr>
              <w:t>Course Hero, Inc.</w:t>
            </w:r>
          </w:p>
        </w:tc>
        <w:tc>
          <w:tcPr>
            <w:tcW w:w="100" w:type="dxa"/>
            <w:vAlign w:val="bottom"/>
          </w:tcPr>
          <w:p>
            <w:pPr>
              <w:spacing w:after="0"/>
              <w:rPr>
                <w:sz w:val="12"/>
                <w:szCs w:val="12"/>
                <w:color w:val="auto"/>
              </w:rPr>
            </w:pPr>
          </w:p>
        </w:tc>
        <w:tc>
          <w:tcPr>
            <w:tcW w:w="2080" w:type="dxa"/>
            <w:vAlign w:val="bottom"/>
            <w:gridSpan w:val="2"/>
          </w:tcPr>
          <w:p>
            <w:pPr>
              <w:jc w:val="center"/>
              <w:ind w:right="120"/>
              <w:spacing w:after="0" w:line="143" w:lineRule="exact"/>
              <w:rPr>
                <w:sz w:val="20"/>
                <w:szCs w:val="20"/>
                <w:color w:val="auto"/>
              </w:rPr>
            </w:pPr>
            <w:r>
              <w:rPr>
                <w:rFonts w:ascii="Times New Roman" w:cs="Times New Roman" w:eastAsia="Times New Roman" w:hAnsi="Times New Roman"/>
                <w:sz w:val="14"/>
                <w:szCs w:val="14"/>
                <w:color w:val="auto"/>
                <w:w w:val="96"/>
              </w:rPr>
              <w:t>Redwood City, CA</w:t>
            </w: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shd w:val="clear" w:color="auto" w:fill="CCEEFF"/>
          </w:tcPr>
          <w:p>
            <w:pPr>
              <w:spacing w:after="0"/>
              <w:rPr>
                <w:sz w:val="16"/>
                <w:szCs w:val="16"/>
                <w:color w:val="auto"/>
              </w:rPr>
            </w:pPr>
          </w:p>
        </w:tc>
        <w:tc>
          <w:tcPr>
            <w:tcW w:w="3580" w:type="dxa"/>
            <w:vAlign w:val="bottom"/>
            <w:gridSpan w:val="15"/>
            <w:shd w:val="clear" w:color="auto" w:fill="CCEEFF"/>
          </w:tcPr>
          <w:p>
            <w:pPr>
              <w:spacing w:after="0"/>
              <w:rPr>
                <w:sz w:val="20"/>
                <w:szCs w:val="20"/>
                <w:color w:val="auto"/>
              </w:rPr>
            </w:pPr>
            <w:r>
              <w:rPr>
                <w:rFonts w:ascii="Times New Roman" w:cs="Times New Roman" w:eastAsia="Times New Roman" w:hAnsi="Times New Roman"/>
                <w:sz w:val="14"/>
                <w:szCs w:val="14"/>
                <w:color w:val="auto"/>
              </w:rPr>
              <w:t>Preferred shares, Series A 8%</w:t>
            </w:r>
          </w:p>
        </w:tc>
        <w:tc>
          <w:tcPr>
            <w:tcW w:w="100" w:type="dxa"/>
            <w:vAlign w:val="bottom"/>
            <w:shd w:val="clear" w:color="auto" w:fill="CCEEFF"/>
          </w:tcPr>
          <w:p>
            <w:pPr>
              <w:spacing w:after="0"/>
              <w:rPr>
                <w:sz w:val="16"/>
                <w:szCs w:val="16"/>
                <w:color w:val="auto"/>
              </w:rPr>
            </w:pPr>
          </w:p>
        </w:tc>
        <w:tc>
          <w:tcPr>
            <w:tcW w:w="20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w w:val="97"/>
              </w:rPr>
              <w:t>Online Education</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9/18/2014</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2,145,509</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5,000,001</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49,527,680</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17.68 %</w:t>
            </w:r>
          </w:p>
        </w:tc>
        <w:tc>
          <w:tcPr>
            <w:tcW w:w="0" w:type="dxa"/>
            <w:vAlign w:val="bottom"/>
          </w:tcPr>
          <w:p>
            <w:pPr>
              <w:spacing w:after="0"/>
              <w:rPr>
                <w:sz w:val="1"/>
                <w:szCs w:val="1"/>
                <w:color w:val="auto"/>
              </w:rPr>
            </w:pPr>
          </w:p>
        </w:tc>
      </w:tr>
      <w:tr>
        <w:trPr>
          <w:trHeight w:val="187"/>
        </w:trPr>
        <w:tc>
          <w:tcPr>
            <w:tcW w:w="20" w:type="dxa"/>
            <w:vAlign w:val="bottom"/>
            <w:tcBorders>
              <w:bottom w:val="single" w:sz="8" w:color="CCEEFF"/>
            </w:tcBorders>
          </w:tcPr>
          <w:p>
            <w:pPr>
              <w:spacing w:after="0"/>
              <w:rPr>
                <w:sz w:val="16"/>
                <w:szCs w:val="16"/>
                <w:color w:val="auto"/>
              </w:rPr>
            </w:pPr>
          </w:p>
        </w:tc>
        <w:tc>
          <w:tcPr>
            <w:tcW w:w="3580" w:type="dxa"/>
            <w:vAlign w:val="bottom"/>
            <w:tcBorders>
              <w:bottom w:val="single" w:sz="8" w:color="CCEEFF"/>
            </w:tcBorders>
            <w:gridSpan w:val="15"/>
          </w:tcPr>
          <w:p>
            <w:pPr>
              <w:spacing w:after="0"/>
              <w:rPr>
                <w:sz w:val="20"/>
                <w:szCs w:val="20"/>
                <w:color w:val="auto"/>
              </w:rPr>
            </w:pPr>
            <w:r>
              <w:rPr>
                <w:rFonts w:ascii="Times New Roman" w:cs="Times New Roman" w:eastAsia="Times New Roman" w:hAnsi="Times New Roman"/>
                <w:sz w:val="14"/>
                <w:szCs w:val="14"/>
                <w:color w:val="auto"/>
              </w:rPr>
              <w:t>Preferred shares, Series C 8%</w:t>
            </w:r>
          </w:p>
        </w:tc>
        <w:tc>
          <w:tcPr>
            <w:tcW w:w="100" w:type="dxa"/>
            <w:vAlign w:val="bottom"/>
            <w:tcBorders>
              <w:bottom w:val="single" w:sz="8" w:color="CCEEFF"/>
            </w:tcBorders>
          </w:tcPr>
          <w:p>
            <w:pPr>
              <w:spacing w:after="0"/>
              <w:rPr>
                <w:sz w:val="16"/>
                <w:szCs w:val="16"/>
                <w:color w:val="auto"/>
              </w:rPr>
            </w:pPr>
          </w:p>
        </w:tc>
        <w:tc>
          <w:tcPr>
            <w:tcW w:w="19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6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4"/>
                <w:szCs w:val="14"/>
                <w:color w:val="auto"/>
                <w:w w:val="98"/>
              </w:rPr>
              <w:t>11/5/2021</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8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275,659</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9,999,971</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9,999,971</w:t>
            </w:r>
          </w:p>
        </w:tc>
        <w:tc>
          <w:tcPr>
            <w:tcW w:w="10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3.57 %</w:t>
            </w:r>
          </w:p>
        </w:tc>
        <w:tc>
          <w:tcPr>
            <w:tcW w:w="0" w:type="dxa"/>
            <w:vAlign w:val="bottom"/>
          </w:tcPr>
          <w:p>
            <w:pPr>
              <w:spacing w:after="0"/>
              <w:rPr>
                <w:sz w:val="1"/>
                <w:szCs w:val="1"/>
                <w:color w:val="auto"/>
              </w:rPr>
            </w:pPr>
          </w:p>
        </w:tc>
      </w:tr>
      <w:tr>
        <w:trPr>
          <w:trHeight w:val="194"/>
        </w:trPr>
        <w:tc>
          <w:tcPr>
            <w:tcW w:w="20" w:type="dxa"/>
            <w:vAlign w:val="bottom"/>
            <w:shd w:val="clear" w:color="auto" w:fill="CCEEFF"/>
          </w:tcPr>
          <w:p>
            <w:pPr>
              <w:spacing w:after="0"/>
              <w:rPr>
                <w:sz w:val="16"/>
                <w:szCs w:val="16"/>
                <w:color w:val="auto"/>
              </w:rPr>
            </w:pPr>
          </w:p>
        </w:tc>
        <w:tc>
          <w:tcPr>
            <w:tcW w:w="3580" w:type="dxa"/>
            <w:vAlign w:val="bottom"/>
            <w:gridSpan w:val="15"/>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shd w:val="clear" w:color="auto" w:fill="CCEEFF"/>
          </w:tcPr>
          <w:p>
            <w:pPr>
              <w:spacing w:after="0"/>
              <w:rPr>
                <w:sz w:val="16"/>
                <w:szCs w:val="16"/>
                <w:color w:val="auto"/>
              </w:rPr>
            </w:pPr>
          </w:p>
        </w:tc>
        <w:tc>
          <w:tcPr>
            <w:tcW w:w="1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14,999,972</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59,527,651</w:t>
            </w:r>
          </w:p>
        </w:tc>
        <w:tc>
          <w:tcPr>
            <w:tcW w:w="100" w:type="dxa"/>
            <w:vAlign w:val="bottom"/>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21.25 %</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580" w:type="dxa"/>
            <w:vAlign w:val="bottom"/>
            <w:gridSpan w:val="15"/>
          </w:tcPr>
          <w:p>
            <w:pPr>
              <w:spacing w:after="0" w:line="123" w:lineRule="exact"/>
              <w:rPr>
                <w:sz w:val="20"/>
                <w:szCs w:val="20"/>
                <w:color w:val="auto"/>
              </w:rPr>
            </w:pPr>
            <w:r>
              <w:rPr>
                <w:rFonts w:ascii="Times New Roman" w:cs="Times New Roman" w:eastAsia="Times New Roman" w:hAnsi="Times New Roman"/>
                <w:sz w:val="11"/>
                <w:szCs w:val="11"/>
                <w:b w:val="1"/>
                <w:bCs w:val="1"/>
                <w:color w:val="auto"/>
              </w:rPr>
              <w:t>Forge Global Holdings, Inc.</w:t>
            </w:r>
            <w:r>
              <w:rPr>
                <w:rFonts w:ascii="Times New Roman" w:cs="Times New Roman" w:eastAsia="Times New Roman" w:hAnsi="Times New Roman"/>
                <w:sz w:val="14"/>
                <w:szCs w:val="14"/>
                <w:color w:val="auto"/>
                <w:vertAlign w:val="superscript"/>
              </w:rPr>
              <w:t>**</w:t>
            </w:r>
          </w:p>
        </w:tc>
        <w:tc>
          <w:tcPr>
            <w:tcW w:w="100" w:type="dxa"/>
            <w:vAlign w:val="bottom"/>
          </w:tcPr>
          <w:p>
            <w:pPr>
              <w:spacing w:after="0"/>
              <w:rPr>
                <w:sz w:val="10"/>
                <w:szCs w:val="10"/>
                <w:color w:val="auto"/>
              </w:rPr>
            </w:pPr>
          </w:p>
        </w:tc>
        <w:tc>
          <w:tcPr>
            <w:tcW w:w="2080" w:type="dxa"/>
            <w:vAlign w:val="bottom"/>
            <w:gridSpan w:val="2"/>
          </w:tcPr>
          <w:p>
            <w:pPr>
              <w:jc w:val="center"/>
              <w:ind w:right="120"/>
              <w:spacing w:after="0" w:line="123" w:lineRule="exact"/>
              <w:rPr>
                <w:sz w:val="20"/>
                <w:szCs w:val="20"/>
                <w:color w:val="auto"/>
              </w:rPr>
            </w:pPr>
            <w:r>
              <w:rPr>
                <w:rFonts w:ascii="Times New Roman" w:cs="Times New Roman" w:eastAsia="Times New Roman" w:hAnsi="Times New Roman"/>
                <w:sz w:val="14"/>
                <w:szCs w:val="14"/>
                <w:color w:val="auto"/>
                <w:w w:val="98"/>
              </w:rPr>
              <w:t>San Francisco, CA</w:t>
            </w: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3580" w:type="dxa"/>
            <w:vAlign w:val="bottom"/>
            <w:gridSpan w:val="15"/>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Common shares</w:t>
            </w:r>
            <w:r>
              <w:rPr>
                <w:rFonts w:ascii="Times New Roman" w:cs="Times New Roman" w:eastAsia="Times New Roman" w:hAnsi="Times New Roman"/>
                <w:sz w:val="17"/>
                <w:szCs w:val="17"/>
                <w:color w:val="auto"/>
                <w:vertAlign w:val="superscript"/>
              </w:rPr>
              <w:t>(3)</w:t>
            </w:r>
          </w:p>
        </w:tc>
        <w:tc>
          <w:tcPr>
            <w:tcW w:w="100" w:type="dxa"/>
            <w:vAlign w:val="bottom"/>
            <w:shd w:val="clear" w:color="auto" w:fill="CCEEFF"/>
          </w:tcPr>
          <w:p>
            <w:pPr>
              <w:spacing w:after="0"/>
              <w:rPr>
                <w:sz w:val="19"/>
                <w:szCs w:val="19"/>
                <w:color w:val="auto"/>
              </w:rPr>
            </w:pPr>
          </w:p>
        </w:tc>
        <w:tc>
          <w:tcPr>
            <w:tcW w:w="20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w w:val="97"/>
              </w:rPr>
              <w:t>Online Marketplace Finance</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7/20/2011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2,454,791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2,259,716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20,954,587</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7.48 %</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580" w:type="dxa"/>
            <w:vAlign w:val="bottom"/>
            <w:gridSpan w:val="15"/>
          </w:tcPr>
          <w:p>
            <w:pPr>
              <w:spacing w:after="0" w:line="129" w:lineRule="exact"/>
              <w:rPr>
                <w:sz w:val="20"/>
                <w:szCs w:val="20"/>
                <w:color w:val="auto"/>
              </w:rPr>
            </w:pPr>
            <w:r>
              <w:rPr>
                <w:rFonts w:ascii="Times New Roman" w:cs="Times New Roman" w:eastAsia="Times New Roman" w:hAnsi="Times New Roman"/>
                <w:sz w:val="14"/>
                <w:szCs w:val="14"/>
                <w:color w:val="auto"/>
              </w:rPr>
              <w:t>Common warrants, Strike Price $3.98, Expiration Date</w:t>
            </w:r>
          </w:p>
        </w:tc>
        <w:tc>
          <w:tcPr>
            <w:tcW w:w="10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8"/>
              </w:rPr>
              <w:t>7/19/2011</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230,144</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vMerge w:val="restart"/>
          </w:tcPr>
          <w:p>
            <w:pPr>
              <w:jc w:val="right"/>
              <w:ind w:right="11"/>
              <w:spacing w:after="0"/>
              <w:rPr>
                <w:sz w:val="20"/>
                <w:szCs w:val="20"/>
                <w:color w:val="auto"/>
              </w:rPr>
            </w:pPr>
            <w:r>
              <w:rPr>
                <w:rFonts w:ascii="Times New Roman" w:cs="Times New Roman" w:eastAsia="Times New Roman" w:hAnsi="Times New Roman"/>
                <w:sz w:val="14"/>
                <w:szCs w:val="14"/>
                <w:color w:val="auto"/>
              </w:rPr>
              <w:t>266,507</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301,488</w:t>
            </w:r>
          </w:p>
        </w:tc>
        <w:tc>
          <w:tcPr>
            <w:tcW w:w="10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0.11 %</w:t>
            </w:r>
          </w:p>
        </w:tc>
        <w:tc>
          <w:tcPr>
            <w:tcW w:w="0" w:type="dxa"/>
            <w:vAlign w:val="bottom"/>
          </w:tcPr>
          <w:p>
            <w:pPr>
              <w:spacing w:after="0"/>
              <w:rPr>
                <w:sz w:val="1"/>
                <w:szCs w:val="1"/>
                <w:color w:val="auto"/>
              </w:rPr>
            </w:pPr>
          </w:p>
        </w:tc>
      </w:tr>
      <w:tr>
        <w:trPr>
          <w:trHeight w:val="187"/>
        </w:trPr>
        <w:tc>
          <w:tcPr>
            <w:tcW w:w="880" w:type="dxa"/>
            <w:vAlign w:val="bottom"/>
            <w:tcBorders>
              <w:bottom w:val="single" w:sz="8" w:color="CCEEFF"/>
            </w:tcBorders>
            <w:gridSpan w:val="5"/>
          </w:tcPr>
          <w:p>
            <w:pPr>
              <w:ind w:left="20"/>
              <w:spacing w:after="0"/>
              <w:rPr>
                <w:sz w:val="20"/>
                <w:szCs w:val="20"/>
                <w:color w:val="auto"/>
              </w:rPr>
            </w:pPr>
            <w:r>
              <w:rPr>
                <w:rFonts w:ascii="Times New Roman" w:cs="Times New Roman" w:eastAsia="Times New Roman" w:hAnsi="Times New Roman"/>
                <w:sz w:val="14"/>
                <w:szCs w:val="14"/>
                <w:color w:val="auto"/>
              </w:rPr>
              <w:t>11/9/2025</w:t>
            </w:r>
            <w:r>
              <w:rPr>
                <w:rFonts w:ascii="Times New Roman" w:cs="Times New Roman" w:eastAsia="Times New Roman" w:hAnsi="Times New Roman"/>
                <w:sz w:val="8"/>
                <w:szCs w:val="8"/>
                <w:color w:val="auto"/>
              </w:rPr>
              <w:t>(3)(17)</w:t>
            </w:r>
          </w:p>
        </w:tc>
        <w:tc>
          <w:tcPr>
            <w:tcW w:w="16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36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500" w:type="dxa"/>
            <w:vAlign w:val="bottom"/>
            <w:tcBorders>
              <w:bottom w:val="single" w:sz="8" w:color="CCEEFF"/>
            </w:tcBorders>
          </w:tcPr>
          <w:p>
            <w:pPr>
              <w:spacing w:after="0"/>
              <w:rPr>
                <w:sz w:val="16"/>
                <w:szCs w:val="16"/>
                <w:color w:val="auto"/>
              </w:rPr>
            </w:pPr>
          </w:p>
        </w:tc>
        <w:tc>
          <w:tcPr>
            <w:tcW w:w="118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9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6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82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Borders>
              <w:bottom w:val="single" w:sz="8" w:color="CCEEFF"/>
            </w:tcBorders>
            <w:shd w:val="clear" w:color="auto" w:fill="CCEEFF"/>
          </w:tcPr>
          <w:p>
            <w:pPr>
              <w:spacing w:after="0"/>
              <w:rPr>
                <w:sz w:val="16"/>
                <w:szCs w:val="16"/>
                <w:color w:val="auto"/>
              </w:rPr>
            </w:pPr>
          </w:p>
        </w:tc>
        <w:tc>
          <w:tcPr>
            <w:tcW w:w="3580" w:type="dxa"/>
            <w:vAlign w:val="bottom"/>
            <w:tcBorders>
              <w:bottom w:val="single" w:sz="8" w:color="CCEEFF"/>
            </w:tcBorders>
            <w:gridSpan w:val="15"/>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tcBorders>
              <w:bottom w:val="single" w:sz="8" w:color="CCEEFF"/>
            </w:tcBorders>
            <w:shd w:val="clear" w:color="auto" w:fill="CCEEFF"/>
          </w:tcPr>
          <w:p>
            <w:pPr>
              <w:spacing w:after="0"/>
              <w:rPr>
                <w:sz w:val="16"/>
                <w:szCs w:val="16"/>
                <w:color w:val="auto"/>
              </w:rPr>
            </w:pPr>
          </w:p>
        </w:tc>
        <w:tc>
          <w:tcPr>
            <w:tcW w:w="1980" w:type="dxa"/>
            <w:vAlign w:val="bottom"/>
            <w:tcBorders>
              <w:bottom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2,526,223</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21,256,075</w:t>
            </w:r>
          </w:p>
        </w:tc>
        <w:tc>
          <w:tcPr>
            <w:tcW w:w="100" w:type="dxa"/>
            <w:vAlign w:val="bottom"/>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7.59 %</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580" w:type="dxa"/>
            <w:vAlign w:val="bottom"/>
            <w:gridSpan w:val="15"/>
          </w:tcPr>
          <w:p>
            <w:pPr>
              <w:spacing w:after="0" w:line="135" w:lineRule="exact"/>
              <w:rPr>
                <w:sz w:val="20"/>
                <w:szCs w:val="20"/>
                <w:color w:val="auto"/>
              </w:rPr>
            </w:pPr>
            <w:r>
              <w:rPr>
                <w:rFonts w:ascii="Times New Roman" w:cs="Times New Roman" w:eastAsia="Times New Roman" w:hAnsi="Times New Roman"/>
                <w:sz w:val="14"/>
                <w:szCs w:val="14"/>
                <w:b w:val="1"/>
                <w:bCs w:val="1"/>
                <w:color w:val="auto"/>
              </w:rPr>
              <w:t>Blink Health, Inc.</w:t>
            </w:r>
          </w:p>
        </w:tc>
        <w:tc>
          <w:tcPr>
            <w:tcW w:w="100" w:type="dxa"/>
            <w:vAlign w:val="bottom"/>
          </w:tcPr>
          <w:p>
            <w:pPr>
              <w:spacing w:after="0"/>
              <w:rPr>
                <w:sz w:val="11"/>
                <w:szCs w:val="11"/>
                <w:color w:val="auto"/>
              </w:rPr>
            </w:pPr>
          </w:p>
        </w:tc>
        <w:tc>
          <w:tcPr>
            <w:tcW w:w="198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color w:val="auto"/>
                <w:w w:val="97"/>
              </w:rPr>
              <w:t>New York, NY</w:t>
            </w: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shd w:val="clear" w:color="auto" w:fill="CCEEFF"/>
          </w:tcPr>
          <w:p>
            <w:pPr>
              <w:spacing w:after="0"/>
              <w:rPr>
                <w:sz w:val="16"/>
                <w:szCs w:val="16"/>
                <w:color w:val="auto"/>
              </w:rPr>
            </w:pPr>
          </w:p>
        </w:tc>
        <w:tc>
          <w:tcPr>
            <w:tcW w:w="3580" w:type="dxa"/>
            <w:vAlign w:val="bottom"/>
            <w:gridSpan w:val="15"/>
            <w:shd w:val="clear" w:color="auto" w:fill="CCEEFF"/>
          </w:tcPr>
          <w:p>
            <w:pPr>
              <w:spacing w:after="0"/>
              <w:rPr>
                <w:sz w:val="20"/>
                <w:szCs w:val="20"/>
                <w:color w:val="auto"/>
              </w:rPr>
            </w:pPr>
            <w:r>
              <w:rPr>
                <w:rFonts w:ascii="Times New Roman" w:cs="Times New Roman" w:eastAsia="Times New Roman" w:hAnsi="Times New Roman"/>
                <w:sz w:val="14"/>
                <w:szCs w:val="14"/>
                <w:color w:val="auto"/>
              </w:rPr>
              <w:t>Preferred shares, Series A</w:t>
            </w:r>
          </w:p>
        </w:tc>
        <w:tc>
          <w:tcPr>
            <w:tcW w:w="100" w:type="dxa"/>
            <w:vAlign w:val="bottom"/>
            <w:shd w:val="clear" w:color="auto" w:fill="CCEEFF"/>
          </w:tcPr>
          <w:p>
            <w:pPr>
              <w:spacing w:after="0"/>
              <w:rPr>
                <w:sz w:val="16"/>
                <w:szCs w:val="16"/>
                <w:color w:val="auto"/>
              </w:rPr>
            </w:pPr>
          </w:p>
        </w:tc>
        <w:tc>
          <w:tcPr>
            <w:tcW w:w="20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w w:val="96"/>
              </w:rPr>
              <w:t>Pharmaceutical Technology</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10/27/2020</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238,095</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5,000,423</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1,692,855</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0.60 %</w:t>
            </w:r>
          </w:p>
        </w:tc>
        <w:tc>
          <w:tcPr>
            <w:tcW w:w="0" w:type="dxa"/>
            <w:vAlign w:val="bottom"/>
          </w:tcPr>
          <w:p>
            <w:pPr>
              <w:spacing w:after="0"/>
              <w:rPr>
                <w:sz w:val="1"/>
                <w:szCs w:val="1"/>
                <w:color w:val="auto"/>
              </w:rPr>
            </w:pPr>
          </w:p>
        </w:tc>
      </w:tr>
      <w:tr>
        <w:trPr>
          <w:trHeight w:val="167"/>
        </w:trPr>
        <w:tc>
          <w:tcPr>
            <w:tcW w:w="20" w:type="dxa"/>
            <w:vAlign w:val="bottom"/>
            <w:tcBorders>
              <w:bottom w:val="single" w:sz="8" w:color="CCEEFF"/>
            </w:tcBorders>
          </w:tcPr>
          <w:p>
            <w:pPr>
              <w:spacing w:after="0"/>
              <w:rPr>
                <w:sz w:val="14"/>
                <w:szCs w:val="14"/>
                <w:color w:val="auto"/>
              </w:rPr>
            </w:pPr>
          </w:p>
        </w:tc>
        <w:tc>
          <w:tcPr>
            <w:tcW w:w="3580" w:type="dxa"/>
            <w:vAlign w:val="bottom"/>
            <w:tcBorders>
              <w:bottom w:val="single" w:sz="8" w:color="CCEEFF"/>
            </w:tcBorders>
            <w:gridSpan w:val="15"/>
          </w:tcPr>
          <w:p>
            <w:pPr>
              <w:spacing w:after="0" w:line="159" w:lineRule="exact"/>
              <w:rPr>
                <w:sz w:val="20"/>
                <w:szCs w:val="20"/>
                <w:color w:val="auto"/>
              </w:rPr>
            </w:pPr>
            <w:r>
              <w:rPr>
                <w:rFonts w:ascii="Times New Roman" w:cs="Times New Roman" w:eastAsia="Times New Roman" w:hAnsi="Times New Roman"/>
                <w:sz w:val="14"/>
                <w:szCs w:val="14"/>
                <w:color w:val="auto"/>
              </w:rPr>
              <w:t>Preferred shares, Series C</w:t>
            </w:r>
          </w:p>
        </w:tc>
        <w:tc>
          <w:tcPr>
            <w:tcW w:w="100" w:type="dxa"/>
            <w:vAlign w:val="bottom"/>
            <w:tcBorders>
              <w:bottom w:val="single" w:sz="8" w:color="CCEEFF"/>
            </w:tcBorders>
          </w:tcPr>
          <w:p>
            <w:pPr>
              <w:spacing w:after="0"/>
              <w:rPr>
                <w:sz w:val="14"/>
                <w:szCs w:val="14"/>
                <w:color w:val="auto"/>
              </w:rPr>
            </w:pPr>
          </w:p>
        </w:tc>
        <w:tc>
          <w:tcPr>
            <w:tcW w:w="1980" w:type="dxa"/>
            <w:vAlign w:val="bottom"/>
            <w:tcBorders>
              <w:top w:val="single" w:sz="8" w:color="CCEEFF"/>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960" w:type="dxa"/>
            <w:vAlign w:val="bottom"/>
            <w:tcBorders>
              <w:bottom w:val="single" w:sz="8" w:color="CCEEFF"/>
            </w:tcBorders>
          </w:tcPr>
          <w:p>
            <w:pPr>
              <w:jc w:val="center"/>
              <w:spacing w:after="0" w:line="159" w:lineRule="exact"/>
              <w:rPr>
                <w:sz w:val="20"/>
                <w:szCs w:val="20"/>
                <w:color w:val="auto"/>
              </w:rPr>
            </w:pPr>
            <w:r>
              <w:rPr>
                <w:rFonts w:ascii="Times New Roman" w:cs="Times New Roman" w:eastAsia="Times New Roman" w:hAnsi="Times New Roman"/>
                <w:sz w:val="14"/>
                <w:szCs w:val="14"/>
                <w:color w:val="auto"/>
              </w:rPr>
              <w:t>10/27/2020</w:t>
            </w: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820" w:type="dxa"/>
            <w:vAlign w:val="bottom"/>
            <w:tcBorders>
              <w:bottom w:val="single" w:sz="8" w:color="CCEEFF"/>
            </w:tcBorders>
          </w:tcPr>
          <w:p>
            <w:pPr>
              <w:jc w:val="right"/>
              <w:spacing w:after="0" w:line="159" w:lineRule="exact"/>
              <w:rPr>
                <w:sz w:val="20"/>
                <w:szCs w:val="20"/>
                <w:color w:val="auto"/>
              </w:rPr>
            </w:pPr>
            <w:r>
              <w:rPr>
                <w:rFonts w:ascii="Times New Roman" w:cs="Times New Roman" w:eastAsia="Times New Roman" w:hAnsi="Times New Roman"/>
                <w:sz w:val="14"/>
                <w:szCs w:val="14"/>
                <w:color w:val="auto"/>
              </w:rPr>
              <w:t>261,944</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11"/>
              <w:spacing w:after="0" w:line="159" w:lineRule="exact"/>
              <w:rPr>
                <w:sz w:val="20"/>
                <w:szCs w:val="20"/>
                <w:color w:val="auto"/>
              </w:rPr>
            </w:pPr>
            <w:r>
              <w:rPr>
                <w:rFonts w:ascii="Times New Roman" w:cs="Times New Roman" w:eastAsia="Times New Roman" w:hAnsi="Times New Roman"/>
                <w:sz w:val="14"/>
                <w:szCs w:val="14"/>
                <w:color w:val="auto"/>
              </w:rPr>
              <w:t>10,003,917</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line="159" w:lineRule="exact"/>
              <w:rPr>
                <w:sz w:val="20"/>
                <w:szCs w:val="20"/>
                <w:color w:val="auto"/>
              </w:rPr>
            </w:pPr>
            <w:r>
              <w:rPr>
                <w:rFonts w:ascii="Times New Roman" w:cs="Times New Roman" w:eastAsia="Times New Roman" w:hAnsi="Times New Roman"/>
                <w:sz w:val="14"/>
                <w:szCs w:val="14"/>
                <w:color w:val="auto"/>
              </w:rPr>
              <w:t>9,999,974</w:t>
            </w:r>
          </w:p>
        </w:tc>
        <w:tc>
          <w:tcPr>
            <w:tcW w:w="10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right"/>
              <w:spacing w:after="0" w:line="159" w:lineRule="exact"/>
              <w:rPr>
                <w:sz w:val="20"/>
                <w:szCs w:val="20"/>
                <w:color w:val="auto"/>
              </w:rPr>
            </w:pPr>
            <w:r>
              <w:rPr>
                <w:rFonts w:ascii="Times New Roman" w:cs="Times New Roman" w:eastAsia="Times New Roman" w:hAnsi="Times New Roman"/>
                <w:sz w:val="14"/>
                <w:szCs w:val="14"/>
                <w:color w:val="auto"/>
              </w:rPr>
              <w:t>3.57 %</w:t>
            </w:r>
          </w:p>
        </w:tc>
        <w:tc>
          <w:tcPr>
            <w:tcW w:w="0" w:type="dxa"/>
            <w:vAlign w:val="bottom"/>
          </w:tcPr>
          <w:p>
            <w:pPr>
              <w:spacing w:after="0"/>
              <w:rPr>
                <w:sz w:val="1"/>
                <w:szCs w:val="1"/>
                <w:color w:val="auto"/>
              </w:rPr>
            </w:pPr>
          </w:p>
        </w:tc>
      </w:tr>
      <w:tr>
        <w:trPr>
          <w:trHeight w:val="194"/>
        </w:trPr>
        <w:tc>
          <w:tcPr>
            <w:tcW w:w="20" w:type="dxa"/>
            <w:vAlign w:val="bottom"/>
            <w:shd w:val="clear" w:color="auto" w:fill="CCEEFF"/>
          </w:tcPr>
          <w:p>
            <w:pPr>
              <w:spacing w:after="0"/>
              <w:rPr>
                <w:sz w:val="16"/>
                <w:szCs w:val="16"/>
                <w:color w:val="auto"/>
              </w:rPr>
            </w:pPr>
          </w:p>
        </w:tc>
        <w:tc>
          <w:tcPr>
            <w:tcW w:w="3580" w:type="dxa"/>
            <w:vAlign w:val="bottom"/>
            <w:gridSpan w:val="15"/>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shd w:val="clear" w:color="auto" w:fill="CCEEFF"/>
          </w:tcPr>
          <w:p>
            <w:pPr>
              <w:spacing w:after="0"/>
              <w:rPr>
                <w:sz w:val="16"/>
                <w:szCs w:val="16"/>
                <w:color w:val="auto"/>
              </w:rPr>
            </w:pPr>
          </w:p>
        </w:tc>
        <w:tc>
          <w:tcPr>
            <w:tcW w:w="1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15,004,340</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11,692,829</w:t>
            </w:r>
          </w:p>
        </w:tc>
        <w:tc>
          <w:tcPr>
            <w:tcW w:w="100" w:type="dxa"/>
            <w:vAlign w:val="bottom"/>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4.17 %</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580" w:type="dxa"/>
            <w:vAlign w:val="bottom"/>
            <w:gridSpan w:val="15"/>
          </w:tcPr>
          <w:p>
            <w:pPr>
              <w:spacing w:after="0" w:line="123" w:lineRule="exact"/>
              <w:rPr>
                <w:sz w:val="20"/>
                <w:szCs w:val="20"/>
                <w:color w:val="auto"/>
              </w:rPr>
            </w:pPr>
            <w:r>
              <w:rPr>
                <w:rFonts w:ascii="Times New Roman" w:cs="Times New Roman" w:eastAsia="Times New Roman" w:hAnsi="Times New Roman"/>
                <w:sz w:val="14"/>
                <w:szCs w:val="14"/>
                <w:b w:val="1"/>
                <w:bCs w:val="1"/>
                <w:color w:val="auto"/>
              </w:rPr>
              <w:t>Aspiration Partners, Inc.</w:t>
            </w:r>
          </w:p>
        </w:tc>
        <w:tc>
          <w:tcPr>
            <w:tcW w:w="100" w:type="dxa"/>
            <w:vAlign w:val="bottom"/>
          </w:tcPr>
          <w:p>
            <w:pPr>
              <w:spacing w:after="0"/>
              <w:rPr>
                <w:sz w:val="10"/>
                <w:szCs w:val="10"/>
                <w:color w:val="auto"/>
              </w:rPr>
            </w:pPr>
          </w:p>
        </w:tc>
        <w:tc>
          <w:tcPr>
            <w:tcW w:w="2080" w:type="dxa"/>
            <w:vAlign w:val="bottom"/>
            <w:gridSpan w:val="2"/>
          </w:tcPr>
          <w:p>
            <w:pPr>
              <w:jc w:val="center"/>
              <w:ind w:right="140"/>
              <w:spacing w:after="0" w:line="123" w:lineRule="exact"/>
              <w:rPr>
                <w:sz w:val="20"/>
                <w:szCs w:val="20"/>
                <w:color w:val="auto"/>
              </w:rPr>
            </w:pPr>
            <w:r>
              <w:rPr>
                <w:rFonts w:ascii="Times New Roman" w:cs="Times New Roman" w:eastAsia="Times New Roman" w:hAnsi="Times New Roman"/>
                <w:sz w:val="14"/>
                <w:szCs w:val="14"/>
                <w:color w:val="auto"/>
                <w:w w:val="97"/>
              </w:rPr>
              <w:t>Marina Del Rey, CA</w:t>
            </w: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Borders>
              <w:bottom w:val="single" w:sz="8" w:color="CCEEFF"/>
            </w:tcBorders>
            <w:shd w:val="clear" w:color="auto" w:fill="CCEEFF"/>
          </w:tcPr>
          <w:p>
            <w:pPr>
              <w:spacing w:after="0"/>
              <w:rPr>
                <w:sz w:val="17"/>
                <w:szCs w:val="17"/>
                <w:color w:val="auto"/>
              </w:rPr>
            </w:pPr>
          </w:p>
        </w:tc>
        <w:tc>
          <w:tcPr>
            <w:tcW w:w="3580" w:type="dxa"/>
            <w:vAlign w:val="bottom"/>
            <w:tcBorders>
              <w:bottom w:val="single" w:sz="8" w:color="CCEEFF"/>
            </w:tcBorders>
            <w:gridSpan w:val="15"/>
            <w:shd w:val="clear" w:color="auto" w:fill="CCEEFF"/>
          </w:tcPr>
          <w:p>
            <w:pPr>
              <w:spacing w:after="0"/>
              <w:rPr>
                <w:sz w:val="20"/>
                <w:szCs w:val="20"/>
                <w:color w:val="auto"/>
              </w:rPr>
            </w:pPr>
            <w:r>
              <w:rPr>
                <w:rFonts w:ascii="Times New Roman" w:cs="Times New Roman" w:eastAsia="Times New Roman" w:hAnsi="Times New Roman"/>
                <w:sz w:val="14"/>
                <w:szCs w:val="14"/>
                <w:color w:val="auto"/>
              </w:rPr>
              <w:t>Preferred shares, Series A</w:t>
            </w:r>
          </w:p>
        </w:tc>
        <w:tc>
          <w:tcPr>
            <w:tcW w:w="100" w:type="dxa"/>
            <w:vAlign w:val="bottom"/>
            <w:tcBorders>
              <w:bottom w:val="single" w:sz="8" w:color="CCEEFF"/>
            </w:tcBorders>
            <w:shd w:val="clear" w:color="auto" w:fill="CCEEFF"/>
          </w:tcPr>
          <w:p>
            <w:pPr>
              <w:spacing w:after="0"/>
              <w:rPr>
                <w:sz w:val="17"/>
                <w:szCs w:val="17"/>
                <w:color w:val="auto"/>
              </w:rPr>
            </w:pPr>
          </w:p>
        </w:tc>
        <w:tc>
          <w:tcPr>
            <w:tcW w:w="19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Financial Services</w:t>
            </w:r>
          </w:p>
        </w:tc>
        <w:tc>
          <w:tcPr>
            <w:tcW w:w="1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8/11/2015</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540,270</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1,001,815</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10,896,125</w:t>
            </w:r>
          </w:p>
        </w:tc>
        <w:tc>
          <w:tcPr>
            <w:tcW w:w="1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3.89 %</w:t>
            </w:r>
          </w:p>
        </w:tc>
        <w:tc>
          <w:tcPr>
            <w:tcW w:w="0" w:type="dxa"/>
            <w:vAlign w:val="bottom"/>
          </w:tcPr>
          <w:p>
            <w:pPr>
              <w:spacing w:after="0"/>
              <w:rPr>
                <w:sz w:val="1"/>
                <w:szCs w:val="1"/>
                <w:color w:val="auto"/>
              </w:rPr>
            </w:pPr>
          </w:p>
        </w:tc>
      </w:tr>
      <w:tr>
        <w:trPr>
          <w:trHeight w:val="180"/>
        </w:trPr>
        <w:tc>
          <w:tcPr>
            <w:tcW w:w="20" w:type="dxa"/>
            <w:vAlign w:val="bottom"/>
            <w:tcBorders>
              <w:bottom w:val="single" w:sz="8" w:color="CCEEFF"/>
            </w:tcBorders>
          </w:tcPr>
          <w:p>
            <w:pPr>
              <w:spacing w:after="0"/>
              <w:rPr>
                <w:sz w:val="15"/>
                <w:szCs w:val="15"/>
                <w:color w:val="auto"/>
              </w:rPr>
            </w:pPr>
          </w:p>
        </w:tc>
        <w:tc>
          <w:tcPr>
            <w:tcW w:w="3580" w:type="dxa"/>
            <w:vAlign w:val="bottom"/>
            <w:tcBorders>
              <w:bottom w:val="single" w:sz="8" w:color="CCEEFF"/>
            </w:tcBorders>
            <w:gridSpan w:val="15"/>
          </w:tcPr>
          <w:p>
            <w:pPr>
              <w:spacing w:after="0"/>
              <w:rPr>
                <w:sz w:val="20"/>
                <w:szCs w:val="20"/>
                <w:color w:val="auto"/>
              </w:rPr>
            </w:pPr>
            <w:r>
              <w:rPr>
                <w:rFonts w:ascii="Times New Roman" w:cs="Times New Roman" w:eastAsia="Times New Roman" w:hAnsi="Times New Roman"/>
                <w:sz w:val="14"/>
                <w:szCs w:val="14"/>
                <w:color w:val="auto"/>
              </w:rPr>
              <w:t>Preferred shares, Series C-3</w:t>
            </w:r>
          </w:p>
        </w:tc>
        <w:tc>
          <w:tcPr>
            <w:tcW w:w="100" w:type="dxa"/>
            <w:vAlign w:val="bottom"/>
            <w:tcBorders>
              <w:bottom w:val="single" w:sz="8" w:color="CCEEFF"/>
            </w:tcBorders>
          </w:tcPr>
          <w:p>
            <w:pPr>
              <w:spacing w:after="0"/>
              <w:rPr>
                <w:sz w:val="15"/>
                <w:szCs w:val="15"/>
                <w:color w:val="auto"/>
              </w:rPr>
            </w:pPr>
          </w:p>
        </w:tc>
        <w:tc>
          <w:tcPr>
            <w:tcW w:w="19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96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4"/>
                <w:szCs w:val="14"/>
                <w:color w:val="auto"/>
                <w:w w:val="98"/>
              </w:rPr>
              <w:t>8/12/2019</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8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24,912</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281,190</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502,423</w:t>
            </w:r>
          </w:p>
        </w:tc>
        <w:tc>
          <w:tcPr>
            <w:tcW w:w="10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0.18 %</w:t>
            </w:r>
          </w:p>
        </w:tc>
        <w:tc>
          <w:tcPr>
            <w:tcW w:w="0" w:type="dxa"/>
            <w:vAlign w:val="bottom"/>
          </w:tcPr>
          <w:p>
            <w:pPr>
              <w:spacing w:after="0"/>
              <w:rPr>
                <w:sz w:val="1"/>
                <w:szCs w:val="1"/>
                <w:color w:val="auto"/>
              </w:rPr>
            </w:pPr>
          </w:p>
        </w:tc>
      </w:tr>
      <w:tr>
        <w:trPr>
          <w:trHeight w:val="194"/>
        </w:trPr>
        <w:tc>
          <w:tcPr>
            <w:tcW w:w="20" w:type="dxa"/>
            <w:vAlign w:val="bottom"/>
            <w:shd w:val="clear" w:color="auto" w:fill="CCEEFF"/>
          </w:tcPr>
          <w:p>
            <w:pPr>
              <w:spacing w:after="0"/>
              <w:rPr>
                <w:sz w:val="16"/>
                <w:szCs w:val="16"/>
                <w:color w:val="auto"/>
              </w:rPr>
            </w:pPr>
          </w:p>
        </w:tc>
        <w:tc>
          <w:tcPr>
            <w:tcW w:w="3580" w:type="dxa"/>
            <w:vAlign w:val="bottom"/>
            <w:gridSpan w:val="15"/>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shd w:val="clear" w:color="auto" w:fill="CCEEFF"/>
          </w:tcPr>
          <w:p>
            <w:pPr>
              <w:spacing w:after="0"/>
              <w:rPr>
                <w:sz w:val="16"/>
                <w:szCs w:val="16"/>
                <w:color w:val="auto"/>
              </w:rPr>
            </w:pPr>
          </w:p>
        </w:tc>
        <w:tc>
          <w:tcPr>
            <w:tcW w:w="1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1,283,005</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11,398,548</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4.07 %</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580" w:type="dxa"/>
            <w:vAlign w:val="bottom"/>
            <w:gridSpan w:val="15"/>
          </w:tcPr>
          <w:p>
            <w:pPr>
              <w:spacing w:after="0" w:line="143" w:lineRule="exact"/>
              <w:rPr>
                <w:sz w:val="20"/>
                <w:szCs w:val="20"/>
                <w:color w:val="auto"/>
              </w:rPr>
            </w:pPr>
            <w:r>
              <w:rPr>
                <w:rFonts w:ascii="Times New Roman" w:cs="Times New Roman" w:eastAsia="Times New Roman" w:hAnsi="Times New Roman"/>
                <w:sz w:val="14"/>
                <w:szCs w:val="14"/>
                <w:b w:val="1"/>
                <w:bCs w:val="1"/>
                <w:color w:val="auto"/>
              </w:rPr>
              <w:t>Whoop, Inc.</w:t>
            </w:r>
          </w:p>
        </w:tc>
        <w:tc>
          <w:tcPr>
            <w:tcW w:w="100" w:type="dxa"/>
            <w:vAlign w:val="bottom"/>
          </w:tcPr>
          <w:p>
            <w:pPr>
              <w:spacing w:after="0"/>
              <w:rPr>
                <w:sz w:val="12"/>
                <w:szCs w:val="12"/>
                <w:color w:val="auto"/>
              </w:rPr>
            </w:pPr>
          </w:p>
        </w:tc>
        <w:tc>
          <w:tcPr>
            <w:tcW w:w="2080" w:type="dxa"/>
            <w:vAlign w:val="bottom"/>
            <w:gridSpan w:val="2"/>
          </w:tcPr>
          <w:p>
            <w:pPr>
              <w:jc w:val="center"/>
              <w:ind w:right="120"/>
              <w:spacing w:after="0" w:line="143" w:lineRule="exact"/>
              <w:rPr>
                <w:sz w:val="20"/>
                <w:szCs w:val="20"/>
                <w:color w:val="auto"/>
              </w:rPr>
            </w:pPr>
            <w:r>
              <w:rPr>
                <w:rFonts w:ascii="Times New Roman" w:cs="Times New Roman" w:eastAsia="Times New Roman" w:hAnsi="Times New Roman"/>
                <w:sz w:val="14"/>
                <w:szCs w:val="14"/>
                <w:color w:val="auto"/>
                <w:w w:val="98"/>
              </w:rPr>
              <w:t>Boston, MA</w:t>
            </w: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shd w:val="clear" w:color="auto" w:fill="CCEEFF"/>
          </w:tcPr>
          <w:p>
            <w:pPr>
              <w:spacing w:after="0"/>
              <w:rPr>
                <w:sz w:val="16"/>
                <w:szCs w:val="16"/>
                <w:color w:val="auto"/>
              </w:rPr>
            </w:pPr>
          </w:p>
        </w:tc>
        <w:tc>
          <w:tcPr>
            <w:tcW w:w="3580" w:type="dxa"/>
            <w:vAlign w:val="bottom"/>
            <w:gridSpan w:val="15"/>
            <w:shd w:val="clear" w:color="auto" w:fill="CCEEFF"/>
          </w:tcPr>
          <w:p>
            <w:pPr>
              <w:spacing w:after="0"/>
              <w:rPr>
                <w:sz w:val="20"/>
                <w:szCs w:val="20"/>
                <w:color w:val="auto"/>
              </w:rPr>
            </w:pPr>
            <w:r>
              <w:rPr>
                <w:rFonts w:ascii="Times New Roman" w:cs="Times New Roman" w:eastAsia="Times New Roman" w:hAnsi="Times New Roman"/>
                <w:sz w:val="14"/>
                <w:szCs w:val="14"/>
                <w:color w:val="auto"/>
              </w:rPr>
              <w:t>Preferred shares, Series C</w:t>
            </w:r>
          </w:p>
        </w:tc>
        <w:tc>
          <w:tcPr>
            <w:tcW w:w="100" w:type="dxa"/>
            <w:vAlign w:val="bottom"/>
            <w:shd w:val="clear" w:color="auto" w:fill="CCEEFF"/>
          </w:tcPr>
          <w:p>
            <w:pPr>
              <w:spacing w:after="0"/>
              <w:rPr>
                <w:sz w:val="16"/>
                <w:szCs w:val="16"/>
                <w:color w:val="auto"/>
              </w:rPr>
            </w:pPr>
          </w:p>
        </w:tc>
        <w:tc>
          <w:tcPr>
            <w:tcW w:w="20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w w:val="98"/>
              </w:rPr>
              <w:t>Fitness Technology</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6/30/2022</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13,293,450</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10,007,185</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10,000,000</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3.57 %</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580" w:type="dxa"/>
            <w:vAlign w:val="bottom"/>
            <w:gridSpan w:val="15"/>
          </w:tcPr>
          <w:p>
            <w:pPr>
              <w:spacing w:after="0" w:line="143" w:lineRule="exact"/>
              <w:rPr>
                <w:sz w:val="20"/>
                <w:szCs w:val="20"/>
                <w:color w:val="auto"/>
              </w:rPr>
            </w:pPr>
            <w:r>
              <w:rPr>
                <w:rFonts w:ascii="Times New Roman" w:cs="Times New Roman" w:eastAsia="Times New Roman" w:hAnsi="Times New Roman"/>
                <w:sz w:val="14"/>
                <w:szCs w:val="14"/>
                <w:b w:val="1"/>
                <w:bCs w:val="1"/>
                <w:color w:val="auto"/>
              </w:rPr>
              <w:t>Orchard Technologies, Inc.</w:t>
            </w:r>
          </w:p>
        </w:tc>
        <w:tc>
          <w:tcPr>
            <w:tcW w:w="100" w:type="dxa"/>
            <w:vAlign w:val="bottom"/>
          </w:tcPr>
          <w:p>
            <w:pPr>
              <w:spacing w:after="0"/>
              <w:rPr>
                <w:sz w:val="12"/>
                <w:szCs w:val="12"/>
                <w:color w:val="auto"/>
              </w:rPr>
            </w:pPr>
          </w:p>
        </w:tc>
        <w:tc>
          <w:tcPr>
            <w:tcW w:w="2080" w:type="dxa"/>
            <w:vAlign w:val="bottom"/>
            <w:gridSpan w:val="2"/>
          </w:tcPr>
          <w:p>
            <w:pPr>
              <w:jc w:val="center"/>
              <w:ind w:right="120"/>
              <w:spacing w:after="0" w:line="143" w:lineRule="exact"/>
              <w:rPr>
                <w:sz w:val="20"/>
                <w:szCs w:val="20"/>
                <w:color w:val="auto"/>
              </w:rPr>
            </w:pPr>
            <w:r>
              <w:rPr>
                <w:rFonts w:ascii="Times New Roman" w:cs="Times New Roman" w:eastAsia="Times New Roman" w:hAnsi="Times New Roman"/>
                <w:sz w:val="14"/>
                <w:szCs w:val="14"/>
                <w:color w:val="auto"/>
                <w:w w:val="97"/>
              </w:rPr>
              <w:t>New York, NY</w:t>
            </w: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shd w:val="clear" w:color="auto" w:fill="CCEEFF"/>
          </w:tcPr>
          <w:p>
            <w:pPr>
              <w:spacing w:after="0"/>
              <w:rPr>
                <w:sz w:val="16"/>
                <w:szCs w:val="16"/>
                <w:color w:val="auto"/>
              </w:rPr>
            </w:pPr>
          </w:p>
        </w:tc>
        <w:tc>
          <w:tcPr>
            <w:tcW w:w="3580" w:type="dxa"/>
            <w:vAlign w:val="bottom"/>
            <w:gridSpan w:val="15"/>
            <w:shd w:val="clear" w:color="auto" w:fill="CCEEFF"/>
          </w:tcPr>
          <w:p>
            <w:pPr>
              <w:spacing w:after="0"/>
              <w:rPr>
                <w:sz w:val="20"/>
                <w:szCs w:val="20"/>
                <w:color w:val="auto"/>
              </w:rPr>
            </w:pPr>
            <w:r>
              <w:rPr>
                <w:rFonts w:ascii="Times New Roman" w:cs="Times New Roman" w:eastAsia="Times New Roman" w:hAnsi="Times New Roman"/>
                <w:sz w:val="14"/>
                <w:szCs w:val="14"/>
                <w:color w:val="auto"/>
              </w:rPr>
              <w:t>Preferred shares, Series D</w:t>
            </w:r>
          </w:p>
        </w:tc>
        <w:tc>
          <w:tcPr>
            <w:tcW w:w="100" w:type="dxa"/>
            <w:vAlign w:val="bottom"/>
            <w:shd w:val="clear" w:color="auto" w:fill="CCEEFF"/>
          </w:tcPr>
          <w:p>
            <w:pPr>
              <w:spacing w:after="0"/>
              <w:rPr>
                <w:sz w:val="16"/>
                <w:szCs w:val="16"/>
                <w:color w:val="auto"/>
              </w:rPr>
            </w:pPr>
          </w:p>
        </w:tc>
        <w:tc>
          <w:tcPr>
            <w:tcW w:w="208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4"/>
                <w:szCs w:val="14"/>
                <w:color w:val="auto"/>
                <w:w w:val="98"/>
              </w:rPr>
              <w:t>Real Estate Platform</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8/9/2021</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1,488,139</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10,004,034</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9,999,996</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3.57 %</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580" w:type="dxa"/>
            <w:vAlign w:val="bottom"/>
            <w:gridSpan w:val="15"/>
          </w:tcPr>
          <w:p>
            <w:pPr>
              <w:spacing w:after="0" w:line="143" w:lineRule="exact"/>
              <w:rPr>
                <w:sz w:val="20"/>
                <w:szCs w:val="20"/>
                <w:color w:val="auto"/>
              </w:rPr>
            </w:pPr>
            <w:r>
              <w:rPr>
                <w:rFonts w:ascii="Times New Roman" w:cs="Times New Roman" w:eastAsia="Times New Roman" w:hAnsi="Times New Roman"/>
                <w:sz w:val="14"/>
                <w:szCs w:val="14"/>
                <w:b w:val="1"/>
                <w:bCs w:val="1"/>
                <w:color w:val="auto"/>
              </w:rPr>
              <w:t>Shogun Enterprises, Inc.</w:t>
            </w:r>
          </w:p>
        </w:tc>
        <w:tc>
          <w:tcPr>
            <w:tcW w:w="100" w:type="dxa"/>
            <w:vAlign w:val="bottom"/>
          </w:tcPr>
          <w:p>
            <w:pPr>
              <w:spacing w:after="0"/>
              <w:rPr>
                <w:sz w:val="12"/>
                <w:szCs w:val="12"/>
                <w:color w:val="auto"/>
              </w:rPr>
            </w:pPr>
          </w:p>
        </w:tc>
        <w:tc>
          <w:tcPr>
            <w:tcW w:w="2080" w:type="dxa"/>
            <w:vAlign w:val="bottom"/>
            <w:gridSpan w:val="2"/>
          </w:tcPr>
          <w:p>
            <w:pPr>
              <w:jc w:val="center"/>
              <w:ind w:right="140"/>
              <w:spacing w:after="0" w:line="143" w:lineRule="exact"/>
              <w:rPr>
                <w:sz w:val="20"/>
                <w:szCs w:val="20"/>
                <w:color w:val="auto"/>
              </w:rPr>
            </w:pPr>
            <w:r>
              <w:rPr>
                <w:rFonts w:ascii="Times New Roman" w:cs="Times New Roman" w:eastAsia="Times New Roman" w:hAnsi="Times New Roman"/>
                <w:sz w:val="14"/>
                <w:szCs w:val="14"/>
                <w:color w:val="auto"/>
                <w:w w:val="98"/>
              </w:rPr>
              <w:t>Austin, TX</w:t>
            </w: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shd w:val="clear" w:color="auto" w:fill="CCEEFF"/>
          </w:tcPr>
          <w:p>
            <w:pPr>
              <w:spacing w:after="0"/>
              <w:rPr>
                <w:sz w:val="16"/>
                <w:szCs w:val="16"/>
                <w:color w:val="auto"/>
              </w:rPr>
            </w:pPr>
          </w:p>
        </w:tc>
        <w:tc>
          <w:tcPr>
            <w:tcW w:w="3580" w:type="dxa"/>
            <w:vAlign w:val="bottom"/>
            <w:gridSpan w:val="15"/>
            <w:shd w:val="clear" w:color="auto" w:fill="CCEEFF"/>
          </w:tcPr>
          <w:p>
            <w:pPr>
              <w:spacing w:after="0"/>
              <w:rPr>
                <w:sz w:val="20"/>
                <w:szCs w:val="20"/>
                <w:color w:val="auto"/>
              </w:rPr>
            </w:pPr>
            <w:r>
              <w:rPr>
                <w:rFonts w:ascii="Times New Roman" w:cs="Times New Roman" w:eastAsia="Times New Roman" w:hAnsi="Times New Roman"/>
                <w:sz w:val="14"/>
                <w:szCs w:val="14"/>
                <w:color w:val="auto"/>
              </w:rPr>
              <w:t>Preferred shares, Series B-1</w:t>
            </w:r>
          </w:p>
        </w:tc>
        <w:tc>
          <w:tcPr>
            <w:tcW w:w="100" w:type="dxa"/>
            <w:vAlign w:val="bottom"/>
            <w:shd w:val="clear" w:color="auto" w:fill="CCEEFF"/>
          </w:tcPr>
          <w:p>
            <w:pPr>
              <w:spacing w:after="0"/>
              <w:rPr>
                <w:sz w:val="16"/>
                <w:szCs w:val="16"/>
                <w:color w:val="auto"/>
              </w:rPr>
            </w:pPr>
          </w:p>
        </w:tc>
        <w:tc>
          <w:tcPr>
            <w:tcW w:w="20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w w:val="99"/>
              </w:rPr>
              <w:t>Home Improvement Finance</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2/26/2021</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436,844</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3,501,657</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3,499,994</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1.25 %</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580" w:type="dxa"/>
            <w:vAlign w:val="bottom"/>
            <w:gridSpan w:val="15"/>
          </w:tcPr>
          <w:p>
            <w:pPr>
              <w:spacing w:after="0"/>
              <w:rPr>
                <w:sz w:val="20"/>
                <w:szCs w:val="20"/>
                <w:color w:val="auto"/>
              </w:rPr>
            </w:pPr>
            <w:r>
              <w:rPr>
                <w:rFonts w:ascii="Times New Roman" w:cs="Times New Roman" w:eastAsia="Times New Roman" w:hAnsi="Times New Roman"/>
                <w:sz w:val="14"/>
                <w:szCs w:val="14"/>
                <w:color w:val="auto"/>
              </w:rPr>
              <w:t>Preferred shares, Series B-2</w:t>
            </w:r>
          </w:p>
        </w:tc>
        <w:tc>
          <w:tcPr>
            <w:tcW w:w="10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2/26/2021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301,750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3,501,661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3,499,998</w:t>
            </w: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1.25 %</w:t>
            </w:r>
          </w:p>
        </w:tc>
        <w:tc>
          <w:tcPr>
            <w:tcW w:w="0" w:type="dxa"/>
            <w:vAlign w:val="bottom"/>
          </w:tcPr>
          <w:p>
            <w:pPr>
              <w:spacing w:after="0"/>
              <w:rPr>
                <w:sz w:val="1"/>
                <w:szCs w:val="1"/>
                <w:color w:val="auto"/>
              </w:rPr>
            </w:pPr>
          </w:p>
        </w:tc>
      </w:tr>
      <w:tr>
        <w:trPr>
          <w:trHeight w:val="215"/>
        </w:trPr>
        <w:tc>
          <w:tcPr>
            <w:tcW w:w="20" w:type="dxa"/>
            <w:vAlign w:val="bottom"/>
            <w:tcBorders>
              <w:bottom w:val="single" w:sz="8" w:color="CCEEFF"/>
            </w:tcBorders>
            <w:shd w:val="clear" w:color="auto" w:fill="CCEEFF"/>
          </w:tcPr>
          <w:p>
            <w:pPr>
              <w:spacing w:after="0"/>
              <w:rPr>
                <w:sz w:val="18"/>
                <w:szCs w:val="18"/>
                <w:color w:val="auto"/>
              </w:rPr>
            </w:pPr>
          </w:p>
        </w:tc>
        <w:tc>
          <w:tcPr>
            <w:tcW w:w="3580" w:type="dxa"/>
            <w:vAlign w:val="bottom"/>
            <w:tcBorders>
              <w:bottom w:val="single" w:sz="8" w:color="CCEEFF"/>
            </w:tcBorders>
            <w:gridSpan w:val="15"/>
            <w:shd w:val="clear" w:color="auto" w:fill="CCEEFF"/>
          </w:tcPr>
          <w:p>
            <w:pPr>
              <w:spacing w:after="0"/>
              <w:rPr>
                <w:sz w:val="20"/>
                <w:szCs w:val="20"/>
                <w:color w:val="auto"/>
              </w:rPr>
            </w:pPr>
            <w:r>
              <w:rPr>
                <w:rFonts w:ascii="Times New Roman" w:cs="Times New Roman" w:eastAsia="Times New Roman" w:hAnsi="Times New Roman"/>
                <w:sz w:val="14"/>
                <w:szCs w:val="14"/>
                <w:color w:val="auto"/>
              </w:rPr>
              <w:t>Convertible Note 0.5%, Due 4/18/2024***</w:t>
            </w:r>
          </w:p>
        </w:tc>
        <w:tc>
          <w:tcPr>
            <w:tcW w:w="100" w:type="dxa"/>
            <w:vAlign w:val="bottom"/>
            <w:tcBorders>
              <w:bottom w:val="single" w:sz="8" w:color="CCEEFF"/>
            </w:tcBorders>
            <w:shd w:val="clear" w:color="auto" w:fill="CCEEFF"/>
          </w:tcPr>
          <w:p>
            <w:pPr>
              <w:spacing w:after="0"/>
              <w:rPr>
                <w:sz w:val="18"/>
                <w:szCs w:val="18"/>
                <w:color w:val="auto"/>
              </w:rPr>
            </w:pPr>
          </w:p>
        </w:tc>
        <w:tc>
          <w:tcPr>
            <w:tcW w:w="19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5/2/2022</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500,000</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500,000</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500,000</w:t>
            </w:r>
          </w:p>
        </w:tc>
        <w:tc>
          <w:tcPr>
            <w:tcW w:w="1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0.18 %</w:t>
            </w:r>
          </w:p>
        </w:tc>
        <w:tc>
          <w:tcPr>
            <w:tcW w:w="0" w:type="dxa"/>
            <w:vAlign w:val="bottom"/>
          </w:tcPr>
          <w:p>
            <w:pPr>
              <w:spacing w:after="0"/>
              <w:rPr>
                <w:sz w:val="1"/>
                <w:szCs w:val="1"/>
                <w:color w:val="auto"/>
              </w:rPr>
            </w:pPr>
          </w:p>
        </w:tc>
      </w:tr>
      <w:tr>
        <w:trPr>
          <w:trHeight w:val="180"/>
        </w:trPr>
        <w:tc>
          <w:tcPr>
            <w:tcW w:w="20" w:type="dxa"/>
            <w:vAlign w:val="bottom"/>
            <w:tcBorders>
              <w:bottom w:val="single" w:sz="8" w:color="CCEEFF"/>
            </w:tcBorders>
          </w:tcPr>
          <w:p>
            <w:pPr>
              <w:spacing w:after="0"/>
              <w:rPr>
                <w:sz w:val="15"/>
                <w:szCs w:val="15"/>
                <w:color w:val="auto"/>
              </w:rPr>
            </w:pPr>
          </w:p>
        </w:tc>
        <w:tc>
          <w:tcPr>
            <w:tcW w:w="3580" w:type="dxa"/>
            <w:vAlign w:val="bottom"/>
            <w:tcBorders>
              <w:bottom w:val="single" w:sz="8" w:color="CCEEFF"/>
            </w:tcBorders>
            <w:gridSpan w:val="15"/>
          </w:tcPr>
          <w:p>
            <w:pPr>
              <w:ind w:left="120"/>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tcBorders>
              <w:bottom w:val="single" w:sz="8" w:color="CCEEFF"/>
            </w:tcBorders>
          </w:tcPr>
          <w:p>
            <w:pPr>
              <w:spacing w:after="0"/>
              <w:rPr>
                <w:sz w:val="15"/>
                <w:szCs w:val="15"/>
                <w:color w:val="auto"/>
              </w:rPr>
            </w:pPr>
          </w:p>
        </w:tc>
        <w:tc>
          <w:tcPr>
            <w:tcW w:w="19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96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40" w:type="dxa"/>
            <w:vAlign w:val="bottom"/>
            <w:tcBorders>
              <w:top w:val="single" w:sz="8" w:color="CCEEFF"/>
              <w:bottom w:val="single" w:sz="8" w:color="CCEEFF"/>
            </w:tcBorders>
          </w:tcPr>
          <w:p>
            <w:pPr>
              <w:spacing w:after="0"/>
              <w:rPr>
                <w:sz w:val="15"/>
                <w:szCs w:val="15"/>
                <w:color w:val="auto"/>
              </w:rPr>
            </w:pPr>
          </w:p>
        </w:tc>
        <w:tc>
          <w:tcPr>
            <w:tcW w:w="820" w:type="dxa"/>
            <w:vAlign w:val="bottom"/>
            <w:tcBorders>
              <w:top w:val="single" w:sz="8" w:color="CCEEFF"/>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7,503,318</w:t>
            </w:r>
          </w:p>
        </w:tc>
        <w:tc>
          <w:tcPr>
            <w:tcW w:w="10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7,499,992</w:t>
            </w:r>
          </w:p>
        </w:tc>
        <w:tc>
          <w:tcPr>
            <w:tcW w:w="100" w:type="dxa"/>
            <w:vAlign w:val="bottom"/>
            <w:tcBorders>
              <w:bottom w:val="single" w:sz="8" w:color="CCEEFF"/>
            </w:tcBorders>
          </w:tcPr>
          <w:p>
            <w:pPr>
              <w:spacing w:after="0"/>
              <w:rPr>
                <w:sz w:val="15"/>
                <w:szCs w:val="15"/>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2.68 %</w:t>
            </w:r>
          </w:p>
        </w:tc>
        <w:tc>
          <w:tcPr>
            <w:tcW w:w="0" w:type="dxa"/>
            <w:vAlign w:val="bottom"/>
          </w:tcPr>
          <w:p>
            <w:pPr>
              <w:spacing w:after="0"/>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3580" w:type="dxa"/>
            <w:vAlign w:val="bottom"/>
            <w:gridSpan w:val="15"/>
            <w:shd w:val="clear" w:color="auto" w:fill="CCEEFF"/>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Nextdoor Holdings, Inc.**</w:t>
            </w:r>
          </w:p>
        </w:tc>
        <w:tc>
          <w:tcPr>
            <w:tcW w:w="100" w:type="dxa"/>
            <w:vAlign w:val="bottom"/>
            <w:shd w:val="clear" w:color="auto" w:fill="CCEEFF"/>
          </w:tcPr>
          <w:p>
            <w:pPr>
              <w:spacing w:after="0"/>
              <w:rPr>
                <w:sz w:val="11"/>
                <w:szCs w:val="11"/>
                <w:color w:val="auto"/>
              </w:rPr>
            </w:pPr>
          </w:p>
        </w:tc>
        <w:tc>
          <w:tcPr>
            <w:tcW w:w="2080" w:type="dxa"/>
            <w:vAlign w:val="bottom"/>
            <w:gridSpan w:val="2"/>
            <w:shd w:val="clear" w:color="auto" w:fill="CCEEFF"/>
          </w:tcPr>
          <w:p>
            <w:pPr>
              <w:jc w:val="center"/>
              <w:ind w:right="120"/>
              <w:spacing w:after="0" w:line="129" w:lineRule="exact"/>
              <w:rPr>
                <w:sz w:val="20"/>
                <w:szCs w:val="20"/>
                <w:color w:val="auto"/>
              </w:rPr>
            </w:pPr>
            <w:r>
              <w:rPr>
                <w:rFonts w:ascii="Times New Roman" w:cs="Times New Roman" w:eastAsia="Times New Roman" w:hAnsi="Times New Roman"/>
                <w:sz w:val="14"/>
                <w:szCs w:val="14"/>
                <w:color w:val="auto"/>
                <w:w w:val="98"/>
              </w:rPr>
              <w:t>San Francisco, CA</w:t>
            </w: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32"/>
        </w:trPr>
        <w:tc>
          <w:tcPr>
            <w:tcW w:w="2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auto"/>
            </w:tcBorders>
            <w:shd w:val="clear" w:color="auto" w:fill="CCEEFF"/>
          </w:tcPr>
          <w:p>
            <w:pPr>
              <w:spacing w:after="0"/>
              <w:rPr>
                <w:sz w:val="2"/>
                <w:szCs w:val="2"/>
                <w:color w:val="auto"/>
              </w:rPr>
            </w:pPr>
          </w:p>
        </w:tc>
        <w:tc>
          <w:tcPr>
            <w:tcW w:w="200" w:type="dxa"/>
            <w:vAlign w:val="bottom"/>
            <w:tcBorders>
              <w:top w:val="single" w:sz="8" w:color="auto"/>
            </w:tcBorders>
            <w:shd w:val="clear" w:color="auto" w:fill="CCEEFF"/>
          </w:tcPr>
          <w:p>
            <w:pPr>
              <w:spacing w:after="0"/>
              <w:rPr>
                <w:sz w:val="2"/>
                <w:szCs w:val="2"/>
                <w:color w:val="auto"/>
              </w:rPr>
            </w:pPr>
          </w:p>
        </w:tc>
        <w:tc>
          <w:tcPr>
            <w:tcW w:w="60" w:type="dxa"/>
            <w:vAlign w:val="bottom"/>
            <w:tcBorders>
              <w:top w:val="single" w:sz="8" w:color="auto"/>
            </w:tcBorders>
            <w:shd w:val="clear" w:color="auto" w:fill="CCEEFF"/>
          </w:tcPr>
          <w:p>
            <w:pPr>
              <w:spacing w:after="0"/>
              <w:rPr>
                <w:sz w:val="2"/>
                <w:szCs w:val="2"/>
                <w:color w:val="auto"/>
              </w:rPr>
            </w:pPr>
          </w:p>
        </w:tc>
        <w:tc>
          <w:tcPr>
            <w:tcW w:w="80" w:type="dxa"/>
            <w:vAlign w:val="bottom"/>
            <w:tcBorders>
              <w:top w:val="single" w:sz="8" w:color="auto"/>
            </w:tcBorders>
            <w:shd w:val="clear" w:color="auto" w:fill="CCEEFF"/>
          </w:tcPr>
          <w:p>
            <w:pPr>
              <w:spacing w:after="0"/>
              <w:rPr>
                <w:sz w:val="2"/>
                <w:szCs w:val="2"/>
                <w:color w:val="auto"/>
              </w:rPr>
            </w:pPr>
          </w:p>
        </w:tc>
        <w:tc>
          <w:tcPr>
            <w:tcW w:w="160" w:type="dxa"/>
            <w:vAlign w:val="bottom"/>
            <w:tcBorders>
              <w:top w:val="single" w:sz="8" w:color="auto"/>
            </w:tcBorders>
            <w:shd w:val="clear" w:color="auto" w:fill="CCEEFF"/>
          </w:tcPr>
          <w:p>
            <w:pPr>
              <w:spacing w:after="0"/>
              <w:rPr>
                <w:sz w:val="2"/>
                <w:szCs w:val="2"/>
                <w:color w:val="auto"/>
              </w:rPr>
            </w:pPr>
          </w:p>
        </w:tc>
        <w:tc>
          <w:tcPr>
            <w:tcW w:w="20" w:type="dxa"/>
            <w:vAlign w:val="bottom"/>
            <w:tcBorders>
              <w:top w:val="single" w:sz="8" w:color="auto"/>
            </w:tcBorders>
            <w:shd w:val="clear" w:color="auto" w:fill="CCEEFF"/>
          </w:tcPr>
          <w:p>
            <w:pPr>
              <w:spacing w:after="0"/>
              <w:rPr>
                <w:sz w:val="2"/>
                <w:szCs w:val="2"/>
                <w:color w:val="auto"/>
              </w:rPr>
            </w:pPr>
          </w:p>
        </w:tc>
        <w:tc>
          <w:tcPr>
            <w:tcW w:w="360" w:type="dxa"/>
            <w:vAlign w:val="bottom"/>
            <w:tcBorders>
              <w:top w:val="single" w:sz="8" w:color="auto"/>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11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9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9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9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9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3580" w:type="dxa"/>
            <w:vAlign w:val="bottom"/>
            <w:gridSpan w:val="15"/>
          </w:tcPr>
          <w:p>
            <w:pPr>
              <w:spacing w:after="0" w:line="194" w:lineRule="exact"/>
              <w:rPr>
                <w:sz w:val="20"/>
                <w:szCs w:val="20"/>
                <w:color w:val="auto"/>
              </w:rPr>
            </w:pPr>
            <w:r>
              <w:rPr>
                <w:rFonts w:ascii="Times New Roman" w:cs="Times New Roman" w:eastAsia="Times New Roman" w:hAnsi="Times New Roman"/>
                <w:sz w:val="14"/>
                <w:szCs w:val="14"/>
                <w:color w:val="auto"/>
              </w:rPr>
              <w:t>Common shares, Class B</w:t>
            </w:r>
            <w:r>
              <w:rPr>
                <w:rFonts w:ascii="Times New Roman" w:cs="Times New Roman" w:eastAsia="Times New Roman" w:hAnsi="Times New Roman"/>
                <w:sz w:val="17"/>
                <w:szCs w:val="17"/>
                <w:color w:val="auto"/>
                <w:vertAlign w:val="superscript"/>
              </w:rPr>
              <w:t>(3)</w:t>
            </w:r>
          </w:p>
        </w:tc>
        <w:tc>
          <w:tcPr>
            <w:tcW w:w="100" w:type="dxa"/>
            <w:vAlign w:val="bottom"/>
          </w:tcPr>
          <w:p>
            <w:pPr>
              <w:spacing w:after="0"/>
              <w:rPr>
                <w:sz w:val="16"/>
                <w:szCs w:val="16"/>
                <w:color w:val="auto"/>
              </w:rPr>
            </w:pPr>
          </w:p>
        </w:tc>
        <w:tc>
          <w:tcPr>
            <w:tcW w:w="20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w w:val="98"/>
              </w:rPr>
              <w:t>Social Networking</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9/27/2018</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1,802,416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10,002,666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5,965,997</w:t>
            </w: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2.13 %</w:t>
            </w:r>
          </w:p>
        </w:tc>
        <w:tc>
          <w:tcPr>
            <w:tcW w:w="0" w:type="dxa"/>
            <w:vAlign w:val="bottom"/>
          </w:tcPr>
          <w:p>
            <w:pPr>
              <w:spacing w:after="0"/>
              <w:rPr>
                <w:sz w:val="1"/>
                <w:szCs w:val="1"/>
                <w:color w:val="auto"/>
              </w:rPr>
            </w:pPr>
          </w:p>
        </w:tc>
      </w:tr>
      <w:tr>
        <w:trPr>
          <w:trHeight w:val="174"/>
        </w:trPr>
        <w:tc>
          <w:tcPr>
            <w:tcW w:w="20" w:type="dxa"/>
            <w:vAlign w:val="bottom"/>
            <w:shd w:val="clear" w:color="auto" w:fill="CCEEFF"/>
          </w:tcPr>
          <w:p>
            <w:pPr>
              <w:spacing w:after="0"/>
              <w:rPr>
                <w:sz w:val="15"/>
                <w:szCs w:val="15"/>
                <w:color w:val="auto"/>
              </w:rPr>
            </w:pPr>
          </w:p>
        </w:tc>
        <w:tc>
          <w:tcPr>
            <w:tcW w:w="3580" w:type="dxa"/>
            <w:vAlign w:val="bottom"/>
            <w:gridSpan w:val="15"/>
            <w:shd w:val="clear" w:color="auto" w:fill="CCEEFF"/>
          </w:tcPr>
          <w:p>
            <w:pPr>
              <w:spacing w:after="0" w:line="143" w:lineRule="exact"/>
              <w:rPr>
                <w:sz w:val="20"/>
                <w:szCs w:val="20"/>
                <w:color w:val="auto"/>
              </w:rPr>
            </w:pPr>
            <w:r>
              <w:rPr>
                <w:rFonts w:ascii="Times New Roman" w:cs="Times New Roman" w:eastAsia="Times New Roman" w:hAnsi="Times New Roman"/>
                <w:sz w:val="14"/>
                <w:szCs w:val="14"/>
                <w:b w:val="1"/>
                <w:bCs w:val="1"/>
                <w:color w:val="auto"/>
              </w:rPr>
              <w:t>Varo Money, Inc.**</w:t>
            </w:r>
          </w:p>
        </w:tc>
        <w:tc>
          <w:tcPr>
            <w:tcW w:w="100" w:type="dxa"/>
            <w:vAlign w:val="bottom"/>
            <w:shd w:val="clear" w:color="auto" w:fill="CCEEFF"/>
          </w:tcPr>
          <w:p>
            <w:pPr>
              <w:spacing w:after="0"/>
              <w:rPr>
                <w:sz w:val="15"/>
                <w:szCs w:val="15"/>
                <w:color w:val="auto"/>
              </w:rPr>
            </w:pPr>
          </w:p>
        </w:tc>
        <w:tc>
          <w:tcPr>
            <w:tcW w:w="2080" w:type="dxa"/>
            <w:vAlign w:val="bottom"/>
            <w:gridSpan w:val="2"/>
            <w:shd w:val="clear" w:color="auto" w:fill="CCEEFF"/>
          </w:tcPr>
          <w:p>
            <w:pPr>
              <w:jc w:val="center"/>
              <w:ind w:right="120"/>
              <w:spacing w:after="0" w:line="143" w:lineRule="exact"/>
              <w:rPr>
                <w:sz w:val="20"/>
                <w:szCs w:val="20"/>
                <w:color w:val="auto"/>
              </w:rPr>
            </w:pPr>
            <w:r>
              <w:rPr>
                <w:rFonts w:ascii="Times New Roman" w:cs="Times New Roman" w:eastAsia="Times New Roman" w:hAnsi="Times New Roman"/>
                <w:sz w:val="14"/>
                <w:szCs w:val="14"/>
                <w:color w:val="auto"/>
                <w:w w:val="98"/>
              </w:rPr>
              <w:t>San Francisco, CA</w:t>
            </w: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0" w:type="dxa"/>
            <w:vAlign w:val="bottom"/>
            <w:tcBorders>
              <w:top w:val="single" w:sz="8" w:color="CCEEFF"/>
            </w:tcBorders>
          </w:tcPr>
          <w:p>
            <w:pPr>
              <w:spacing w:after="0"/>
              <w:rPr>
                <w:sz w:val="16"/>
                <w:szCs w:val="16"/>
                <w:color w:val="auto"/>
              </w:rPr>
            </w:pPr>
          </w:p>
        </w:tc>
        <w:tc>
          <w:tcPr>
            <w:tcW w:w="1020" w:type="dxa"/>
            <w:vAlign w:val="bottom"/>
            <w:tcBorders>
              <w:top w:val="single" w:sz="8" w:color="auto"/>
            </w:tcBorders>
            <w:gridSpan w:val="5"/>
          </w:tcPr>
          <w:p>
            <w:pPr>
              <w:spacing w:after="0"/>
              <w:rPr>
                <w:sz w:val="20"/>
                <w:szCs w:val="20"/>
                <w:color w:val="auto"/>
              </w:rPr>
            </w:pPr>
            <w:r>
              <w:rPr>
                <w:rFonts w:ascii="Times New Roman" w:cs="Times New Roman" w:eastAsia="Times New Roman" w:hAnsi="Times New Roman"/>
                <w:sz w:val="14"/>
                <w:szCs w:val="14"/>
                <w:color w:val="auto"/>
              </w:rPr>
              <w:t>Common shares</w:t>
            </w:r>
          </w:p>
        </w:tc>
        <w:tc>
          <w:tcPr>
            <w:tcW w:w="2560" w:type="dxa"/>
            <w:vAlign w:val="bottom"/>
            <w:tcBorders>
              <w:top w:val="single" w:sz="8" w:color="CCEEFF"/>
            </w:tcBorders>
            <w:gridSpan w:val="10"/>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2080" w:type="dxa"/>
            <w:vAlign w:val="bottom"/>
            <w:tcBorders>
              <w:top w:val="single" w:sz="8" w:color="CCEEFF"/>
            </w:tcBorders>
            <w:gridSpan w:val="2"/>
          </w:tcPr>
          <w:p>
            <w:pPr>
              <w:jc w:val="center"/>
              <w:ind w:right="120"/>
              <w:spacing w:after="0"/>
              <w:rPr>
                <w:sz w:val="20"/>
                <w:szCs w:val="20"/>
                <w:color w:val="auto"/>
              </w:rPr>
            </w:pPr>
            <w:r>
              <w:rPr>
                <w:rFonts w:ascii="Times New Roman" w:cs="Times New Roman" w:eastAsia="Times New Roman" w:hAnsi="Times New Roman"/>
                <w:sz w:val="14"/>
                <w:szCs w:val="14"/>
                <w:color w:val="auto"/>
                <w:w w:val="97"/>
              </w:rPr>
              <w:t>Financial Services</w:t>
            </w:r>
          </w:p>
        </w:tc>
        <w:tc>
          <w:tcPr>
            <w:tcW w:w="960" w:type="dxa"/>
            <w:vAlign w:val="bottom"/>
            <w:tcBorders>
              <w:top w:val="single" w:sz="8" w:color="CCEEFF"/>
            </w:tcBorders>
          </w:tcPr>
          <w:p>
            <w:pPr>
              <w:jc w:val="center"/>
              <w:spacing w:after="0"/>
              <w:rPr>
                <w:sz w:val="20"/>
                <w:szCs w:val="20"/>
                <w:color w:val="auto"/>
              </w:rPr>
            </w:pPr>
            <w:r>
              <w:rPr>
                <w:rFonts w:ascii="Times New Roman" w:cs="Times New Roman" w:eastAsia="Times New Roman" w:hAnsi="Times New Roman"/>
                <w:sz w:val="14"/>
                <w:szCs w:val="14"/>
                <w:color w:val="auto"/>
                <w:w w:val="98"/>
              </w:rPr>
              <w:t>8/11/2021</w:t>
            </w:r>
          </w:p>
        </w:tc>
        <w:tc>
          <w:tcPr>
            <w:tcW w:w="12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8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1,079,266</w:t>
            </w:r>
          </w:p>
        </w:tc>
        <w:tc>
          <w:tcPr>
            <w:tcW w:w="100" w:type="dxa"/>
            <w:vAlign w:val="bottom"/>
            <w:tcBorders>
              <w:top w:val="single" w:sz="8" w:color="CCEEFF"/>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860" w:type="dxa"/>
            <w:vAlign w:val="bottom"/>
            <w:tcBorders>
              <w:top w:val="single" w:sz="8" w:color="CCEEFF"/>
            </w:tcBorders>
          </w:tcPr>
          <w:p>
            <w:pPr>
              <w:jc w:val="right"/>
              <w:ind w:right="11"/>
              <w:spacing w:after="0"/>
              <w:rPr>
                <w:sz w:val="20"/>
                <w:szCs w:val="20"/>
                <w:color w:val="auto"/>
              </w:rPr>
            </w:pPr>
            <w:r>
              <w:rPr>
                <w:rFonts w:ascii="Times New Roman" w:cs="Times New Roman" w:eastAsia="Times New Roman" w:hAnsi="Times New Roman"/>
                <w:sz w:val="14"/>
                <w:szCs w:val="14"/>
                <w:color w:val="auto"/>
              </w:rPr>
              <w:t>10,005,548</w:t>
            </w:r>
          </w:p>
        </w:tc>
        <w:tc>
          <w:tcPr>
            <w:tcW w:w="10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9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5,546,953</w:t>
            </w:r>
          </w:p>
        </w:tc>
        <w:tc>
          <w:tcPr>
            <w:tcW w:w="100" w:type="dxa"/>
            <w:vAlign w:val="bottom"/>
            <w:tcBorders>
              <w:top w:val="single" w:sz="8" w:color="CCEEFF"/>
            </w:tcBorders>
          </w:tcPr>
          <w:p>
            <w:pPr>
              <w:spacing w:after="0"/>
              <w:rPr>
                <w:sz w:val="16"/>
                <w:szCs w:val="16"/>
                <w:color w:val="auto"/>
              </w:rPr>
            </w:pPr>
          </w:p>
        </w:tc>
        <w:tc>
          <w:tcPr>
            <w:tcW w:w="9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1.98 %</w:t>
            </w:r>
          </w:p>
        </w:tc>
        <w:tc>
          <w:tcPr>
            <w:tcW w:w="0" w:type="dxa"/>
            <w:vAlign w:val="bottom"/>
          </w:tcPr>
          <w:p>
            <w:pPr>
              <w:spacing w:after="0"/>
              <w:rPr>
                <w:sz w:val="1"/>
                <w:szCs w:val="1"/>
                <w:color w:val="auto"/>
              </w:rPr>
            </w:pPr>
          </w:p>
        </w:tc>
      </w:tr>
      <w:tr>
        <w:trPr>
          <w:trHeight w:val="150"/>
        </w:trPr>
        <w:tc>
          <w:tcPr>
            <w:tcW w:w="20" w:type="dxa"/>
            <w:vAlign w:val="bottom"/>
            <w:shd w:val="clear" w:color="auto" w:fill="CCEEFF"/>
          </w:tcPr>
          <w:p>
            <w:pPr>
              <w:spacing w:after="0"/>
              <w:rPr>
                <w:sz w:val="13"/>
                <w:szCs w:val="13"/>
                <w:color w:val="auto"/>
              </w:rPr>
            </w:pPr>
          </w:p>
        </w:tc>
        <w:tc>
          <w:tcPr>
            <w:tcW w:w="3580" w:type="dxa"/>
            <w:vAlign w:val="bottom"/>
            <w:gridSpan w:val="15"/>
            <w:shd w:val="clear" w:color="auto" w:fill="CCEEFF"/>
          </w:tcPr>
          <w:p>
            <w:pPr>
              <w:spacing w:after="0" w:line="150" w:lineRule="exact"/>
              <w:rPr>
                <w:sz w:val="20"/>
                <w:szCs w:val="20"/>
                <w:color w:val="auto"/>
              </w:rPr>
            </w:pPr>
            <w:r>
              <w:rPr>
                <w:rFonts w:ascii="Times New Roman" w:cs="Times New Roman" w:eastAsia="Times New Roman" w:hAnsi="Times New Roman"/>
                <w:sz w:val="14"/>
                <w:szCs w:val="14"/>
                <w:b w:val="1"/>
                <w:bCs w:val="1"/>
                <w:color w:val="auto"/>
              </w:rPr>
              <w:t>NewLake Capital Partners, Inc. (f/k/a GreenAcreage Real</w:t>
            </w:r>
          </w:p>
        </w:tc>
        <w:tc>
          <w:tcPr>
            <w:tcW w:w="100" w:type="dxa"/>
            <w:vAlign w:val="bottom"/>
            <w:shd w:val="clear" w:color="auto" w:fill="CCEEFF"/>
          </w:tcPr>
          <w:p>
            <w:pPr>
              <w:spacing w:after="0"/>
              <w:rPr>
                <w:sz w:val="13"/>
                <w:szCs w:val="13"/>
                <w:color w:val="auto"/>
              </w:rPr>
            </w:pPr>
          </w:p>
        </w:tc>
        <w:tc>
          <w:tcPr>
            <w:tcW w:w="2080" w:type="dxa"/>
            <w:vAlign w:val="bottom"/>
            <w:gridSpan w:val="2"/>
            <w:vMerge w:val="restart"/>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w w:val="97"/>
              </w:rPr>
              <w:t>New York, NY</w:t>
            </w:r>
          </w:p>
        </w:tc>
        <w:tc>
          <w:tcPr>
            <w:tcW w:w="9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09"/>
        </w:trPr>
        <w:tc>
          <w:tcPr>
            <w:tcW w:w="20" w:type="dxa"/>
            <w:vAlign w:val="bottom"/>
            <w:tcBorders>
              <w:top w:val="single" w:sz="8" w:color="CCEEFF"/>
            </w:tcBorders>
            <w:shd w:val="clear" w:color="auto" w:fill="CCEEFF"/>
          </w:tcPr>
          <w:p>
            <w:pPr>
              <w:spacing w:after="0"/>
              <w:rPr>
                <w:sz w:val="9"/>
                <w:szCs w:val="9"/>
                <w:color w:val="auto"/>
              </w:rPr>
            </w:pPr>
          </w:p>
        </w:tc>
        <w:tc>
          <w:tcPr>
            <w:tcW w:w="3400" w:type="dxa"/>
            <w:vAlign w:val="bottom"/>
            <w:tcBorders>
              <w:top w:val="single" w:sz="8" w:color="auto"/>
            </w:tcBorders>
            <w:gridSpan w:val="14"/>
            <w:shd w:val="clear" w:color="auto" w:fill="CCEEFF"/>
          </w:tcPr>
          <w:p>
            <w:pPr>
              <w:spacing w:after="0" w:line="110" w:lineRule="exact"/>
              <w:rPr>
                <w:sz w:val="20"/>
                <w:szCs w:val="20"/>
                <w:color w:val="auto"/>
              </w:rPr>
            </w:pPr>
            <w:r>
              <w:rPr>
                <w:rFonts w:ascii="Times New Roman" w:cs="Times New Roman" w:eastAsia="Times New Roman" w:hAnsi="Times New Roman"/>
                <w:sz w:val="11"/>
                <w:szCs w:val="11"/>
                <w:b w:val="1"/>
                <w:bCs w:val="1"/>
                <w:color w:val="auto"/>
              </w:rPr>
              <w:t>Estate Corp.)**</w:t>
            </w:r>
          </w:p>
        </w:tc>
        <w:tc>
          <w:tcPr>
            <w:tcW w:w="18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2080" w:type="dxa"/>
            <w:vAlign w:val="bottom"/>
            <w:tcBorders>
              <w:top w:val="single" w:sz="8" w:color="CCEEFF"/>
            </w:tcBorders>
            <w:gridSpan w:val="2"/>
            <w:vMerge w:val="continue"/>
            <w:shd w:val="clear" w:color="auto" w:fill="CCEEFF"/>
          </w:tcPr>
          <w:p>
            <w:pPr>
              <w:spacing w:after="0"/>
              <w:rPr>
                <w:sz w:val="9"/>
                <w:szCs w:val="9"/>
                <w:color w:val="auto"/>
              </w:rPr>
            </w:pPr>
          </w:p>
        </w:tc>
        <w:tc>
          <w:tcPr>
            <w:tcW w:w="96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82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240" w:type="dxa"/>
            <w:vAlign w:val="bottom"/>
            <w:tcBorders>
              <w:top w:val="single" w:sz="8" w:color="CCEEFF"/>
            </w:tcBorders>
            <w:shd w:val="clear" w:color="auto" w:fill="CCEEFF"/>
          </w:tcPr>
          <w:p>
            <w:pPr>
              <w:spacing w:after="0"/>
              <w:rPr>
                <w:sz w:val="9"/>
                <w:szCs w:val="9"/>
                <w:color w:val="auto"/>
              </w:rPr>
            </w:pPr>
          </w:p>
        </w:tc>
        <w:tc>
          <w:tcPr>
            <w:tcW w:w="86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94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92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32"/>
        </w:trPr>
        <w:tc>
          <w:tcPr>
            <w:tcW w:w="2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auto"/>
            </w:tcBorders>
            <w:shd w:val="clear" w:color="auto" w:fill="CCEEFF"/>
          </w:tcPr>
          <w:p>
            <w:pPr>
              <w:spacing w:after="0"/>
              <w:rPr>
                <w:sz w:val="2"/>
                <w:szCs w:val="2"/>
                <w:color w:val="auto"/>
              </w:rPr>
            </w:pPr>
          </w:p>
        </w:tc>
        <w:tc>
          <w:tcPr>
            <w:tcW w:w="200" w:type="dxa"/>
            <w:vAlign w:val="bottom"/>
            <w:tcBorders>
              <w:top w:val="single" w:sz="8" w:color="auto"/>
            </w:tcBorders>
            <w:shd w:val="clear" w:color="auto" w:fill="CCEEFF"/>
          </w:tcPr>
          <w:p>
            <w:pPr>
              <w:spacing w:after="0"/>
              <w:rPr>
                <w:sz w:val="2"/>
                <w:szCs w:val="2"/>
                <w:color w:val="auto"/>
              </w:rPr>
            </w:pPr>
          </w:p>
        </w:tc>
        <w:tc>
          <w:tcPr>
            <w:tcW w:w="60" w:type="dxa"/>
            <w:vAlign w:val="bottom"/>
            <w:tcBorders>
              <w:top w:val="single" w:sz="8" w:color="auto"/>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11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9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9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9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9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3580" w:type="dxa"/>
            <w:vAlign w:val="bottom"/>
            <w:gridSpan w:val="15"/>
          </w:tcPr>
          <w:p>
            <w:pPr>
              <w:spacing w:after="0" w:line="194" w:lineRule="exact"/>
              <w:rPr>
                <w:sz w:val="20"/>
                <w:szCs w:val="20"/>
                <w:color w:val="auto"/>
              </w:rPr>
            </w:pPr>
            <w:r>
              <w:rPr>
                <w:rFonts w:ascii="Times New Roman" w:cs="Times New Roman" w:eastAsia="Times New Roman" w:hAnsi="Times New Roman"/>
                <w:sz w:val="14"/>
                <w:szCs w:val="14"/>
                <w:color w:val="auto"/>
              </w:rPr>
              <w:t>Common shares***</w:t>
            </w:r>
            <w:r>
              <w:rPr>
                <w:rFonts w:ascii="Times New Roman" w:cs="Times New Roman" w:eastAsia="Times New Roman" w:hAnsi="Times New Roman"/>
                <w:sz w:val="17"/>
                <w:szCs w:val="17"/>
                <w:color w:val="auto"/>
                <w:vertAlign w:val="superscript"/>
              </w:rPr>
              <w:t>(3)(14)</w:t>
            </w:r>
          </w:p>
        </w:tc>
        <w:tc>
          <w:tcPr>
            <w:tcW w:w="100" w:type="dxa"/>
            <w:vAlign w:val="bottom"/>
          </w:tcPr>
          <w:p>
            <w:pPr>
              <w:spacing w:after="0"/>
              <w:rPr>
                <w:sz w:val="16"/>
                <w:szCs w:val="16"/>
                <w:color w:val="auto"/>
              </w:rPr>
            </w:pPr>
          </w:p>
        </w:tc>
        <w:tc>
          <w:tcPr>
            <w:tcW w:w="20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w w:val="96"/>
              </w:rPr>
              <w:t>Cannabis REIT</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8/12/2019</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247,443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5,032,542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4,577,696</w:t>
            </w: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1.63 %</w:t>
            </w:r>
          </w:p>
        </w:tc>
        <w:tc>
          <w:tcPr>
            <w:tcW w:w="0" w:type="dxa"/>
            <w:vAlign w:val="bottom"/>
          </w:tcPr>
          <w:p>
            <w:pPr>
              <w:spacing w:after="0"/>
              <w:rPr>
                <w:sz w:val="1"/>
                <w:szCs w:val="1"/>
                <w:color w:val="auto"/>
              </w:rPr>
            </w:pPr>
          </w:p>
        </w:tc>
      </w:tr>
      <w:tr>
        <w:trPr>
          <w:trHeight w:val="142"/>
        </w:trPr>
        <w:tc>
          <w:tcPr>
            <w:tcW w:w="20" w:type="dxa"/>
            <w:vAlign w:val="bottom"/>
            <w:shd w:val="clear" w:color="auto" w:fill="CCEEFF"/>
          </w:tcPr>
          <w:p>
            <w:pPr>
              <w:spacing w:after="0"/>
              <w:rPr>
                <w:sz w:val="12"/>
                <w:szCs w:val="12"/>
                <w:color w:val="auto"/>
              </w:rPr>
            </w:pPr>
          </w:p>
        </w:tc>
        <w:tc>
          <w:tcPr>
            <w:tcW w:w="3580" w:type="dxa"/>
            <w:vAlign w:val="bottom"/>
            <w:gridSpan w:val="15"/>
            <w:shd w:val="clear" w:color="auto" w:fill="CCEEFF"/>
          </w:tcPr>
          <w:p>
            <w:pPr>
              <w:spacing w:after="0" w:line="143" w:lineRule="exact"/>
              <w:rPr>
                <w:sz w:val="20"/>
                <w:szCs w:val="20"/>
                <w:color w:val="auto"/>
              </w:rPr>
            </w:pPr>
            <w:r>
              <w:rPr>
                <w:rFonts w:ascii="Times New Roman" w:cs="Times New Roman" w:eastAsia="Times New Roman" w:hAnsi="Times New Roman"/>
                <w:sz w:val="14"/>
                <w:szCs w:val="14"/>
                <w:b w:val="1"/>
                <w:bCs w:val="1"/>
                <w:color w:val="auto"/>
              </w:rPr>
              <w:t>Skillsoft Corp.**</w:t>
            </w:r>
          </w:p>
        </w:tc>
        <w:tc>
          <w:tcPr>
            <w:tcW w:w="100" w:type="dxa"/>
            <w:vAlign w:val="bottom"/>
            <w:shd w:val="clear" w:color="auto" w:fill="CCEEFF"/>
          </w:tcPr>
          <w:p>
            <w:pPr>
              <w:spacing w:after="0"/>
              <w:rPr>
                <w:sz w:val="12"/>
                <w:szCs w:val="12"/>
                <w:color w:val="auto"/>
              </w:rPr>
            </w:pPr>
          </w:p>
        </w:tc>
        <w:tc>
          <w:tcPr>
            <w:tcW w:w="2080" w:type="dxa"/>
            <w:vAlign w:val="bottom"/>
            <w:gridSpan w:val="2"/>
            <w:shd w:val="clear" w:color="auto" w:fill="CCEEFF"/>
          </w:tcPr>
          <w:p>
            <w:pPr>
              <w:jc w:val="center"/>
              <w:ind w:right="120"/>
              <w:spacing w:after="0" w:line="143" w:lineRule="exact"/>
              <w:rPr>
                <w:sz w:val="20"/>
                <w:szCs w:val="20"/>
                <w:color w:val="auto"/>
              </w:rPr>
            </w:pPr>
            <w:r>
              <w:rPr>
                <w:rFonts w:ascii="Times New Roman" w:cs="Times New Roman" w:eastAsia="Times New Roman" w:hAnsi="Times New Roman"/>
                <w:sz w:val="14"/>
                <w:szCs w:val="14"/>
                <w:color w:val="auto"/>
                <w:w w:val="98"/>
              </w:rPr>
              <w:t>Nashua, NH</w:t>
            </w: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2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auto"/>
            </w:tcBorders>
            <w:shd w:val="clear" w:color="auto" w:fill="CCEEFF"/>
          </w:tcPr>
          <w:p>
            <w:pPr>
              <w:spacing w:after="0"/>
              <w:rPr>
                <w:sz w:val="2"/>
                <w:szCs w:val="2"/>
                <w:color w:val="auto"/>
              </w:rPr>
            </w:pPr>
          </w:p>
        </w:tc>
        <w:tc>
          <w:tcPr>
            <w:tcW w:w="200" w:type="dxa"/>
            <w:vAlign w:val="bottom"/>
            <w:tcBorders>
              <w:top w:val="single" w:sz="8" w:color="auto"/>
            </w:tcBorders>
            <w:shd w:val="clear" w:color="auto" w:fill="CCEEFF"/>
          </w:tcPr>
          <w:p>
            <w:pPr>
              <w:spacing w:after="0"/>
              <w:rPr>
                <w:sz w:val="2"/>
                <w:szCs w:val="2"/>
                <w:color w:val="auto"/>
              </w:rPr>
            </w:pPr>
          </w:p>
        </w:tc>
        <w:tc>
          <w:tcPr>
            <w:tcW w:w="60" w:type="dxa"/>
            <w:vAlign w:val="bottom"/>
            <w:tcBorders>
              <w:top w:val="single" w:sz="8" w:color="auto"/>
            </w:tcBorders>
            <w:shd w:val="clear" w:color="auto" w:fill="CCEEFF"/>
          </w:tcPr>
          <w:p>
            <w:pPr>
              <w:spacing w:after="0"/>
              <w:rPr>
                <w:sz w:val="2"/>
                <w:szCs w:val="2"/>
                <w:color w:val="auto"/>
              </w:rPr>
            </w:pPr>
          </w:p>
        </w:tc>
        <w:tc>
          <w:tcPr>
            <w:tcW w:w="80" w:type="dxa"/>
            <w:vAlign w:val="bottom"/>
            <w:tcBorders>
              <w:top w:val="single" w:sz="8" w:color="auto"/>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11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9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9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bottom w:val="single" w:sz="8" w:color="CCEEFF"/>
            </w:tcBorders>
            <w:shd w:val="clear" w:color="auto" w:fill="CCEEFF"/>
          </w:tcPr>
          <w:p>
            <w:pPr>
              <w:spacing w:after="0"/>
              <w:rPr>
                <w:sz w:val="2"/>
                <w:szCs w:val="2"/>
                <w:color w:val="auto"/>
              </w:rPr>
            </w:pPr>
          </w:p>
        </w:tc>
        <w:tc>
          <w:tcPr>
            <w:tcW w:w="820" w:type="dxa"/>
            <w:vAlign w:val="bottom"/>
            <w:tcBorders>
              <w:top w:val="single" w:sz="8" w:color="CCEEFF"/>
              <w:bottom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9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9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580" w:type="dxa"/>
            <w:vAlign w:val="bottom"/>
            <w:gridSpan w:val="15"/>
          </w:tcPr>
          <w:p>
            <w:pPr>
              <w:spacing w:after="0" w:line="187" w:lineRule="exact"/>
              <w:rPr>
                <w:sz w:val="20"/>
                <w:szCs w:val="20"/>
                <w:color w:val="auto"/>
              </w:rPr>
            </w:pPr>
            <w:r>
              <w:rPr>
                <w:rFonts w:ascii="Times New Roman" w:cs="Times New Roman" w:eastAsia="Times New Roman" w:hAnsi="Times New Roman"/>
                <w:sz w:val="14"/>
                <w:szCs w:val="14"/>
                <w:color w:val="auto"/>
              </w:rPr>
              <w:t>Common shares</w:t>
            </w:r>
            <w:r>
              <w:rPr>
                <w:rFonts w:ascii="Times New Roman" w:cs="Times New Roman" w:eastAsia="Times New Roman" w:hAnsi="Times New Roman"/>
                <w:sz w:val="17"/>
                <w:szCs w:val="17"/>
                <w:color w:val="auto"/>
                <w:vertAlign w:val="superscript"/>
              </w:rPr>
              <w:t>(3)</w:t>
            </w:r>
          </w:p>
        </w:tc>
        <w:tc>
          <w:tcPr>
            <w:tcW w:w="100" w:type="dxa"/>
            <w:vAlign w:val="bottom"/>
          </w:tcPr>
          <w:p>
            <w:pPr>
              <w:spacing w:after="0"/>
              <w:rPr>
                <w:sz w:val="16"/>
                <w:szCs w:val="16"/>
                <w:color w:val="auto"/>
              </w:rPr>
            </w:pPr>
          </w:p>
        </w:tc>
        <w:tc>
          <w:tcPr>
            <w:tcW w:w="20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w w:val="97"/>
              </w:rPr>
              <w:t>Online Education</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6/8/2021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981,843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9,818,430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3,456,087</w:t>
            </w: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1.23 %</w:t>
            </w:r>
          </w:p>
        </w:tc>
        <w:tc>
          <w:tcPr>
            <w:tcW w:w="0" w:type="dxa"/>
            <w:vAlign w:val="bottom"/>
          </w:tcPr>
          <w:p>
            <w:pPr>
              <w:spacing w:after="0"/>
              <w:rPr>
                <w:sz w:val="1"/>
                <w:szCs w:val="1"/>
                <w:color w:val="auto"/>
              </w:rPr>
            </w:pPr>
          </w:p>
        </w:tc>
      </w:tr>
      <w:tr>
        <w:trPr>
          <w:trHeight w:val="194"/>
        </w:trPr>
        <w:tc>
          <w:tcPr>
            <w:tcW w:w="20" w:type="dxa"/>
            <w:vAlign w:val="bottom"/>
            <w:shd w:val="clear" w:color="auto" w:fill="CCEEFF"/>
          </w:tcPr>
          <w:p>
            <w:pPr>
              <w:spacing w:after="0"/>
              <w:rPr>
                <w:sz w:val="16"/>
                <w:szCs w:val="16"/>
                <w:color w:val="auto"/>
              </w:rPr>
            </w:pPr>
          </w:p>
        </w:tc>
        <w:tc>
          <w:tcPr>
            <w:tcW w:w="3580" w:type="dxa"/>
            <w:vAlign w:val="bottom"/>
            <w:gridSpan w:val="15"/>
            <w:shd w:val="clear" w:color="auto" w:fill="CCEEFF"/>
          </w:tcPr>
          <w:p>
            <w:pPr>
              <w:spacing w:after="0" w:line="143" w:lineRule="exact"/>
              <w:rPr>
                <w:sz w:val="20"/>
                <w:szCs w:val="20"/>
                <w:color w:val="auto"/>
              </w:rPr>
            </w:pPr>
            <w:r>
              <w:rPr>
                <w:rFonts w:ascii="Times New Roman" w:cs="Times New Roman" w:eastAsia="Times New Roman" w:hAnsi="Times New Roman"/>
                <w:sz w:val="14"/>
                <w:szCs w:val="14"/>
                <w:b w:val="1"/>
                <w:bCs w:val="1"/>
                <w:color w:val="auto"/>
              </w:rPr>
              <w:t>Residential Homes for Rent, LLC (d/b/a Second Avenue)</w:t>
            </w:r>
          </w:p>
        </w:tc>
        <w:tc>
          <w:tcPr>
            <w:tcW w:w="100" w:type="dxa"/>
            <w:vAlign w:val="bottom"/>
            <w:shd w:val="clear" w:color="auto" w:fill="CCEEFF"/>
          </w:tcPr>
          <w:p>
            <w:pPr>
              <w:spacing w:after="0"/>
              <w:rPr>
                <w:sz w:val="16"/>
                <w:szCs w:val="16"/>
                <w:color w:val="auto"/>
              </w:rPr>
            </w:pPr>
          </w:p>
        </w:tc>
        <w:tc>
          <w:tcPr>
            <w:tcW w:w="2080" w:type="dxa"/>
            <w:vAlign w:val="bottom"/>
            <w:gridSpan w:val="2"/>
            <w:shd w:val="clear" w:color="auto" w:fill="CCEEFF"/>
          </w:tcPr>
          <w:p>
            <w:pPr>
              <w:jc w:val="center"/>
              <w:ind w:right="140"/>
              <w:spacing w:after="0" w:line="143" w:lineRule="exact"/>
              <w:rPr>
                <w:sz w:val="20"/>
                <w:szCs w:val="20"/>
                <w:color w:val="auto"/>
              </w:rPr>
            </w:pPr>
            <w:r>
              <w:rPr>
                <w:rFonts w:ascii="Times New Roman" w:cs="Times New Roman" w:eastAsia="Times New Roman" w:hAnsi="Times New Roman"/>
                <w:sz w:val="14"/>
                <w:szCs w:val="14"/>
                <w:color w:val="auto"/>
                <w:w w:val="98"/>
              </w:rPr>
              <w:t>Chicago, IL</w:t>
            </w: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Borders>
              <w:top w:val="single" w:sz="8" w:color="CCEEFF"/>
            </w:tcBorders>
          </w:tcPr>
          <w:p>
            <w:pPr>
              <w:spacing w:after="0"/>
              <w:rPr>
                <w:sz w:val="16"/>
                <w:szCs w:val="16"/>
                <w:color w:val="auto"/>
              </w:rPr>
            </w:pPr>
          </w:p>
        </w:tc>
        <w:tc>
          <w:tcPr>
            <w:tcW w:w="3320" w:type="dxa"/>
            <w:vAlign w:val="bottom"/>
            <w:tcBorders>
              <w:top w:val="single" w:sz="8" w:color="auto"/>
            </w:tcBorders>
            <w:gridSpan w:val="13"/>
          </w:tcPr>
          <w:p>
            <w:pPr>
              <w:spacing w:after="0" w:line="187" w:lineRule="exact"/>
              <w:rPr>
                <w:sz w:val="20"/>
                <w:szCs w:val="20"/>
                <w:color w:val="auto"/>
              </w:rPr>
            </w:pPr>
            <w:r>
              <w:rPr>
                <w:rFonts w:ascii="Times New Roman" w:cs="Times New Roman" w:eastAsia="Times New Roman" w:hAnsi="Times New Roman"/>
                <w:sz w:val="14"/>
                <w:szCs w:val="14"/>
                <w:color w:val="auto"/>
              </w:rPr>
              <w:t>Preferred shares, Series A</w:t>
            </w:r>
            <w:r>
              <w:rPr>
                <w:rFonts w:ascii="Times New Roman" w:cs="Times New Roman" w:eastAsia="Times New Roman" w:hAnsi="Times New Roman"/>
                <w:sz w:val="17"/>
                <w:szCs w:val="17"/>
                <w:color w:val="auto"/>
                <w:vertAlign w:val="superscript"/>
              </w:rPr>
              <w:t>(6)</w:t>
            </w:r>
          </w:p>
        </w:tc>
        <w:tc>
          <w:tcPr>
            <w:tcW w:w="260" w:type="dxa"/>
            <w:vAlign w:val="bottom"/>
            <w:tcBorders>
              <w:top w:val="single" w:sz="8" w:color="CCEEFF"/>
            </w:tcBorders>
            <w:gridSpan w:val="2"/>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2080" w:type="dxa"/>
            <w:vAlign w:val="bottom"/>
            <w:tcBorders>
              <w:top w:val="single" w:sz="8" w:color="CCEEFF"/>
            </w:tcBorders>
            <w:gridSpan w:val="2"/>
          </w:tcPr>
          <w:p>
            <w:pPr>
              <w:jc w:val="center"/>
              <w:ind w:right="140"/>
              <w:spacing w:after="0"/>
              <w:rPr>
                <w:sz w:val="20"/>
                <w:szCs w:val="20"/>
                <w:color w:val="auto"/>
              </w:rPr>
            </w:pPr>
            <w:r>
              <w:rPr>
                <w:rFonts w:ascii="Times New Roman" w:cs="Times New Roman" w:eastAsia="Times New Roman" w:hAnsi="Times New Roman"/>
                <w:sz w:val="14"/>
                <w:szCs w:val="14"/>
                <w:color w:val="auto"/>
                <w:w w:val="98"/>
              </w:rPr>
              <w:t>Real Estate Platform</w:t>
            </w:r>
          </w:p>
        </w:tc>
        <w:tc>
          <w:tcPr>
            <w:tcW w:w="960" w:type="dxa"/>
            <w:vAlign w:val="bottom"/>
            <w:tcBorders>
              <w:top w:val="single" w:sz="8" w:color="CCEEFF"/>
            </w:tcBorders>
          </w:tcPr>
          <w:p>
            <w:pPr>
              <w:jc w:val="center"/>
              <w:spacing w:after="0"/>
              <w:rPr>
                <w:sz w:val="20"/>
                <w:szCs w:val="20"/>
                <w:color w:val="auto"/>
              </w:rPr>
            </w:pPr>
            <w:r>
              <w:rPr>
                <w:rFonts w:ascii="Times New Roman" w:cs="Times New Roman" w:eastAsia="Times New Roman" w:hAnsi="Times New Roman"/>
                <w:sz w:val="14"/>
                <w:szCs w:val="14"/>
                <w:color w:val="auto"/>
              </w:rPr>
              <w:t>12/23/2020</w:t>
            </w:r>
          </w:p>
        </w:tc>
        <w:tc>
          <w:tcPr>
            <w:tcW w:w="12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8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150,000</w:t>
            </w:r>
          </w:p>
        </w:tc>
        <w:tc>
          <w:tcPr>
            <w:tcW w:w="100" w:type="dxa"/>
            <w:vAlign w:val="bottom"/>
            <w:tcBorders>
              <w:top w:val="single" w:sz="8" w:color="CCEEFF"/>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860" w:type="dxa"/>
            <w:vAlign w:val="bottom"/>
            <w:tcBorders>
              <w:top w:val="single" w:sz="8" w:color="CCEEFF"/>
            </w:tcBorders>
          </w:tcPr>
          <w:p>
            <w:pPr>
              <w:jc w:val="right"/>
              <w:ind w:right="11"/>
              <w:spacing w:after="0"/>
              <w:rPr>
                <w:sz w:val="20"/>
                <w:szCs w:val="20"/>
                <w:color w:val="auto"/>
              </w:rPr>
            </w:pPr>
            <w:r>
              <w:rPr>
                <w:rFonts w:ascii="Times New Roman" w:cs="Times New Roman" w:eastAsia="Times New Roman" w:hAnsi="Times New Roman"/>
                <w:sz w:val="14"/>
                <w:szCs w:val="14"/>
                <w:color w:val="auto"/>
              </w:rPr>
              <w:t>1,500,000</w:t>
            </w:r>
          </w:p>
        </w:tc>
        <w:tc>
          <w:tcPr>
            <w:tcW w:w="10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9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1,727,602</w:t>
            </w:r>
          </w:p>
        </w:tc>
        <w:tc>
          <w:tcPr>
            <w:tcW w:w="100" w:type="dxa"/>
            <w:vAlign w:val="bottom"/>
            <w:tcBorders>
              <w:top w:val="single" w:sz="8" w:color="CCEEFF"/>
            </w:tcBorders>
          </w:tcPr>
          <w:p>
            <w:pPr>
              <w:spacing w:after="0"/>
              <w:rPr>
                <w:sz w:val="16"/>
                <w:szCs w:val="16"/>
                <w:color w:val="auto"/>
              </w:rPr>
            </w:pPr>
          </w:p>
        </w:tc>
        <w:tc>
          <w:tcPr>
            <w:tcW w:w="9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0.62 %</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3580" w:type="dxa"/>
            <w:vAlign w:val="bottom"/>
            <w:gridSpan w:val="15"/>
            <w:shd w:val="clear" w:color="auto" w:fill="CCEEFF"/>
          </w:tcPr>
          <w:p>
            <w:pPr>
              <w:spacing w:after="0"/>
              <w:rPr>
                <w:sz w:val="20"/>
                <w:szCs w:val="20"/>
                <w:color w:val="auto"/>
              </w:rPr>
            </w:pPr>
            <w:r>
              <w:rPr>
                <w:rFonts w:ascii="Times New Roman" w:cs="Times New Roman" w:eastAsia="Times New Roman" w:hAnsi="Times New Roman"/>
                <w:sz w:val="14"/>
                <w:szCs w:val="14"/>
                <w:color w:val="auto"/>
              </w:rPr>
              <w:t>Term loan 15%, Due 12/23/2023***</w:t>
            </w:r>
            <w:r>
              <w:rPr>
                <w:rFonts w:ascii="Times New Roman" w:cs="Times New Roman" w:eastAsia="Times New Roman" w:hAnsi="Times New Roman"/>
                <w:sz w:val="17"/>
                <w:szCs w:val="17"/>
                <w:color w:val="auto"/>
                <w:vertAlign w:val="superscript"/>
              </w:rPr>
              <w:t>(13)</w:t>
            </w:r>
          </w:p>
        </w:tc>
        <w:tc>
          <w:tcPr>
            <w:tcW w:w="100" w:type="dxa"/>
            <w:vAlign w:val="bottom"/>
            <w:shd w:val="clear" w:color="auto" w:fill="CCEEFF"/>
          </w:tcPr>
          <w:p>
            <w:pPr>
              <w:spacing w:after="0"/>
              <w:rPr>
                <w:sz w:val="17"/>
                <w:szCs w:val="17"/>
                <w:color w:val="auto"/>
              </w:rPr>
            </w:pPr>
          </w:p>
        </w:tc>
        <w:tc>
          <w:tcPr>
            <w:tcW w:w="1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12/23/2020</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1,500,000</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1,500,000</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1,500,000</w:t>
            </w:r>
          </w:p>
        </w:tc>
        <w:tc>
          <w:tcPr>
            <w:tcW w:w="100" w:type="dxa"/>
            <w:vAlign w:val="bottom"/>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0.54 %</w:t>
            </w:r>
          </w:p>
        </w:tc>
        <w:tc>
          <w:tcPr>
            <w:tcW w:w="0" w:type="dxa"/>
            <w:vAlign w:val="bottom"/>
          </w:tcPr>
          <w:p>
            <w:pPr>
              <w:spacing w:after="0"/>
              <w:rPr>
                <w:sz w:val="1"/>
                <w:szCs w:val="1"/>
                <w:color w:val="auto"/>
              </w:rPr>
            </w:pPr>
          </w:p>
        </w:tc>
      </w:tr>
      <w:tr>
        <w:trPr>
          <w:trHeight w:val="180"/>
        </w:trPr>
        <w:tc>
          <w:tcPr>
            <w:tcW w:w="20" w:type="dxa"/>
            <w:vAlign w:val="bottom"/>
            <w:tcBorders>
              <w:bottom w:val="single" w:sz="8" w:color="CCEEFF"/>
            </w:tcBorders>
          </w:tcPr>
          <w:p>
            <w:pPr>
              <w:spacing w:after="0"/>
              <w:rPr>
                <w:sz w:val="15"/>
                <w:szCs w:val="15"/>
                <w:color w:val="auto"/>
              </w:rPr>
            </w:pPr>
          </w:p>
        </w:tc>
        <w:tc>
          <w:tcPr>
            <w:tcW w:w="3580" w:type="dxa"/>
            <w:vAlign w:val="bottom"/>
            <w:tcBorders>
              <w:bottom w:val="single" w:sz="8" w:color="CCEEFF"/>
            </w:tcBorders>
            <w:gridSpan w:val="15"/>
          </w:tcPr>
          <w:p>
            <w:pPr>
              <w:ind w:left="120"/>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tcBorders>
              <w:bottom w:val="single" w:sz="8" w:color="CCEEFF"/>
            </w:tcBorders>
          </w:tcPr>
          <w:p>
            <w:pPr>
              <w:spacing w:after="0"/>
              <w:rPr>
                <w:sz w:val="15"/>
                <w:szCs w:val="15"/>
                <w:color w:val="auto"/>
              </w:rPr>
            </w:pPr>
          </w:p>
        </w:tc>
        <w:tc>
          <w:tcPr>
            <w:tcW w:w="19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96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8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3,000,000</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3,227,602</w:t>
            </w:r>
          </w:p>
        </w:tc>
        <w:tc>
          <w:tcPr>
            <w:tcW w:w="10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1.15 %</w:t>
            </w:r>
          </w:p>
        </w:tc>
        <w:tc>
          <w:tcPr>
            <w:tcW w:w="0" w:type="dxa"/>
            <w:vAlign w:val="bottom"/>
          </w:tcPr>
          <w:p>
            <w:pPr>
              <w:spacing w:after="0"/>
              <w:rPr>
                <w:sz w:val="1"/>
                <w:szCs w:val="1"/>
                <w:color w:val="auto"/>
              </w:rPr>
            </w:pPr>
          </w:p>
        </w:tc>
      </w:tr>
      <w:tr>
        <w:trPr>
          <w:trHeight w:val="161"/>
        </w:trPr>
        <w:tc>
          <w:tcPr>
            <w:tcW w:w="20" w:type="dxa"/>
            <w:vAlign w:val="bottom"/>
            <w:shd w:val="clear" w:color="auto" w:fill="CCEEFF"/>
          </w:tcPr>
          <w:p>
            <w:pPr>
              <w:spacing w:after="0"/>
              <w:rPr>
                <w:sz w:val="14"/>
                <w:szCs w:val="14"/>
                <w:color w:val="auto"/>
              </w:rPr>
            </w:pPr>
          </w:p>
        </w:tc>
        <w:tc>
          <w:tcPr>
            <w:tcW w:w="3580" w:type="dxa"/>
            <w:vAlign w:val="bottom"/>
            <w:gridSpan w:val="15"/>
            <w:shd w:val="clear" w:color="auto" w:fill="CCEEFF"/>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Trax Ltd.**</w:t>
            </w:r>
          </w:p>
        </w:tc>
        <w:tc>
          <w:tcPr>
            <w:tcW w:w="100" w:type="dxa"/>
            <w:vAlign w:val="bottom"/>
            <w:shd w:val="clear" w:color="auto" w:fill="CCEEFF"/>
          </w:tcPr>
          <w:p>
            <w:pPr>
              <w:spacing w:after="0"/>
              <w:rPr>
                <w:sz w:val="14"/>
                <w:szCs w:val="14"/>
                <w:color w:val="auto"/>
              </w:rPr>
            </w:pPr>
          </w:p>
        </w:tc>
        <w:tc>
          <w:tcPr>
            <w:tcW w:w="2080" w:type="dxa"/>
            <w:vAlign w:val="bottom"/>
            <w:gridSpan w:val="2"/>
            <w:shd w:val="clear" w:color="auto" w:fill="CCEEFF"/>
          </w:tcPr>
          <w:p>
            <w:pPr>
              <w:jc w:val="center"/>
              <w:ind w:right="120"/>
              <w:spacing w:after="0" w:line="129" w:lineRule="exact"/>
              <w:rPr>
                <w:sz w:val="20"/>
                <w:szCs w:val="20"/>
                <w:color w:val="auto"/>
              </w:rPr>
            </w:pPr>
            <w:r>
              <w:rPr>
                <w:rFonts w:ascii="Times New Roman" w:cs="Times New Roman" w:eastAsia="Times New Roman" w:hAnsi="Times New Roman"/>
                <w:sz w:val="14"/>
                <w:szCs w:val="14"/>
                <w:color w:val="auto"/>
                <w:w w:val="99"/>
              </w:rPr>
              <w:t>Singapore, Singapore</w:t>
            </w: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9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vMerge w:val="restart"/>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vMerge w:val="restart"/>
          </w:tcPr>
          <w:p>
            <w:pPr>
              <w:jc w:val="right"/>
              <w:ind w:right="11"/>
              <w:spacing w:after="0"/>
              <w:rPr>
                <w:sz w:val="20"/>
                <w:szCs w:val="20"/>
                <w:color w:val="auto"/>
              </w:rPr>
            </w:pPr>
            <w:r>
              <w:rPr>
                <w:rFonts w:ascii="Times New Roman" w:cs="Times New Roman" w:eastAsia="Times New Roman" w:hAnsi="Times New Roman"/>
                <w:sz w:val="14"/>
                <w:szCs w:val="14"/>
                <w:color w:val="auto"/>
              </w:rPr>
              <w:t>2,781,148</w:t>
            </w: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534,710</w:t>
            </w: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0.19 %</w:t>
            </w:r>
          </w:p>
        </w:tc>
        <w:tc>
          <w:tcPr>
            <w:tcW w:w="0" w:type="dxa"/>
            <w:vAlign w:val="bottom"/>
          </w:tcPr>
          <w:p>
            <w:pPr>
              <w:spacing w:after="0" w:line="20" w:lineRule="exact"/>
              <w:rPr>
                <w:sz w:val="1"/>
                <w:szCs w:val="1"/>
                <w:color w:val="auto"/>
              </w:rPr>
            </w:pPr>
          </w:p>
        </w:tc>
      </w:tr>
      <w:tr>
        <w:trPr>
          <w:trHeight w:val="179"/>
        </w:trPr>
        <w:tc>
          <w:tcPr>
            <w:tcW w:w="20" w:type="dxa"/>
            <w:vAlign w:val="bottom"/>
          </w:tcPr>
          <w:p>
            <w:pPr>
              <w:spacing w:after="0"/>
              <w:rPr>
                <w:sz w:val="15"/>
                <w:szCs w:val="15"/>
                <w:color w:val="auto"/>
              </w:rPr>
            </w:pPr>
          </w:p>
        </w:tc>
        <w:tc>
          <w:tcPr>
            <w:tcW w:w="3580" w:type="dxa"/>
            <w:vAlign w:val="bottom"/>
            <w:gridSpan w:val="15"/>
          </w:tcPr>
          <w:p>
            <w:pPr>
              <w:spacing w:after="0"/>
              <w:rPr>
                <w:sz w:val="20"/>
                <w:szCs w:val="20"/>
                <w:color w:val="auto"/>
              </w:rPr>
            </w:pPr>
            <w:r>
              <w:rPr>
                <w:rFonts w:ascii="Times New Roman" w:cs="Times New Roman" w:eastAsia="Times New Roman" w:hAnsi="Times New Roman"/>
                <w:sz w:val="14"/>
                <w:szCs w:val="14"/>
                <w:color w:val="auto"/>
              </w:rPr>
              <w:t>Common shares</w:t>
            </w:r>
          </w:p>
        </w:tc>
        <w:tc>
          <w:tcPr>
            <w:tcW w:w="100" w:type="dxa"/>
            <w:vAlign w:val="bottom"/>
          </w:tcPr>
          <w:p>
            <w:pPr>
              <w:spacing w:after="0"/>
              <w:rPr>
                <w:sz w:val="15"/>
                <w:szCs w:val="15"/>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Retail Technology</w:t>
            </w:r>
          </w:p>
        </w:tc>
        <w:tc>
          <w:tcPr>
            <w:tcW w:w="100" w:type="dxa"/>
            <w:vAlign w:val="bottom"/>
            <w:vMerge w:val="continue"/>
          </w:tcPr>
          <w:p>
            <w:pPr>
              <w:spacing w:after="0"/>
              <w:rPr>
                <w:sz w:val="15"/>
                <w:szCs w:val="15"/>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6/9/2021</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55,591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20" w:type="dxa"/>
            <w:vAlign w:val="bottom"/>
            <w:tcBorders>
              <w:bottom w:val="single" w:sz="8" w:color="CCEEFF"/>
            </w:tcBorders>
            <w:shd w:val="clear" w:color="auto" w:fill="CCEEFF"/>
          </w:tcPr>
          <w:p>
            <w:pPr>
              <w:spacing w:after="0"/>
              <w:rPr>
                <w:sz w:val="18"/>
                <w:szCs w:val="18"/>
                <w:color w:val="auto"/>
              </w:rPr>
            </w:pPr>
          </w:p>
        </w:tc>
        <w:tc>
          <w:tcPr>
            <w:tcW w:w="3580" w:type="dxa"/>
            <w:vAlign w:val="bottom"/>
            <w:tcBorders>
              <w:bottom w:val="single" w:sz="8" w:color="CCEEFF"/>
            </w:tcBorders>
            <w:gridSpan w:val="15"/>
            <w:shd w:val="clear" w:color="auto" w:fill="CCEEFF"/>
          </w:tcPr>
          <w:p>
            <w:pPr>
              <w:spacing w:after="0"/>
              <w:rPr>
                <w:sz w:val="20"/>
                <w:szCs w:val="20"/>
                <w:color w:val="auto"/>
              </w:rPr>
            </w:pPr>
            <w:r>
              <w:rPr>
                <w:rFonts w:ascii="Times New Roman" w:cs="Times New Roman" w:eastAsia="Times New Roman" w:hAnsi="Times New Roman"/>
                <w:sz w:val="14"/>
                <w:szCs w:val="14"/>
                <w:color w:val="auto"/>
              </w:rPr>
              <w:t>Preferred shares, Investec Series</w:t>
            </w:r>
          </w:p>
        </w:tc>
        <w:tc>
          <w:tcPr>
            <w:tcW w:w="100" w:type="dxa"/>
            <w:vAlign w:val="bottom"/>
            <w:tcBorders>
              <w:bottom w:val="single" w:sz="8" w:color="CCEEFF"/>
            </w:tcBorders>
            <w:shd w:val="clear" w:color="auto" w:fill="CCEEFF"/>
          </w:tcPr>
          <w:p>
            <w:pPr>
              <w:spacing w:after="0"/>
              <w:rPr>
                <w:sz w:val="18"/>
                <w:szCs w:val="18"/>
                <w:color w:val="auto"/>
              </w:rPr>
            </w:pPr>
          </w:p>
        </w:tc>
        <w:tc>
          <w:tcPr>
            <w:tcW w:w="19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6/9/2021</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144,409</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7,224,600</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2,647,017</w:t>
            </w:r>
          </w:p>
        </w:tc>
        <w:tc>
          <w:tcPr>
            <w:tcW w:w="1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0.94 %</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580" w:type="dxa"/>
            <w:vAlign w:val="bottom"/>
            <w:gridSpan w:val="15"/>
          </w:tcPr>
          <w:p>
            <w:pPr>
              <w:ind w:left="120"/>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10,005,748</w:t>
            </w: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3,181,727</w:t>
            </w:r>
          </w:p>
        </w:tc>
        <w:tc>
          <w:tcPr>
            <w:tcW w:w="100" w:type="dxa"/>
            <w:vAlign w:val="bottom"/>
          </w:tcPr>
          <w:p>
            <w:pPr>
              <w:spacing w:after="0"/>
              <w:rPr>
                <w:sz w:val="15"/>
                <w:szCs w:val="15"/>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1.14 %</w:t>
            </w:r>
          </w:p>
        </w:tc>
        <w:tc>
          <w:tcPr>
            <w:tcW w:w="0" w:type="dxa"/>
            <w:vAlign w:val="bottom"/>
          </w:tcPr>
          <w:p>
            <w:pPr>
              <w:spacing w:after="0"/>
              <w:rPr>
                <w:sz w:val="1"/>
                <w:szCs w:val="1"/>
                <w:color w:val="auto"/>
              </w:rPr>
            </w:pPr>
          </w:p>
        </w:tc>
      </w:tr>
      <w:tr>
        <w:trPr>
          <w:trHeight w:val="182"/>
        </w:trPr>
        <w:tc>
          <w:tcPr>
            <w:tcW w:w="20" w:type="dxa"/>
            <w:vAlign w:val="bottom"/>
            <w:shd w:val="clear" w:color="auto" w:fill="CCEEFF"/>
          </w:tcPr>
          <w:p>
            <w:pPr>
              <w:spacing w:after="0"/>
              <w:rPr>
                <w:sz w:val="15"/>
                <w:szCs w:val="15"/>
                <w:color w:val="auto"/>
              </w:rPr>
            </w:pPr>
          </w:p>
        </w:tc>
        <w:tc>
          <w:tcPr>
            <w:tcW w:w="3580" w:type="dxa"/>
            <w:vAlign w:val="bottom"/>
            <w:gridSpan w:val="15"/>
            <w:shd w:val="clear" w:color="auto" w:fill="CCEEFF"/>
          </w:tcPr>
          <w:p>
            <w:pPr>
              <w:spacing w:after="0" w:line="150" w:lineRule="exact"/>
              <w:rPr>
                <w:sz w:val="20"/>
                <w:szCs w:val="20"/>
                <w:color w:val="auto"/>
              </w:rPr>
            </w:pPr>
            <w:r>
              <w:rPr>
                <w:rFonts w:ascii="Times New Roman" w:cs="Times New Roman" w:eastAsia="Times New Roman" w:hAnsi="Times New Roman"/>
                <w:sz w:val="14"/>
                <w:szCs w:val="14"/>
                <w:b w:val="1"/>
                <w:bCs w:val="1"/>
                <w:color w:val="auto"/>
              </w:rPr>
              <w:t>True Global Ventures 4 Plus Pte Ltd**</w:t>
            </w:r>
            <w:r>
              <w:rPr>
                <w:rFonts w:ascii="Times New Roman" w:cs="Times New Roman" w:eastAsia="Times New Roman" w:hAnsi="Times New Roman"/>
                <w:sz w:val="17"/>
                <w:szCs w:val="17"/>
                <w:b w:val="1"/>
                <w:bCs w:val="1"/>
                <w:color w:val="auto"/>
                <w:vertAlign w:val="superscript"/>
              </w:rPr>
              <w:t>(8)</w:t>
            </w:r>
          </w:p>
        </w:tc>
        <w:tc>
          <w:tcPr>
            <w:tcW w:w="100" w:type="dxa"/>
            <w:vAlign w:val="bottom"/>
            <w:shd w:val="clear" w:color="auto" w:fill="CCEEFF"/>
          </w:tcPr>
          <w:p>
            <w:pPr>
              <w:spacing w:after="0"/>
              <w:rPr>
                <w:sz w:val="15"/>
                <w:szCs w:val="15"/>
                <w:color w:val="auto"/>
              </w:rPr>
            </w:pPr>
          </w:p>
        </w:tc>
        <w:tc>
          <w:tcPr>
            <w:tcW w:w="2080" w:type="dxa"/>
            <w:vAlign w:val="bottom"/>
            <w:gridSpan w:val="2"/>
            <w:shd w:val="clear" w:color="auto" w:fill="CCEEFF"/>
          </w:tcPr>
          <w:p>
            <w:pPr>
              <w:jc w:val="center"/>
              <w:ind w:right="120"/>
              <w:spacing w:after="0" w:line="150" w:lineRule="exact"/>
              <w:rPr>
                <w:sz w:val="20"/>
                <w:szCs w:val="20"/>
                <w:color w:val="auto"/>
              </w:rPr>
            </w:pPr>
            <w:r>
              <w:rPr>
                <w:rFonts w:ascii="Times New Roman" w:cs="Times New Roman" w:eastAsia="Times New Roman" w:hAnsi="Times New Roman"/>
                <w:sz w:val="14"/>
                <w:szCs w:val="14"/>
                <w:color w:val="auto"/>
                <w:w w:val="99"/>
              </w:rPr>
              <w:t>Singapore, Singapore</w:t>
            </w: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0" w:type="dxa"/>
            <w:vAlign w:val="bottom"/>
            <w:tcBorders>
              <w:top w:val="single" w:sz="8" w:color="CCEEFF"/>
            </w:tcBorders>
          </w:tcPr>
          <w:p>
            <w:pPr>
              <w:spacing w:after="0"/>
              <w:rPr>
                <w:sz w:val="16"/>
                <w:szCs w:val="16"/>
                <w:color w:val="auto"/>
              </w:rPr>
            </w:pPr>
          </w:p>
        </w:tc>
        <w:tc>
          <w:tcPr>
            <w:tcW w:w="2140" w:type="dxa"/>
            <w:vAlign w:val="bottom"/>
            <w:tcBorders>
              <w:top w:val="single" w:sz="8" w:color="auto"/>
            </w:tcBorders>
            <w:gridSpan w:val="12"/>
          </w:tcPr>
          <w:p>
            <w:pPr>
              <w:spacing w:after="0"/>
              <w:rPr>
                <w:sz w:val="20"/>
                <w:szCs w:val="20"/>
                <w:color w:val="auto"/>
              </w:rPr>
            </w:pPr>
            <w:r>
              <w:rPr>
                <w:rFonts w:ascii="Times New Roman" w:cs="Times New Roman" w:eastAsia="Times New Roman" w:hAnsi="Times New Roman"/>
                <w:sz w:val="14"/>
                <w:szCs w:val="14"/>
                <w:color w:val="auto"/>
              </w:rPr>
              <w:t>Limited Partner Fund Investment</w:t>
            </w:r>
          </w:p>
        </w:tc>
        <w:tc>
          <w:tcPr>
            <w:tcW w:w="1440" w:type="dxa"/>
            <w:vAlign w:val="bottom"/>
            <w:tcBorders>
              <w:top w:val="single" w:sz="8" w:color="CCEEFF"/>
            </w:tcBorders>
            <w:gridSpan w:val="3"/>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2080" w:type="dxa"/>
            <w:vAlign w:val="bottom"/>
            <w:tcBorders>
              <w:top w:val="single" w:sz="8" w:color="CCEEFF"/>
            </w:tcBorders>
            <w:gridSpan w:val="2"/>
          </w:tcPr>
          <w:p>
            <w:pPr>
              <w:jc w:val="center"/>
              <w:ind w:right="120"/>
              <w:spacing w:after="0"/>
              <w:rPr>
                <w:sz w:val="20"/>
                <w:szCs w:val="20"/>
                <w:color w:val="auto"/>
              </w:rPr>
            </w:pPr>
            <w:r>
              <w:rPr>
                <w:rFonts w:ascii="Times New Roman" w:cs="Times New Roman" w:eastAsia="Times New Roman" w:hAnsi="Times New Roman"/>
                <w:sz w:val="14"/>
                <w:szCs w:val="14"/>
                <w:color w:val="auto"/>
                <w:w w:val="97"/>
              </w:rPr>
              <w:t>Venture Investment Fund</w:t>
            </w:r>
          </w:p>
        </w:tc>
        <w:tc>
          <w:tcPr>
            <w:tcW w:w="960" w:type="dxa"/>
            <w:vAlign w:val="bottom"/>
            <w:tcBorders>
              <w:top w:val="single" w:sz="8" w:color="CCEEFF"/>
            </w:tcBorders>
          </w:tcPr>
          <w:p>
            <w:pPr>
              <w:jc w:val="center"/>
              <w:spacing w:after="0"/>
              <w:rPr>
                <w:sz w:val="20"/>
                <w:szCs w:val="20"/>
                <w:color w:val="auto"/>
              </w:rPr>
            </w:pPr>
            <w:r>
              <w:rPr>
                <w:rFonts w:ascii="Times New Roman" w:cs="Times New Roman" w:eastAsia="Times New Roman" w:hAnsi="Times New Roman"/>
                <w:sz w:val="14"/>
                <w:szCs w:val="14"/>
                <w:color w:val="auto"/>
                <w:w w:val="98"/>
              </w:rPr>
              <w:t>8/27/2021</w:t>
            </w:r>
          </w:p>
        </w:tc>
        <w:tc>
          <w:tcPr>
            <w:tcW w:w="12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8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top w:val="single" w:sz="8" w:color="CCEEFF"/>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960" w:type="dxa"/>
            <w:vAlign w:val="bottom"/>
            <w:tcBorders>
              <w:top w:val="single" w:sz="8" w:color="CCEEFF"/>
            </w:tcBorders>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CCEEFF"/>
            </w:tcBorders>
          </w:tcPr>
          <w:p>
            <w:pPr>
              <w:spacing w:after="0"/>
              <w:rPr>
                <w:sz w:val="16"/>
                <w:szCs w:val="16"/>
                <w:color w:val="auto"/>
              </w:rPr>
            </w:pPr>
          </w:p>
        </w:tc>
        <w:tc>
          <w:tcPr>
            <w:tcW w:w="9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3,063,358</w:t>
            </w:r>
          </w:p>
        </w:tc>
        <w:tc>
          <w:tcPr>
            <w:tcW w:w="100" w:type="dxa"/>
            <w:vAlign w:val="bottom"/>
            <w:tcBorders>
              <w:top w:val="single" w:sz="8" w:color="CCEEFF"/>
            </w:tcBorders>
          </w:tcPr>
          <w:p>
            <w:pPr>
              <w:spacing w:after="0"/>
              <w:rPr>
                <w:sz w:val="16"/>
                <w:szCs w:val="16"/>
                <w:color w:val="auto"/>
              </w:rPr>
            </w:pPr>
          </w:p>
        </w:tc>
        <w:tc>
          <w:tcPr>
            <w:tcW w:w="9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1.09 %</w:t>
            </w:r>
          </w:p>
        </w:tc>
        <w:tc>
          <w:tcPr>
            <w:tcW w:w="0" w:type="dxa"/>
            <w:vAlign w:val="bottom"/>
          </w:tcPr>
          <w:p>
            <w:pPr>
              <w:spacing w:after="0"/>
              <w:rPr>
                <w:sz w:val="1"/>
                <w:szCs w:val="1"/>
                <w:color w:val="auto"/>
              </w:rPr>
            </w:pPr>
          </w:p>
        </w:tc>
      </w:tr>
      <w:tr>
        <w:trPr>
          <w:trHeight w:val="182"/>
        </w:trPr>
        <w:tc>
          <w:tcPr>
            <w:tcW w:w="2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auto"/>
            </w:tcBorders>
            <w:gridSpan w:val="2"/>
            <w:shd w:val="clear" w:color="auto" w:fill="CCEEFF"/>
          </w:tcPr>
          <w:p>
            <w:pPr>
              <w:spacing w:after="0" w:line="150" w:lineRule="exact"/>
              <w:rPr>
                <w:sz w:val="20"/>
                <w:szCs w:val="20"/>
                <w:color w:val="auto"/>
              </w:rPr>
            </w:pPr>
            <w:r>
              <w:rPr>
                <w:rFonts w:ascii="Times New Roman" w:cs="Times New Roman" w:eastAsia="Times New Roman" w:hAnsi="Times New Roman"/>
                <w:sz w:val="14"/>
                <w:szCs w:val="14"/>
                <w:b w:val="1"/>
                <w:bCs w:val="1"/>
                <w:color w:val="auto"/>
                <w:w w:val="95"/>
              </w:rPr>
              <w:t>PayJoy, Inc.</w:t>
            </w:r>
          </w:p>
        </w:tc>
        <w:tc>
          <w:tcPr>
            <w:tcW w:w="2860" w:type="dxa"/>
            <w:vAlign w:val="bottom"/>
            <w:tcBorders>
              <w:bottom w:val="single" w:sz="8" w:color="CCEEFF"/>
            </w:tcBorders>
            <w:gridSpan w:val="13"/>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80" w:type="dxa"/>
            <w:vAlign w:val="bottom"/>
            <w:tcBorders>
              <w:bottom w:val="single" w:sz="8" w:color="CCEEFF"/>
            </w:tcBorders>
            <w:gridSpan w:val="2"/>
            <w:shd w:val="clear" w:color="auto" w:fill="CCEEFF"/>
          </w:tcPr>
          <w:p>
            <w:pPr>
              <w:jc w:val="center"/>
              <w:ind w:right="120"/>
              <w:spacing w:after="0" w:line="150" w:lineRule="exact"/>
              <w:rPr>
                <w:sz w:val="20"/>
                <w:szCs w:val="20"/>
                <w:color w:val="auto"/>
              </w:rPr>
            </w:pPr>
            <w:r>
              <w:rPr>
                <w:rFonts w:ascii="Times New Roman" w:cs="Times New Roman" w:eastAsia="Times New Roman" w:hAnsi="Times New Roman"/>
                <w:sz w:val="14"/>
                <w:szCs w:val="14"/>
                <w:color w:val="auto"/>
                <w:w w:val="98"/>
              </w:rPr>
              <w:t>San Francisco, CA</w:t>
            </w:r>
          </w:p>
        </w:tc>
        <w:tc>
          <w:tcPr>
            <w:tcW w:w="9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580" w:type="dxa"/>
            <w:vAlign w:val="bottom"/>
            <w:gridSpan w:val="15"/>
          </w:tcPr>
          <w:p>
            <w:pPr>
              <w:spacing w:after="0"/>
              <w:rPr>
                <w:sz w:val="20"/>
                <w:szCs w:val="20"/>
                <w:color w:val="auto"/>
              </w:rPr>
            </w:pPr>
            <w:r>
              <w:rPr>
                <w:rFonts w:ascii="Times New Roman" w:cs="Times New Roman" w:eastAsia="Times New Roman" w:hAnsi="Times New Roman"/>
                <w:sz w:val="14"/>
                <w:szCs w:val="14"/>
                <w:color w:val="auto"/>
              </w:rPr>
              <w:t>Preferred shares</w:t>
            </w:r>
          </w:p>
        </w:tc>
        <w:tc>
          <w:tcPr>
            <w:tcW w:w="100" w:type="dxa"/>
            <w:vAlign w:val="bottom"/>
          </w:tcPr>
          <w:p>
            <w:pPr>
              <w:spacing w:after="0"/>
              <w:rPr>
                <w:sz w:val="15"/>
                <w:szCs w:val="15"/>
                <w:color w:val="auto"/>
              </w:rPr>
            </w:pPr>
          </w:p>
        </w:tc>
        <w:tc>
          <w:tcPr>
            <w:tcW w:w="20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w w:val="98"/>
              </w:rPr>
              <w:t>Mobile Access Technology</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7/23/2021</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244,117</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2,501,570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2,500,002</w:t>
            </w: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0.89 %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-4491355</wp:posOffset>
            </wp:positionV>
            <wp:extent cx="2275205" cy="1314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275205" cy="131445"/>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-5090795</wp:posOffset>
            </wp:positionV>
            <wp:extent cx="4279265" cy="2216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279265" cy="221615"/>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-5600065</wp:posOffset>
            </wp:positionV>
            <wp:extent cx="2275205" cy="1314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275205" cy="131445"/>
                    </a:xfrm>
                    <a:prstGeom prst="rect">
                      <a:avLst/>
                    </a:prstGeom>
                    <a:noFill/>
                  </pic:spPr>
                </pic:pic>
              </a:graphicData>
            </a:graphic>
          </wp:anchor>
        </w:drawing>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See accompanying notes to condensed consolidated financial statements.</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ectPr>
          <w:pgSz w:w="11900" w:h="16838" w:orient="portrait"/>
          <w:cols w:equalWidth="0" w:num="1">
            <w:col w:w="11240"/>
          </w:cols>
          <w:pgMar w:left="320" w:top="118"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color w:val="0000FF"/>
        </w:rPr>
        <w:t>TABLE OF CONTENTS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SURO CAPITAL CORP.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SCHEDULE OF INVESTMENTS (UNAUDITED) - continued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June 30, 2022</w:t>
      </w:r>
    </w:p>
    <w:p>
      <w:pPr>
        <w:spacing w:after="0" w:line="96"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580" w:type="dxa"/>
            <w:vAlign w:val="bottom"/>
            <w:gridSpan w:val="20"/>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Portfolio Investments*</w:t>
            </w:r>
          </w:p>
        </w:tc>
        <w:tc>
          <w:tcPr>
            <w:tcW w:w="100" w:type="dxa"/>
            <w:vAlign w:val="bottom"/>
          </w:tcPr>
          <w:p>
            <w:pPr>
              <w:spacing w:after="0"/>
              <w:rPr>
                <w:sz w:val="13"/>
                <w:szCs w:val="13"/>
                <w:color w:val="auto"/>
              </w:rPr>
            </w:pPr>
          </w:p>
        </w:tc>
        <w:tc>
          <w:tcPr>
            <w:tcW w:w="20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Headquarters/</w:t>
            </w: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Date of Initial</w:t>
            </w:r>
          </w:p>
        </w:tc>
        <w:tc>
          <w:tcPr>
            <w:tcW w:w="140" w:type="dxa"/>
            <w:vAlign w:val="bottom"/>
          </w:tcPr>
          <w:p>
            <w:pPr>
              <w:spacing w:after="0"/>
              <w:rPr>
                <w:sz w:val="13"/>
                <w:szCs w:val="13"/>
                <w:color w:val="auto"/>
              </w:rPr>
            </w:pPr>
          </w:p>
        </w:tc>
        <w:tc>
          <w:tcPr>
            <w:tcW w:w="1140" w:type="dxa"/>
            <w:vAlign w:val="bottom"/>
            <w:gridSpan w:val="3"/>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w w:val="99"/>
              </w:rPr>
              <w:t>Shares/</w:t>
            </w:r>
          </w:p>
        </w:tc>
        <w:tc>
          <w:tcPr>
            <w:tcW w:w="9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60" w:type="dxa"/>
            <w:vAlign w:val="bottom"/>
          </w:tcPr>
          <w:p>
            <w:pPr>
              <w:spacing w:after="0"/>
              <w:rPr>
                <w:sz w:val="13"/>
                <w:szCs w:val="13"/>
                <w:color w:val="auto"/>
              </w:rPr>
            </w:pPr>
          </w:p>
        </w:tc>
        <w:tc>
          <w:tcPr>
            <w:tcW w:w="10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of Net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580" w:type="dxa"/>
            <w:vAlign w:val="bottom"/>
            <w:gridSpan w:val="20"/>
            <w:vMerge w:val="continue"/>
          </w:tcPr>
          <w:p>
            <w:pPr>
              <w:spacing w:after="0"/>
              <w:rPr>
                <w:sz w:val="16"/>
                <w:szCs w:val="16"/>
                <w:color w:val="auto"/>
              </w:rPr>
            </w:pPr>
          </w:p>
        </w:tc>
        <w:tc>
          <w:tcPr>
            <w:tcW w:w="100" w:type="dxa"/>
            <w:vAlign w:val="bottom"/>
          </w:tcPr>
          <w:p>
            <w:pPr>
              <w:spacing w:after="0"/>
              <w:rPr>
                <w:sz w:val="16"/>
                <w:szCs w:val="16"/>
                <w:color w:val="auto"/>
              </w:rPr>
            </w:pPr>
          </w:p>
        </w:tc>
        <w:tc>
          <w:tcPr>
            <w:tcW w:w="20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Industry</w:t>
            </w: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Investment</w:t>
            </w:r>
          </w:p>
        </w:tc>
        <w:tc>
          <w:tcPr>
            <w:tcW w:w="140" w:type="dxa"/>
            <w:vAlign w:val="bottom"/>
          </w:tcPr>
          <w:p>
            <w:pPr>
              <w:spacing w:after="0"/>
              <w:rPr>
                <w:sz w:val="16"/>
                <w:szCs w:val="16"/>
                <w:color w:val="auto"/>
              </w:rPr>
            </w:pPr>
          </w:p>
        </w:tc>
        <w:tc>
          <w:tcPr>
            <w:tcW w:w="1140" w:type="dxa"/>
            <w:vAlign w:val="bottom"/>
            <w:gridSpan w:val="3"/>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w w:val="97"/>
              </w:rPr>
              <w:t>Principal</w:t>
            </w:r>
          </w:p>
        </w:tc>
        <w:tc>
          <w:tcPr>
            <w:tcW w:w="9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740" w:type="dxa"/>
            <w:vAlign w:val="bottom"/>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20" w:type="dxa"/>
            <w:vAlign w:val="bottom"/>
            <w:tcBorders>
              <w:top w:val="single" w:sz="8" w:color="auto"/>
            </w:tcBorders>
            <w:shd w:val="clear" w:color="auto" w:fill="CCEEFF"/>
          </w:tcPr>
          <w:p>
            <w:pPr>
              <w:spacing w:after="0"/>
              <w:rPr>
                <w:sz w:val="15"/>
                <w:szCs w:val="15"/>
                <w:color w:val="auto"/>
              </w:rPr>
            </w:pPr>
          </w:p>
        </w:tc>
        <w:tc>
          <w:tcPr>
            <w:tcW w:w="3560" w:type="dxa"/>
            <w:vAlign w:val="bottom"/>
            <w:tcBorders>
              <w:top w:val="single" w:sz="8" w:color="auto"/>
            </w:tcBorders>
            <w:gridSpan w:val="19"/>
            <w:shd w:val="clear" w:color="auto" w:fill="CCEEFF"/>
          </w:tcPr>
          <w:p>
            <w:pPr>
              <w:spacing w:after="0" w:line="141" w:lineRule="exact"/>
              <w:rPr>
                <w:sz w:val="20"/>
                <w:szCs w:val="20"/>
                <w:color w:val="auto"/>
              </w:rPr>
            </w:pPr>
            <w:r>
              <w:rPr>
                <w:rFonts w:ascii="Times New Roman" w:cs="Times New Roman" w:eastAsia="Times New Roman" w:hAnsi="Times New Roman"/>
                <w:sz w:val="13"/>
                <w:szCs w:val="13"/>
                <w:b w:val="1"/>
                <w:bCs w:val="1"/>
                <w:color w:val="auto"/>
              </w:rPr>
              <w:t>Aventine Property Group, Inc.</w:t>
            </w:r>
            <w:r>
              <w:rPr>
                <w:rFonts w:ascii="Times New Roman" w:cs="Times New Roman" w:eastAsia="Times New Roman" w:hAnsi="Times New Roman"/>
                <w:sz w:val="16"/>
                <w:szCs w:val="16"/>
                <w:b w:val="1"/>
                <w:bCs w:val="1"/>
                <w:color w:val="auto"/>
                <w:vertAlign w:val="superscript"/>
              </w:rPr>
              <w:t>(12)</w:t>
            </w:r>
          </w:p>
        </w:tc>
        <w:tc>
          <w:tcPr>
            <w:tcW w:w="100" w:type="dxa"/>
            <w:vAlign w:val="bottom"/>
            <w:tcBorders>
              <w:top w:val="single" w:sz="8" w:color="CCEEFF"/>
            </w:tcBorders>
            <w:shd w:val="clear" w:color="auto" w:fill="CCEEFF"/>
          </w:tcPr>
          <w:p>
            <w:pPr>
              <w:spacing w:after="0"/>
              <w:rPr>
                <w:sz w:val="15"/>
                <w:szCs w:val="15"/>
                <w:color w:val="auto"/>
              </w:rPr>
            </w:pPr>
          </w:p>
        </w:tc>
        <w:tc>
          <w:tcPr>
            <w:tcW w:w="1980" w:type="dxa"/>
            <w:vAlign w:val="bottom"/>
            <w:tcBorders>
              <w:top w:val="single" w:sz="8" w:color="auto"/>
            </w:tcBorders>
            <w:shd w:val="clear" w:color="auto" w:fill="CCEEFF"/>
          </w:tcPr>
          <w:p>
            <w:pPr>
              <w:jc w:val="center"/>
              <w:spacing w:after="0" w:line="141" w:lineRule="exact"/>
              <w:rPr>
                <w:sz w:val="20"/>
                <w:szCs w:val="20"/>
                <w:color w:val="auto"/>
              </w:rPr>
            </w:pPr>
            <w:r>
              <w:rPr>
                <w:rFonts w:ascii="Times New Roman" w:cs="Times New Roman" w:eastAsia="Times New Roman" w:hAnsi="Times New Roman"/>
                <w:sz w:val="14"/>
                <w:szCs w:val="14"/>
                <w:color w:val="auto"/>
                <w:w w:val="98"/>
              </w:rPr>
              <w:t>Chicago, IL</w:t>
            </w:r>
          </w:p>
        </w:tc>
        <w:tc>
          <w:tcPr>
            <w:tcW w:w="10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0" w:type="dxa"/>
            <w:vAlign w:val="bottom"/>
            <w:tcBorders>
              <w:top w:val="single" w:sz="8" w:color="CCEEFF"/>
            </w:tcBorders>
          </w:tcPr>
          <w:p>
            <w:pPr>
              <w:spacing w:after="0"/>
              <w:rPr>
                <w:sz w:val="16"/>
                <w:szCs w:val="16"/>
                <w:color w:val="auto"/>
              </w:rPr>
            </w:pPr>
          </w:p>
        </w:tc>
        <w:tc>
          <w:tcPr>
            <w:tcW w:w="1800" w:type="dxa"/>
            <w:vAlign w:val="bottom"/>
            <w:tcBorders>
              <w:top w:val="single" w:sz="8" w:color="auto"/>
            </w:tcBorders>
            <w:gridSpan w:val="12"/>
          </w:tcPr>
          <w:p>
            <w:pPr>
              <w:spacing w:after="0"/>
              <w:rPr>
                <w:sz w:val="20"/>
                <w:szCs w:val="20"/>
                <w:color w:val="auto"/>
              </w:rPr>
            </w:pPr>
            <w:r>
              <w:rPr>
                <w:rFonts w:ascii="Times New Roman" w:cs="Times New Roman" w:eastAsia="Times New Roman" w:hAnsi="Times New Roman"/>
                <w:sz w:val="14"/>
                <w:szCs w:val="14"/>
                <w:color w:val="auto"/>
              </w:rPr>
              <w:t>Common shares***</w:t>
            </w:r>
          </w:p>
        </w:tc>
        <w:tc>
          <w:tcPr>
            <w:tcW w:w="1760" w:type="dxa"/>
            <w:vAlign w:val="bottom"/>
            <w:tcBorders>
              <w:top w:val="single" w:sz="8" w:color="CCEEFF"/>
            </w:tcBorders>
            <w:gridSpan w:val="7"/>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2080" w:type="dxa"/>
            <w:vAlign w:val="bottom"/>
            <w:tcBorders>
              <w:top w:val="single" w:sz="8" w:color="CCEEFF"/>
            </w:tcBorders>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Cannabis REIT</w:t>
            </w:r>
          </w:p>
        </w:tc>
        <w:tc>
          <w:tcPr>
            <w:tcW w:w="980" w:type="dxa"/>
            <w:vAlign w:val="bottom"/>
            <w:tcBorders>
              <w:top w:val="single" w:sz="8" w:color="CCEEFF"/>
            </w:tcBorders>
          </w:tcPr>
          <w:p>
            <w:pPr>
              <w:jc w:val="center"/>
              <w:spacing w:after="0"/>
              <w:rPr>
                <w:sz w:val="20"/>
                <w:szCs w:val="20"/>
                <w:color w:val="auto"/>
              </w:rPr>
            </w:pPr>
            <w:r>
              <w:rPr>
                <w:rFonts w:ascii="Times New Roman" w:cs="Times New Roman" w:eastAsia="Times New Roman" w:hAnsi="Times New Roman"/>
                <w:sz w:val="14"/>
                <w:szCs w:val="14"/>
                <w:color w:val="auto"/>
                <w:w w:val="98"/>
              </w:rPr>
              <w:t>9/11/2019</w:t>
            </w:r>
          </w:p>
        </w:tc>
        <w:tc>
          <w:tcPr>
            <w:tcW w:w="10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8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312,500</w:t>
            </w:r>
          </w:p>
        </w:tc>
        <w:tc>
          <w:tcPr>
            <w:tcW w:w="12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8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2,580,750</w:t>
            </w:r>
          </w:p>
        </w:tc>
        <w:tc>
          <w:tcPr>
            <w:tcW w:w="10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9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2,231,610</w:t>
            </w:r>
          </w:p>
        </w:tc>
        <w:tc>
          <w:tcPr>
            <w:tcW w:w="120" w:type="dxa"/>
            <w:vAlign w:val="bottom"/>
            <w:tcBorders>
              <w:top w:val="single" w:sz="8" w:color="CCEEFF"/>
            </w:tcBorders>
          </w:tcPr>
          <w:p>
            <w:pPr>
              <w:spacing w:after="0"/>
              <w:rPr>
                <w:sz w:val="16"/>
                <w:szCs w:val="16"/>
                <w:color w:val="auto"/>
              </w:rPr>
            </w:pPr>
          </w:p>
        </w:tc>
        <w:tc>
          <w:tcPr>
            <w:tcW w:w="7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0.80</w:t>
            </w:r>
          </w:p>
        </w:tc>
        <w:tc>
          <w:tcPr>
            <w:tcW w:w="1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2"/>
        </w:trPr>
        <w:tc>
          <w:tcPr>
            <w:tcW w:w="20" w:type="dxa"/>
            <w:vAlign w:val="bottom"/>
            <w:shd w:val="clear" w:color="auto" w:fill="CCEEFF"/>
          </w:tcPr>
          <w:p>
            <w:pPr>
              <w:spacing w:after="0"/>
              <w:rPr>
                <w:sz w:val="15"/>
                <w:szCs w:val="15"/>
                <w:color w:val="auto"/>
              </w:rPr>
            </w:pPr>
          </w:p>
        </w:tc>
        <w:tc>
          <w:tcPr>
            <w:tcW w:w="3560" w:type="dxa"/>
            <w:vAlign w:val="bottom"/>
            <w:gridSpan w:val="19"/>
            <w:shd w:val="clear" w:color="auto" w:fill="CCEEFF"/>
          </w:tcPr>
          <w:p>
            <w:pPr>
              <w:spacing w:after="0" w:line="150" w:lineRule="exact"/>
              <w:rPr>
                <w:sz w:val="20"/>
                <w:szCs w:val="20"/>
                <w:color w:val="auto"/>
              </w:rPr>
            </w:pPr>
            <w:r>
              <w:rPr>
                <w:rFonts w:ascii="Times New Roman" w:cs="Times New Roman" w:eastAsia="Times New Roman" w:hAnsi="Times New Roman"/>
                <w:sz w:val="14"/>
                <w:szCs w:val="14"/>
                <w:b w:val="1"/>
                <w:bCs w:val="1"/>
                <w:color w:val="auto"/>
              </w:rPr>
              <w:t>Rover Group, Inc.**</w:t>
            </w:r>
          </w:p>
        </w:tc>
        <w:tc>
          <w:tcPr>
            <w:tcW w:w="100" w:type="dxa"/>
            <w:vAlign w:val="bottom"/>
            <w:shd w:val="clear" w:color="auto" w:fill="CCEEFF"/>
          </w:tcPr>
          <w:p>
            <w:pPr>
              <w:spacing w:after="0"/>
              <w:rPr>
                <w:sz w:val="15"/>
                <w:szCs w:val="15"/>
                <w:color w:val="auto"/>
              </w:rPr>
            </w:pPr>
          </w:p>
        </w:tc>
        <w:tc>
          <w:tcPr>
            <w:tcW w:w="2080" w:type="dxa"/>
            <w:vAlign w:val="bottom"/>
            <w:gridSpan w:val="2"/>
            <w:shd w:val="clear" w:color="auto" w:fill="CCEEFF"/>
          </w:tcPr>
          <w:p>
            <w:pPr>
              <w:jc w:val="center"/>
              <w:ind w:right="100"/>
              <w:spacing w:after="0" w:line="150" w:lineRule="exact"/>
              <w:rPr>
                <w:sz w:val="20"/>
                <w:szCs w:val="20"/>
                <w:color w:val="auto"/>
              </w:rPr>
            </w:pPr>
            <w:r>
              <w:rPr>
                <w:rFonts w:ascii="Times New Roman" w:cs="Times New Roman" w:eastAsia="Times New Roman" w:hAnsi="Times New Roman"/>
                <w:sz w:val="14"/>
                <w:szCs w:val="14"/>
                <w:color w:val="auto"/>
                <w:w w:val="96"/>
              </w:rPr>
              <w:t>Seattle, WA</w:t>
            </w: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0" w:type="dxa"/>
            <w:vAlign w:val="bottom"/>
            <w:tcBorders>
              <w:top w:val="single" w:sz="8" w:color="CCEEFF"/>
            </w:tcBorders>
          </w:tcPr>
          <w:p>
            <w:pPr>
              <w:spacing w:after="0"/>
              <w:rPr>
                <w:sz w:val="16"/>
                <w:szCs w:val="16"/>
                <w:color w:val="auto"/>
              </w:rPr>
            </w:pPr>
          </w:p>
        </w:tc>
        <w:tc>
          <w:tcPr>
            <w:tcW w:w="1080" w:type="dxa"/>
            <w:vAlign w:val="bottom"/>
            <w:tcBorders>
              <w:top w:val="single" w:sz="8" w:color="auto"/>
            </w:tcBorders>
            <w:gridSpan w:val="3"/>
          </w:tcPr>
          <w:p>
            <w:pPr>
              <w:spacing w:after="0" w:line="194" w:lineRule="exact"/>
              <w:rPr>
                <w:sz w:val="20"/>
                <w:szCs w:val="20"/>
                <w:color w:val="auto"/>
              </w:rPr>
            </w:pPr>
            <w:r>
              <w:rPr>
                <w:rFonts w:ascii="Times New Roman" w:cs="Times New Roman" w:eastAsia="Times New Roman" w:hAnsi="Times New Roman"/>
                <w:sz w:val="14"/>
                <w:szCs w:val="14"/>
                <w:color w:val="auto"/>
              </w:rPr>
              <w:t>Common shares</w:t>
            </w:r>
            <w:r>
              <w:rPr>
                <w:rFonts w:ascii="Times New Roman" w:cs="Times New Roman" w:eastAsia="Times New Roman" w:hAnsi="Times New Roman"/>
                <w:sz w:val="17"/>
                <w:szCs w:val="17"/>
                <w:color w:val="auto"/>
                <w:vertAlign w:val="superscript"/>
              </w:rPr>
              <w:t>(3)</w:t>
            </w:r>
          </w:p>
        </w:tc>
        <w:tc>
          <w:tcPr>
            <w:tcW w:w="2480" w:type="dxa"/>
            <w:vAlign w:val="bottom"/>
            <w:tcBorders>
              <w:top w:val="single" w:sz="8" w:color="CCEEFF"/>
            </w:tcBorders>
            <w:gridSpan w:val="16"/>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2080" w:type="dxa"/>
            <w:vAlign w:val="bottom"/>
            <w:tcBorders>
              <w:top w:val="single" w:sz="8" w:color="CCEEFF"/>
            </w:tcBorders>
            <w:gridSpan w:val="2"/>
          </w:tcPr>
          <w:p>
            <w:pPr>
              <w:jc w:val="center"/>
              <w:ind w:right="120"/>
              <w:spacing w:after="0"/>
              <w:rPr>
                <w:sz w:val="20"/>
                <w:szCs w:val="20"/>
                <w:color w:val="auto"/>
              </w:rPr>
            </w:pPr>
            <w:r>
              <w:rPr>
                <w:rFonts w:ascii="Times New Roman" w:cs="Times New Roman" w:eastAsia="Times New Roman" w:hAnsi="Times New Roman"/>
                <w:sz w:val="14"/>
                <w:szCs w:val="14"/>
                <w:color w:val="auto"/>
                <w:w w:val="98"/>
              </w:rPr>
              <w:t>Peer-to-Peer Pet Services</w:t>
            </w:r>
          </w:p>
        </w:tc>
        <w:tc>
          <w:tcPr>
            <w:tcW w:w="980" w:type="dxa"/>
            <w:vAlign w:val="bottom"/>
            <w:tcBorders>
              <w:top w:val="single" w:sz="8" w:color="CCEEFF"/>
            </w:tcBorders>
          </w:tcPr>
          <w:p>
            <w:pPr>
              <w:jc w:val="center"/>
              <w:spacing w:after="0"/>
              <w:rPr>
                <w:sz w:val="20"/>
                <w:szCs w:val="20"/>
                <w:color w:val="auto"/>
              </w:rPr>
            </w:pPr>
            <w:r>
              <w:rPr>
                <w:rFonts w:ascii="Times New Roman" w:cs="Times New Roman" w:eastAsia="Times New Roman" w:hAnsi="Times New Roman"/>
                <w:sz w:val="14"/>
                <w:szCs w:val="14"/>
                <w:color w:val="auto"/>
                <w:w w:val="98"/>
              </w:rPr>
              <w:t>11/3/2014</w:t>
            </w:r>
          </w:p>
        </w:tc>
        <w:tc>
          <w:tcPr>
            <w:tcW w:w="10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8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364,046</w:t>
            </w:r>
          </w:p>
        </w:tc>
        <w:tc>
          <w:tcPr>
            <w:tcW w:w="12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8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1,088,220</w:t>
            </w:r>
          </w:p>
        </w:tc>
        <w:tc>
          <w:tcPr>
            <w:tcW w:w="10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9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1,368,813</w:t>
            </w:r>
          </w:p>
        </w:tc>
        <w:tc>
          <w:tcPr>
            <w:tcW w:w="120" w:type="dxa"/>
            <w:vAlign w:val="bottom"/>
            <w:tcBorders>
              <w:top w:val="single" w:sz="8" w:color="CCEEFF"/>
            </w:tcBorders>
          </w:tcPr>
          <w:p>
            <w:pPr>
              <w:spacing w:after="0"/>
              <w:rPr>
                <w:sz w:val="16"/>
                <w:szCs w:val="16"/>
                <w:color w:val="auto"/>
              </w:rPr>
            </w:pPr>
          </w:p>
        </w:tc>
        <w:tc>
          <w:tcPr>
            <w:tcW w:w="7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0.49</w:t>
            </w:r>
          </w:p>
        </w:tc>
        <w:tc>
          <w:tcPr>
            <w:tcW w:w="1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91"/>
        </w:trPr>
        <w:tc>
          <w:tcPr>
            <w:tcW w:w="20" w:type="dxa"/>
            <w:vAlign w:val="bottom"/>
            <w:tcBorders>
              <w:bottom w:val="single" w:sz="8" w:color="CCEEFF"/>
            </w:tcBorders>
            <w:vMerge w:val="restart"/>
            <w:shd w:val="clear" w:color="auto" w:fill="CCEEFF"/>
          </w:tcPr>
          <w:p>
            <w:pPr>
              <w:spacing w:after="0"/>
              <w:rPr>
                <w:sz w:val="7"/>
                <w:szCs w:val="7"/>
                <w:color w:val="auto"/>
              </w:rPr>
            </w:pPr>
          </w:p>
        </w:tc>
        <w:tc>
          <w:tcPr>
            <w:tcW w:w="3340" w:type="dxa"/>
            <w:vAlign w:val="bottom"/>
            <w:tcBorders>
              <w:bottom w:val="single" w:sz="8" w:color="CCEEFF"/>
            </w:tcBorders>
            <w:gridSpan w:val="17"/>
            <w:vMerge w:val="restart"/>
            <w:shd w:val="clear" w:color="auto" w:fill="CCEEFF"/>
          </w:tcPr>
          <w:p>
            <w:pPr>
              <w:spacing w:after="0" w:line="143" w:lineRule="exact"/>
              <w:rPr>
                <w:sz w:val="20"/>
                <w:szCs w:val="20"/>
                <w:color w:val="auto"/>
              </w:rPr>
            </w:pPr>
            <w:r>
              <w:rPr>
                <w:rFonts w:ascii="Times New Roman" w:cs="Times New Roman" w:eastAsia="Times New Roman" w:hAnsi="Times New Roman"/>
                <w:sz w:val="14"/>
                <w:szCs w:val="14"/>
                <w:b w:val="1"/>
                <w:bCs w:val="1"/>
                <w:color w:val="auto"/>
                <w:w w:val="97"/>
              </w:rPr>
              <w:t>Commercial Streaming Solutions Inc. (d/b/a BettorView)</w:t>
            </w:r>
          </w:p>
        </w:tc>
        <w:tc>
          <w:tcPr>
            <w:tcW w:w="80" w:type="dxa"/>
            <w:vAlign w:val="bottom"/>
            <w:tcBorders>
              <w:bottom w:val="single" w:sz="8" w:color="auto"/>
            </w:tcBorders>
            <w:shd w:val="clear" w:color="auto" w:fill="CCEEFF"/>
          </w:tcPr>
          <w:p>
            <w:pPr>
              <w:jc w:val="right"/>
              <w:spacing w:after="0" w:line="71" w:lineRule="exact"/>
              <w:rPr>
                <w:sz w:val="20"/>
                <w:szCs w:val="20"/>
                <w:color w:val="auto"/>
              </w:rPr>
            </w:pPr>
            <w:r>
              <w:rPr>
                <w:rFonts w:ascii="Times New Roman" w:cs="Times New Roman" w:eastAsia="Times New Roman" w:hAnsi="Times New Roman"/>
                <w:sz w:val="8"/>
                <w:szCs w:val="8"/>
                <w:b w:val="1"/>
                <w:bCs w:val="1"/>
                <w:color w:val="auto"/>
                <w:w w:val="89"/>
              </w:rPr>
              <w:t>(7</w:t>
            </w:r>
          </w:p>
        </w:tc>
        <w:tc>
          <w:tcPr>
            <w:tcW w:w="140" w:type="dxa"/>
            <w:vAlign w:val="bottom"/>
            <w:tcBorders>
              <w:bottom w:val="single" w:sz="8" w:color="CCEEFF"/>
            </w:tcBorders>
            <w:vMerge w:val="restart"/>
            <w:shd w:val="clear" w:color="auto" w:fill="CCEEFF"/>
          </w:tcPr>
          <w:p>
            <w:pPr>
              <w:jc w:val="right"/>
              <w:ind w:right="114"/>
              <w:spacing w:after="0"/>
              <w:rPr>
                <w:sz w:val="20"/>
                <w:szCs w:val="20"/>
                <w:color w:val="auto"/>
              </w:rPr>
            </w:pPr>
            <w:r>
              <w:rPr>
                <w:rFonts w:ascii="Times New Roman" w:cs="Times New Roman" w:eastAsia="Times New Roman" w:hAnsi="Times New Roman"/>
                <w:sz w:val="1"/>
                <w:szCs w:val="1"/>
                <w:b w:val="1"/>
                <w:bCs w:val="1"/>
                <w:color w:val="auto"/>
                <w:w w:val="4294967281"/>
              </w:rPr>
              <w:t>)</w:t>
            </w:r>
          </w:p>
        </w:tc>
        <w:tc>
          <w:tcPr>
            <w:tcW w:w="100" w:type="dxa"/>
            <w:vAlign w:val="bottom"/>
            <w:tcBorders>
              <w:bottom w:val="single" w:sz="8" w:color="CCEEFF"/>
            </w:tcBorders>
            <w:shd w:val="clear" w:color="auto" w:fill="CCEEFF"/>
          </w:tcPr>
          <w:p>
            <w:pPr>
              <w:spacing w:after="0"/>
              <w:rPr>
                <w:sz w:val="7"/>
                <w:szCs w:val="7"/>
                <w:color w:val="auto"/>
              </w:rPr>
            </w:pPr>
          </w:p>
        </w:tc>
        <w:tc>
          <w:tcPr>
            <w:tcW w:w="2080" w:type="dxa"/>
            <w:vAlign w:val="bottom"/>
            <w:tcBorders>
              <w:bottom w:val="single" w:sz="8" w:color="CCEEFF"/>
            </w:tcBorders>
            <w:gridSpan w:val="2"/>
            <w:vMerge w:val="restart"/>
            <w:shd w:val="clear" w:color="auto" w:fill="CCEEFF"/>
          </w:tcPr>
          <w:p>
            <w:pPr>
              <w:jc w:val="center"/>
              <w:ind w:right="100"/>
              <w:spacing w:after="0" w:line="143" w:lineRule="exact"/>
              <w:rPr>
                <w:sz w:val="20"/>
                <w:szCs w:val="20"/>
                <w:color w:val="auto"/>
              </w:rPr>
            </w:pPr>
            <w:r>
              <w:rPr>
                <w:rFonts w:ascii="Times New Roman" w:cs="Times New Roman" w:eastAsia="Times New Roman" w:hAnsi="Times New Roman"/>
                <w:sz w:val="14"/>
                <w:szCs w:val="14"/>
                <w:color w:val="auto"/>
                <w:w w:val="95"/>
              </w:rPr>
              <w:t>Las Vegas, NV</w:t>
            </w:r>
          </w:p>
        </w:tc>
        <w:tc>
          <w:tcPr>
            <w:tcW w:w="980" w:type="dxa"/>
            <w:vAlign w:val="bottom"/>
            <w:tcBorders>
              <w:bottom w:val="single" w:sz="8" w:color="CCEEFF"/>
            </w:tcBorders>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140" w:type="dxa"/>
            <w:vAlign w:val="bottom"/>
            <w:tcBorders>
              <w:bottom w:val="single" w:sz="8" w:color="CCEEFF"/>
            </w:tcBorders>
            <w:shd w:val="clear" w:color="auto" w:fill="CCEEFF"/>
          </w:tcPr>
          <w:p>
            <w:pPr>
              <w:spacing w:after="0"/>
              <w:rPr>
                <w:sz w:val="7"/>
                <w:szCs w:val="7"/>
                <w:color w:val="auto"/>
              </w:rPr>
            </w:pPr>
          </w:p>
        </w:tc>
        <w:tc>
          <w:tcPr>
            <w:tcW w:w="820" w:type="dxa"/>
            <w:vAlign w:val="bottom"/>
            <w:tcBorders>
              <w:bottom w:val="single" w:sz="8" w:color="CCEEFF"/>
            </w:tcBorders>
            <w:shd w:val="clear" w:color="auto" w:fill="CCEEFF"/>
          </w:tcPr>
          <w:p>
            <w:pPr>
              <w:spacing w:after="0"/>
              <w:rPr>
                <w:sz w:val="7"/>
                <w:szCs w:val="7"/>
                <w:color w:val="auto"/>
              </w:rPr>
            </w:pPr>
          </w:p>
        </w:tc>
        <w:tc>
          <w:tcPr>
            <w:tcW w:w="120" w:type="dxa"/>
            <w:vAlign w:val="bottom"/>
            <w:tcBorders>
              <w:bottom w:val="single" w:sz="8" w:color="CCEEFF"/>
            </w:tcBorders>
            <w:shd w:val="clear" w:color="auto" w:fill="CCEEFF"/>
          </w:tcPr>
          <w:p>
            <w:pPr>
              <w:spacing w:after="0"/>
              <w:rPr>
                <w:sz w:val="7"/>
                <w:szCs w:val="7"/>
                <w:color w:val="auto"/>
              </w:rPr>
            </w:pPr>
          </w:p>
        </w:tc>
        <w:tc>
          <w:tcPr>
            <w:tcW w:w="200" w:type="dxa"/>
            <w:vAlign w:val="bottom"/>
            <w:tcBorders>
              <w:bottom w:val="single" w:sz="8" w:color="CCEEFF"/>
            </w:tcBorders>
            <w:shd w:val="clear" w:color="auto" w:fill="CCEEFF"/>
          </w:tcPr>
          <w:p>
            <w:pPr>
              <w:spacing w:after="0"/>
              <w:rPr>
                <w:sz w:val="7"/>
                <w:szCs w:val="7"/>
                <w:color w:val="auto"/>
              </w:rPr>
            </w:pPr>
          </w:p>
        </w:tc>
        <w:tc>
          <w:tcPr>
            <w:tcW w:w="880" w:type="dxa"/>
            <w:vAlign w:val="bottom"/>
            <w:tcBorders>
              <w:bottom w:val="single" w:sz="8" w:color="CCEEFF"/>
            </w:tcBorders>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160" w:type="dxa"/>
            <w:vAlign w:val="bottom"/>
            <w:tcBorders>
              <w:bottom w:val="single" w:sz="8" w:color="CCEEFF"/>
            </w:tcBorders>
            <w:shd w:val="clear" w:color="auto" w:fill="CCEEFF"/>
          </w:tcPr>
          <w:p>
            <w:pPr>
              <w:spacing w:after="0"/>
              <w:rPr>
                <w:sz w:val="7"/>
                <w:szCs w:val="7"/>
                <w:color w:val="auto"/>
              </w:rPr>
            </w:pPr>
          </w:p>
        </w:tc>
        <w:tc>
          <w:tcPr>
            <w:tcW w:w="920" w:type="dxa"/>
            <w:vAlign w:val="bottom"/>
            <w:tcBorders>
              <w:bottom w:val="single" w:sz="8" w:color="CCEEFF"/>
            </w:tcBorders>
            <w:shd w:val="clear" w:color="auto" w:fill="CCEEFF"/>
          </w:tcPr>
          <w:p>
            <w:pPr>
              <w:spacing w:after="0"/>
              <w:rPr>
                <w:sz w:val="7"/>
                <w:szCs w:val="7"/>
                <w:color w:val="auto"/>
              </w:rPr>
            </w:pPr>
          </w:p>
        </w:tc>
        <w:tc>
          <w:tcPr>
            <w:tcW w:w="120" w:type="dxa"/>
            <w:vAlign w:val="bottom"/>
            <w:tcBorders>
              <w:bottom w:val="single" w:sz="8" w:color="CCEEFF"/>
            </w:tcBorders>
            <w:shd w:val="clear" w:color="auto" w:fill="CCEEFF"/>
          </w:tcPr>
          <w:p>
            <w:pPr>
              <w:spacing w:after="0"/>
              <w:rPr>
                <w:sz w:val="7"/>
                <w:szCs w:val="7"/>
                <w:color w:val="auto"/>
              </w:rPr>
            </w:pPr>
          </w:p>
        </w:tc>
        <w:tc>
          <w:tcPr>
            <w:tcW w:w="740" w:type="dxa"/>
            <w:vAlign w:val="bottom"/>
            <w:tcBorders>
              <w:bottom w:val="single" w:sz="8" w:color="CCEEFF"/>
            </w:tcBorders>
            <w:shd w:val="clear" w:color="auto" w:fill="CCEEFF"/>
          </w:tcPr>
          <w:p>
            <w:pPr>
              <w:spacing w:after="0"/>
              <w:rPr>
                <w:sz w:val="7"/>
                <w:szCs w:val="7"/>
                <w:color w:val="auto"/>
              </w:rPr>
            </w:pPr>
          </w:p>
        </w:tc>
        <w:tc>
          <w:tcPr>
            <w:tcW w:w="180" w:type="dxa"/>
            <w:vAlign w:val="bottom"/>
            <w:tcBorders>
              <w:bottom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Borders>
              <w:bottom w:val="single" w:sz="8" w:color="CCEEFF"/>
            </w:tcBorders>
            <w:vMerge w:val="continue"/>
            <w:shd w:val="clear" w:color="auto" w:fill="CCEEFF"/>
          </w:tcPr>
          <w:p>
            <w:pPr>
              <w:spacing w:after="0"/>
              <w:rPr>
                <w:sz w:val="5"/>
                <w:szCs w:val="5"/>
                <w:color w:val="auto"/>
              </w:rPr>
            </w:pPr>
          </w:p>
        </w:tc>
        <w:tc>
          <w:tcPr>
            <w:tcW w:w="3340" w:type="dxa"/>
            <w:vAlign w:val="bottom"/>
            <w:tcBorders>
              <w:bottom w:val="single" w:sz="8" w:color="auto"/>
            </w:tcBorders>
            <w:gridSpan w:val="17"/>
            <w:vMerge w:val="continue"/>
            <w:shd w:val="clear" w:color="auto" w:fill="CCEEFF"/>
          </w:tcPr>
          <w:p>
            <w:pPr>
              <w:spacing w:after="0"/>
              <w:rPr>
                <w:sz w:val="5"/>
                <w:szCs w:val="5"/>
                <w:color w:val="auto"/>
              </w:rPr>
            </w:pPr>
          </w:p>
        </w:tc>
        <w:tc>
          <w:tcPr>
            <w:tcW w:w="80" w:type="dxa"/>
            <w:vAlign w:val="bottom"/>
            <w:tcBorders>
              <w:bottom w:val="single" w:sz="8" w:color="CCEEFF"/>
            </w:tcBorders>
            <w:shd w:val="clear" w:color="auto" w:fill="CCEEFF"/>
          </w:tcPr>
          <w:p>
            <w:pPr>
              <w:spacing w:after="0"/>
              <w:rPr>
                <w:sz w:val="5"/>
                <w:szCs w:val="5"/>
                <w:color w:val="auto"/>
              </w:rPr>
            </w:pPr>
          </w:p>
        </w:tc>
        <w:tc>
          <w:tcPr>
            <w:tcW w:w="140" w:type="dxa"/>
            <w:vAlign w:val="bottom"/>
            <w:tcBorders>
              <w:bottom w:val="single" w:sz="8" w:color="CCEEFF"/>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2080" w:type="dxa"/>
            <w:vAlign w:val="bottom"/>
            <w:tcBorders>
              <w:bottom w:val="single" w:sz="8" w:color="CCEEFF"/>
            </w:tcBorders>
            <w:gridSpan w:val="2"/>
            <w:vMerge w:val="continue"/>
            <w:shd w:val="clear" w:color="auto" w:fill="CCEEFF"/>
          </w:tcPr>
          <w:p>
            <w:pPr>
              <w:spacing w:after="0"/>
              <w:rPr>
                <w:sz w:val="5"/>
                <w:szCs w:val="5"/>
                <w:color w:val="auto"/>
              </w:rPr>
            </w:pPr>
          </w:p>
        </w:tc>
        <w:tc>
          <w:tcPr>
            <w:tcW w:w="98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40" w:type="dxa"/>
            <w:vAlign w:val="bottom"/>
            <w:tcBorders>
              <w:bottom w:val="single" w:sz="8" w:color="CCEEFF"/>
            </w:tcBorders>
            <w:shd w:val="clear" w:color="auto" w:fill="CCEEFF"/>
          </w:tcPr>
          <w:p>
            <w:pPr>
              <w:spacing w:after="0"/>
              <w:rPr>
                <w:sz w:val="5"/>
                <w:szCs w:val="5"/>
                <w:color w:val="auto"/>
              </w:rPr>
            </w:pPr>
          </w:p>
        </w:tc>
        <w:tc>
          <w:tcPr>
            <w:tcW w:w="820" w:type="dxa"/>
            <w:vAlign w:val="bottom"/>
            <w:tcBorders>
              <w:bottom w:val="single" w:sz="8" w:color="CCEEFF"/>
            </w:tcBorders>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200" w:type="dxa"/>
            <w:vAlign w:val="bottom"/>
            <w:tcBorders>
              <w:bottom w:val="single" w:sz="8" w:color="CCEEFF"/>
            </w:tcBorders>
            <w:shd w:val="clear" w:color="auto" w:fill="CCEEFF"/>
          </w:tcPr>
          <w:p>
            <w:pPr>
              <w:spacing w:after="0"/>
              <w:rPr>
                <w:sz w:val="5"/>
                <w:szCs w:val="5"/>
                <w:color w:val="auto"/>
              </w:rPr>
            </w:pPr>
          </w:p>
        </w:tc>
        <w:tc>
          <w:tcPr>
            <w:tcW w:w="88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60" w:type="dxa"/>
            <w:vAlign w:val="bottom"/>
            <w:tcBorders>
              <w:bottom w:val="single" w:sz="8" w:color="CCEEFF"/>
            </w:tcBorders>
            <w:shd w:val="clear" w:color="auto" w:fill="CCEEFF"/>
          </w:tcPr>
          <w:p>
            <w:pPr>
              <w:spacing w:after="0"/>
              <w:rPr>
                <w:sz w:val="5"/>
                <w:szCs w:val="5"/>
                <w:color w:val="auto"/>
              </w:rPr>
            </w:pPr>
          </w:p>
        </w:tc>
        <w:tc>
          <w:tcPr>
            <w:tcW w:w="920" w:type="dxa"/>
            <w:vAlign w:val="bottom"/>
            <w:tcBorders>
              <w:bottom w:val="single" w:sz="8" w:color="CCEEFF"/>
            </w:tcBorders>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740" w:type="dxa"/>
            <w:vAlign w:val="bottom"/>
            <w:tcBorders>
              <w:bottom w:val="single" w:sz="8" w:color="CCEEFF"/>
            </w:tcBorders>
            <w:shd w:val="clear" w:color="auto" w:fill="CCEEFF"/>
          </w:tcPr>
          <w:p>
            <w:pPr>
              <w:spacing w:after="0"/>
              <w:rPr>
                <w:sz w:val="5"/>
                <w:szCs w:val="5"/>
                <w:color w:val="auto"/>
              </w:rPr>
            </w:pPr>
          </w:p>
        </w:tc>
        <w:tc>
          <w:tcPr>
            <w:tcW w:w="180" w:type="dxa"/>
            <w:vAlign w:val="bottom"/>
            <w:tcBorders>
              <w:bottom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86"/>
        </w:trPr>
        <w:tc>
          <w:tcPr>
            <w:tcW w:w="3580" w:type="dxa"/>
            <w:vAlign w:val="bottom"/>
            <w:gridSpan w:val="20"/>
          </w:tcPr>
          <w:p>
            <w:pPr>
              <w:ind w:left="20"/>
              <w:spacing w:after="0"/>
              <w:rPr>
                <w:sz w:val="20"/>
                <w:szCs w:val="20"/>
                <w:color w:val="auto"/>
              </w:rPr>
            </w:pPr>
            <w:r>
              <w:rPr>
                <w:rFonts w:ascii="Times New Roman" w:cs="Times New Roman" w:eastAsia="Times New Roman" w:hAnsi="Times New Roman"/>
                <w:sz w:val="14"/>
                <w:szCs w:val="14"/>
                <w:color w:val="auto"/>
              </w:rPr>
              <w:t>Simple Agreement for Future Equity</w:t>
            </w:r>
          </w:p>
        </w:tc>
        <w:tc>
          <w:tcPr>
            <w:tcW w:w="100" w:type="dxa"/>
            <w:vAlign w:val="bottom"/>
          </w:tcPr>
          <w:p>
            <w:pPr>
              <w:spacing w:after="0"/>
              <w:rPr>
                <w:sz w:val="16"/>
                <w:szCs w:val="16"/>
                <w:color w:val="auto"/>
              </w:rPr>
            </w:pPr>
          </w:p>
        </w:tc>
        <w:tc>
          <w:tcPr>
            <w:tcW w:w="20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8"/>
              </w:rPr>
              <w:t>Interactive Media &amp; Services</w:t>
            </w: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3/26/2021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1,002,720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1,000,000</w:t>
            </w: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0.36</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2"/>
        </w:trPr>
        <w:tc>
          <w:tcPr>
            <w:tcW w:w="20" w:type="dxa"/>
            <w:vAlign w:val="bottom"/>
            <w:shd w:val="clear" w:color="auto" w:fill="CCEEFF"/>
          </w:tcPr>
          <w:p>
            <w:pPr>
              <w:spacing w:after="0"/>
              <w:rPr>
                <w:sz w:val="15"/>
                <w:szCs w:val="15"/>
                <w:color w:val="auto"/>
              </w:rPr>
            </w:pPr>
          </w:p>
        </w:tc>
        <w:tc>
          <w:tcPr>
            <w:tcW w:w="3560" w:type="dxa"/>
            <w:vAlign w:val="bottom"/>
            <w:gridSpan w:val="19"/>
            <w:shd w:val="clear" w:color="auto" w:fill="CCEEFF"/>
          </w:tcPr>
          <w:p>
            <w:pPr>
              <w:spacing w:after="0" w:line="150" w:lineRule="exact"/>
              <w:rPr>
                <w:sz w:val="20"/>
                <w:szCs w:val="20"/>
                <w:color w:val="auto"/>
              </w:rPr>
            </w:pPr>
            <w:r>
              <w:rPr>
                <w:rFonts w:ascii="Times New Roman" w:cs="Times New Roman" w:eastAsia="Times New Roman" w:hAnsi="Times New Roman"/>
                <w:sz w:val="14"/>
                <w:szCs w:val="14"/>
                <w:b w:val="1"/>
                <w:bCs w:val="1"/>
                <w:color w:val="auto"/>
              </w:rPr>
              <w:t>Rebric, Inc. (d/b/a Compliable)</w:t>
            </w:r>
            <w:r>
              <w:rPr>
                <w:rFonts w:ascii="Times New Roman" w:cs="Times New Roman" w:eastAsia="Times New Roman" w:hAnsi="Times New Roman"/>
                <w:sz w:val="17"/>
                <w:szCs w:val="17"/>
                <w:b w:val="1"/>
                <w:bCs w:val="1"/>
                <w:color w:val="auto"/>
                <w:vertAlign w:val="superscript"/>
              </w:rPr>
              <w:t>(7)</w:t>
            </w:r>
          </w:p>
        </w:tc>
        <w:tc>
          <w:tcPr>
            <w:tcW w:w="100" w:type="dxa"/>
            <w:vAlign w:val="bottom"/>
            <w:shd w:val="clear" w:color="auto" w:fill="CCEEFF"/>
          </w:tcPr>
          <w:p>
            <w:pPr>
              <w:spacing w:after="0"/>
              <w:rPr>
                <w:sz w:val="15"/>
                <w:szCs w:val="15"/>
                <w:color w:val="auto"/>
              </w:rPr>
            </w:pPr>
          </w:p>
        </w:tc>
        <w:tc>
          <w:tcPr>
            <w:tcW w:w="2080" w:type="dxa"/>
            <w:vAlign w:val="bottom"/>
            <w:gridSpan w:val="2"/>
            <w:shd w:val="clear" w:color="auto" w:fill="CCEEFF"/>
          </w:tcPr>
          <w:p>
            <w:pPr>
              <w:jc w:val="center"/>
              <w:ind w:right="100"/>
              <w:spacing w:after="0" w:line="150" w:lineRule="exact"/>
              <w:rPr>
                <w:sz w:val="20"/>
                <w:szCs w:val="20"/>
                <w:color w:val="auto"/>
              </w:rPr>
            </w:pPr>
            <w:r>
              <w:rPr>
                <w:rFonts w:ascii="Times New Roman" w:cs="Times New Roman" w:eastAsia="Times New Roman" w:hAnsi="Times New Roman"/>
                <w:sz w:val="14"/>
                <w:szCs w:val="14"/>
                <w:color w:val="auto"/>
                <w:w w:val="97"/>
              </w:rPr>
              <w:t>Denver, CO</w:t>
            </w: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0" w:type="dxa"/>
            <w:vAlign w:val="bottom"/>
            <w:tcBorders>
              <w:top w:val="single" w:sz="8" w:color="CCEEFF"/>
            </w:tcBorders>
          </w:tcPr>
          <w:p>
            <w:pPr>
              <w:spacing w:after="0"/>
              <w:rPr>
                <w:sz w:val="16"/>
                <w:szCs w:val="16"/>
                <w:color w:val="auto"/>
              </w:rPr>
            </w:pPr>
          </w:p>
        </w:tc>
        <w:tc>
          <w:tcPr>
            <w:tcW w:w="1840" w:type="dxa"/>
            <w:vAlign w:val="bottom"/>
            <w:tcBorders>
              <w:top w:val="single" w:sz="8" w:color="auto"/>
            </w:tcBorders>
            <w:gridSpan w:val="13"/>
          </w:tcPr>
          <w:p>
            <w:pPr>
              <w:spacing w:after="0"/>
              <w:rPr>
                <w:sz w:val="20"/>
                <w:szCs w:val="20"/>
                <w:color w:val="auto"/>
              </w:rPr>
            </w:pPr>
            <w:r>
              <w:rPr>
                <w:rFonts w:ascii="Times New Roman" w:cs="Times New Roman" w:eastAsia="Times New Roman" w:hAnsi="Times New Roman"/>
                <w:sz w:val="14"/>
                <w:szCs w:val="14"/>
                <w:color w:val="auto"/>
              </w:rPr>
              <w:t>Preferred shares, Series Seed-4</w:t>
            </w:r>
          </w:p>
        </w:tc>
        <w:tc>
          <w:tcPr>
            <w:tcW w:w="1720" w:type="dxa"/>
            <w:vAlign w:val="bottom"/>
            <w:tcBorders>
              <w:top w:val="single" w:sz="8" w:color="CCEEFF"/>
            </w:tcBorders>
            <w:gridSpan w:val="6"/>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2080" w:type="dxa"/>
            <w:vAlign w:val="bottom"/>
            <w:tcBorders>
              <w:top w:val="single" w:sz="8" w:color="CCEEFF"/>
            </w:tcBorders>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8"/>
              </w:rPr>
              <w:t>Gaming Licensing</w:t>
            </w:r>
          </w:p>
        </w:tc>
        <w:tc>
          <w:tcPr>
            <w:tcW w:w="980" w:type="dxa"/>
            <w:vAlign w:val="bottom"/>
            <w:tcBorders>
              <w:top w:val="single" w:sz="8" w:color="CCEEFF"/>
            </w:tcBorders>
          </w:tcPr>
          <w:p>
            <w:pPr>
              <w:jc w:val="center"/>
              <w:spacing w:after="0"/>
              <w:rPr>
                <w:sz w:val="20"/>
                <w:szCs w:val="20"/>
                <w:color w:val="auto"/>
              </w:rPr>
            </w:pPr>
            <w:r>
              <w:rPr>
                <w:rFonts w:ascii="Times New Roman" w:cs="Times New Roman" w:eastAsia="Times New Roman" w:hAnsi="Times New Roman"/>
                <w:sz w:val="14"/>
                <w:szCs w:val="14"/>
                <w:color w:val="auto"/>
                <w:w w:val="97"/>
              </w:rPr>
              <w:t>10/12/2021</w:t>
            </w:r>
          </w:p>
        </w:tc>
        <w:tc>
          <w:tcPr>
            <w:tcW w:w="10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8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2,064,409</w:t>
            </w:r>
          </w:p>
        </w:tc>
        <w:tc>
          <w:tcPr>
            <w:tcW w:w="12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8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1,002,755</w:t>
            </w:r>
          </w:p>
        </w:tc>
        <w:tc>
          <w:tcPr>
            <w:tcW w:w="10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9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1,000,000</w:t>
            </w:r>
          </w:p>
        </w:tc>
        <w:tc>
          <w:tcPr>
            <w:tcW w:w="120" w:type="dxa"/>
            <w:vAlign w:val="bottom"/>
            <w:tcBorders>
              <w:top w:val="single" w:sz="8" w:color="CCEEFF"/>
            </w:tcBorders>
          </w:tcPr>
          <w:p>
            <w:pPr>
              <w:spacing w:after="0"/>
              <w:rPr>
                <w:sz w:val="16"/>
                <w:szCs w:val="16"/>
                <w:color w:val="auto"/>
              </w:rPr>
            </w:pPr>
          </w:p>
        </w:tc>
        <w:tc>
          <w:tcPr>
            <w:tcW w:w="7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0.36</w:t>
            </w:r>
          </w:p>
        </w:tc>
        <w:tc>
          <w:tcPr>
            <w:tcW w:w="1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2"/>
        </w:trPr>
        <w:tc>
          <w:tcPr>
            <w:tcW w:w="20" w:type="dxa"/>
            <w:vAlign w:val="bottom"/>
            <w:shd w:val="clear" w:color="auto" w:fill="CCEEFF"/>
          </w:tcPr>
          <w:p>
            <w:pPr>
              <w:spacing w:after="0"/>
              <w:rPr>
                <w:sz w:val="17"/>
                <w:szCs w:val="17"/>
                <w:color w:val="auto"/>
              </w:rPr>
            </w:pPr>
          </w:p>
        </w:tc>
        <w:tc>
          <w:tcPr>
            <w:tcW w:w="3560" w:type="dxa"/>
            <w:vAlign w:val="bottom"/>
            <w:gridSpan w:val="19"/>
            <w:shd w:val="clear" w:color="auto" w:fill="CCEEFF"/>
          </w:tcPr>
          <w:p>
            <w:pPr>
              <w:spacing w:after="0" w:line="150" w:lineRule="exact"/>
              <w:rPr>
                <w:sz w:val="20"/>
                <w:szCs w:val="20"/>
                <w:color w:val="auto"/>
              </w:rPr>
            </w:pPr>
            <w:r>
              <w:rPr>
                <w:rFonts w:ascii="Times New Roman" w:cs="Times New Roman" w:eastAsia="Times New Roman" w:hAnsi="Times New Roman"/>
                <w:sz w:val="14"/>
                <w:szCs w:val="14"/>
                <w:b w:val="1"/>
                <w:bCs w:val="1"/>
                <w:color w:val="auto"/>
              </w:rPr>
              <w:t>Rent the Runway, Inc.**</w:t>
            </w:r>
          </w:p>
        </w:tc>
        <w:tc>
          <w:tcPr>
            <w:tcW w:w="100" w:type="dxa"/>
            <w:vAlign w:val="bottom"/>
            <w:shd w:val="clear" w:color="auto" w:fill="CCEEFF"/>
          </w:tcPr>
          <w:p>
            <w:pPr>
              <w:spacing w:after="0"/>
              <w:rPr>
                <w:sz w:val="17"/>
                <w:szCs w:val="17"/>
                <w:color w:val="auto"/>
              </w:rPr>
            </w:pPr>
          </w:p>
        </w:tc>
        <w:tc>
          <w:tcPr>
            <w:tcW w:w="2080" w:type="dxa"/>
            <w:vAlign w:val="bottom"/>
            <w:gridSpan w:val="2"/>
            <w:shd w:val="clear" w:color="auto" w:fill="CCEEFF"/>
          </w:tcPr>
          <w:p>
            <w:pPr>
              <w:jc w:val="center"/>
              <w:ind w:right="100"/>
              <w:spacing w:after="0" w:line="150" w:lineRule="exact"/>
              <w:rPr>
                <w:sz w:val="20"/>
                <w:szCs w:val="20"/>
                <w:color w:val="auto"/>
              </w:rPr>
            </w:pPr>
            <w:r>
              <w:rPr>
                <w:rFonts w:ascii="Times New Roman" w:cs="Times New Roman" w:eastAsia="Times New Roman" w:hAnsi="Times New Roman"/>
                <w:sz w:val="14"/>
                <w:szCs w:val="14"/>
                <w:color w:val="auto"/>
                <w:w w:val="95"/>
              </w:rPr>
              <w:t>New York, NY</w:t>
            </w: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20" w:type="dxa"/>
            <w:vAlign w:val="bottom"/>
            <w:tcBorders>
              <w:top w:val="single" w:sz="8" w:color="CCEEFF"/>
            </w:tcBorders>
          </w:tcPr>
          <w:p>
            <w:pPr>
              <w:spacing w:after="0"/>
              <w:rPr>
                <w:sz w:val="16"/>
                <w:szCs w:val="16"/>
                <w:color w:val="auto"/>
              </w:rPr>
            </w:pPr>
          </w:p>
        </w:tc>
        <w:tc>
          <w:tcPr>
            <w:tcW w:w="1320" w:type="dxa"/>
            <w:vAlign w:val="bottom"/>
            <w:tcBorders>
              <w:top w:val="single" w:sz="8" w:color="auto"/>
            </w:tcBorders>
            <w:gridSpan w:val="6"/>
          </w:tcPr>
          <w:p>
            <w:pPr>
              <w:spacing w:after="0" w:line="187" w:lineRule="exact"/>
              <w:rPr>
                <w:sz w:val="20"/>
                <w:szCs w:val="20"/>
                <w:color w:val="auto"/>
              </w:rPr>
            </w:pPr>
            <w:r>
              <w:rPr>
                <w:rFonts w:ascii="Times New Roman" w:cs="Times New Roman" w:eastAsia="Times New Roman" w:hAnsi="Times New Roman"/>
                <w:sz w:val="14"/>
                <w:szCs w:val="14"/>
                <w:color w:val="auto"/>
              </w:rPr>
              <w:t>Common shares</w:t>
            </w:r>
            <w:r>
              <w:rPr>
                <w:rFonts w:ascii="Times New Roman" w:cs="Times New Roman" w:eastAsia="Times New Roman" w:hAnsi="Times New Roman"/>
                <w:sz w:val="17"/>
                <w:szCs w:val="17"/>
                <w:color w:val="auto"/>
                <w:vertAlign w:val="superscript"/>
              </w:rPr>
              <w:t>(3)</w:t>
            </w:r>
          </w:p>
        </w:tc>
        <w:tc>
          <w:tcPr>
            <w:tcW w:w="2240" w:type="dxa"/>
            <w:vAlign w:val="bottom"/>
            <w:tcBorders>
              <w:top w:val="single" w:sz="8" w:color="CCEEFF"/>
            </w:tcBorders>
            <w:gridSpan w:val="13"/>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2080" w:type="dxa"/>
            <w:vAlign w:val="bottom"/>
            <w:tcBorders>
              <w:top w:val="single" w:sz="8" w:color="CCEEFF"/>
            </w:tcBorders>
            <w:gridSpan w:val="2"/>
          </w:tcPr>
          <w:p>
            <w:pPr>
              <w:jc w:val="center"/>
              <w:ind w:right="120"/>
              <w:spacing w:after="0"/>
              <w:rPr>
                <w:sz w:val="20"/>
                <w:szCs w:val="20"/>
                <w:color w:val="auto"/>
              </w:rPr>
            </w:pPr>
            <w:r>
              <w:rPr>
                <w:rFonts w:ascii="Times New Roman" w:cs="Times New Roman" w:eastAsia="Times New Roman" w:hAnsi="Times New Roman"/>
                <w:sz w:val="14"/>
                <w:szCs w:val="14"/>
                <w:color w:val="auto"/>
                <w:w w:val="98"/>
              </w:rPr>
              <w:t>Subscription Fashion Rental</w:t>
            </w:r>
          </w:p>
        </w:tc>
        <w:tc>
          <w:tcPr>
            <w:tcW w:w="980" w:type="dxa"/>
            <w:vAlign w:val="bottom"/>
            <w:tcBorders>
              <w:top w:val="single" w:sz="8" w:color="CCEEFF"/>
            </w:tcBorders>
          </w:tcPr>
          <w:p>
            <w:pPr>
              <w:jc w:val="center"/>
              <w:spacing w:after="0"/>
              <w:rPr>
                <w:sz w:val="20"/>
                <w:szCs w:val="20"/>
                <w:color w:val="auto"/>
              </w:rPr>
            </w:pPr>
            <w:r>
              <w:rPr>
                <w:rFonts w:ascii="Times New Roman" w:cs="Times New Roman" w:eastAsia="Times New Roman" w:hAnsi="Times New Roman"/>
                <w:sz w:val="14"/>
                <w:szCs w:val="14"/>
                <w:color w:val="auto"/>
                <w:w w:val="98"/>
              </w:rPr>
              <w:t>6/17/2020</w:t>
            </w:r>
          </w:p>
        </w:tc>
        <w:tc>
          <w:tcPr>
            <w:tcW w:w="10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8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289,191</w:t>
            </w:r>
          </w:p>
        </w:tc>
        <w:tc>
          <w:tcPr>
            <w:tcW w:w="12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8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4,394,205</w:t>
            </w:r>
          </w:p>
        </w:tc>
        <w:tc>
          <w:tcPr>
            <w:tcW w:w="10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9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887,816</w:t>
            </w:r>
          </w:p>
        </w:tc>
        <w:tc>
          <w:tcPr>
            <w:tcW w:w="120" w:type="dxa"/>
            <w:vAlign w:val="bottom"/>
            <w:tcBorders>
              <w:top w:val="single" w:sz="8" w:color="CCEEFF"/>
            </w:tcBorders>
          </w:tcPr>
          <w:p>
            <w:pPr>
              <w:spacing w:after="0"/>
              <w:rPr>
                <w:sz w:val="16"/>
                <w:szCs w:val="16"/>
                <w:color w:val="auto"/>
              </w:rPr>
            </w:pPr>
          </w:p>
        </w:tc>
        <w:tc>
          <w:tcPr>
            <w:tcW w:w="7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0.32</w:t>
            </w:r>
          </w:p>
        </w:tc>
        <w:tc>
          <w:tcPr>
            <w:tcW w:w="1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20" w:type="dxa"/>
            <w:vAlign w:val="bottom"/>
            <w:shd w:val="clear" w:color="auto" w:fill="CCEEFF"/>
          </w:tcPr>
          <w:p>
            <w:pPr>
              <w:spacing w:after="0"/>
              <w:rPr>
                <w:sz w:val="12"/>
                <w:szCs w:val="12"/>
                <w:color w:val="auto"/>
              </w:rPr>
            </w:pPr>
          </w:p>
        </w:tc>
        <w:tc>
          <w:tcPr>
            <w:tcW w:w="3560" w:type="dxa"/>
            <w:vAlign w:val="bottom"/>
            <w:gridSpan w:val="19"/>
            <w:shd w:val="clear" w:color="auto" w:fill="CCEEFF"/>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EDGE Markets, Inc.</w:t>
            </w:r>
            <w:r>
              <w:rPr>
                <w:rFonts w:ascii="Times New Roman" w:cs="Times New Roman" w:eastAsia="Times New Roman" w:hAnsi="Times New Roman"/>
                <w:sz w:val="16"/>
                <w:szCs w:val="16"/>
                <w:b w:val="1"/>
                <w:bCs w:val="1"/>
                <w:color w:val="auto"/>
                <w:vertAlign w:val="superscript"/>
              </w:rPr>
              <w:t>(7)</w:t>
            </w:r>
          </w:p>
        </w:tc>
        <w:tc>
          <w:tcPr>
            <w:tcW w:w="100" w:type="dxa"/>
            <w:vAlign w:val="bottom"/>
            <w:shd w:val="clear" w:color="auto" w:fill="CCEEFF"/>
          </w:tcPr>
          <w:p>
            <w:pPr>
              <w:spacing w:after="0"/>
              <w:rPr>
                <w:sz w:val="12"/>
                <w:szCs w:val="12"/>
                <w:color w:val="auto"/>
              </w:rPr>
            </w:pPr>
          </w:p>
        </w:tc>
        <w:tc>
          <w:tcPr>
            <w:tcW w:w="2080" w:type="dxa"/>
            <w:vAlign w:val="bottom"/>
            <w:gridSpan w:val="2"/>
            <w:shd w:val="clear" w:color="auto" w:fill="CCEEFF"/>
          </w:tcPr>
          <w:p>
            <w:pPr>
              <w:jc w:val="center"/>
              <w:ind w:right="120"/>
              <w:spacing w:after="0" w:line="143" w:lineRule="exact"/>
              <w:rPr>
                <w:sz w:val="20"/>
                <w:szCs w:val="20"/>
                <w:color w:val="auto"/>
              </w:rPr>
            </w:pPr>
            <w:r>
              <w:rPr>
                <w:rFonts w:ascii="Times New Roman" w:cs="Times New Roman" w:eastAsia="Times New Roman" w:hAnsi="Times New Roman"/>
                <w:sz w:val="14"/>
                <w:szCs w:val="14"/>
                <w:color w:val="auto"/>
                <w:w w:val="98"/>
              </w:rPr>
              <w:t>San Diego, CA</w:t>
            </w: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2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auto"/>
            </w:tcBorders>
            <w:shd w:val="clear" w:color="auto" w:fill="CCEEFF"/>
          </w:tcPr>
          <w:p>
            <w:pPr>
              <w:spacing w:after="0"/>
              <w:rPr>
                <w:sz w:val="2"/>
                <w:szCs w:val="2"/>
                <w:color w:val="auto"/>
              </w:rPr>
            </w:pPr>
          </w:p>
        </w:tc>
        <w:tc>
          <w:tcPr>
            <w:tcW w:w="120" w:type="dxa"/>
            <w:vAlign w:val="bottom"/>
            <w:tcBorders>
              <w:top w:val="single" w:sz="8" w:color="auto"/>
            </w:tcBorders>
            <w:shd w:val="clear" w:color="auto" w:fill="CCEEFF"/>
          </w:tcPr>
          <w:p>
            <w:pPr>
              <w:spacing w:after="0"/>
              <w:rPr>
                <w:sz w:val="2"/>
                <w:szCs w:val="2"/>
                <w:color w:val="auto"/>
              </w:rPr>
            </w:pPr>
          </w:p>
        </w:tc>
        <w:tc>
          <w:tcPr>
            <w:tcW w:w="160" w:type="dxa"/>
            <w:vAlign w:val="bottom"/>
            <w:tcBorders>
              <w:top w:val="single" w:sz="8" w:color="auto"/>
            </w:tcBorders>
            <w:shd w:val="clear" w:color="auto" w:fill="CCEEFF"/>
          </w:tcPr>
          <w:p>
            <w:pPr>
              <w:spacing w:after="0"/>
              <w:rPr>
                <w:sz w:val="2"/>
                <w:szCs w:val="2"/>
                <w:color w:val="auto"/>
              </w:rPr>
            </w:pPr>
          </w:p>
        </w:tc>
        <w:tc>
          <w:tcPr>
            <w:tcW w:w="40" w:type="dxa"/>
            <w:vAlign w:val="bottom"/>
            <w:tcBorders>
              <w:top w:val="single" w:sz="8" w:color="auto"/>
            </w:tcBorders>
            <w:shd w:val="clear" w:color="auto" w:fill="CCEEFF"/>
          </w:tcPr>
          <w:p>
            <w:pPr>
              <w:spacing w:after="0"/>
              <w:rPr>
                <w:sz w:val="2"/>
                <w:szCs w:val="2"/>
                <w:color w:val="auto"/>
              </w:rPr>
            </w:pPr>
          </w:p>
        </w:tc>
        <w:tc>
          <w:tcPr>
            <w:tcW w:w="100" w:type="dxa"/>
            <w:vAlign w:val="bottom"/>
            <w:tcBorders>
              <w:top w:val="single" w:sz="8" w:color="auto"/>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9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9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8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9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7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tcPr>
          <w:p>
            <w:pPr>
              <w:spacing w:after="0"/>
              <w:rPr>
                <w:sz w:val="16"/>
                <w:szCs w:val="16"/>
                <w:color w:val="auto"/>
              </w:rPr>
            </w:pPr>
          </w:p>
        </w:tc>
        <w:tc>
          <w:tcPr>
            <w:tcW w:w="3560" w:type="dxa"/>
            <w:vAlign w:val="bottom"/>
            <w:gridSpan w:val="19"/>
          </w:tcPr>
          <w:p>
            <w:pPr>
              <w:spacing w:after="0"/>
              <w:rPr>
                <w:sz w:val="20"/>
                <w:szCs w:val="20"/>
                <w:color w:val="auto"/>
              </w:rPr>
            </w:pPr>
            <w:r>
              <w:rPr>
                <w:rFonts w:ascii="Times New Roman" w:cs="Times New Roman" w:eastAsia="Times New Roman" w:hAnsi="Times New Roman"/>
                <w:sz w:val="14"/>
                <w:szCs w:val="14"/>
                <w:color w:val="auto"/>
              </w:rPr>
              <w:t>Preferred Shares, Series Seed</w:t>
            </w:r>
          </w:p>
        </w:tc>
        <w:tc>
          <w:tcPr>
            <w:tcW w:w="100" w:type="dxa"/>
            <w:vAlign w:val="bottom"/>
          </w:tcPr>
          <w:p>
            <w:pPr>
              <w:spacing w:after="0"/>
              <w:rPr>
                <w:sz w:val="16"/>
                <w:szCs w:val="16"/>
                <w:color w:val="auto"/>
              </w:rPr>
            </w:pPr>
          </w:p>
        </w:tc>
        <w:tc>
          <w:tcPr>
            <w:tcW w:w="20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w w:val="96"/>
              </w:rPr>
              <w:t>Gaming Technology</w:t>
            </w: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5/18/2022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456,704</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501,330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500,000</w:t>
            </w: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0.18</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2"/>
        </w:trPr>
        <w:tc>
          <w:tcPr>
            <w:tcW w:w="20" w:type="dxa"/>
            <w:vAlign w:val="bottom"/>
            <w:shd w:val="clear" w:color="auto" w:fill="CCEEFF"/>
          </w:tcPr>
          <w:p>
            <w:pPr>
              <w:spacing w:after="0"/>
              <w:rPr>
                <w:sz w:val="15"/>
                <w:szCs w:val="15"/>
                <w:color w:val="auto"/>
              </w:rPr>
            </w:pPr>
          </w:p>
        </w:tc>
        <w:tc>
          <w:tcPr>
            <w:tcW w:w="3560" w:type="dxa"/>
            <w:vAlign w:val="bottom"/>
            <w:gridSpan w:val="19"/>
            <w:shd w:val="clear" w:color="auto" w:fill="CCEEFF"/>
          </w:tcPr>
          <w:p>
            <w:pPr>
              <w:spacing w:after="0" w:line="150" w:lineRule="exact"/>
              <w:rPr>
                <w:sz w:val="20"/>
                <w:szCs w:val="20"/>
                <w:color w:val="auto"/>
              </w:rPr>
            </w:pPr>
            <w:r>
              <w:rPr>
                <w:rFonts w:ascii="Times New Roman" w:cs="Times New Roman" w:eastAsia="Times New Roman" w:hAnsi="Times New Roman"/>
                <w:sz w:val="14"/>
                <w:szCs w:val="14"/>
                <w:b w:val="1"/>
                <w:bCs w:val="1"/>
                <w:color w:val="auto"/>
              </w:rPr>
              <w:t>YouBet Technology, Inc. (d/b/a PickUp)</w:t>
            </w:r>
            <w:r>
              <w:rPr>
                <w:rFonts w:ascii="Times New Roman" w:cs="Times New Roman" w:eastAsia="Times New Roman" w:hAnsi="Times New Roman"/>
                <w:sz w:val="17"/>
                <w:szCs w:val="17"/>
                <w:b w:val="1"/>
                <w:bCs w:val="1"/>
                <w:color w:val="auto"/>
                <w:vertAlign w:val="superscript"/>
              </w:rPr>
              <w:t>(7)</w:t>
            </w:r>
          </w:p>
        </w:tc>
        <w:tc>
          <w:tcPr>
            <w:tcW w:w="100" w:type="dxa"/>
            <w:vAlign w:val="bottom"/>
            <w:shd w:val="clear" w:color="auto" w:fill="CCEEFF"/>
          </w:tcPr>
          <w:p>
            <w:pPr>
              <w:spacing w:after="0"/>
              <w:rPr>
                <w:sz w:val="15"/>
                <w:szCs w:val="15"/>
                <w:color w:val="auto"/>
              </w:rPr>
            </w:pPr>
          </w:p>
        </w:tc>
        <w:tc>
          <w:tcPr>
            <w:tcW w:w="2080" w:type="dxa"/>
            <w:vAlign w:val="bottom"/>
            <w:gridSpan w:val="2"/>
            <w:shd w:val="clear" w:color="auto" w:fill="CCEEFF"/>
          </w:tcPr>
          <w:p>
            <w:pPr>
              <w:jc w:val="center"/>
              <w:ind w:right="100"/>
              <w:spacing w:after="0" w:line="150" w:lineRule="exact"/>
              <w:rPr>
                <w:sz w:val="20"/>
                <w:szCs w:val="20"/>
                <w:color w:val="auto"/>
              </w:rPr>
            </w:pPr>
            <w:r>
              <w:rPr>
                <w:rFonts w:ascii="Times New Roman" w:cs="Times New Roman" w:eastAsia="Times New Roman" w:hAnsi="Times New Roman"/>
                <w:sz w:val="14"/>
                <w:szCs w:val="14"/>
                <w:color w:val="auto"/>
                <w:w w:val="95"/>
              </w:rPr>
              <w:t>New York, NY</w:t>
            </w: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0" w:type="dxa"/>
            <w:vAlign w:val="bottom"/>
            <w:tcBorders>
              <w:top w:val="single" w:sz="8" w:color="CCEEFF"/>
            </w:tcBorders>
          </w:tcPr>
          <w:p>
            <w:pPr>
              <w:spacing w:after="0"/>
              <w:rPr>
                <w:sz w:val="16"/>
                <w:szCs w:val="16"/>
                <w:color w:val="auto"/>
              </w:rPr>
            </w:pPr>
          </w:p>
        </w:tc>
        <w:tc>
          <w:tcPr>
            <w:tcW w:w="2320" w:type="dxa"/>
            <w:vAlign w:val="bottom"/>
            <w:tcBorders>
              <w:top w:val="single" w:sz="8" w:color="auto"/>
            </w:tcBorders>
            <w:gridSpan w:val="15"/>
          </w:tcPr>
          <w:p>
            <w:pPr>
              <w:spacing w:after="0"/>
              <w:rPr>
                <w:sz w:val="20"/>
                <w:szCs w:val="20"/>
                <w:color w:val="auto"/>
              </w:rPr>
            </w:pPr>
            <w:r>
              <w:rPr>
                <w:rFonts w:ascii="Times New Roman" w:cs="Times New Roman" w:eastAsia="Times New Roman" w:hAnsi="Times New Roman"/>
                <w:sz w:val="14"/>
                <w:szCs w:val="14"/>
                <w:color w:val="auto"/>
              </w:rPr>
              <w:t>Preferred shares, Series Seed-2</w:t>
            </w:r>
          </w:p>
        </w:tc>
        <w:tc>
          <w:tcPr>
            <w:tcW w:w="1240" w:type="dxa"/>
            <w:vAlign w:val="bottom"/>
            <w:tcBorders>
              <w:top w:val="single" w:sz="8" w:color="CCEEFF"/>
            </w:tcBorders>
            <w:gridSpan w:val="4"/>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2080" w:type="dxa"/>
            <w:vAlign w:val="bottom"/>
            <w:tcBorders>
              <w:top w:val="single" w:sz="8" w:color="CCEEFF"/>
            </w:tcBorders>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8"/>
              </w:rPr>
              <w:t>Digital Media Technology</w:t>
            </w:r>
          </w:p>
        </w:tc>
        <w:tc>
          <w:tcPr>
            <w:tcW w:w="980" w:type="dxa"/>
            <w:vAlign w:val="bottom"/>
            <w:tcBorders>
              <w:top w:val="single" w:sz="8" w:color="CCEEFF"/>
            </w:tcBorders>
          </w:tcPr>
          <w:p>
            <w:pPr>
              <w:jc w:val="center"/>
              <w:spacing w:after="0"/>
              <w:rPr>
                <w:sz w:val="20"/>
                <w:szCs w:val="20"/>
                <w:color w:val="auto"/>
              </w:rPr>
            </w:pPr>
            <w:r>
              <w:rPr>
                <w:rFonts w:ascii="Times New Roman" w:cs="Times New Roman" w:eastAsia="Times New Roman" w:hAnsi="Times New Roman"/>
                <w:sz w:val="14"/>
                <w:szCs w:val="14"/>
                <w:color w:val="auto"/>
                <w:w w:val="98"/>
              </w:rPr>
              <w:t>8/26/2021</w:t>
            </w:r>
          </w:p>
        </w:tc>
        <w:tc>
          <w:tcPr>
            <w:tcW w:w="10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8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385,353</w:t>
            </w:r>
          </w:p>
        </w:tc>
        <w:tc>
          <w:tcPr>
            <w:tcW w:w="12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8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502,232</w:t>
            </w:r>
          </w:p>
        </w:tc>
        <w:tc>
          <w:tcPr>
            <w:tcW w:w="10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9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499,999</w:t>
            </w:r>
          </w:p>
        </w:tc>
        <w:tc>
          <w:tcPr>
            <w:tcW w:w="120" w:type="dxa"/>
            <w:vAlign w:val="bottom"/>
            <w:tcBorders>
              <w:top w:val="single" w:sz="8" w:color="CCEEFF"/>
            </w:tcBorders>
          </w:tcPr>
          <w:p>
            <w:pPr>
              <w:spacing w:after="0"/>
              <w:rPr>
                <w:sz w:val="16"/>
                <w:szCs w:val="16"/>
                <w:color w:val="auto"/>
              </w:rPr>
            </w:pPr>
          </w:p>
        </w:tc>
        <w:tc>
          <w:tcPr>
            <w:tcW w:w="7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0.18</w:t>
            </w:r>
          </w:p>
        </w:tc>
        <w:tc>
          <w:tcPr>
            <w:tcW w:w="1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2"/>
        </w:trPr>
        <w:tc>
          <w:tcPr>
            <w:tcW w:w="20" w:type="dxa"/>
            <w:vAlign w:val="bottom"/>
            <w:shd w:val="clear" w:color="auto" w:fill="CCEEFF"/>
          </w:tcPr>
          <w:p>
            <w:pPr>
              <w:spacing w:after="0"/>
              <w:rPr>
                <w:sz w:val="15"/>
                <w:szCs w:val="15"/>
                <w:color w:val="auto"/>
              </w:rPr>
            </w:pPr>
          </w:p>
        </w:tc>
        <w:tc>
          <w:tcPr>
            <w:tcW w:w="3560" w:type="dxa"/>
            <w:vAlign w:val="bottom"/>
            <w:gridSpan w:val="19"/>
            <w:shd w:val="clear" w:color="auto" w:fill="CCEEFF"/>
          </w:tcPr>
          <w:p>
            <w:pPr>
              <w:spacing w:after="0" w:line="150" w:lineRule="exact"/>
              <w:rPr>
                <w:sz w:val="20"/>
                <w:szCs w:val="20"/>
                <w:color w:val="auto"/>
              </w:rPr>
            </w:pPr>
            <w:r>
              <w:rPr>
                <w:rFonts w:ascii="Times New Roman" w:cs="Times New Roman" w:eastAsia="Times New Roman" w:hAnsi="Times New Roman"/>
                <w:sz w:val="14"/>
                <w:szCs w:val="14"/>
                <w:b w:val="1"/>
                <w:bCs w:val="1"/>
                <w:color w:val="auto"/>
              </w:rPr>
              <w:t>Palantir Lending Trust SPV I **</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7"/>
                <w:szCs w:val="17"/>
                <w:b w:val="1"/>
                <w:bCs w:val="1"/>
                <w:color w:val="auto"/>
                <w:vertAlign w:val="superscript"/>
              </w:rPr>
              <w:t>11)</w:t>
            </w:r>
          </w:p>
        </w:tc>
        <w:tc>
          <w:tcPr>
            <w:tcW w:w="100" w:type="dxa"/>
            <w:vAlign w:val="bottom"/>
            <w:shd w:val="clear" w:color="auto" w:fill="CCEEFF"/>
          </w:tcPr>
          <w:p>
            <w:pPr>
              <w:spacing w:after="0"/>
              <w:rPr>
                <w:sz w:val="15"/>
                <w:szCs w:val="15"/>
                <w:color w:val="auto"/>
              </w:rPr>
            </w:pPr>
          </w:p>
        </w:tc>
        <w:tc>
          <w:tcPr>
            <w:tcW w:w="2080" w:type="dxa"/>
            <w:vAlign w:val="bottom"/>
            <w:gridSpan w:val="2"/>
            <w:shd w:val="clear" w:color="auto" w:fill="CCEEFF"/>
          </w:tcPr>
          <w:p>
            <w:pPr>
              <w:jc w:val="center"/>
              <w:ind w:right="100"/>
              <w:spacing w:after="0" w:line="150" w:lineRule="exact"/>
              <w:rPr>
                <w:sz w:val="20"/>
                <w:szCs w:val="20"/>
                <w:color w:val="auto"/>
              </w:rPr>
            </w:pPr>
            <w:r>
              <w:rPr>
                <w:rFonts w:ascii="Times New Roman" w:cs="Times New Roman" w:eastAsia="Times New Roman" w:hAnsi="Times New Roman"/>
                <w:sz w:val="14"/>
                <w:szCs w:val="14"/>
                <w:color w:val="auto"/>
                <w:w w:val="97"/>
              </w:rPr>
              <w:t>Palo Alto, CA</w:t>
            </w: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w w:val="98"/>
              </w:rPr>
              <w:t>Data Analysis</w:t>
            </w: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gridSpan w:val="2"/>
            <w:vMerge w:val="restart"/>
          </w:tcPr>
          <w:p>
            <w:pPr>
              <w:spacing w:after="0" w:line="20" w:lineRule="exact"/>
              <w:rPr>
                <w:sz w:val="1"/>
                <w:szCs w:val="1"/>
                <w:color w:val="auto"/>
              </w:rPr>
            </w:pPr>
          </w:p>
        </w:tc>
        <w:tc>
          <w:tcPr>
            <w:tcW w:w="980" w:type="dxa"/>
            <w:vAlign w:val="bottom"/>
            <w:tcBorders>
              <w:top w:val="single" w:sz="8" w:color="CCEEFF"/>
            </w:tcBorders>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367,952</w:t>
            </w: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0.13</w:t>
            </w:r>
          </w:p>
        </w:tc>
        <w:tc>
          <w:tcPr>
            <w:tcW w:w="180" w:type="dxa"/>
            <w:vAlign w:val="bottom"/>
            <w:tcBorders>
              <w:top w:val="single" w:sz="8" w:color="CCEEFF"/>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line="20" w:lineRule="exact"/>
              <w:rPr>
                <w:sz w:val="1"/>
                <w:szCs w:val="1"/>
                <w:color w:val="auto"/>
              </w:rPr>
            </w:pPr>
          </w:p>
        </w:tc>
      </w:tr>
      <w:tr>
        <w:trPr>
          <w:trHeight w:val="187"/>
        </w:trPr>
        <w:tc>
          <w:tcPr>
            <w:tcW w:w="20" w:type="dxa"/>
            <w:vAlign w:val="bottom"/>
          </w:tcPr>
          <w:p>
            <w:pPr>
              <w:spacing w:after="0"/>
              <w:rPr>
                <w:sz w:val="16"/>
                <w:szCs w:val="16"/>
                <w:color w:val="auto"/>
              </w:rPr>
            </w:pPr>
          </w:p>
        </w:tc>
        <w:tc>
          <w:tcPr>
            <w:tcW w:w="3560" w:type="dxa"/>
            <w:vAlign w:val="bottom"/>
            <w:gridSpan w:val="19"/>
          </w:tcPr>
          <w:p>
            <w:pPr>
              <w:spacing w:after="0" w:line="187" w:lineRule="exact"/>
              <w:rPr>
                <w:sz w:val="20"/>
                <w:szCs w:val="20"/>
                <w:color w:val="auto"/>
              </w:rPr>
            </w:pPr>
            <w:r>
              <w:rPr>
                <w:rFonts w:ascii="Times New Roman" w:cs="Times New Roman" w:eastAsia="Times New Roman" w:hAnsi="Times New Roman"/>
                <w:sz w:val="14"/>
                <w:szCs w:val="14"/>
                <w:color w:val="auto"/>
              </w:rPr>
              <w:t>Equity Participation in Underlying Collateral</w:t>
            </w:r>
            <w:r>
              <w:rPr>
                <w:rFonts w:ascii="Times New Roman" w:cs="Times New Roman" w:eastAsia="Times New Roman" w:hAnsi="Times New Roman"/>
                <w:sz w:val="17"/>
                <w:szCs w:val="17"/>
                <w:color w:val="auto"/>
                <w:vertAlign w:val="superscript"/>
              </w:rPr>
              <w:t>(3)</w:t>
            </w:r>
          </w:p>
        </w:tc>
        <w:tc>
          <w:tcPr>
            <w:tcW w:w="100" w:type="dxa"/>
            <w:vAlign w:val="bottom"/>
          </w:tcPr>
          <w:p>
            <w:pPr>
              <w:spacing w:after="0"/>
              <w:rPr>
                <w:sz w:val="16"/>
                <w:szCs w:val="16"/>
                <w:color w:val="auto"/>
              </w:rPr>
            </w:pPr>
          </w:p>
        </w:tc>
        <w:tc>
          <w:tcPr>
            <w:tcW w:w="2080" w:type="dxa"/>
            <w:vAlign w:val="bottom"/>
            <w:gridSpan w:val="2"/>
            <w:vMerge w:val="continue"/>
          </w:tcPr>
          <w:p>
            <w:pPr>
              <w:spacing w:after="0"/>
              <w:rPr>
                <w:sz w:val="16"/>
                <w:szCs w:val="16"/>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6/19/2020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2"/>
            <w:vMerge w:val="continue"/>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20" w:type="dxa"/>
            <w:vAlign w:val="bottom"/>
            <w:shd w:val="clear" w:color="auto" w:fill="CCEEFF"/>
          </w:tcPr>
          <w:p>
            <w:pPr>
              <w:spacing w:after="0"/>
              <w:rPr>
                <w:sz w:val="15"/>
                <w:szCs w:val="15"/>
                <w:color w:val="auto"/>
              </w:rPr>
            </w:pPr>
          </w:p>
        </w:tc>
        <w:tc>
          <w:tcPr>
            <w:tcW w:w="3560" w:type="dxa"/>
            <w:vAlign w:val="bottom"/>
            <w:gridSpan w:val="19"/>
            <w:shd w:val="clear" w:color="auto" w:fill="CCEEFF"/>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Churchill Sponsor VII LLC**</w:t>
            </w:r>
            <w:r>
              <w:rPr>
                <w:rFonts w:ascii="Times New Roman" w:cs="Times New Roman" w:eastAsia="Times New Roman" w:hAnsi="Times New Roman"/>
                <w:sz w:val="16"/>
                <w:szCs w:val="16"/>
                <w:b w:val="1"/>
                <w:bCs w:val="1"/>
                <w:color w:val="auto"/>
                <w:vertAlign w:val="superscript"/>
              </w:rPr>
              <w:t>(15)</w:t>
            </w:r>
          </w:p>
        </w:tc>
        <w:tc>
          <w:tcPr>
            <w:tcW w:w="100" w:type="dxa"/>
            <w:vAlign w:val="bottom"/>
            <w:shd w:val="clear" w:color="auto" w:fill="CCEEFF"/>
          </w:tcPr>
          <w:p>
            <w:pPr>
              <w:spacing w:after="0"/>
              <w:rPr>
                <w:sz w:val="15"/>
                <w:szCs w:val="15"/>
                <w:color w:val="auto"/>
              </w:rPr>
            </w:pPr>
          </w:p>
        </w:tc>
        <w:tc>
          <w:tcPr>
            <w:tcW w:w="2080" w:type="dxa"/>
            <w:vAlign w:val="bottom"/>
            <w:gridSpan w:val="2"/>
            <w:shd w:val="clear" w:color="auto" w:fill="CCEEFF"/>
          </w:tcPr>
          <w:p>
            <w:pPr>
              <w:jc w:val="center"/>
              <w:ind w:right="100"/>
              <w:spacing w:after="0" w:line="143" w:lineRule="exact"/>
              <w:rPr>
                <w:sz w:val="20"/>
                <w:szCs w:val="20"/>
                <w:color w:val="auto"/>
              </w:rPr>
            </w:pPr>
            <w:r>
              <w:rPr>
                <w:rFonts w:ascii="Times New Roman" w:cs="Times New Roman" w:eastAsia="Times New Roman" w:hAnsi="Times New Roman"/>
                <w:sz w:val="14"/>
                <w:szCs w:val="14"/>
                <w:color w:val="auto"/>
                <w:w w:val="95"/>
              </w:rPr>
              <w:t>New York, NY</w:t>
            </w: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Borders>
              <w:top w:val="single" w:sz="8" w:color="CCEEFF"/>
            </w:tcBorders>
            <w:vMerge w:val="restart"/>
          </w:tcPr>
          <w:p>
            <w:pPr>
              <w:spacing w:after="0"/>
              <w:rPr>
                <w:sz w:val="11"/>
                <w:szCs w:val="11"/>
                <w:color w:val="auto"/>
              </w:rPr>
            </w:pPr>
          </w:p>
        </w:tc>
        <w:tc>
          <w:tcPr>
            <w:tcW w:w="1640" w:type="dxa"/>
            <w:vAlign w:val="bottom"/>
            <w:tcBorders>
              <w:top w:val="single" w:sz="8" w:color="auto"/>
            </w:tcBorders>
            <w:gridSpan w:val="10"/>
            <w:vMerge w:val="restart"/>
          </w:tcPr>
          <w:p>
            <w:pPr>
              <w:spacing w:after="0"/>
              <w:rPr>
                <w:sz w:val="20"/>
                <w:szCs w:val="20"/>
                <w:color w:val="auto"/>
              </w:rPr>
            </w:pPr>
            <w:r>
              <w:rPr>
                <w:rFonts w:ascii="Times New Roman" w:cs="Times New Roman" w:eastAsia="Times New Roman" w:hAnsi="Times New Roman"/>
                <w:sz w:val="14"/>
                <w:szCs w:val="14"/>
                <w:color w:val="auto"/>
              </w:rPr>
              <w:t>Common share units</w:t>
            </w:r>
          </w:p>
        </w:tc>
        <w:tc>
          <w:tcPr>
            <w:tcW w:w="1920" w:type="dxa"/>
            <w:vAlign w:val="bottom"/>
            <w:tcBorders>
              <w:top w:val="single" w:sz="8" w:color="CCEEFF"/>
            </w:tcBorders>
            <w:gridSpan w:val="9"/>
            <w:vMerge w:val="restart"/>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2080" w:type="dxa"/>
            <w:vAlign w:val="bottom"/>
            <w:tcBorders>
              <w:top w:val="single" w:sz="8" w:color="CCEEFF"/>
            </w:tcBorders>
            <w:gridSpan w:val="2"/>
          </w:tcPr>
          <w:p>
            <w:pPr>
              <w:jc w:val="center"/>
              <w:ind w:right="120"/>
              <w:spacing w:after="0" w:line="129" w:lineRule="exact"/>
              <w:rPr>
                <w:sz w:val="20"/>
                <w:szCs w:val="20"/>
                <w:color w:val="auto"/>
              </w:rPr>
            </w:pPr>
            <w:r>
              <w:rPr>
                <w:rFonts w:ascii="Times New Roman" w:cs="Times New Roman" w:eastAsia="Times New Roman" w:hAnsi="Times New Roman"/>
                <w:sz w:val="14"/>
                <w:szCs w:val="14"/>
                <w:color w:val="auto"/>
                <w:w w:val="98"/>
              </w:rPr>
              <w:t>Special Purpose Acquisition</w:t>
            </w:r>
          </w:p>
        </w:tc>
        <w:tc>
          <w:tcPr>
            <w:tcW w:w="980" w:type="dxa"/>
            <w:vAlign w:val="bottom"/>
            <w:tcBorders>
              <w:top w:val="single" w:sz="8" w:color="CCEEFF"/>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8"/>
              </w:rPr>
              <w:t>2/25/2021</w:t>
            </w:r>
          </w:p>
        </w:tc>
        <w:tc>
          <w:tcPr>
            <w:tcW w:w="100" w:type="dxa"/>
            <w:vAlign w:val="bottom"/>
            <w:tcBorders>
              <w:top w:val="single" w:sz="8" w:color="CCEEFF"/>
            </w:tcBorders>
          </w:tcPr>
          <w:p>
            <w:pPr>
              <w:spacing w:after="0"/>
              <w:rPr>
                <w:sz w:val="11"/>
                <w:szCs w:val="11"/>
                <w:color w:val="auto"/>
              </w:rPr>
            </w:pPr>
          </w:p>
        </w:tc>
        <w:tc>
          <w:tcPr>
            <w:tcW w:w="140" w:type="dxa"/>
            <w:vAlign w:val="bottom"/>
            <w:tcBorders>
              <w:top w:val="single" w:sz="8" w:color="CCEEFF"/>
            </w:tcBorders>
          </w:tcPr>
          <w:p>
            <w:pPr>
              <w:spacing w:after="0"/>
              <w:rPr>
                <w:sz w:val="11"/>
                <w:szCs w:val="11"/>
                <w:color w:val="auto"/>
              </w:rPr>
            </w:pPr>
          </w:p>
        </w:tc>
        <w:tc>
          <w:tcPr>
            <w:tcW w:w="820" w:type="dxa"/>
            <w:vAlign w:val="bottom"/>
            <w:tcBorders>
              <w:top w:val="single" w:sz="8" w:color="CCEEFF"/>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292,100</w:t>
            </w:r>
          </w:p>
        </w:tc>
        <w:tc>
          <w:tcPr>
            <w:tcW w:w="120" w:type="dxa"/>
            <w:vAlign w:val="bottom"/>
            <w:tcBorders>
              <w:top w:val="single" w:sz="8" w:color="CCEEFF"/>
            </w:tcBorders>
          </w:tcPr>
          <w:p>
            <w:pPr>
              <w:spacing w:after="0"/>
              <w:rPr>
                <w:sz w:val="11"/>
                <w:szCs w:val="11"/>
                <w:color w:val="auto"/>
              </w:rPr>
            </w:pPr>
          </w:p>
        </w:tc>
        <w:tc>
          <w:tcPr>
            <w:tcW w:w="200" w:type="dxa"/>
            <w:vAlign w:val="bottom"/>
            <w:tcBorders>
              <w:top w:val="single" w:sz="8" w:color="CCEEFF"/>
            </w:tcBorders>
          </w:tcPr>
          <w:p>
            <w:pPr>
              <w:spacing w:after="0"/>
              <w:rPr>
                <w:sz w:val="11"/>
                <w:szCs w:val="11"/>
                <w:color w:val="auto"/>
              </w:rPr>
            </w:pPr>
          </w:p>
        </w:tc>
        <w:tc>
          <w:tcPr>
            <w:tcW w:w="880" w:type="dxa"/>
            <w:vAlign w:val="bottom"/>
            <w:tcBorders>
              <w:top w:val="single" w:sz="8" w:color="CCEEFF"/>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205,820</w:t>
            </w:r>
          </w:p>
        </w:tc>
        <w:tc>
          <w:tcPr>
            <w:tcW w:w="100" w:type="dxa"/>
            <w:vAlign w:val="bottom"/>
            <w:tcBorders>
              <w:top w:val="single" w:sz="8" w:color="CCEEFF"/>
            </w:tcBorders>
          </w:tcPr>
          <w:p>
            <w:pPr>
              <w:spacing w:after="0"/>
              <w:rPr>
                <w:sz w:val="11"/>
                <w:szCs w:val="11"/>
                <w:color w:val="auto"/>
              </w:rPr>
            </w:pPr>
          </w:p>
        </w:tc>
        <w:tc>
          <w:tcPr>
            <w:tcW w:w="160" w:type="dxa"/>
            <w:vAlign w:val="bottom"/>
            <w:tcBorders>
              <w:top w:val="single" w:sz="8" w:color="CCEEFF"/>
            </w:tcBorders>
          </w:tcPr>
          <w:p>
            <w:pPr>
              <w:spacing w:after="0"/>
              <w:rPr>
                <w:sz w:val="11"/>
                <w:szCs w:val="11"/>
                <w:color w:val="auto"/>
              </w:rPr>
            </w:pPr>
          </w:p>
        </w:tc>
        <w:tc>
          <w:tcPr>
            <w:tcW w:w="920" w:type="dxa"/>
            <w:vAlign w:val="bottom"/>
            <w:tcBorders>
              <w:top w:val="single" w:sz="8" w:color="CCEEFF"/>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205,820</w:t>
            </w:r>
          </w:p>
        </w:tc>
        <w:tc>
          <w:tcPr>
            <w:tcW w:w="120" w:type="dxa"/>
            <w:vAlign w:val="bottom"/>
            <w:tcBorders>
              <w:top w:val="single" w:sz="8" w:color="CCEEFF"/>
            </w:tcBorders>
          </w:tcPr>
          <w:p>
            <w:pPr>
              <w:spacing w:after="0"/>
              <w:rPr>
                <w:sz w:val="11"/>
                <w:szCs w:val="11"/>
                <w:color w:val="auto"/>
              </w:rPr>
            </w:pPr>
          </w:p>
        </w:tc>
        <w:tc>
          <w:tcPr>
            <w:tcW w:w="740" w:type="dxa"/>
            <w:vAlign w:val="bottom"/>
            <w:tcBorders>
              <w:top w:val="single" w:sz="8" w:color="CCEEFF"/>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0.07</w:t>
            </w:r>
          </w:p>
        </w:tc>
        <w:tc>
          <w:tcPr>
            <w:tcW w:w="180" w:type="dxa"/>
            <w:vAlign w:val="bottom"/>
            <w:tcBorders>
              <w:top w:val="single" w:sz="8" w:color="CCEEFF"/>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6"/>
        </w:trPr>
        <w:tc>
          <w:tcPr>
            <w:tcW w:w="20" w:type="dxa"/>
            <w:vAlign w:val="bottom"/>
            <w:vMerge w:val="continue"/>
          </w:tcPr>
          <w:p>
            <w:pPr>
              <w:spacing w:after="0"/>
              <w:rPr>
                <w:sz w:val="16"/>
                <w:szCs w:val="16"/>
                <w:color w:val="auto"/>
              </w:rPr>
            </w:pPr>
          </w:p>
        </w:tc>
        <w:tc>
          <w:tcPr>
            <w:tcW w:w="1640" w:type="dxa"/>
            <w:vAlign w:val="bottom"/>
            <w:gridSpan w:val="10"/>
            <w:vMerge w:val="continue"/>
          </w:tcPr>
          <w:p>
            <w:pPr>
              <w:spacing w:after="0"/>
              <w:rPr>
                <w:sz w:val="16"/>
                <w:szCs w:val="16"/>
                <w:color w:val="auto"/>
              </w:rPr>
            </w:pPr>
          </w:p>
        </w:tc>
        <w:tc>
          <w:tcPr>
            <w:tcW w:w="1920" w:type="dxa"/>
            <w:vAlign w:val="bottom"/>
            <w:gridSpan w:val="9"/>
            <w:vMerge w:val="continue"/>
          </w:tcPr>
          <w:p>
            <w:pPr>
              <w:spacing w:after="0"/>
              <w:rPr>
                <w:sz w:val="16"/>
                <w:szCs w:val="16"/>
                <w:color w:val="auto"/>
              </w:rPr>
            </w:pPr>
          </w:p>
        </w:tc>
        <w:tc>
          <w:tcPr>
            <w:tcW w:w="100" w:type="dxa"/>
            <w:vAlign w:val="bottom"/>
          </w:tcPr>
          <w:p>
            <w:pPr>
              <w:spacing w:after="0"/>
              <w:rPr>
                <w:sz w:val="16"/>
                <w:szCs w:val="16"/>
                <w:color w:val="auto"/>
              </w:rPr>
            </w:pPr>
          </w:p>
        </w:tc>
        <w:tc>
          <w:tcPr>
            <w:tcW w:w="20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Company</w:t>
            </w: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3580" w:type="dxa"/>
            <w:vAlign w:val="bottom"/>
            <w:gridSpan w:val="20"/>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Warrant units</w:t>
            </w:r>
          </w:p>
        </w:tc>
        <w:tc>
          <w:tcPr>
            <w:tcW w:w="100" w:type="dxa"/>
            <w:vAlign w:val="bottom"/>
            <w:shd w:val="clear" w:color="auto" w:fill="CCEEFF"/>
          </w:tcPr>
          <w:p>
            <w:pPr>
              <w:spacing w:after="0"/>
              <w:rPr>
                <w:sz w:val="17"/>
                <w:szCs w:val="17"/>
                <w:color w:val="auto"/>
              </w:rPr>
            </w:pPr>
          </w:p>
        </w:tc>
        <w:tc>
          <w:tcPr>
            <w:tcW w:w="1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2/25/2021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277,000</w:t>
            </w: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94,180</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94,180</w:t>
            </w:r>
          </w:p>
        </w:tc>
        <w:tc>
          <w:tcPr>
            <w:tcW w:w="120" w:type="dxa"/>
            <w:vAlign w:val="bottom"/>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560" w:type="dxa"/>
            <w:vAlign w:val="bottom"/>
            <w:gridSpan w:val="19"/>
          </w:tcPr>
          <w:p>
            <w:pPr>
              <w:ind w:left="120"/>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300,000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300,000</w:t>
            </w: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0.11</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2"/>
        </w:trPr>
        <w:tc>
          <w:tcPr>
            <w:tcW w:w="20" w:type="dxa"/>
            <w:vAlign w:val="bottom"/>
            <w:shd w:val="clear" w:color="auto" w:fill="CCEEFF"/>
          </w:tcPr>
          <w:p>
            <w:pPr>
              <w:spacing w:after="0"/>
              <w:rPr>
                <w:sz w:val="15"/>
                <w:szCs w:val="15"/>
                <w:color w:val="auto"/>
              </w:rPr>
            </w:pPr>
          </w:p>
        </w:tc>
        <w:tc>
          <w:tcPr>
            <w:tcW w:w="3560" w:type="dxa"/>
            <w:vAlign w:val="bottom"/>
            <w:gridSpan w:val="19"/>
            <w:shd w:val="clear" w:color="auto" w:fill="CCEEFF"/>
          </w:tcPr>
          <w:p>
            <w:pPr>
              <w:spacing w:after="0" w:line="150" w:lineRule="exact"/>
              <w:rPr>
                <w:sz w:val="20"/>
                <w:szCs w:val="20"/>
                <w:color w:val="auto"/>
              </w:rPr>
            </w:pPr>
            <w:r>
              <w:rPr>
                <w:rFonts w:ascii="Times New Roman" w:cs="Times New Roman" w:eastAsia="Times New Roman" w:hAnsi="Times New Roman"/>
                <w:sz w:val="14"/>
                <w:szCs w:val="14"/>
                <w:b w:val="1"/>
                <w:bCs w:val="1"/>
                <w:color w:val="auto"/>
              </w:rPr>
              <w:t>AltC Sponsor LLC**</w:t>
            </w:r>
            <w:r>
              <w:rPr>
                <w:rFonts w:ascii="Times New Roman" w:cs="Times New Roman" w:eastAsia="Times New Roman" w:hAnsi="Times New Roman"/>
                <w:sz w:val="17"/>
                <w:szCs w:val="17"/>
                <w:b w:val="1"/>
                <w:bCs w:val="1"/>
                <w:color w:val="auto"/>
                <w:vertAlign w:val="superscript"/>
              </w:rPr>
              <w:t>(15)</w:t>
            </w:r>
          </w:p>
        </w:tc>
        <w:tc>
          <w:tcPr>
            <w:tcW w:w="100" w:type="dxa"/>
            <w:vAlign w:val="bottom"/>
            <w:shd w:val="clear" w:color="auto" w:fill="CCEEFF"/>
          </w:tcPr>
          <w:p>
            <w:pPr>
              <w:spacing w:after="0"/>
              <w:rPr>
                <w:sz w:val="15"/>
                <w:szCs w:val="15"/>
                <w:color w:val="auto"/>
              </w:rPr>
            </w:pPr>
          </w:p>
        </w:tc>
        <w:tc>
          <w:tcPr>
            <w:tcW w:w="2080" w:type="dxa"/>
            <w:vAlign w:val="bottom"/>
            <w:gridSpan w:val="2"/>
            <w:shd w:val="clear" w:color="auto" w:fill="CCEEFF"/>
          </w:tcPr>
          <w:p>
            <w:pPr>
              <w:jc w:val="center"/>
              <w:ind w:right="100"/>
              <w:spacing w:after="0" w:line="150" w:lineRule="exact"/>
              <w:rPr>
                <w:sz w:val="20"/>
                <w:szCs w:val="20"/>
                <w:color w:val="auto"/>
              </w:rPr>
            </w:pPr>
            <w:r>
              <w:rPr>
                <w:rFonts w:ascii="Times New Roman" w:cs="Times New Roman" w:eastAsia="Times New Roman" w:hAnsi="Times New Roman"/>
                <w:sz w:val="14"/>
                <w:szCs w:val="14"/>
                <w:color w:val="auto"/>
                <w:w w:val="95"/>
              </w:rPr>
              <w:t>New York, NY</w:t>
            </w: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Borders>
              <w:top w:val="single" w:sz="8" w:color="CCEEFF"/>
            </w:tcBorders>
            <w:vMerge w:val="restart"/>
          </w:tcPr>
          <w:p>
            <w:pPr>
              <w:spacing w:after="0"/>
              <w:rPr>
                <w:sz w:val="11"/>
                <w:szCs w:val="11"/>
                <w:color w:val="auto"/>
              </w:rPr>
            </w:pPr>
          </w:p>
        </w:tc>
        <w:tc>
          <w:tcPr>
            <w:tcW w:w="1120" w:type="dxa"/>
            <w:vAlign w:val="bottom"/>
            <w:tcBorders>
              <w:top w:val="single" w:sz="8" w:color="auto"/>
            </w:tcBorders>
            <w:gridSpan w:val="4"/>
            <w:vMerge w:val="restart"/>
          </w:tcPr>
          <w:p>
            <w:pPr>
              <w:spacing w:after="0"/>
              <w:rPr>
                <w:sz w:val="20"/>
                <w:szCs w:val="20"/>
                <w:color w:val="auto"/>
              </w:rPr>
            </w:pPr>
            <w:r>
              <w:rPr>
                <w:rFonts w:ascii="Times New Roman" w:cs="Times New Roman" w:eastAsia="Times New Roman" w:hAnsi="Times New Roman"/>
                <w:sz w:val="14"/>
                <w:szCs w:val="14"/>
                <w:color w:val="auto"/>
              </w:rPr>
              <w:t>Share units</w:t>
            </w:r>
          </w:p>
        </w:tc>
        <w:tc>
          <w:tcPr>
            <w:tcW w:w="2440" w:type="dxa"/>
            <w:vAlign w:val="bottom"/>
            <w:tcBorders>
              <w:top w:val="single" w:sz="8" w:color="CCEEFF"/>
            </w:tcBorders>
            <w:gridSpan w:val="15"/>
            <w:vMerge w:val="restart"/>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2080" w:type="dxa"/>
            <w:vAlign w:val="bottom"/>
            <w:tcBorders>
              <w:top w:val="single" w:sz="8" w:color="CCEEFF"/>
            </w:tcBorders>
            <w:gridSpan w:val="2"/>
          </w:tcPr>
          <w:p>
            <w:pPr>
              <w:jc w:val="center"/>
              <w:ind w:right="120"/>
              <w:spacing w:after="0" w:line="129" w:lineRule="exact"/>
              <w:rPr>
                <w:sz w:val="20"/>
                <w:szCs w:val="20"/>
                <w:color w:val="auto"/>
              </w:rPr>
            </w:pPr>
            <w:r>
              <w:rPr>
                <w:rFonts w:ascii="Times New Roman" w:cs="Times New Roman" w:eastAsia="Times New Roman" w:hAnsi="Times New Roman"/>
                <w:sz w:val="14"/>
                <w:szCs w:val="14"/>
                <w:color w:val="auto"/>
                <w:w w:val="98"/>
              </w:rPr>
              <w:t>Special Purpose Acquisition</w:t>
            </w:r>
          </w:p>
        </w:tc>
        <w:tc>
          <w:tcPr>
            <w:tcW w:w="980" w:type="dxa"/>
            <w:vAlign w:val="bottom"/>
            <w:tcBorders>
              <w:top w:val="single" w:sz="8" w:color="CCEEFF"/>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8"/>
              </w:rPr>
              <w:t>7/21/2021</w:t>
            </w:r>
          </w:p>
        </w:tc>
        <w:tc>
          <w:tcPr>
            <w:tcW w:w="100" w:type="dxa"/>
            <w:vAlign w:val="bottom"/>
            <w:tcBorders>
              <w:top w:val="single" w:sz="8" w:color="CCEEFF"/>
            </w:tcBorders>
          </w:tcPr>
          <w:p>
            <w:pPr>
              <w:spacing w:after="0"/>
              <w:rPr>
                <w:sz w:val="11"/>
                <w:szCs w:val="11"/>
                <w:color w:val="auto"/>
              </w:rPr>
            </w:pPr>
          </w:p>
        </w:tc>
        <w:tc>
          <w:tcPr>
            <w:tcW w:w="140" w:type="dxa"/>
            <w:vAlign w:val="bottom"/>
            <w:tcBorders>
              <w:top w:val="single" w:sz="8" w:color="CCEEFF"/>
            </w:tcBorders>
          </w:tcPr>
          <w:p>
            <w:pPr>
              <w:spacing w:after="0"/>
              <w:rPr>
                <w:sz w:val="11"/>
                <w:szCs w:val="11"/>
                <w:color w:val="auto"/>
              </w:rPr>
            </w:pPr>
          </w:p>
        </w:tc>
        <w:tc>
          <w:tcPr>
            <w:tcW w:w="820" w:type="dxa"/>
            <w:vAlign w:val="bottom"/>
            <w:tcBorders>
              <w:top w:val="single" w:sz="8" w:color="CCEEFF"/>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239,300</w:t>
            </w:r>
          </w:p>
        </w:tc>
        <w:tc>
          <w:tcPr>
            <w:tcW w:w="120" w:type="dxa"/>
            <w:vAlign w:val="bottom"/>
            <w:tcBorders>
              <w:top w:val="single" w:sz="8" w:color="CCEEFF"/>
            </w:tcBorders>
          </w:tcPr>
          <w:p>
            <w:pPr>
              <w:spacing w:after="0"/>
              <w:rPr>
                <w:sz w:val="11"/>
                <w:szCs w:val="11"/>
                <w:color w:val="auto"/>
              </w:rPr>
            </w:pPr>
          </w:p>
        </w:tc>
        <w:tc>
          <w:tcPr>
            <w:tcW w:w="200" w:type="dxa"/>
            <w:vAlign w:val="bottom"/>
            <w:tcBorders>
              <w:top w:val="single" w:sz="8" w:color="CCEEFF"/>
            </w:tcBorders>
          </w:tcPr>
          <w:p>
            <w:pPr>
              <w:spacing w:after="0"/>
              <w:rPr>
                <w:sz w:val="11"/>
                <w:szCs w:val="11"/>
                <w:color w:val="auto"/>
              </w:rPr>
            </w:pPr>
          </w:p>
        </w:tc>
        <w:tc>
          <w:tcPr>
            <w:tcW w:w="880" w:type="dxa"/>
            <w:vAlign w:val="bottom"/>
            <w:tcBorders>
              <w:top w:val="single" w:sz="8" w:color="CCEEFF"/>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250,855</w:t>
            </w:r>
          </w:p>
        </w:tc>
        <w:tc>
          <w:tcPr>
            <w:tcW w:w="100" w:type="dxa"/>
            <w:vAlign w:val="bottom"/>
            <w:tcBorders>
              <w:top w:val="single" w:sz="8" w:color="CCEEFF"/>
            </w:tcBorders>
          </w:tcPr>
          <w:p>
            <w:pPr>
              <w:spacing w:after="0"/>
              <w:rPr>
                <w:sz w:val="11"/>
                <w:szCs w:val="11"/>
                <w:color w:val="auto"/>
              </w:rPr>
            </w:pPr>
          </w:p>
        </w:tc>
        <w:tc>
          <w:tcPr>
            <w:tcW w:w="160" w:type="dxa"/>
            <w:vAlign w:val="bottom"/>
            <w:tcBorders>
              <w:top w:val="single" w:sz="8" w:color="CCEEFF"/>
            </w:tcBorders>
          </w:tcPr>
          <w:p>
            <w:pPr>
              <w:spacing w:after="0"/>
              <w:rPr>
                <w:sz w:val="11"/>
                <w:szCs w:val="11"/>
                <w:color w:val="auto"/>
              </w:rPr>
            </w:pPr>
          </w:p>
        </w:tc>
        <w:tc>
          <w:tcPr>
            <w:tcW w:w="920" w:type="dxa"/>
            <w:vAlign w:val="bottom"/>
            <w:tcBorders>
              <w:top w:val="single" w:sz="8" w:color="CCEEFF"/>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250,000</w:t>
            </w:r>
          </w:p>
        </w:tc>
        <w:tc>
          <w:tcPr>
            <w:tcW w:w="120" w:type="dxa"/>
            <w:vAlign w:val="bottom"/>
            <w:tcBorders>
              <w:top w:val="single" w:sz="8" w:color="CCEEFF"/>
            </w:tcBorders>
          </w:tcPr>
          <w:p>
            <w:pPr>
              <w:spacing w:after="0"/>
              <w:rPr>
                <w:sz w:val="11"/>
                <w:szCs w:val="11"/>
                <w:color w:val="auto"/>
              </w:rPr>
            </w:pPr>
          </w:p>
        </w:tc>
        <w:tc>
          <w:tcPr>
            <w:tcW w:w="740" w:type="dxa"/>
            <w:vAlign w:val="bottom"/>
            <w:tcBorders>
              <w:top w:val="single" w:sz="8" w:color="CCEEFF"/>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0.09</w:t>
            </w:r>
          </w:p>
        </w:tc>
        <w:tc>
          <w:tcPr>
            <w:tcW w:w="180" w:type="dxa"/>
            <w:vAlign w:val="bottom"/>
            <w:tcBorders>
              <w:top w:val="single" w:sz="8" w:color="CCEEFF"/>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6"/>
        </w:trPr>
        <w:tc>
          <w:tcPr>
            <w:tcW w:w="20" w:type="dxa"/>
            <w:vAlign w:val="bottom"/>
            <w:vMerge w:val="continue"/>
          </w:tcPr>
          <w:p>
            <w:pPr>
              <w:spacing w:after="0"/>
              <w:rPr>
                <w:sz w:val="16"/>
                <w:szCs w:val="16"/>
                <w:color w:val="auto"/>
              </w:rPr>
            </w:pPr>
          </w:p>
        </w:tc>
        <w:tc>
          <w:tcPr>
            <w:tcW w:w="1120" w:type="dxa"/>
            <w:vAlign w:val="bottom"/>
            <w:gridSpan w:val="4"/>
            <w:vMerge w:val="continue"/>
          </w:tcPr>
          <w:p>
            <w:pPr>
              <w:spacing w:after="0"/>
              <w:rPr>
                <w:sz w:val="16"/>
                <w:szCs w:val="16"/>
                <w:color w:val="auto"/>
              </w:rPr>
            </w:pPr>
          </w:p>
        </w:tc>
        <w:tc>
          <w:tcPr>
            <w:tcW w:w="2440" w:type="dxa"/>
            <w:vAlign w:val="bottom"/>
            <w:gridSpan w:val="15"/>
            <w:vMerge w:val="continue"/>
          </w:tcPr>
          <w:p>
            <w:pPr>
              <w:spacing w:after="0"/>
              <w:rPr>
                <w:sz w:val="16"/>
                <w:szCs w:val="16"/>
                <w:color w:val="auto"/>
              </w:rPr>
            </w:pPr>
          </w:p>
        </w:tc>
        <w:tc>
          <w:tcPr>
            <w:tcW w:w="100" w:type="dxa"/>
            <w:vAlign w:val="bottom"/>
          </w:tcPr>
          <w:p>
            <w:pPr>
              <w:spacing w:after="0"/>
              <w:rPr>
                <w:sz w:val="16"/>
                <w:szCs w:val="16"/>
                <w:color w:val="auto"/>
              </w:rPr>
            </w:pPr>
          </w:p>
        </w:tc>
        <w:tc>
          <w:tcPr>
            <w:tcW w:w="20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Company</w:t>
            </w: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0" w:type="dxa"/>
            <w:vAlign w:val="bottom"/>
            <w:shd w:val="clear" w:color="auto" w:fill="CCEEFF"/>
          </w:tcPr>
          <w:p>
            <w:pPr>
              <w:spacing w:after="0"/>
              <w:rPr>
                <w:sz w:val="15"/>
                <w:szCs w:val="15"/>
                <w:color w:val="auto"/>
              </w:rPr>
            </w:pPr>
          </w:p>
        </w:tc>
        <w:tc>
          <w:tcPr>
            <w:tcW w:w="3560" w:type="dxa"/>
            <w:vAlign w:val="bottom"/>
            <w:gridSpan w:val="19"/>
            <w:shd w:val="clear" w:color="auto" w:fill="CCEEFF"/>
          </w:tcPr>
          <w:p>
            <w:pPr>
              <w:spacing w:after="0" w:line="150" w:lineRule="exact"/>
              <w:rPr>
                <w:sz w:val="20"/>
                <w:szCs w:val="20"/>
                <w:color w:val="auto"/>
              </w:rPr>
            </w:pPr>
            <w:r>
              <w:rPr>
                <w:rFonts w:ascii="Times New Roman" w:cs="Times New Roman" w:eastAsia="Times New Roman" w:hAnsi="Times New Roman"/>
                <w:sz w:val="14"/>
                <w:szCs w:val="14"/>
                <w:b w:val="1"/>
                <w:bCs w:val="1"/>
                <w:color w:val="auto"/>
              </w:rPr>
              <w:t>Enjoy Technology, Inc.**</w:t>
            </w:r>
          </w:p>
        </w:tc>
        <w:tc>
          <w:tcPr>
            <w:tcW w:w="100" w:type="dxa"/>
            <w:vAlign w:val="bottom"/>
            <w:shd w:val="clear" w:color="auto" w:fill="CCEEFF"/>
          </w:tcPr>
          <w:p>
            <w:pPr>
              <w:spacing w:after="0"/>
              <w:rPr>
                <w:sz w:val="15"/>
                <w:szCs w:val="15"/>
                <w:color w:val="auto"/>
              </w:rPr>
            </w:pPr>
          </w:p>
        </w:tc>
        <w:tc>
          <w:tcPr>
            <w:tcW w:w="2080" w:type="dxa"/>
            <w:vAlign w:val="bottom"/>
            <w:gridSpan w:val="2"/>
            <w:shd w:val="clear" w:color="auto" w:fill="CCEEFF"/>
          </w:tcPr>
          <w:p>
            <w:pPr>
              <w:jc w:val="center"/>
              <w:ind w:right="100"/>
              <w:spacing w:after="0" w:line="150" w:lineRule="exact"/>
              <w:rPr>
                <w:sz w:val="20"/>
                <w:szCs w:val="20"/>
                <w:color w:val="auto"/>
              </w:rPr>
            </w:pPr>
            <w:r>
              <w:rPr>
                <w:rFonts w:ascii="Times New Roman" w:cs="Times New Roman" w:eastAsia="Times New Roman" w:hAnsi="Times New Roman"/>
                <w:sz w:val="14"/>
                <w:szCs w:val="14"/>
                <w:color w:val="auto"/>
                <w:w w:val="97"/>
              </w:rPr>
              <w:t>Palo Alto, CA</w:t>
            </w: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0" w:type="dxa"/>
            <w:vAlign w:val="bottom"/>
            <w:tcBorders>
              <w:top w:val="single" w:sz="8" w:color="CCEEFF"/>
            </w:tcBorders>
          </w:tcPr>
          <w:p>
            <w:pPr>
              <w:spacing w:after="0"/>
              <w:rPr>
                <w:sz w:val="16"/>
                <w:szCs w:val="16"/>
                <w:color w:val="auto"/>
              </w:rPr>
            </w:pPr>
          </w:p>
        </w:tc>
        <w:tc>
          <w:tcPr>
            <w:tcW w:w="1340" w:type="dxa"/>
            <w:vAlign w:val="bottom"/>
            <w:tcBorders>
              <w:top w:val="single" w:sz="8" w:color="auto"/>
            </w:tcBorders>
            <w:gridSpan w:val="7"/>
          </w:tcPr>
          <w:p>
            <w:pPr>
              <w:spacing w:after="0" w:line="194" w:lineRule="exact"/>
              <w:rPr>
                <w:sz w:val="20"/>
                <w:szCs w:val="20"/>
                <w:color w:val="auto"/>
              </w:rPr>
            </w:pPr>
            <w:r>
              <w:rPr>
                <w:rFonts w:ascii="Times New Roman" w:cs="Times New Roman" w:eastAsia="Times New Roman" w:hAnsi="Times New Roman"/>
                <w:sz w:val="14"/>
                <w:szCs w:val="14"/>
                <w:color w:val="auto"/>
              </w:rPr>
              <w:t>Common shares</w:t>
            </w:r>
            <w:r>
              <w:rPr>
                <w:rFonts w:ascii="Times New Roman" w:cs="Times New Roman" w:eastAsia="Times New Roman" w:hAnsi="Times New Roman"/>
                <w:sz w:val="17"/>
                <w:szCs w:val="17"/>
                <w:color w:val="auto"/>
                <w:vertAlign w:val="superscript"/>
              </w:rPr>
              <w:t>(3)</w:t>
            </w:r>
          </w:p>
        </w:tc>
        <w:tc>
          <w:tcPr>
            <w:tcW w:w="2220" w:type="dxa"/>
            <w:vAlign w:val="bottom"/>
            <w:tcBorders>
              <w:top w:val="single" w:sz="8" w:color="CCEEFF"/>
            </w:tcBorders>
            <w:gridSpan w:val="12"/>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2080" w:type="dxa"/>
            <w:vAlign w:val="bottom"/>
            <w:tcBorders>
              <w:top w:val="single" w:sz="8" w:color="CCEEFF"/>
            </w:tcBorders>
            <w:gridSpan w:val="2"/>
          </w:tcPr>
          <w:p>
            <w:pPr>
              <w:jc w:val="center"/>
              <w:ind w:right="120"/>
              <w:spacing w:after="0"/>
              <w:rPr>
                <w:sz w:val="20"/>
                <w:szCs w:val="20"/>
                <w:color w:val="auto"/>
              </w:rPr>
            </w:pPr>
            <w:r>
              <w:rPr>
                <w:rFonts w:ascii="Times New Roman" w:cs="Times New Roman" w:eastAsia="Times New Roman" w:hAnsi="Times New Roman"/>
                <w:sz w:val="14"/>
                <w:szCs w:val="14"/>
                <w:color w:val="auto"/>
                <w:w w:val="98"/>
              </w:rPr>
              <w:t>On-Demand Commerce</w:t>
            </w:r>
          </w:p>
        </w:tc>
        <w:tc>
          <w:tcPr>
            <w:tcW w:w="980" w:type="dxa"/>
            <w:vAlign w:val="bottom"/>
            <w:tcBorders>
              <w:top w:val="single" w:sz="8" w:color="CCEEFF"/>
            </w:tcBorders>
          </w:tcPr>
          <w:p>
            <w:pPr>
              <w:jc w:val="center"/>
              <w:spacing w:after="0"/>
              <w:rPr>
                <w:sz w:val="20"/>
                <w:szCs w:val="20"/>
                <w:color w:val="auto"/>
              </w:rPr>
            </w:pPr>
            <w:r>
              <w:rPr>
                <w:rFonts w:ascii="Times New Roman" w:cs="Times New Roman" w:eastAsia="Times New Roman" w:hAnsi="Times New Roman"/>
                <w:sz w:val="14"/>
                <w:szCs w:val="14"/>
                <w:color w:val="auto"/>
                <w:w w:val="97"/>
              </w:rPr>
              <w:t>10/16/2014</w:t>
            </w:r>
          </w:p>
        </w:tc>
        <w:tc>
          <w:tcPr>
            <w:tcW w:w="10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8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947,297</w:t>
            </w:r>
          </w:p>
        </w:tc>
        <w:tc>
          <w:tcPr>
            <w:tcW w:w="12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8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5,526,777</w:t>
            </w:r>
          </w:p>
        </w:tc>
        <w:tc>
          <w:tcPr>
            <w:tcW w:w="10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9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205,563</w:t>
            </w:r>
          </w:p>
        </w:tc>
        <w:tc>
          <w:tcPr>
            <w:tcW w:w="120" w:type="dxa"/>
            <w:vAlign w:val="bottom"/>
            <w:tcBorders>
              <w:top w:val="single" w:sz="8" w:color="CCEEFF"/>
            </w:tcBorders>
          </w:tcPr>
          <w:p>
            <w:pPr>
              <w:spacing w:after="0"/>
              <w:rPr>
                <w:sz w:val="16"/>
                <w:szCs w:val="16"/>
                <w:color w:val="auto"/>
              </w:rPr>
            </w:pPr>
          </w:p>
        </w:tc>
        <w:tc>
          <w:tcPr>
            <w:tcW w:w="7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0.07</w:t>
            </w:r>
          </w:p>
        </w:tc>
        <w:tc>
          <w:tcPr>
            <w:tcW w:w="1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4"/>
        </w:trPr>
        <w:tc>
          <w:tcPr>
            <w:tcW w:w="20" w:type="dxa"/>
            <w:vAlign w:val="bottom"/>
            <w:shd w:val="clear" w:color="auto" w:fill="CCEEFF"/>
          </w:tcPr>
          <w:p>
            <w:pPr>
              <w:spacing w:after="0"/>
              <w:rPr>
                <w:sz w:val="15"/>
                <w:szCs w:val="15"/>
                <w:color w:val="auto"/>
              </w:rPr>
            </w:pPr>
          </w:p>
        </w:tc>
        <w:tc>
          <w:tcPr>
            <w:tcW w:w="3560" w:type="dxa"/>
            <w:vAlign w:val="bottom"/>
            <w:gridSpan w:val="19"/>
            <w:shd w:val="clear" w:color="auto" w:fill="CCEEFF"/>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Churchill Sponsor VI LLC**</w:t>
            </w:r>
            <w:r>
              <w:rPr>
                <w:rFonts w:ascii="Times New Roman" w:cs="Times New Roman" w:eastAsia="Times New Roman" w:hAnsi="Times New Roman"/>
                <w:sz w:val="16"/>
                <w:szCs w:val="16"/>
                <w:b w:val="1"/>
                <w:bCs w:val="1"/>
                <w:color w:val="auto"/>
                <w:vertAlign w:val="superscript"/>
              </w:rPr>
              <w:t>(15)</w:t>
            </w:r>
          </w:p>
        </w:tc>
        <w:tc>
          <w:tcPr>
            <w:tcW w:w="100" w:type="dxa"/>
            <w:vAlign w:val="bottom"/>
            <w:shd w:val="clear" w:color="auto" w:fill="CCEEFF"/>
          </w:tcPr>
          <w:p>
            <w:pPr>
              <w:spacing w:after="0"/>
              <w:rPr>
                <w:sz w:val="15"/>
                <w:szCs w:val="15"/>
                <w:color w:val="auto"/>
              </w:rPr>
            </w:pPr>
          </w:p>
        </w:tc>
        <w:tc>
          <w:tcPr>
            <w:tcW w:w="2080" w:type="dxa"/>
            <w:vAlign w:val="bottom"/>
            <w:gridSpan w:val="2"/>
            <w:shd w:val="clear" w:color="auto" w:fill="CCEEFF"/>
          </w:tcPr>
          <w:p>
            <w:pPr>
              <w:jc w:val="center"/>
              <w:ind w:right="100"/>
              <w:spacing w:after="0" w:line="143" w:lineRule="exact"/>
              <w:rPr>
                <w:sz w:val="20"/>
                <w:szCs w:val="20"/>
                <w:color w:val="auto"/>
              </w:rPr>
            </w:pPr>
            <w:r>
              <w:rPr>
                <w:rFonts w:ascii="Times New Roman" w:cs="Times New Roman" w:eastAsia="Times New Roman" w:hAnsi="Times New Roman"/>
                <w:sz w:val="14"/>
                <w:szCs w:val="14"/>
                <w:color w:val="auto"/>
                <w:w w:val="95"/>
              </w:rPr>
              <w:t>New York, NY</w:t>
            </w: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Borders>
              <w:top w:val="single" w:sz="8" w:color="CCEEFF"/>
            </w:tcBorders>
            <w:vMerge w:val="restart"/>
          </w:tcPr>
          <w:p>
            <w:pPr>
              <w:spacing w:after="0"/>
              <w:rPr>
                <w:sz w:val="11"/>
                <w:szCs w:val="11"/>
                <w:color w:val="auto"/>
              </w:rPr>
            </w:pPr>
          </w:p>
        </w:tc>
        <w:tc>
          <w:tcPr>
            <w:tcW w:w="1580" w:type="dxa"/>
            <w:vAlign w:val="bottom"/>
            <w:tcBorders>
              <w:top w:val="single" w:sz="8" w:color="auto"/>
            </w:tcBorders>
            <w:gridSpan w:val="9"/>
            <w:vMerge w:val="restart"/>
          </w:tcPr>
          <w:p>
            <w:pPr>
              <w:spacing w:after="0"/>
              <w:rPr>
                <w:sz w:val="20"/>
                <w:szCs w:val="20"/>
                <w:color w:val="auto"/>
              </w:rPr>
            </w:pPr>
            <w:r>
              <w:rPr>
                <w:rFonts w:ascii="Times New Roman" w:cs="Times New Roman" w:eastAsia="Times New Roman" w:hAnsi="Times New Roman"/>
                <w:sz w:val="14"/>
                <w:szCs w:val="14"/>
                <w:color w:val="auto"/>
              </w:rPr>
              <w:t>Common share units</w:t>
            </w:r>
          </w:p>
        </w:tc>
        <w:tc>
          <w:tcPr>
            <w:tcW w:w="1980" w:type="dxa"/>
            <w:vAlign w:val="bottom"/>
            <w:tcBorders>
              <w:top w:val="single" w:sz="8" w:color="CCEEFF"/>
            </w:tcBorders>
            <w:gridSpan w:val="10"/>
            <w:vMerge w:val="restart"/>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2080" w:type="dxa"/>
            <w:vAlign w:val="bottom"/>
            <w:tcBorders>
              <w:top w:val="single" w:sz="8" w:color="CCEEFF"/>
            </w:tcBorders>
            <w:gridSpan w:val="2"/>
          </w:tcPr>
          <w:p>
            <w:pPr>
              <w:jc w:val="center"/>
              <w:ind w:right="120"/>
              <w:spacing w:after="0" w:line="129" w:lineRule="exact"/>
              <w:rPr>
                <w:sz w:val="20"/>
                <w:szCs w:val="20"/>
                <w:color w:val="auto"/>
              </w:rPr>
            </w:pPr>
            <w:r>
              <w:rPr>
                <w:rFonts w:ascii="Times New Roman" w:cs="Times New Roman" w:eastAsia="Times New Roman" w:hAnsi="Times New Roman"/>
                <w:sz w:val="14"/>
                <w:szCs w:val="14"/>
                <w:color w:val="auto"/>
                <w:w w:val="98"/>
              </w:rPr>
              <w:t>Special Purpose Acquisition</w:t>
            </w:r>
          </w:p>
        </w:tc>
        <w:tc>
          <w:tcPr>
            <w:tcW w:w="980" w:type="dxa"/>
            <w:vAlign w:val="bottom"/>
            <w:tcBorders>
              <w:top w:val="single" w:sz="8" w:color="CCEEFF"/>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8"/>
              </w:rPr>
              <w:t>2/25/2021</w:t>
            </w:r>
          </w:p>
        </w:tc>
        <w:tc>
          <w:tcPr>
            <w:tcW w:w="100" w:type="dxa"/>
            <w:vAlign w:val="bottom"/>
            <w:tcBorders>
              <w:top w:val="single" w:sz="8" w:color="CCEEFF"/>
            </w:tcBorders>
          </w:tcPr>
          <w:p>
            <w:pPr>
              <w:spacing w:after="0"/>
              <w:rPr>
                <w:sz w:val="11"/>
                <w:szCs w:val="11"/>
                <w:color w:val="auto"/>
              </w:rPr>
            </w:pPr>
          </w:p>
        </w:tc>
        <w:tc>
          <w:tcPr>
            <w:tcW w:w="140" w:type="dxa"/>
            <w:vAlign w:val="bottom"/>
            <w:tcBorders>
              <w:top w:val="single" w:sz="8" w:color="CCEEFF"/>
            </w:tcBorders>
          </w:tcPr>
          <w:p>
            <w:pPr>
              <w:spacing w:after="0"/>
              <w:rPr>
                <w:sz w:val="11"/>
                <w:szCs w:val="11"/>
                <w:color w:val="auto"/>
              </w:rPr>
            </w:pPr>
          </w:p>
        </w:tc>
        <w:tc>
          <w:tcPr>
            <w:tcW w:w="820" w:type="dxa"/>
            <w:vAlign w:val="bottom"/>
            <w:tcBorders>
              <w:top w:val="single" w:sz="8" w:color="CCEEFF"/>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195,000</w:t>
            </w:r>
          </w:p>
        </w:tc>
        <w:tc>
          <w:tcPr>
            <w:tcW w:w="120" w:type="dxa"/>
            <w:vAlign w:val="bottom"/>
            <w:tcBorders>
              <w:top w:val="single" w:sz="8" w:color="CCEEFF"/>
            </w:tcBorders>
          </w:tcPr>
          <w:p>
            <w:pPr>
              <w:spacing w:after="0"/>
              <w:rPr>
                <w:sz w:val="11"/>
                <w:szCs w:val="11"/>
                <w:color w:val="auto"/>
              </w:rPr>
            </w:pPr>
          </w:p>
        </w:tc>
        <w:tc>
          <w:tcPr>
            <w:tcW w:w="200" w:type="dxa"/>
            <w:vAlign w:val="bottom"/>
            <w:tcBorders>
              <w:top w:val="single" w:sz="8" w:color="CCEEFF"/>
            </w:tcBorders>
          </w:tcPr>
          <w:p>
            <w:pPr>
              <w:spacing w:after="0"/>
              <w:rPr>
                <w:sz w:val="11"/>
                <w:szCs w:val="11"/>
                <w:color w:val="auto"/>
              </w:rPr>
            </w:pPr>
          </w:p>
        </w:tc>
        <w:tc>
          <w:tcPr>
            <w:tcW w:w="880" w:type="dxa"/>
            <w:vAlign w:val="bottom"/>
            <w:tcBorders>
              <w:top w:val="single" w:sz="8" w:color="CCEEFF"/>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134,297</w:t>
            </w:r>
          </w:p>
        </w:tc>
        <w:tc>
          <w:tcPr>
            <w:tcW w:w="100" w:type="dxa"/>
            <w:vAlign w:val="bottom"/>
            <w:tcBorders>
              <w:top w:val="single" w:sz="8" w:color="CCEEFF"/>
            </w:tcBorders>
          </w:tcPr>
          <w:p>
            <w:pPr>
              <w:spacing w:after="0"/>
              <w:rPr>
                <w:sz w:val="11"/>
                <w:szCs w:val="11"/>
                <w:color w:val="auto"/>
              </w:rPr>
            </w:pPr>
          </w:p>
        </w:tc>
        <w:tc>
          <w:tcPr>
            <w:tcW w:w="160" w:type="dxa"/>
            <w:vAlign w:val="bottom"/>
            <w:tcBorders>
              <w:top w:val="single" w:sz="8" w:color="CCEEFF"/>
            </w:tcBorders>
          </w:tcPr>
          <w:p>
            <w:pPr>
              <w:spacing w:after="0"/>
              <w:rPr>
                <w:sz w:val="11"/>
                <w:szCs w:val="11"/>
                <w:color w:val="auto"/>
              </w:rPr>
            </w:pPr>
          </w:p>
        </w:tc>
        <w:tc>
          <w:tcPr>
            <w:tcW w:w="920" w:type="dxa"/>
            <w:vAlign w:val="bottom"/>
            <w:tcBorders>
              <w:top w:val="single" w:sz="8" w:color="CCEEFF"/>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134,297</w:t>
            </w:r>
          </w:p>
        </w:tc>
        <w:tc>
          <w:tcPr>
            <w:tcW w:w="120" w:type="dxa"/>
            <w:vAlign w:val="bottom"/>
            <w:tcBorders>
              <w:top w:val="single" w:sz="8" w:color="CCEEFF"/>
            </w:tcBorders>
          </w:tcPr>
          <w:p>
            <w:pPr>
              <w:spacing w:after="0"/>
              <w:rPr>
                <w:sz w:val="11"/>
                <w:szCs w:val="11"/>
                <w:color w:val="auto"/>
              </w:rPr>
            </w:pPr>
          </w:p>
        </w:tc>
        <w:tc>
          <w:tcPr>
            <w:tcW w:w="740" w:type="dxa"/>
            <w:vAlign w:val="bottom"/>
            <w:tcBorders>
              <w:top w:val="single" w:sz="8" w:color="CCEEFF"/>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0.05</w:t>
            </w:r>
          </w:p>
        </w:tc>
        <w:tc>
          <w:tcPr>
            <w:tcW w:w="180" w:type="dxa"/>
            <w:vAlign w:val="bottom"/>
            <w:tcBorders>
              <w:top w:val="single" w:sz="8" w:color="CCEEFF"/>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6"/>
        </w:trPr>
        <w:tc>
          <w:tcPr>
            <w:tcW w:w="20" w:type="dxa"/>
            <w:vAlign w:val="bottom"/>
            <w:vMerge w:val="continue"/>
          </w:tcPr>
          <w:p>
            <w:pPr>
              <w:spacing w:after="0"/>
              <w:rPr>
                <w:sz w:val="16"/>
                <w:szCs w:val="16"/>
                <w:color w:val="auto"/>
              </w:rPr>
            </w:pPr>
          </w:p>
        </w:tc>
        <w:tc>
          <w:tcPr>
            <w:tcW w:w="1580" w:type="dxa"/>
            <w:vAlign w:val="bottom"/>
            <w:gridSpan w:val="9"/>
            <w:vMerge w:val="continue"/>
          </w:tcPr>
          <w:p>
            <w:pPr>
              <w:spacing w:after="0"/>
              <w:rPr>
                <w:sz w:val="16"/>
                <w:szCs w:val="16"/>
                <w:color w:val="auto"/>
              </w:rPr>
            </w:pPr>
          </w:p>
        </w:tc>
        <w:tc>
          <w:tcPr>
            <w:tcW w:w="1980" w:type="dxa"/>
            <w:vAlign w:val="bottom"/>
            <w:gridSpan w:val="10"/>
            <w:vMerge w:val="continue"/>
          </w:tcPr>
          <w:p>
            <w:pPr>
              <w:spacing w:after="0"/>
              <w:rPr>
                <w:sz w:val="16"/>
                <w:szCs w:val="16"/>
                <w:color w:val="auto"/>
              </w:rPr>
            </w:pPr>
          </w:p>
        </w:tc>
        <w:tc>
          <w:tcPr>
            <w:tcW w:w="100" w:type="dxa"/>
            <w:vAlign w:val="bottom"/>
          </w:tcPr>
          <w:p>
            <w:pPr>
              <w:spacing w:after="0"/>
              <w:rPr>
                <w:sz w:val="16"/>
                <w:szCs w:val="16"/>
                <w:color w:val="auto"/>
              </w:rPr>
            </w:pPr>
          </w:p>
        </w:tc>
        <w:tc>
          <w:tcPr>
            <w:tcW w:w="20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Company</w:t>
            </w: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3580" w:type="dxa"/>
            <w:vAlign w:val="bottom"/>
            <w:gridSpan w:val="20"/>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Warrant units</w:t>
            </w:r>
          </w:p>
        </w:tc>
        <w:tc>
          <w:tcPr>
            <w:tcW w:w="100" w:type="dxa"/>
            <w:vAlign w:val="bottom"/>
            <w:shd w:val="clear" w:color="auto" w:fill="CCEEFF"/>
          </w:tcPr>
          <w:p>
            <w:pPr>
              <w:spacing w:after="0"/>
              <w:rPr>
                <w:sz w:val="17"/>
                <w:szCs w:val="17"/>
                <w:color w:val="auto"/>
              </w:rPr>
            </w:pPr>
          </w:p>
        </w:tc>
        <w:tc>
          <w:tcPr>
            <w:tcW w:w="1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2/25/2021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199,100</w:t>
            </w: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65,703</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65,703</w:t>
            </w:r>
          </w:p>
        </w:tc>
        <w:tc>
          <w:tcPr>
            <w:tcW w:w="120" w:type="dxa"/>
            <w:vAlign w:val="bottom"/>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0.02</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560" w:type="dxa"/>
            <w:vAlign w:val="bottom"/>
            <w:gridSpan w:val="19"/>
          </w:tcPr>
          <w:p>
            <w:pPr>
              <w:ind w:left="100"/>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200,000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200,000</w:t>
            </w: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0.07</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2"/>
        </w:trPr>
        <w:tc>
          <w:tcPr>
            <w:tcW w:w="20" w:type="dxa"/>
            <w:vAlign w:val="bottom"/>
            <w:shd w:val="clear" w:color="auto" w:fill="CCEEFF"/>
          </w:tcPr>
          <w:p>
            <w:pPr>
              <w:spacing w:after="0"/>
              <w:rPr>
                <w:sz w:val="15"/>
                <w:szCs w:val="15"/>
                <w:color w:val="auto"/>
              </w:rPr>
            </w:pPr>
          </w:p>
        </w:tc>
        <w:tc>
          <w:tcPr>
            <w:tcW w:w="3560" w:type="dxa"/>
            <w:vAlign w:val="bottom"/>
            <w:gridSpan w:val="19"/>
            <w:shd w:val="clear" w:color="auto" w:fill="CCEEFF"/>
          </w:tcPr>
          <w:p>
            <w:pPr>
              <w:spacing w:after="0" w:line="150" w:lineRule="exact"/>
              <w:rPr>
                <w:sz w:val="20"/>
                <w:szCs w:val="20"/>
                <w:color w:val="auto"/>
              </w:rPr>
            </w:pPr>
            <w:r>
              <w:rPr>
                <w:rFonts w:ascii="Times New Roman" w:cs="Times New Roman" w:eastAsia="Times New Roman" w:hAnsi="Times New Roman"/>
                <w:sz w:val="14"/>
                <w:szCs w:val="14"/>
                <w:b w:val="1"/>
                <w:bCs w:val="1"/>
                <w:color w:val="auto"/>
              </w:rPr>
              <w:t>Kahoot! ASA**</w:t>
            </w:r>
          </w:p>
        </w:tc>
        <w:tc>
          <w:tcPr>
            <w:tcW w:w="100" w:type="dxa"/>
            <w:vAlign w:val="bottom"/>
            <w:shd w:val="clear" w:color="auto" w:fill="CCEEFF"/>
          </w:tcPr>
          <w:p>
            <w:pPr>
              <w:spacing w:after="0"/>
              <w:rPr>
                <w:sz w:val="15"/>
                <w:szCs w:val="15"/>
                <w:color w:val="auto"/>
              </w:rPr>
            </w:pPr>
          </w:p>
        </w:tc>
        <w:tc>
          <w:tcPr>
            <w:tcW w:w="2080" w:type="dxa"/>
            <w:vAlign w:val="bottom"/>
            <w:gridSpan w:val="2"/>
            <w:shd w:val="clear" w:color="auto" w:fill="CCEEFF"/>
          </w:tcPr>
          <w:p>
            <w:pPr>
              <w:jc w:val="center"/>
              <w:ind w:right="100"/>
              <w:spacing w:after="0" w:line="150" w:lineRule="exact"/>
              <w:rPr>
                <w:sz w:val="20"/>
                <w:szCs w:val="20"/>
                <w:color w:val="auto"/>
              </w:rPr>
            </w:pPr>
            <w:r>
              <w:rPr>
                <w:rFonts w:ascii="Times New Roman" w:cs="Times New Roman" w:eastAsia="Times New Roman" w:hAnsi="Times New Roman"/>
                <w:sz w:val="14"/>
                <w:szCs w:val="14"/>
                <w:color w:val="auto"/>
                <w:w w:val="99"/>
              </w:rPr>
              <w:t>Oslo, Norway</w:t>
            </w: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9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vMerge w:val="restart"/>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vMerge w:val="restart"/>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458,138</w:t>
            </w: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164,484</w:t>
            </w: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0.06</w:t>
            </w:r>
          </w:p>
        </w:tc>
        <w:tc>
          <w:tcPr>
            <w:tcW w:w="180" w:type="dxa"/>
            <w:vAlign w:val="bottom"/>
            <w:tcBorders>
              <w:top w:val="single" w:sz="8" w:color="CCEEFF"/>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line="20" w:lineRule="exact"/>
              <w:rPr>
                <w:sz w:val="1"/>
                <w:szCs w:val="1"/>
                <w:color w:val="auto"/>
              </w:rPr>
            </w:pPr>
          </w:p>
        </w:tc>
      </w:tr>
      <w:tr>
        <w:trPr>
          <w:trHeight w:val="187"/>
        </w:trPr>
        <w:tc>
          <w:tcPr>
            <w:tcW w:w="20" w:type="dxa"/>
            <w:vAlign w:val="bottom"/>
          </w:tcPr>
          <w:p>
            <w:pPr>
              <w:spacing w:after="0"/>
              <w:rPr>
                <w:sz w:val="16"/>
                <w:szCs w:val="16"/>
                <w:color w:val="auto"/>
              </w:rPr>
            </w:pPr>
          </w:p>
        </w:tc>
        <w:tc>
          <w:tcPr>
            <w:tcW w:w="3560" w:type="dxa"/>
            <w:vAlign w:val="bottom"/>
            <w:gridSpan w:val="19"/>
          </w:tcPr>
          <w:p>
            <w:pPr>
              <w:spacing w:after="0" w:line="187" w:lineRule="exact"/>
              <w:rPr>
                <w:sz w:val="20"/>
                <w:szCs w:val="20"/>
                <w:color w:val="auto"/>
              </w:rPr>
            </w:pPr>
            <w:r>
              <w:rPr>
                <w:rFonts w:ascii="Times New Roman" w:cs="Times New Roman" w:eastAsia="Times New Roman" w:hAnsi="Times New Roman"/>
                <w:sz w:val="14"/>
                <w:szCs w:val="14"/>
                <w:color w:val="auto"/>
              </w:rPr>
              <w:t>Common shares</w:t>
            </w:r>
            <w:r>
              <w:rPr>
                <w:rFonts w:ascii="Times New Roman" w:cs="Times New Roman" w:eastAsia="Times New Roman" w:hAnsi="Times New Roman"/>
                <w:sz w:val="17"/>
                <w:szCs w:val="17"/>
                <w:color w:val="auto"/>
                <w:vertAlign w:val="superscript"/>
              </w:rPr>
              <w:t>(3)</w:t>
            </w:r>
          </w:p>
        </w:tc>
        <w:tc>
          <w:tcPr>
            <w:tcW w:w="100" w:type="dxa"/>
            <w:vAlign w:val="bottom"/>
          </w:tcPr>
          <w:p>
            <w:pPr>
              <w:spacing w:after="0"/>
              <w:rPr>
                <w:sz w:val="16"/>
                <w:szCs w:val="16"/>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Education Software</w:t>
            </w:r>
          </w:p>
        </w:tc>
        <w:tc>
          <w:tcPr>
            <w:tcW w:w="100" w:type="dxa"/>
            <w:vAlign w:val="bottom"/>
            <w:vMerge w:val="continue"/>
          </w:tcPr>
          <w:p>
            <w:pPr>
              <w:spacing w:after="0"/>
              <w:rPr>
                <w:sz w:val="16"/>
                <w:szCs w:val="16"/>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12/5/2014</w:t>
            </w:r>
          </w:p>
        </w:tc>
        <w:tc>
          <w:tcPr>
            <w:tcW w:w="1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99,672</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20" w:type="dxa"/>
            <w:vAlign w:val="bottom"/>
            <w:shd w:val="clear" w:color="auto" w:fill="CCEEFF"/>
          </w:tcPr>
          <w:p>
            <w:pPr>
              <w:spacing w:after="0"/>
              <w:rPr>
                <w:sz w:val="15"/>
                <w:szCs w:val="15"/>
                <w:color w:val="auto"/>
              </w:rPr>
            </w:pPr>
          </w:p>
        </w:tc>
        <w:tc>
          <w:tcPr>
            <w:tcW w:w="3560" w:type="dxa"/>
            <w:vAlign w:val="bottom"/>
            <w:gridSpan w:val="19"/>
            <w:shd w:val="clear" w:color="auto" w:fill="CCEEFF"/>
          </w:tcPr>
          <w:p>
            <w:pPr>
              <w:spacing w:after="0" w:line="143" w:lineRule="exact"/>
              <w:rPr>
                <w:sz w:val="20"/>
                <w:szCs w:val="20"/>
                <w:color w:val="auto"/>
              </w:rPr>
            </w:pPr>
            <w:r>
              <w:rPr>
                <w:rFonts w:ascii="Times New Roman" w:cs="Times New Roman" w:eastAsia="Times New Roman" w:hAnsi="Times New Roman"/>
                <w:sz w:val="14"/>
                <w:szCs w:val="14"/>
                <w:b w:val="1"/>
                <w:bCs w:val="1"/>
                <w:color w:val="auto"/>
              </w:rPr>
              <w:t>Neutron Holdings, Inc. (d/b/a/ Lime)</w:t>
            </w:r>
          </w:p>
        </w:tc>
        <w:tc>
          <w:tcPr>
            <w:tcW w:w="100" w:type="dxa"/>
            <w:vAlign w:val="bottom"/>
            <w:shd w:val="clear" w:color="auto" w:fill="CCEEFF"/>
          </w:tcPr>
          <w:p>
            <w:pPr>
              <w:spacing w:after="0"/>
              <w:rPr>
                <w:sz w:val="15"/>
                <w:szCs w:val="15"/>
                <w:color w:val="auto"/>
              </w:rPr>
            </w:pPr>
          </w:p>
        </w:tc>
        <w:tc>
          <w:tcPr>
            <w:tcW w:w="2080" w:type="dxa"/>
            <w:vAlign w:val="bottom"/>
            <w:gridSpan w:val="2"/>
            <w:shd w:val="clear" w:color="auto" w:fill="CCEEFF"/>
          </w:tcPr>
          <w:p>
            <w:pPr>
              <w:jc w:val="center"/>
              <w:ind w:right="120"/>
              <w:spacing w:after="0" w:line="143" w:lineRule="exact"/>
              <w:rPr>
                <w:sz w:val="20"/>
                <w:szCs w:val="20"/>
                <w:color w:val="auto"/>
              </w:rPr>
            </w:pPr>
            <w:r>
              <w:rPr>
                <w:rFonts w:ascii="Times New Roman" w:cs="Times New Roman" w:eastAsia="Times New Roman" w:hAnsi="Times New Roman"/>
                <w:sz w:val="14"/>
                <w:szCs w:val="14"/>
                <w:color w:val="auto"/>
                <w:w w:val="98"/>
              </w:rPr>
              <w:t>San Francisco, CA</w:t>
            </w: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0" w:type="dxa"/>
            <w:vAlign w:val="bottom"/>
            <w:tcBorders>
              <w:top w:val="single" w:sz="8" w:color="CCEEFF"/>
            </w:tcBorders>
          </w:tcPr>
          <w:p>
            <w:pPr>
              <w:spacing w:after="0"/>
              <w:rPr>
                <w:sz w:val="16"/>
                <w:szCs w:val="16"/>
                <w:color w:val="auto"/>
              </w:rPr>
            </w:pPr>
          </w:p>
        </w:tc>
        <w:tc>
          <w:tcPr>
            <w:tcW w:w="2140" w:type="dxa"/>
            <w:vAlign w:val="bottom"/>
            <w:tcBorders>
              <w:top w:val="single" w:sz="8" w:color="auto"/>
            </w:tcBorders>
            <w:gridSpan w:val="14"/>
          </w:tcPr>
          <w:p>
            <w:pPr>
              <w:spacing w:after="0"/>
              <w:rPr>
                <w:sz w:val="20"/>
                <w:szCs w:val="20"/>
                <w:color w:val="auto"/>
              </w:rPr>
            </w:pPr>
            <w:r>
              <w:rPr>
                <w:rFonts w:ascii="Times New Roman" w:cs="Times New Roman" w:eastAsia="Times New Roman" w:hAnsi="Times New Roman"/>
                <w:sz w:val="14"/>
                <w:szCs w:val="14"/>
                <w:color w:val="auto"/>
              </w:rPr>
              <w:t>Junior Preferred shares, Series 1-D</w:t>
            </w:r>
          </w:p>
        </w:tc>
        <w:tc>
          <w:tcPr>
            <w:tcW w:w="1420" w:type="dxa"/>
            <w:vAlign w:val="bottom"/>
            <w:tcBorders>
              <w:top w:val="single" w:sz="8" w:color="CCEEFF"/>
            </w:tcBorders>
            <w:gridSpan w:val="5"/>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2080" w:type="dxa"/>
            <w:vAlign w:val="bottom"/>
            <w:tcBorders>
              <w:top w:val="single" w:sz="8" w:color="CCEEFF"/>
            </w:tcBorders>
            <w:gridSpan w:val="2"/>
          </w:tcPr>
          <w:p>
            <w:pPr>
              <w:jc w:val="center"/>
              <w:ind w:right="120"/>
              <w:spacing w:after="0"/>
              <w:rPr>
                <w:sz w:val="20"/>
                <w:szCs w:val="20"/>
                <w:color w:val="auto"/>
              </w:rPr>
            </w:pPr>
            <w:r>
              <w:rPr>
                <w:rFonts w:ascii="Times New Roman" w:cs="Times New Roman" w:eastAsia="Times New Roman" w:hAnsi="Times New Roman"/>
                <w:sz w:val="14"/>
                <w:szCs w:val="14"/>
                <w:color w:val="auto"/>
                <w:w w:val="97"/>
              </w:rPr>
              <w:t>Micromobility</w:t>
            </w:r>
          </w:p>
        </w:tc>
        <w:tc>
          <w:tcPr>
            <w:tcW w:w="980" w:type="dxa"/>
            <w:vAlign w:val="bottom"/>
            <w:tcBorders>
              <w:top w:val="single" w:sz="8" w:color="CCEEFF"/>
            </w:tcBorders>
          </w:tcPr>
          <w:p>
            <w:pPr>
              <w:jc w:val="center"/>
              <w:spacing w:after="0"/>
              <w:rPr>
                <w:sz w:val="20"/>
                <w:szCs w:val="20"/>
                <w:color w:val="auto"/>
              </w:rPr>
            </w:pPr>
            <w:r>
              <w:rPr>
                <w:rFonts w:ascii="Times New Roman" w:cs="Times New Roman" w:eastAsia="Times New Roman" w:hAnsi="Times New Roman"/>
                <w:sz w:val="14"/>
                <w:szCs w:val="14"/>
                <w:color w:val="auto"/>
                <w:w w:val="98"/>
              </w:rPr>
              <w:t>1/25/2019</w:t>
            </w:r>
          </w:p>
        </w:tc>
        <w:tc>
          <w:tcPr>
            <w:tcW w:w="10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8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41,237,113</w:t>
            </w:r>
          </w:p>
        </w:tc>
        <w:tc>
          <w:tcPr>
            <w:tcW w:w="12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8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10,007,322</w:t>
            </w:r>
          </w:p>
        </w:tc>
        <w:tc>
          <w:tcPr>
            <w:tcW w:w="10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040" w:type="dxa"/>
            <w:vAlign w:val="bottom"/>
            <w:tcBorders>
              <w:top w:val="single" w:sz="8" w:color="CCEEFF"/>
            </w:tcBorders>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202"/>
        </w:trPr>
        <w:tc>
          <w:tcPr>
            <w:tcW w:w="3580" w:type="dxa"/>
            <w:vAlign w:val="bottom"/>
            <w:gridSpan w:val="20"/>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Junior Preferred Convertible Note 4% Due 5/11/2027***</w:t>
            </w:r>
          </w:p>
        </w:tc>
        <w:tc>
          <w:tcPr>
            <w:tcW w:w="100" w:type="dxa"/>
            <w:vAlign w:val="bottom"/>
            <w:shd w:val="clear" w:color="auto" w:fill="CCEEFF"/>
          </w:tcPr>
          <w:p>
            <w:pPr>
              <w:spacing w:after="0"/>
              <w:rPr>
                <w:sz w:val="17"/>
                <w:szCs w:val="17"/>
                <w:color w:val="auto"/>
              </w:rPr>
            </w:pPr>
          </w:p>
        </w:tc>
        <w:tc>
          <w:tcPr>
            <w:tcW w:w="1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5/11/2020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506,339</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506,339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560" w:type="dxa"/>
            <w:vAlign w:val="bottom"/>
            <w:gridSpan w:val="19"/>
          </w:tcPr>
          <w:p>
            <w:pPr>
              <w:ind w:left="20"/>
              <w:spacing w:after="0" w:line="143" w:lineRule="exact"/>
              <w:rPr>
                <w:sz w:val="20"/>
                <w:szCs w:val="20"/>
                <w:color w:val="auto"/>
              </w:rPr>
            </w:pPr>
            <w:r>
              <w:rPr>
                <w:rFonts w:ascii="Times New Roman" w:cs="Times New Roman" w:eastAsia="Times New Roman" w:hAnsi="Times New Roman"/>
                <w:sz w:val="14"/>
                <w:szCs w:val="14"/>
                <w:color w:val="auto"/>
              </w:rPr>
              <w:t>Common Warrants, Strike Price $0.01, Expiration Date</w:t>
            </w:r>
          </w:p>
        </w:tc>
        <w:tc>
          <w:tcPr>
            <w:tcW w:w="1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8"/>
              </w:rPr>
              <w:t>5/11/2020</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2,032,967</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0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87"/>
        </w:trPr>
        <w:tc>
          <w:tcPr>
            <w:tcW w:w="8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5/11/2027</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Borders>
              <w:top w:val="single" w:sz="8" w:color="CCEEFF"/>
            </w:tcBorders>
            <w:shd w:val="clear" w:color="auto" w:fill="CCEEFF"/>
          </w:tcPr>
          <w:p>
            <w:pPr>
              <w:spacing w:after="0"/>
              <w:rPr>
                <w:sz w:val="16"/>
                <w:szCs w:val="16"/>
                <w:color w:val="auto"/>
              </w:rPr>
            </w:pPr>
          </w:p>
        </w:tc>
        <w:tc>
          <w:tcPr>
            <w:tcW w:w="3560" w:type="dxa"/>
            <w:vAlign w:val="bottom"/>
            <w:tcBorders>
              <w:top w:val="single" w:sz="8" w:color="CCEEFF"/>
            </w:tcBorders>
            <w:gridSpan w:val="19"/>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tcBorders>
              <w:top w:val="single" w:sz="8" w:color="CCEEFF"/>
            </w:tcBorders>
            <w:shd w:val="clear" w:color="auto" w:fill="CCEEFF"/>
          </w:tcPr>
          <w:p>
            <w:pPr>
              <w:spacing w:after="0"/>
              <w:rPr>
                <w:sz w:val="16"/>
                <w:szCs w:val="16"/>
                <w:color w:val="auto"/>
              </w:rPr>
            </w:pPr>
          </w:p>
        </w:tc>
        <w:tc>
          <w:tcPr>
            <w:tcW w:w="19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9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10,513,661</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2"/>
        </w:trPr>
        <w:tc>
          <w:tcPr>
            <w:tcW w:w="3580" w:type="dxa"/>
            <w:vAlign w:val="bottom"/>
            <w:gridSpan w:val="20"/>
          </w:tcPr>
          <w:p>
            <w:pPr>
              <w:ind w:left="20"/>
              <w:spacing w:after="0" w:line="143" w:lineRule="exact"/>
              <w:rPr>
                <w:sz w:val="20"/>
                <w:szCs w:val="20"/>
                <w:color w:val="auto"/>
              </w:rPr>
            </w:pPr>
            <w:r>
              <w:rPr>
                <w:rFonts w:ascii="Times New Roman" w:cs="Times New Roman" w:eastAsia="Times New Roman" w:hAnsi="Times New Roman"/>
                <w:sz w:val="14"/>
                <w:szCs w:val="14"/>
                <w:b w:val="1"/>
                <w:bCs w:val="1"/>
                <w:color w:val="auto"/>
              </w:rPr>
              <w:t>Fullbridge, Inc.</w:t>
            </w:r>
          </w:p>
        </w:tc>
        <w:tc>
          <w:tcPr>
            <w:tcW w:w="100" w:type="dxa"/>
            <w:vAlign w:val="bottom"/>
          </w:tcPr>
          <w:p>
            <w:pPr>
              <w:spacing w:after="0"/>
              <w:rPr>
                <w:sz w:val="12"/>
                <w:szCs w:val="12"/>
                <w:color w:val="auto"/>
              </w:rPr>
            </w:pPr>
          </w:p>
        </w:tc>
        <w:tc>
          <w:tcPr>
            <w:tcW w:w="2080" w:type="dxa"/>
            <w:vAlign w:val="bottom"/>
            <w:gridSpan w:val="2"/>
          </w:tcPr>
          <w:p>
            <w:pPr>
              <w:jc w:val="center"/>
              <w:ind w:right="100"/>
              <w:spacing w:after="0" w:line="143" w:lineRule="exact"/>
              <w:rPr>
                <w:sz w:val="20"/>
                <w:szCs w:val="20"/>
                <w:color w:val="auto"/>
              </w:rPr>
            </w:pPr>
            <w:r>
              <w:rPr>
                <w:rFonts w:ascii="Times New Roman" w:cs="Times New Roman" w:eastAsia="Times New Roman" w:hAnsi="Times New Roman"/>
                <w:sz w:val="14"/>
                <w:szCs w:val="14"/>
                <w:color w:val="auto"/>
                <w:w w:val="98"/>
              </w:rPr>
              <w:t>Cambridge, MA</w:t>
            </w: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3580" w:type="dxa"/>
            <w:vAlign w:val="bottom"/>
            <w:gridSpan w:val="20"/>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Common shares</w:t>
            </w:r>
          </w:p>
        </w:tc>
        <w:tc>
          <w:tcPr>
            <w:tcW w:w="100" w:type="dxa"/>
            <w:vAlign w:val="bottom"/>
            <w:shd w:val="clear" w:color="auto" w:fill="CCEEFF"/>
          </w:tcPr>
          <w:p>
            <w:pPr>
              <w:spacing w:after="0"/>
              <w:rPr>
                <w:sz w:val="16"/>
                <w:szCs w:val="16"/>
                <w:color w:val="auto"/>
              </w:rPr>
            </w:pPr>
          </w:p>
        </w:tc>
        <w:tc>
          <w:tcPr>
            <w:tcW w:w="20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w w:val="98"/>
              </w:rPr>
              <w:t>Business Education</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5/13/2012</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517,917</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6,150,506</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94"/>
        </w:trPr>
        <w:tc>
          <w:tcPr>
            <w:tcW w:w="3580" w:type="dxa"/>
            <w:vAlign w:val="bottom"/>
            <w:gridSpan w:val="20"/>
          </w:tcPr>
          <w:p>
            <w:pPr>
              <w:ind w:left="20"/>
              <w:spacing w:after="0" w:line="194" w:lineRule="exact"/>
              <w:rPr>
                <w:sz w:val="20"/>
                <w:szCs w:val="20"/>
                <w:color w:val="auto"/>
              </w:rPr>
            </w:pPr>
            <w:r>
              <w:rPr>
                <w:rFonts w:ascii="Times New Roman" w:cs="Times New Roman" w:eastAsia="Times New Roman" w:hAnsi="Times New Roman"/>
                <w:sz w:val="14"/>
                <w:szCs w:val="14"/>
                <w:color w:val="auto"/>
              </w:rPr>
              <w:t>Promissory Note 1.47%, Due 11/9/2021</w:t>
            </w:r>
            <w:r>
              <w:rPr>
                <w:rFonts w:ascii="Times New Roman" w:cs="Times New Roman" w:eastAsia="Times New Roman" w:hAnsi="Times New Roman"/>
                <w:sz w:val="17"/>
                <w:szCs w:val="17"/>
                <w:color w:val="auto"/>
                <w:vertAlign w:val="superscript"/>
              </w:rPr>
              <w:t>(4)(16)</w:t>
            </w:r>
          </w:p>
        </w:tc>
        <w:tc>
          <w:tcPr>
            <w:tcW w:w="10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3/3/2016</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2,270,458</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2,270,858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87"/>
        </w:trPr>
        <w:tc>
          <w:tcPr>
            <w:tcW w:w="20" w:type="dxa"/>
            <w:vAlign w:val="bottom"/>
            <w:tcBorders>
              <w:top w:val="single" w:sz="8" w:color="CCEEFF"/>
            </w:tcBorders>
            <w:shd w:val="clear" w:color="auto" w:fill="CCEEFF"/>
          </w:tcPr>
          <w:p>
            <w:pPr>
              <w:spacing w:after="0"/>
              <w:rPr>
                <w:sz w:val="16"/>
                <w:szCs w:val="16"/>
                <w:color w:val="auto"/>
              </w:rPr>
            </w:pPr>
          </w:p>
        </w:tc>
        <w:tc>
          <w:tcPr>
            <w:tcW w:w="3560" w:type="dxa"/>
            <w:vAlign w:val="bottom"/>
            <w:tcBorders>
              <w:top w:val="single" w:sz="8" w:color="CCEEFF"/>
            </w:tcBorders>
            <w:gridSpan w:val="19"/>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tcBorders>
              <w:top w:val="single" w:sz="8" w:color="CCEEFF"/>
            </w:tcBorders>
            <w:shd w:val="clear" w:color="auto" w:fill="CCEEFF"/>
          </w:tcPr>
          <w:p>
            <w:pPr>
              <w:spacing w:after="0"/>
              <w:rPr>
                <w:sz w:val="16"/>
                <w:szCs w:val="16"/>
                <w:color w:val="auto"/>
              </w:rPr>
            </w:pPr>
          </w:p>
        </w:tc>
        <w:tc>
          <w:tcPr>
            <w:tcW w:w="19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9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8,421,364</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2"/>
        </w:trPr>
        <w:tc>
          <w:tcPr>
            <w:tcW w:w="3580" w:type="dxa"/>
            <w:vAlign w:val="bottom"/>
            <w:gridSpan w:val="20"/>
          </w:tcPr>
          <w:p>
            <w:pPr>
              <w:ind w:left="20"/>
              <w:spacing w:after="0" w:line="142" w:lineRule="exact"/>
              <w:rPr>
                <w:sz w:val="20"/>
                <w:szCs w:val="20"/>
                <w:color w:val="auto"/>
              </w:rPr>
            </w:pPr>
            <w:r>
              <w:rPr>
                <w:rFonts w:ascii="Times New Roman" w:cs="Times New Roman" w:eastAsia="Times New Roman" w:hAnsi="Times New Roman"/>
                <w:sz w:val="13"/>
                <w:szCs w:val="13"/>
                <w:b w:val="1"/>
                <w:bCs w:val="1"/>
                <w:color w:val="auto"/>
              </w:rPr>
              <w:t>Treehouse Real Estate Investment Trust, Inc.</w:t>
            </w:r>
            <w:r>
              <w:rPr>
                <w:rFonts w:ascii="Times New Roman" w:cs="Times New Roman" w:eastAsia="Times New Roman" w:hAnsi="Times New Roman"/>
                <w:sz w:val="16"/>
                <w:szCs w:val="16"/>
                <w:b w:val="1"/>
                <w:bCs w:val="1"/>
                <w:color w:val="auto"/>
                <w:vertAlign w:val="superscript"/>
              </w:rPr>
              <w:t>(12)</w:t>
            </w:r>
          </w:p>
        </w:tc>
        <w:tc>
          <w:tcPr>
            <w:tcW w:w="100" w:type="dxa"/>
            <w:vAlign w:val="bottom"/>
          </w:tcPr>
          <w:p>
            <w:pPr>
              <w:spacing w:after="0"/>
              <w:rPr>
                <w:sz w:val="12"/>
                <w:szCs w:val="12"/>
                <w:color w:val="auto"/>
              </w:rPr>
            </w:pPr>
          </w:p>
        </w:tc>
        <w:tc>
          <w:tcPr>
            <w:tcW w:w="2080" w:type="dxa"/>
            <w:vAlign w:val="bottom"/>
            <w:gridSpan w:val="2"/>
          </w:tcPr>
          <w:p>
            <w:pPr>
              <w:jc w:val="center"/>
              <w:ind w:right="100"/>
              <w:spacing w:after="0" w:line="143" w:lineRule="exact"/>
              <w:rPr>
                <w:sz w:val="20"/>
                <w:szCs w:val="20"/>
                <w:color w:val="auto"/>
              </w:rPr>
            </w:pPr>
            <w:r>
              <w:rPr>
                <w:rFonts w:ascii="Times New Roman" w:cs="Times New Roman" w:eastAsia="Times New Roman" w:hAnsi="Times New Roman"/>
                <w:sz w:val="14"/>
                <w:szCs w:val="14"/>
                <w:color w:val="auto"/>
                <w:w w:val="98"/>
              </w:rPr>
              <w:t>Chicago, IL</w:t>
            </w: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3580" w:type="dxa"/>
            <w:vAlign w:val="bottom"/>
            <w:gridSpan w:val="20"/>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Common shares</w:t>
            </w:r>
          </w:p>
        </w:tc>
        <w:tc>
          <w:tcPr>
            <w:tcW w:w="100" w:type="dxa"/>
            <w:vAlign w:val="bottom"/>
            <w:shd w:val="clear" w:color="auto" w:fill="CCEEFF"/>
          </w:tcPr>
          <w:p>
            <w:pPr>
              <w:spacing w:after="0"/>
              <w:rPr>
                <w:sz w:val="16"/>
                <w:szCs w:val="16"/>
                <w:color w:val="auto"/>
              </w:rPr>
            </w:pPr>
          </w:p>
        </w:tc>
        <w:tc>
          <w:tcPr>
            <w:tcW w:w="20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9"/>
              </w:rPr>
              <w:t>Cannabis REIT</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9/11/2019</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312,500</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4,919,250</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2"/>
        </w:trPr>
        <w:tc>
          <w:tcPr>
            <w:tcW w:w="3580" w:type="dxa"/>
            <w:vAlign w:val="bottom"/>
            <w:gridSpan w:val="20"/>
          </w:tcPr>
          <w:p>
            <w:pPr>
              <w:ind w:left="20"/>
              <w:spacing w:after="0" w:line="143" w:lineRule="exact"/>
              <w:rPr>
                <w:sz w:val="20"/>
                <w:szCs w:val="20"/>
                <w:color w:val="auto"/>
              </w:rPr>
            </w:pPr>
            <w:r>
              <w:rPr>
                <w:rFonts w:ascii="Times New Roman" w:cs="Times New Roman" w:eastAsia="Times New Roman" w:hAnsi="Times New Roman"/>
                <w:sz w:val="14"/>
                <w:szCs w:val="14"/>
                <w:b w:val="1"/>
                <w:bCs w:val="1"/>
                <w:color w:val="auto"/>
              </w:rPr>
              <w:t>Kinetiq Holdings, LLC</w:t>
            </w:r>
          </w:p>
        </w:tc>
        <w:tc>
          <w:tcPr>
            <w:tcW w:w="100" w:type="dxa"/>
            <w:vAlign w:val="bottom"/>
          </w:tcPr>
          <w:p>
            <w:pPr>
              <w:spacing w:after="0"/>
              <w:rPr>
                <w:sz w:val="12"/>
                <w:szCs w:val="12"/>
                <w:color w:val="auto"/>
              </w:rPr>
            </w:pPr>
          </w:p>
        </w:tc>
        <w:tc>
          <w:tcPr>
            <w:tcW w:w="2080" w:type="dxa"/>
            <w:vAlign w:val="bottom"/>
            <w:gridSpan w:val="2"/>
          </w:tcPr>
          <w:p>
            <w:pPr>
              <w:jc w:val="center"/>
              <w:ind w:right="120"/>
              <w:spacing w:after="0" w:line="143" w:lineRule="exact"/>
              <w:rPr>
                <w:sz w:val="20"/>
                <w:szCs w:val="20"/>
                <w:color w:val="auto"/>
              </w:rPr>
            </w:pPr>
            <w:r>
              <w:rPr>
                <w:rFonts w:ascii="Times New Roman" w:cs="Times New Roman" w:eastAsia="Times New Roman" w:hAnsi="Times New Roman"/>
                <w:sz w:val="14"/>
                <w:szCs w:val="14"/>
                <w:color w:val="auto"/>
                <w:w w:val="96"/>
              </w:rPr>
              <w:t>Philadelphia, PA</w:t>
            </w: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3580" w:type="dxa"/>
            <w:vAlign w:val="bottom"/>
            <w:gridSpan w:val="20"/>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Common shares, Class A</w:t>
            </w:r>
          </w:p>
        </w:tc>
        <w:tc>
          <w:tcPr>
            <w:tcW w:w="100" w:type="dxa"/>
            <w:vAlign w:val="bottom"/>
            <w:shd w:val="clear" w:color="auto" w:fill="CCEEFF"/>
          </w:tcPr>
          <w:p>
            <w:pPr>
              <w:spacing w:after="0"/>
              <w:rPr>
                <w:sz w:val="16"/>
                <w:szCs w:val="16"/>
                <w:color w:val="auto"/>
              </w:rPr>
            </w:pPr>
          </w:p>
        </w:tc>
        <w:tc>
          <w:tcPr>
            <w:tcW w:w="20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w w:val="98"/>
              </w:rPr>
              <w:t>Social Data Platform</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3/30/2012</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112,374</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 w:type="dxa"/>
            <w:vAlign w:val="bottom"/>
            <w:shd w:val="clear" w:color="auto" w:fill="CCEEFF"/>
          </w:tcPr>
          <w:p>
            <w:pPr>
              <w:spacing w:after="0"/>
              <w:rPr>
                <w:sz w:val="16"/>
                <w:szCs w:val="16"/>
                <w:color w:val="auto"/>
              </w:rPr>
            </w:pPr>
          </w:p>
        </w:tc>
        <w:tc>
          <w:tcPr>
            <w:tcW w:w="3560" w:type="dxa"/>
            <w:vAlign w:val="bottom"/>
            <w:gridSpan w:val="19"/>
            <w:shd w:val="clear" w:color="auto" w:fill="CCEEFF"/>
          </w:tcPr>
          <w:p>
            <w:pPr>
              <w:ind w:left="120"/>
              <w:spacing w:after="0"/>
              <w:rPr>
                <w:sz w:val="20"/>
                <w:szCs w:val="20"/>
                <w:color w:val="auto"/>
              </w:rPr>
            </w:pPr>
            <w:r>
              <w:rPr>
                <w:rFonts w:ascii="Times New Roman" w:cs="Times New Roman" w:eastAsia="Times New Roman" w:hAnsi="Times New Roman"/>
                <w:sz w:val="14"/>
                <w:szCs w:val="14"/>
                <w:b w:val="1"/>
                <w:bCs w:val="1"/>
                <w:color w:val="auto"/>
              </w:rPr>
              <w:t>Total Non-controlled/Non-affiliate</w:t>
            </w:r>
          </w:p>
        </w:tc>
        <w:tc>
          <w:tcPr>
            <w:tcW w:w="100" w:type="dxa"/>
            <w:vAlign w:val="bottom"/>
            <w:shd w:val="clear" w:color="auto" w:fill="CCEEFF"/>
          </w:tcPr>
          <w:p>
            <w:pPr>
              <w:spacing w:after="0"/>
              <w:rPr>
                <w:sz w:val="16"/>
                <w:szCs w:val="16"/>
                <w:color w:val="auto"/>
              </w:rPr>
            </w:pPr>
          </w:p>
        </w:tc>
        <w:tc>
          <w:tcPr>
            <w:tcW w:w="1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153,356,838</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171,870,750</w:t>
            </w:r>
          </w:p>
        </w:tc>
        <w:tc>
          <w:tcPr>
            <w:tcW w:w="1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61.34 %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-1001395</wp:posOffset>
            </wp:positionV>
            <wp:extent cx="4271645" cy="1314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271645" cy="131445"/>
                    </a:xfrm>
                    <a:prstGeom prst="rect">
                      <a:avLst/>
                    </a:prstGeom>
                    <a:noFill/>
                  </pic:spPr>
                </pic:pic>
              </a:graphicData>
            </a:graphic>
          </wp:anchor>
        </w:drawing>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See accompanying notes to condensed consolidated financial statements.</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ectPr>
          <w:pgSz w:w="11900" w:h="16838" w:orient="portrait"/>
          <w:cols w:equalWidth="0" w:num="1">
            <w:col w:w="11240"/>
          </w:cols>
          <w:pgMar w:left="320" w:top="118"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color w:val="0000FF"/>
        </w:rPr>
        <w:t>TABLE OF CONTENTS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SURO CAPITAL CORP.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SCHEDULE OF INVESTMENTS (UNAUDITED) - continued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June 30, 2022</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0" w:type="dxa"/>
            <w:vAlign w:val="bottom"/>
            <w:gridSpan w:val="6"/>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Portfolio Investments*</w:t>
            </w:r>
          </w:p>
        </w:tc>
        <w:tc>
          <w:tcPr>
            <w:tcW w:w="100" w:type="dxa"/>
            <w:vAlign w:val="bottom"/>
          </w:tcPr>
          <w:p>
            <w:pPr>
              <w:spacing w:after="0"/>
              <w:rPr>
                <w:sz w:val="13"/>
                <w:szCs w:val="13"/>
                <w:color w:val="auto"/>
              </w:rPr>
            </w:pPr>
          </w:p>
        </w:tc>
        <w:tc>
          <w:tcPr>
            <w:tcW w:w="19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Headquarters/</w:t>
            </w:r>
          </w:p>
        </w:tc>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Date of Initial</w:t>
            </w:r>
          </w:p>
        </w:tc>
        <w:tc>
          <w:tcPr>
            <w:tcW w:w="200" w:type="dxa"/>
            <w:vAlign w:val="bottom"/>
          </w:tcPr>
          <w:p>
            <w:pPr>
              <w:spacing w:after="0"/>
              <w:rPr>
                <w:sz w:val="13"/>
                <w:szCs w:val="13"/>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Shares/</w:t>
            </w:r>
          </w:p>
        </w:tc>
        <w:tc>
          <w:tcPr>
            <w:tcW w:w="260" w:type="dxa"/>
            <w:vAlign w:val="bottom"/>
          </w:tcPr>
          <w:p>
            <w:pPr>
              <w:spacing w:after="0"/>
              <w:rPr>
                <w:sz w:val="13"/>
                <w:szCs w:val="13"/>
                <w:color w:val="auto"/>
              </w:rPr>
            </w:pPr>
          </w:p>
        </w:tc>
        <w:tc>
          <w:tcPr>
            <w:tcW w:w="9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60" w:type="dxa"/>
            <w:vAlign w:val="bottom"/>
          </w:tcPr>
          <w:p>
            <w:pPr>
              <w:spacing w:after="0"/>
              <w:rPr>
                <w:sz w:val="13"/>
                <w:szCs w:val="13"/>
                <w:color w:val="auto"/>
              </w:rPr>
            </w:pPr>
          </w:p>
        </w:tc>
        <w:tc>
          <w:tcPr>
            <w:tcW w:w="10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of Net</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600" w:type="dxa"/>
            <w:vAlign w:val="bottom"/>
            <w:gridSpan w:val="6"/>
            <w:vMerge w:val="continue"/>
          </w:tcPr>
          <w:p>
            <w:pPr>
              <w:spacing w:after="0"/>
              <w:rPr>
                <w:sz w:val="16"/>
                <w:szCs w:val="16"/>
                <w:color w:val="auto"/>
              </w:rPr>
            </w:pPr>
          </w:p>
        </w:tc>
        <w:tc>
          <w:tcPr>
            <w:tcW w:w="100" w:type="dxa"/>
            <w:vAlign w:val="bottom"/>
          </w:tcPr>
          <w:p>
            <w:pPr>
              <w:spacing w:after="0"/>
              <w:rPr>
                <w:sz w:val="16"/>
                <w:szCs w:val="16"/>
                <w:color w:val="auto"/>
              </w:rPr>
            </w:pPr>
          </w:p>
        </w:tc>
        <w:tc>
          <w:tcPr>
            <w:tcW w:w="19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5"/>
              </w:rPr>
              <w:t>Industry</w:t>
            </w:r>
          </w:p>
        </w:tc>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Investment</w:t>
            </w:r>
          </w:p>
        </w:tc>
        <w:tc>
          <w:tcPr>
            <w:tcW w:w="200" w:type="dxa"/>
            <w:vAlign w:val="bottom"/>
          </w:tcPr>
          <w:p>
            <w:pPr>
              <w:spacing w:after="0"/>
              <w:rPr>
                <w:sz w:val="16"/>
                <w:szCs w:val="16"/>
                <w:color w:val="auto"/>
              </w:rPr>
            </w:pPr>
          </w:p>
        </w:tc>
        <w:tc>
          <w:tcPr>
            <w:tcW w:w="10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7"/>
              </w:rPr>
              <w:t>Principal</w:t>
            </w:r>
          </w:p>
        </w:tc>
        <w:tc>
          <w:tcPr>
            <w:tcW w:w="26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760" w:type="dxa"/>
            <w:vAlign w:val="bottom"/>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600" w:type="dxa"/>
            <w:vAlign w:val="bottom"/>
            <w:tcBorders>
              <w:top w:val="single" w:sz="8" w:color="auto"/>
            </w:tcBorders>
            <w:gridSpan w:val="6"/>
            <w:shd w:val="clear" w:color="auto" w:fill="CCEEFF"/>
          </w:tcPr>
          <w:p>
            <w:pPr>
              <w:ind w:left="20"/>
              <w:spacing w:after="0" w:line="193" w:lineRule="exact"/>
              <w:rPr>
                <w:sz w:val="20"/>
                <w:szCs w:val="20"/>
                <w:color w:val="auto"/>
              </w:rPr>
            </w:pPr>
            <w:r>
              <w:rPr>
                <w:rFonts w:ascii="Times New Roman" w:cs="Times New Roman" w:eastAsia="Times New Roman" w:hAnsi="Times New Roman"/>
                <w:sz w:val="14"/>
                <w:szCs w:val="14"/>
                <w:b w:val="1"/>
                <w:bCs w:val="1"/>
                <w:color w:val="auto"/>
              </w:rPr>
              <w:t>NON-CONTROLLED/AFFILIATE</w:t>
            </w:r>
            <w:r>
              <w:rPr>
                <w:rFonts w:ascii="Times New Roman" w:cs="Times New Roman" w:eastAsia="Times New Roman" w:hAnsi="Times New Roman"/>
                <w:sz w:val="17"/>
                <w:szCs w:val="17"/>
                <w:color w:val="auto"/>
                <w:vertAlign w:val="superscript"/>
              </w:rPr>
              <w:t>(1)</w:t>
            </w:r>
          </w:p>
        </w:tc>
        <w:tc>
          <w:tcPr>
            <w:tcW w:w="100" w:type="dxa"/>
            <w:vAlign w:val="bottom"/>
            <w:tcBorders>
              <w:top w:val="single" w:sz="8" w:color="CCEEFF"/>
            </w:tcBorders>
            <w:shd w:val="clear" w:color="auto" w:fill="CCEEFF"/>
          </w:tcPr>
          <w:p>
            <w:pPr>
              <w:spacing w:after="0"/>
              <w:rPr>
                <w:sz w:val="16"/>
                <w:szCs w:val="16"/>
                <w:color w:val="auto"/>
              </w:rPr>
            </w:pPr>
          </w:p>
        </w:tc>
        <w:tc>
          <w:tcPr>
            <w:tcW w:w="18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3600" w:type="dxa"/>
            <w:vAlign w:val="bottom"/>
            <w:gridSpan w:val="6"/>
          </w:tcPr>
          <w:p>
            <w:pPr>
              <w:ind w:left="20"/>
              <w:spacing w:after="0" w:line="142" w:lineRule="exact"/>
              <w:rPr>
                <w:sz w:val="20"/>
                <w:szCs w:val="20"/>
                <w:color w:val="auto"/>
              </w:rPr>
            </w:pPr>
            <w:r>
              <w:rPr>
                <w:rFonts w:ascii="Times New Roman" w:cs="Times New Roman" w:eastAsia="Times New Roman" w:hAnsi="Times New Roman"/>
                <w:sz w:val="13"/>
                <w:szCs w:val="13"/>
                <w:b w:val="1"/>
                <w:bCs w:val="1"/>
                <w:color w:val="auto"/>
              </w:rPr>
              <w:t>StormWind, LLC</w:t>
            </w:r>
            <w:r>
              <w:rPr>
                <w:rFonts w:ascii="Times New Roman" w:cs="Times New Roman" w:eastAsia="Times New Roman" w:hAnsi="Times New Roman"/>
                <w:sz w:val="16"/>
                <w:szCs w:val="16"/>
                <w:color w:val="auto"/>
                <w:vertAlign w:val="superscript"/>
              </w:rPr>
              <w:t>(5)</w:t>
            </w:r>
          </w:p>
        </w:tc>
        <w:tc>
          <w:tcPr>
            <w:tcW w:w="100" w:type="dxa"/>
            <w:vAlign w:val="bottom"/>
          </w:tcPr>
          <w:p>
            <w:pPr>
              <w:spacing w:after="0"/>
              <w:rPr>
                <w:sz w:val="12"/>
                <w:szCs w:val="12"/>
                <w:color w:val="auto"/>
              </w:rPr>
            </w:pPr>
          </w:p>
        </w:tc>
        <w:tc>
          <w:tcPr>
            <w:tcW w:w="1960" w:type="dxa"/>
            <w:vAlign w:val="bottom"/>
            <w:gridSpan w:val="2"/>
          </w:tcPr>
          <w:p>
            <w:pPr>
              <w:jc w:val="center"/>
              <w:ind w:right="100"/>
              <w:spacing w:after="0" w:line="143" w:lineRule="exact"/>
              <w:rPr>
                <w:sz w:val="20"/>
                <w:szCs w:val="20"/>
                <w:color w:val="auto"/>
              </w:rPr>
            </w:pPr>
            <w:r>
              <w:rPr>
                <w:rFonts w:ascii="Times New Roman" w:cs="Times New Roman" w:eastAsia="Times New Roman" w:hAnsi="Times New Roman"/>
                <w:sz w:val="14"/>
                <w:szCs w:val="14"/>
                <w:color w:val="auto"/>
                <w:w w:val="98"/>
              </w:rPr>
              <w:t>Scottsdale, AZ</w:t>
            </w: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94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3600" w:type="dxa"/>
            <w:vAlign w:val="bottom"/>
            <w:gridSpan w:val="6"/>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Preferred shares, Series D 8%</w:t>
            </w:r>
          </w:p>
        </w:tc>
        <w:tc>
          <w:tcPr>
            <w:tcW w:w="100" w:type="dxa"/>
            <w:vAlign w:val="bottom"/>
            <w:shd w:val="clear" w:color="auto" w:fill="CCEEFF"/>
          </w:tcPr>
          <w:p>
            <w:pPr>
              <w:spacing w:after="0"/>
              <w:rPr>
                <w:sz w:val="16"/>
                <w:szCs w:val="16"/>
                <w:color w:val="auto"/>
              </w:rPr>
            </w:pPr>
          </w:p>
        </w:tc>
        <w:tc>
          <w:tcPr>
            <w:tcW w:w="19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w w:val="98"/>
              </w:rPr>
              <w:t>Interactive Learning</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11/26/2019</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329,337</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257,267</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593,350</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6"/>
        </w:trPr>
        <w:tc>
          <w:tcPr>
            <w:tcW w:w="3600" w:type="dxa"/>
            <w:vAlign w:val="bottom"/>
            <w:gridSpan w:val="6"/>
          </w:tcPr>
          <w:p>
            <w:pPr>
              <w:ind w:left="20"/>
              <w:spacing w:after="0"/>
              <w:rPr>
                <w:sz w:val="20"/>
                <w:szCs w:val="20"/>
                <w:color w:val="auto"/>
              </w:rPr>
            </w:pPr>
            <w:r>
              <w:rPr>
                <w:rFonts w:ascii="Times New Roman" w:cs="Times New Roman" w:eastAsia="Times New Roman" w:hAnsi="Times New Roman"/>
                <w:sz w:val="14"/>
                <w:szCs w:val="14"/>
                <w:color w:val="auto"/>
              </w:rPr>
              <w:t>Preferred shares, Series C 8%</w:t>
            </w:r>
          </w:p>
        </w:tc>
        <w:tc>
          <w:tcPr>
            <w:tcW w:w="10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1/7/2014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2,779,134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4,000,787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6,236,702</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2"/>
        </w:trPr>
        <w:tc>
          <w:tcPr>
            <w:tcW w:w="3600" w:type="dxa"/>
            <w:vAlign w:val="bottom"/>
            <w:gridSpan w:val="6"/>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Preferred shares, Series B 8%</w:t>
            </w:r>
          </w:p>
        </w:tc>
        <w:tc>
          <w:tcPr>
            <w:tcW w:w="10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12/16/2011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3,279,629</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2,019,687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4,147,336</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7"/>
        </w:trPr>
        <w:tc>
          <w:tcPr>
            <w:tcW w:w="3600" w:type="dxa"/>
            <w:vAlign w:val="bottom"/>
            <w:tcBorders>
              <w:bottom w:val="single" w:sz="8" w:color="CCEEFF"/>
            </w:tcBorders>
            <w:gridSpan w:val="6"/>
          </w:tcPr>
          <w:p>
            <w:pPr>
              <w:ind w:left="20"/>
              <w:spacing w:after="0"/>
              <w:rPr>
                <w:sz w:val="20"/>
                <w:szCs w:val="20"/>
                <w:color w:val="auto"/>
              </w:rPr>
            </w:pPr>
            <w:r>
              <w:rPr>
                <w:rFonts w:ascii="Times New Roman" w:cs="Times New Roman" w:eastAsia="Times New Roman" w:hAnsi="Times New Roman"/>
                <w:sz w:val="14"/>
                <w:szCs w:val="14"/>
                <w:color w:val="auto"/>
              </w:rPr>
              <w:t>Preferred shares, Series A 8%</w:t>
            </w:r>
          </w:p>
        </w:tc>
        <w:tc>
          <w:tcPr>
            <w:tcW w:w="100" w:type="dxa"/>
            <w:vAlign w:val="bottom"/>
            <w:tcBorders>
              <w:bottom w:val="single" w:sz="8" w:color="CCEEFF"/>
            </w:tcBorders>
          </w:tcPr>
          <w:p>
            <w:pPr>
              <w:spacing w:after="0"/>
              <w:rPr>
                <w:sz w:val="16"/>
                <w:szCs w:val="16"/>
                <w:color w:val="auto"/>
              </w:rPr>
            </w:pPr>
          </w:p>
        </w:tc>
        <w:tc>
          <w:tcPr>
            <w:tcW w:w="18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6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4"/>
                <w:szCs w:val="14"/>
                <w:color w:val="auto"/>
                <w:w w:val="98"/>
              </w:rPr>
              <w:t>2/25/2014</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9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366,666</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110,000</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258,406</w:t>
            </w:r>
          </w:p>
        </w:tc>
        <w:tc>
          <w:tcPr>
            <w:tcW w:w="10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0.09</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4"/>
        </w:trPr>
        <w:tc>
          <w:tcPr>
            <w:tcW w:w="20" w:type="dxa"/>
            <w:vAlign w:val="bottom"/>
            <w:shd w:val="clear" w:color="auto" w:fill="CCEEFF"/>
          </w:tcPr>
          <w:p>
            <w:pPr>
              <w:spacing w:after="0"/>
              <w:rPr>
                <w:sz w:val="16"/>
                <w:szCs w:val="16"/>
                <w:color w:val="auto"/>
              </w:rPr>
            </w:pPr>
          </w:p>
        </w:tc>
        <w:tc>
          <w:tcPr>
            <w:tcW w:w="3580" w:type="dxa"/>
            <w:vAlign w:val="bottom"/>
            <w:gridSpan w:val="5"/>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shd w:val="clear" w:color="auto" w:fill="CCEEFF"/>
          </w:tcPr>
          <w:p>
            <w:pPr>
              <w:spacing w:after="0"/>
              <w:rPr>
                <w:sz w:val="16"/>
                <w:szCs w:val="16"/>
                <w:color w:val="auto"/>
              </w:rPr>
            </w:pPr>
          </w:p>
        </w:tc>
        <w:tc>
          <w:tcPr>
            <w:tcW w:w="1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6,387,741</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11,235,794</w:t>
            </w:r>
          </w:p>
        </w:tc>
        <w:tc>
          <w:tcPr>
            <w:tcW w:w="100" w:type="dxa"/>
            <w:vAlign w:val="bottom"/>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2"/>
        </w:trPr>
        <w:tc>
          <w:tcPr>
            <w:tcW w:w="3600" w:type="dxa"/>
            <w:vAlign w:val="bottom"/>
            <w:gridSpan w:val="6"/>
          </w:tcPr>
          <w:p>
            <w:pPr>
              <w:ind w:left="20"/>
              <w:spacing w:after="0" w:line="123" w:lineRule="exact"/>
              <w:rPr>
                <w:sz w:val="20"/>
                <w:szCs w:val="20"/>
                <w:color w:val="auto"/>
              </w:rPr>
            </w:pPr>
            <w:r>
              <w:rPr>
                <w:rFonts w:ascii="Times New Roman" w:cs="Times New Roman" w:eastAsia="Times New Roman" w:hAnsi="Times New Roman"/>
                <w:sz w:val="14"/>
                <w:szCs w:val="14"/>
                <w:b w:val="1"/>
                <w:bCs w:val="1"/>
                <w:color w:val="auto"/>
              </w:rPr>
              <w:t>OneValley, Inc. (f/k/a NestGSV, Inc.)</w:t>
            </w:r>
          </w:p>
        </w:tc>
        <w:tc>
          <w:tcPr>
            <w:tcW w:w="100" w:type="dxa"/>
            <w:vAlign w:val="bottom"/>
          </w:tcPr>
          <w:p>
            <w:pPr>
              <w:spacing w:after="0"/>
              <w:rPr>
                <w:sz w:val="10"/>
                <w:szCs w:val="10"/>
                <w:color w:val="auto"/>
              </w:rPr>
            </w:pPr>
          </w:p>
        </w:tc>
        <w:tc>
          <w:tcPr>
            <w:tcW w:w="1960" w:type="dxa"/>
            <w:vAlign w:val="bottom"/>
            <w:gridSpan w:val="2"/>
          </w:tcPr>
          <w:p>
            <w:pPr>
              <w:jc w:val="center"/>
              <w:ind w:right="100"/>
              <w:spacing w:after="0" w:line="123" w:lineRule="exact"/>
              <w:rPr>
                <w:sz w:val="20"/>
                <w:szCs w:val="20"/>
                <w:color w:val="auto"/>
              </w:rPr>
            </w:pPr>
            <w:r>
              <w:rPr>
                <w:rFonts w:ascii="Times New Roman" w:cs="Times New Roman" w:eastAsia="Times New Roman" w:hAnsi="Times New Roman"/>
                <w:sz w:val="14"/>
                <w:szCs w:val="14"/>
                <w:color w:val="auto"/>
                <w:w w:val="99"/>
              </w:rPr>
              <w:t>San Mateo, CA</w:t>
            </w: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94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860" w:type="dxa"/>
            <w:vAlign w:val="bottom"/>
            <w:tcBorders>
              <w:top w:val="single" w:sz="8" w:color="auto"/>
            </w:tcBorders>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3600" w:type="dxa"/>
            <w:vAlign w:val="bottom"/>
            <w:gridSpan w:val="6"/>
            <w:shd w:val="clear" w:color="auto" w:fill="CCEEFF"/>
          </w:tcPr>
          <w:p>
            <w:pPr>
              <w:ind w:left="20"/>
              <w:spacing w:after="0" w:line="194" w:lineRule="exact"/>
              <w:rPr>
                <w:sz w:val="20"/>
                <w:szCs w:val="20"/>
                <w:color w:val="auto"/>
              </w:rPr>
            </w:pPr>
            <w:r>
              <w:rPr>
                <w:rFonts w:ascii="Times New Roman" w:cs="Times New Roman" w:eastAsia="Times New Roman" w:hAnsi="Times New Roman"/>
                <w:sz w:val="14"/>
                <w:szCs w:val="14"/>
                <w:color w:val="auto"/>
              </w:rPr>
              <w:t>Derivative Security, Expiration Date 8/23/2024</w:t>
            </w:r>
            <w:r>
              <w:rPr>
                <w:rFonts w:ascii="Times New Roman" w:cs="Times New Roman" w:eastAsia="Times New Roman" w:hAnsi="Times New Roman"/>
                <w:sz w:val="17"/>
                <w:szCs w:val="17"/>
                <w:color w:val="auto"/>
                <w:vertAlign w:val="superscript"/>
              </w:rPr>
              <w:t>(10)</w:t>
            </w:r>
          </w:p>
        </w:tc>
        <w:tc>
          <w:tcPr>
            <w:tcW w:w="100" w:type="dxa"/>
            <w:vAlign w:val="bottom"/>
            <w:shd w:val="clear" w:color="auto" w:fill="CCEEFF"/>
          </w:tcPr>
          <w:p>
            <w:pPr>
              <w:spacing w:after="0"/>
              <w:rPr>
                <w:sz w:val="16"/>
                <w:szCs w:val="16"/>
                <w:color w:val="auto"/>
              </w:rPr>
            </w:pPr>
          </w:p>
        </w:tc>
        <w:tc>
          <w:tcPr>
            <w:tcW w:w="19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9"/>
              </w:rPr>
              <w:t>Global Innovation Platform</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8/23/2019</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8,555,124</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2,432,447</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4"/>
        </w:trPr>
        <w:tc>
          <w:tcPr>
            <w:tcW w:w="3600" w:type="dxa"/>
            <w:vAlign w:val="bottom"/>
            <w:gridSpan w:val="6"/>
          </w:tcPr>
          <w:p>
            <w:pPr>
              <w:ind w:left="20"/>
              <w:spacing w:after="0" w:line="194" w:lineRule="exact"/>
              <w:rPr>
                <w:sz w:val="20"/>
                <w:szCs w:val="20"/>
                <w:color w:val="auto"/>
              </w:rPr>
            </w:pPr>
            <w:r>
              <w:rPr>
                <w:rFonts w:ascii="Times New Roman" w:cs="Times New Roman" w:eastAsia="Times New Roman" w:hAnsi="Times New Roman"/>
                <w:sz w:val="14"/>
                <w:szCs w:val="14"/>
                <w:color w:val="auto"/>
              </w:rPr>
              <w:t>Convertible Promissory Note 8% Due 8/23/2024</w:t>
            </w:r>
            <w:r>
              <w:rPr>
                <w:rFonts w:ascii="Times New Roman" w:cs="Times New Roman" w:eastAsia="Times New Roman" w:hAnsi="Times New Roman"/>
                <w:sz w:val="17"/>
                <w:szCs w:val="17"/>
                <w:color w:val="auto"/>
                <w:vertAlign w:val="superscript"/>
              </w:rPr>
              <w:t>(4)(10)</w:t>
            </w:r>
          </w:p>
        </w:tc>
        <w:tc>
          <w:tcPr>
            <w:tcW w:w="10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2/17/2016</w:t>
            </w:r>
          </w:p>
        </w:tc>
        <w:tc>
          <w:tcPr>
            <w:tcW w:w="100" w:type="dxa"/>
            <w:vAlign w:val="bottom"/>
          </w:tcPr>
          <w:p>
            <w:pPr>
              <w:spacing w:after="0"/>
              <w:rPr>
                <w:sz w:val="16"/>
                <w:szCs w:val="16"/>
                <w:color w:val="auto"/>
              </w:rPr>
            </w:pPr>
          </w:p>
        </w:tc>
        <w:tc>
          <w:tcPr>
            <w:tcW w:w="20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1,010,198</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1,030,176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505,099</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0.18</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9"/>
        </w:trPr>
        <w:tc>
          <w:tcPr>
            <w:tcW w:w="3600" w:type="dxa"/>
            <w:vAlign w:val="bottom"/>
            <w:gridSpan w:val="6"/>
            <w:shd w:val="clear" w:color="auto" w:fill="CCEEFF"/>
          </w:tcPr>
          <w:p>
            <w:pPr>
              <w:ind w:left="20"/>
              <w:spacing w:after="0" w:line="129" w:lineRule="exact"/>
              <w:rPr>
                <w:sz w:val="20"/>
                <w:szCs w:val="20"/>
                <w:color w:val="auto"/>
              </w:rPr>
            </w:pPr>
            <w:r>
              <w:rPr>
                <w:rFonts w:ascii="Times New Roman" w:cs="Times New Roman" w:eastAsia="Times New Roman" w:hAnsi="Times New Roman"/>
                <w:sz w:val="14"/>
                <w:szCs w:val="14"/>
                <w:color w:val="auto"/>
              </w:rPr>
              <w:t>Preferred Warrant Series B, Strike Price $2.31, Expiration Date</w:t>
            </w:r>
          </w:p>
        </w:tc>
        <w:tc>
          <w:tcPr>
            <w:tcW w:w="100" w:type="dxa"/>
            <w:vAlign w:val="bottom"/>
            <w:shd w:val="clear" w:color="auto" w:fill="CCEEFF"/>
          </w:tcPr>
          <w:p>
            <w:pPr>
              <w:spacing w:after="0"/>
              <w:rPr>
                <w:sz w:val="11"/>
                <w:szCs w:val="11"/>
                <w:color w:val="auto"/>
              </w:rPr>
            </w:pPr>
          </w:p>
        </w:tc>
        <w:tc>
          <w:tcPr>
            <w:tcW w:w="1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12/31/2018</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250,000</w:t>
            </w: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5,080</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3,750</w:t>
            </w:r>
          </w:p>
        </w:tc>
        <w:tc>
          <w:tcPr>
            <w:tcW w:w="10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4"/>
        </w:trPr>
        <w:tc>
          <w:tcPr>
            <w:tcW w:w="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12/31/2023</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tcBorders>
              <w:bottom w:val="single" w:sz="8" w:color="auto"/>
            </w:tcBorders>
            <w:vMerge w:val="continue"/>
            <w:shd w:val="clear" w:color="auto" w:fill="CCEEFF"/>
          </w:tcPr>
          <w:p>
            <w:pPr>
              <w:spacing w:after="0"/>
              <w:rPr>
                <w:sz w:val="16"/>
                <w:szCs w:val="16"/>
                <w:color w:val="auto"/>
              </w:rPr>
            </w:pPr>
          </w:p>
        </w:tc>
        <w:tc>
          <w:tcPr>
            <w:tcW w:w="16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tcBorders>
              <w:bottom w:val="single" w:sz="8" w:color="CCEEFF"/>
            </w:tcBorders>
          </w:tcPr>
          <w:p>
            <w:pPr>
              <w:spacing w:after="0"/>
              <w:rPr>
                <w:sz w:val="15"/>
                <w:szCs w:val="15"/>
                <w:color w:val="auto"/>
              </w:rPr>
            </w:pPr>
          </w:p>
        </w:tc>
        <w:tc>
          <w:tcPr>
            <w:tcW w:w="3580" w:type="dxa"/>
            <w:vAlign w:val="bottom"/>
            <w:tcBorders>
              <w:bottom w:val="single" w:sz="8" w:color="CCEEFF"/>
            </w:tcBorders>
            <w:gridSpan w:val="5"/>
          </w:tcPr>
          <w:p>
            <w:pPr>
              <w:ind w:left="120"/>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tcBorders>
              <w:bottom w:val="single" w:sz="8" w:color="CCEEFF"/>
            </w:tcBorders>
          </w:tcPr>
          <w:p>
            <w:pPr>
              <w:spacing w:after="0"/>
              <w:rPr>
                <w:sz w:val="15"/>
                <w:szCs w:val="15"/>
                <w:color w:val="auto"/>
              </w:rPr>
            </w:pPr>
          </w:p>
        </w:tc>
        <w:tc>
          <w:tcPr>
            <w:tcW w:w="18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9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9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9,590,380</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2,941,296</w:t>
            </w:r>
          </w:p>
        </w:tc>
        <w:tc>
          <w:tcPr>
            <w:tcW w:w="10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20" w:type="dxa"/>
            <w:vAlign w:val="bottom"/>
            <w:shd w:val="clear" w:color="auto" w:fill="CCEEFF"/>
          </w:tcPr>
          <w:p>
            <w:pPr>
              <w:spacing w:after="0"/>
              <w:rPr>
                <w:sz w:val="12"/>
                <w:szCs w:val="12"/>
                <w:color w:val="auto"/>
              </w:rPr>
            </w:pPr>
          </w:p>
        </w:tc>
        <w:tc>
          <w:tcPr>
            <w:tcW w:w="3580" w:type="dxa"/>
            <w:vAlign w:val="bottom"/>
            <w:gridSpan w:val="5"/>
            <w:shd w:val="clear" w:color="auto" w:fill="CCEEFF"/>
          </w:tcPr>
          <w:p>
            <w:pPr>
              <w:spacing w:after="0" w:line="143" w:lineRule="exact"/>
              <w:rPr>
                <w:sz w:val="20"/>
                <w:szCs w:val="20"/>
                <w:color w:val="auto"/>
              </w:rPr>
            </w:pPr>
            <w:r>
              <w:rPr>
                <w:rFonts w:ascii="Times New Roman" w:cs="Times New Roman" w:eastAsia="Times New Roman" w:hAnsi="Times New Roman"/>
                <w:sz w:val="14"/>
                <w:szCs w:val="14"/>
                <w:b w:val="1"/>
                <w:bCs w:val="1"/>
                <w:color w:val="auto"/>
              </w:rPr>
              <w:t>Ozy Media, Inc.</w:t>
            </w:r>
          </w:p>
        </w:tc>
        <w:tc>
          <w:tcPr>
            <w:tcW w:w="100" w:type="dxa"/>
            <w:vAlign w:val="bottom"/>
            <w:shd w:val="clear" w:color="auto" w:fill="CCEEFF"/>
          </w:tcPr>
          <w:p>
            <w:pPr>
              <w:spacing w:after="0"/>
              <w:rPr>
                <w:sz w:val="12"/>
                <w:szCs w:val="12"/>
                <w:color w:val="auto"/>
              </w:rPr>
            </w:pPr>
          </w:p>
        </w:tc>
        <w:tc>
          <w:tcPr>
            <w:tcW w:w="1860" w:type="dxa"/>
            <w:vAlign w:val="bottom"/>
            <w:shd w:val="clear" w:color="auto" w:fill="CCEEFF"/>
          </w:tcPr>
          <w:p>
            <w:pPr>
              <w:jc w:val="center"/>
              <w:spacing w:after="0" w:line="143" w:lineRule="exact"/>
              <w:rPr>
                <w:sz w:val="20"/>
                <w:szCs w:val="20"/>
                <w:color w:val="auto"/>
              </w:rPr>
            </w:pPr>
            <w:r>
              <w:rPr>
                <w:rFonts w:ascii="Times New Roman" w:cs="Times New Roman" w:eastAsia="Times New Roman" w:hAnsi="Times New Roman"/>
                <w:sz w:val="14"/>
                <w:szCs w:val="14"/>
                <w:color w:val="auto"/>
                <w:w w:val="95"/>
              </w:rPr>
              <w:t>Mountain View, CA</w:t>
            </w: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20" w:type="dxa"/>
            <w:vAlign w:val="bottom"/>
            <w:tcBorders>
              <w:top w:val="single" w:sz="8" w:color="CCEEFF"/>
            </w:tcBorders>
            <w:shd w:val="clear" w:color="auto" w:fill="CCEEFF"/>
          </w:tcPr>
          <w:p>
            <w:pPr>
              <w:spacing w:after="0"/>
              <w:rPr>
                <w:sz w:val="2"/>
                <w:szCs w:val="2"/>
                <w:color w:val="auto"/>
              </w:rPr>
            </w:pPr>
          </w:p>
        </w:tc>
        <w:tc>
          <w:tcPr>
            <w:tcW w:w="940" w:type="dxa"/>
            <w:vAlign w:val="bottom"/>
            <w:tcBorders>
              <w:top w:val="single" w:sz="8" w:color="auto"/>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60" w:type="dxa"/>
            <w:vAlign w:val="bottom"/>
            <w:tcBorders>
              <w:top w:val="single" w:sz="8" w:color="CCEEFF"/>
            </w:tcBorders>
            <w:shd w:val="clear" w:color="auto" w:fill="CCEEFF"/>
          </w:tcPr>
          <w:p>
            <w:pPr>
              <w:spacing w:after="0"/>
              <w:rPr>
                <w:sz w:val="2"/>
                <w:szCs w:val="2"/>
                <w:color w:val="auto"/>
              </w:rPr>
            </w:pPr>
          </w:p>
        </w:tc>
        <w:tc>
          <w:tcPr>
            <w:tcW w:w="14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8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9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9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9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tcPr>
          <w:p>
            <w:pPr>
              <w:spacing w:after="0"/>
              <w:rPr>
                <w:sz w:val="16"/>
                <w:szCs w:val="16"/>
                <w:color w:val="auto"/>
              </w:rPr>
            </w:pPr>
          </w:p>
        </w:tc>
        <w:tc>
          <w:tcPr>
            <w:tcW w:w="358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Preferred shares, Series C-2 6%</w:t>
            </w:r>
          </w:p>
        </w:tc>
        <w:tc>
          <w:tcPr>
            <w:tcW w:w="100" w:type="dxa"/>
            <w:vAlign w:val="bottom"/>
          </w:tcPr>
          <w:p>
            <w:pPr>
              <w:spacing w:after="0"/>
              <w:rPr>
                <w:sz w:val="16"/>
                <w:szCs w:val="16"/>
                <w:color w:val="auto"/>
              </w:rPr>
            </w:pPr>
          </w:p>
        </w:tc>
        <w:tc>
          <w:tcPr>
            <w:tcW w:w="19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Digital Media Platform</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8/31/2016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683,482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2,414,178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37"/>
        </w:trPr>
        <w:tc>
          <w:tcPr>
            <w:tcW w:w="3600" w:type="dxa"/>
            <w:vAlign w:val="bottom"/>
            <w:gridSpan w:val="6"/>
            <w:shd w:val="clear" w:color="auto" w:fill="CCEEFF"/>
          </w:tcPr>
          <w:p>
            <w:pPr>
              <w:ind w:left="20"/>
              <w:spacing w:after="0" w:line="137" w:lineRule="exact"/>
              <w:rPr>
                <w:sz w:val="20"/>
                <w:szCs w:val="20"/>
                <w:color w:val="auto"/>
              </w:rPr>
            </w:pPr>
            <w:r>
              <w:rPr>
                <w:rFonts w:ascii="Times New Roman" w:cs="Times New Roman" w:eastAsia="Times New Roman" w:hAnsi="Times New Roman"/>
                <w:sz w:val="14"/>
                <w:szCs w:val="14"/>
                <w:color w:val="auto"/>
              </w:rPr>
              <w:t>Common Warrants, Strike Price $0.01, Expiration Date</w:t>
            </w:r>
          </w:p>
        </w:tc>
        <w:tc>
          <w:tcPr>
            <w:tcW w:w="100" w:type="dxa"/>
            <w:vAlign w:val="bottom"/>
            <w:shd w:val="clear" w:color="auto" w:fill="CCEEFF"/>
          </w:tcPr>
          <w:p>
            <w:pPr>
              <w:spacing w:after="0"/>
              <w:rPr>
                <w:sz w:val="11"/>
                <w:szCs w:val="11"/>
                <w:color w:val="auto"/>
              </w:rPr>
            </w:pPr>
          </w:p>
        </w:tc>
        <w:tc>
          <w:tcPr>
            <w:tcW w:w="1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4/9/2018</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295,565</w:t>
            </w: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30,647</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94"/>
        </w:trPr>
        <w:tc>
          <w:tcPr>
            <w:tcW w:w="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4/9/2028</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20" w:type="dxa"/>
            <w:vAlign w:val="bottom"/>
            <w:gridSpan w:val="2"/>
            <w:vMerge w:val="continue"/>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600" w:type="dxa"/>
            <w:vAlign w:val="bottom"/>
            <w:gridSpan w:val="6"/>
          </w:tcPr>
          <w:p>
            <w:pPr>
              <w:ind w:left="20"/>
              <w:spacing w:after="0"/>
              <w:rPr>
                <w:sz w:val="20"/>
                <w:szCs w:val="20"/>
                <w:color w:val="auto"/>
              </w:rPr>
            </w:pPr>
            <w:r>
              <w:rPr>
                <w:rFonts w:ascii="Times New Roman" w:cs="Times New Roman" w:eastAsia="Times New Roman" w:hAnsi="Times New Roman"/>
                <w:sz w:val="14"/>
                <w:szCs w:val="14"/>
                <w:color w:val="auto"/>
              </w:rPr>
              <w:t>Preferred shares, Series B 6%</w:t>
            </w:r>
          </w:p>
        </w:tc>
        <w:tc>
          <w:tcPr>
            <w:tcW w:w="10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10/3/2014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922,509</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4,999,999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202"/>
        </w:trPr>
        <w:tc>
          <w:tcPr>
            <w:tcW w:w="3600" w:type="dxa"/>
            <w:vAlign w:val="bottom"/>
            <w:gridSpan w:val="6"/>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Preferred shares, Series A 6%</w:t>
            </w:r>
          </w:p>
        </w:tc>
        <w:tc>
          <w:tcPr>
            <w:tcW w:w="10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12/11/2013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1,090,909</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3,000,200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84"/>
        </w:trPr>
        <w:tc>
          <w:tcPr>
            <w:tcW w:w="3600" w:type="dxa"/>
            <w:vAlign w:val="bottom"/>
            <w:gridSpan w:val="6"/>
          </w:tcPr>
          <w:p>
            <w:pPr>
              <w:ind w:left="20"/>
              <w:spacing w:after="0"/>
              <w:rPr>
                <w:sz w:val="20"/>
                <w:szCs w:val="20"/>
                <w:color w:val="auto"/>
              </w:rPr>
            </w:pPr>
            <w:r>
              <w:rPr>
                <w:rFonts w:ascii="Times New Roman" w:cs="Times New Roman" w:eastAsia="Times New Roman" w:hAnsi="Times New Roman"/>
                <w:sz w:val="14"/>
                <w:szCs w:val="14"/>
                <w:color w:val="auto"/>
              </w:rPr>
              <w:t>Preferred shares, Series Seed 6%</w:t>
            </w:r>
          </w:p>
        </w:tc>
        <w:tc>
          <w:tcPr>
            <w:tcW w:w="10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11/2/2012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500,000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500,000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23"/>
        </w:trPr>
        <w:tc>
          <w:tcPr>
            <w:tcW w:w="2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7"/>
        </w:trPr>
        <w:tc>
          <w:tcPr>
            <w:tcW w:w="20" w:type="dxa"/>
            <w:vAlign w:val="bottom"/>
            <w:shd w:val="clear" w:color="auto" w:fill="CCEEFF"/>
          </w:tcPr>
          <w:p>
            <w:pPr>
              <w:spacing w:after="0"/>
              <w:rPr>
                <w:sz w:val="16"/>
                <w:szCs w:val="16"/>
                <w:color w:val="auto"/>
              </w:rPr>
            </w:pPr>
          </w:p>
        </w:tc>
        <w:tc>
          <w:tcPr>
            <w:tcW w:w="3580" w:type="dxa"/>
            <w:vAlign w:val="bottom"/>
            <w:gridSpan w:val="5"/>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shd w:val="clear" w:color="auto" w:fill="CCEEFF"/>
          </w:tcPr>
          <w:p>
            <w:pPr>
              <w:spacing w:after="0"/>
              <w:rPr>
                <w:sz w:val="16"/>
                <w:szCs w:val="16"/>
                <w:color w:val="auto"/>
              </w:rPr>
            </w:pPr>
          </w:p>
        </w:tc>
        <w:tc>
          <w:tcPr>
            <w:tcW w:w="1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10,945,024</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9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22"/>
        </w:trPr>
        <w:tc>
          <w:tcPr>
            <w:tcW w:w="3600" w:type="dxa"/>
            <w:vAlign w:val="bottom"/>
            <w:gridSpan w:val="6"/>
          </w:tcPr>
          <w:p>
            <w:pPr>
              <w:ind w:left="20"/>
              <w:spacing w:after="0" w:line="123" w:lineRule="exact"/>
              <w:rPr>
                <w:sz w:val="20"/>
                <w:szCs w:val="20"/>
                <w:color w:val="auto"/>
              </w:rPr>
            </w:pPr>
            <w:r>
              <w:rPr>
                <w:rFonts w:ascii="Times New Roman" w:cs="Times New Roman" w:eastAsia="Times New Roman" w:hAnsi="Times New Roman"/>
                <w:sz w:val="14"/>
                <w:szCs w:val="14"/>
                <w:b w:val="1"/>
                <w:bCs w:val="1"/>
                <w:color w:val="auto"/>
              </w:rPr>
              <w:t>Maven Research, Inc.</w:t>
            </w:r>
          </w:p>
        </w:tc>
        <w:tc>
          <w:tcPr>
            <w:tcW w:w="100" w:type="dxa"/>
            <w:vAlign w:val="bottom"/>
          </w:tcPr>
          <w:p>
            <w:pPr>
              <w:spacing w:after="0"/>
              <w:rPr>
                <w:sz w:val="10"/>
                <w:szCs w:val="10"/>
                <w:color w:val="auto"/>
              </w:rPr>
            </w:pPr>
          </w:p>
        </w:tc>
        <w:tc>
          <w:tcPr>
            <w:tcW w:w="1960" w:type="dxa"/>
            <w:vAlign w:val="bottom"/>
            <w:gridSpan w:val="2"/>
          </w:tcPr>
          <w:p>
            <w:pPr>
              <w:jc w:val="center"/>
              <w:ind w:right="120"/>
              <w:spacing w:after="0" w:line="123" w:lineRule="exact"/>
              <w:rPr>
                <w:sz w:val="20"/>
                <w:szCs w:val="20"/>
                <w:color w:val="auto"/>
              </w:rPr>
            </w:pPr>
            <w:r>
              <w:rPr>
                <w:rFonts w:ascii="Times New Roman" w:cs="Times New Roman" w:eastAsia="Times New Roman" w:hAnsi="Times New Roman"/>
                <w:sz w:val="14"/>
                <w:szCs w:val="14"/>
                <w:color w:val="auto"/>
                <w:w w:val="98"/>
              </w:rPr>
              <w:t>San Francisco, CA</w:t>
            </w: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94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8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3600" w:type="dxa"/>
            <w:vAlign w:val="bottom"/>
            <w:gridSpan w:val="6"/>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Preferred shares, Series C 8%</w:t>
            </w:r>
          </w:p>
        </w:tc>
        <w:tc>
          <w:tcPr>
            <w:tcW w:w="100" w:type="dxa"/>
            <w:vAlign w:val="bottom"/>
            <w:shd w:val="clear" w:color="auto" w:fill="CCEEFF"/>
          </w:tcPr>
          <w:p>
            <w:pPr>
              <w:spacing w:after="0"/>
              <w:rPr>
                <w:sz w:val="16"/>
                <w:szCs w:val="16"/>
                <w:color w:val="auto"/>
              </w:rPr>
            </w:pPr>
          </w:p>
        </w:tc>
        <w:tc>
          <w:tcPr>
            <w:tcW w:w="19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9"/>
              </w:rPr>
              <w:t>Knowledge Networks</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7/2/2012</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318,979</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2,000,447</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87"/>
        </w:trPr>
        <w:tc>
          <w:tcPr>
            <w:tcW w:w="3600" w:type="dxa"/>
            <w:vAlign w:val="bottom"/>
            <w:gridSpan w:val="6"/>
          </w:tcPr>
          <w:p>
            <w:pPr>
              <w:ind w:left="20"/>
              <w:spacing w:after="0"/>
              <w:rPr>
                <w:sz w:val="20"/>
                <w:szCs w:val="20"/>
                <w:color w:val="auto"/>
              </w:rPr>
            </w:pPr>
            <w:r>
              <w:rPr>
                <w:rFonts w:ascii="Times New Roman" w:cs="Times New Roman" w:eastAsia="Times New Roman" w:hAnsi="Times New Roman"/>
                <w:sz w:val="14"/>
                <w:szCs w:val="14"/>
                <w:color w:val="auto"/>
              </w:rPr>
              <w:t>Preferred shares, Series B 5%</w:t>
            </w:r>
          </w:p>
        </w:tc>
        <w:tc>
          <w:tcPr>
            <w:tcW w:w="10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2/28/2012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49,505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217,206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94"/>
        </w:trPr>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3580" w:type="dxa"/>
            <w:vAlign w:val="bottom"/>
            <w:tcBorders>
              <w:top w:val="single" w:sz="8" w:color="CCEEFF"/>
              <w:bottom w:val="single" w:sz="8" w:color="CCEEFF"/>
            </w:tcBorders>
            <w:gridSpan w:val="5"/>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86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CCEEFF"/>
              <w:bottom w:val="single" w:sz="8" w:color="CCEEFF"/>
            </w:tcBorders>
            <w:shd w:val="clear" w:color="auto" w:fill="CCEEFF"/>
          </w:tcPr>
          <w:p>
            <w:pPr>
              <w:spacing w:after="0"/>
              <w:rPr>
                <w:sz w:val="16"/>
                <w:szCs w:val="16"/>
                <w:color w:val="auto"/>
              </w:rPr>
            </w:pPr>
          </w:p>
        </w:tc>
        <w:tc>
          <w:tcPr>
            <w:tcW w:w="9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auto"/>
            </w:tcBorders>
            <w:shd w:val="clear" w:color="auto" w:fill="CCEEFF"/>
          </w:tcPr>
          <w:p>
            <w:pPr>
              <w:spacing w:after="0"/>
              <w:rPr>
                <w:sz w:val="16"/>
                <w:szCs w:val="16"/>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2,217,653</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spacing w:after="0"/>
              <w:rPr>
                <w:sz w:val="16"/>
                <w:szCs w:val="16"/>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35"/>
        </w:trPr>
        <w:tc>
          <w:tcPr>
            <w:tcW w:w="3600" w:type="dxa"/>
            <w:vAlign w:val="bottom"/>
            <w:gridSpan w:val="6"/>
          </w:tcPr>
          <w:p>
            <w:pPr>
              <w:ind w:left="20"/>
              <w:spacing w:after="0" w:line="135" w:lineRule="exact"/>
              <w:rPr>
                <w:sz w:val="20"/>
                <w:szCs w:val="20"/>
                <w:color w:val="auto"/>
              </w:rPr>
            </w:pPr>
            <w:r>
              <w:rPr>
                <w:rFonts w:ascii="Times New Roman" w:cs="Times New Roman" w:eastAsia="Times New Roman" w:hAnsi="Times New Roman"/>
                <w:sz w:val="14"/>
                <w:szCs w:val="14"/>
                <w:b w:val="1"/>
                <w:bCs w:val="1"/>
                <w:color w:val="auto"/>
              </w:rPr>
              <w:t>Curious.com, Inc.</w:t>
            </w:r>
          </w:p>
        </w:tc>
        <w:tc>
          <w:tcPr>
            <w:tcW w:w="100" w:type="dxa"/>
            <w:vAlign w:val="bottom"/>
          </w:tcPr>
          <w:p>
            <w:pPr>
              <w:spacing w:after="0"/>
              <w:rPr>
                <w:sz w:val="11"/>
                <w:szCs w:val="11"/>
                <w:color w:val="auto"/>
              </w:rPr>
            </w:pPr>
          </w:p>
        </w:tc>
        <w:tc>
          <w:tcPr>
            <w:tcW w:w="186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color w:val="auto"/>
                <w:w w:val="97"/>
              </w:rPr>
              <w:t>Menlo Park, CA</w:t>
            </w: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94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3600" w:type="dxa"/>
            <w:vAlign w:val="bottom"/>
            <w:gridSpan w:val="6"/>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Common shares</w:t>
            </w:r>
          </w:p>
        </w:tc>
        <w:tc>
          <w:tcPr>
            <w:tcW w:w="100" w:type="dxa"/>
            <w:vAlign w:val="bottom"/>
            <w:shd w:val="clear" w:color="auto" w:fill="CCEEFF"/>
          </w:tcPr>
          <w:p>
            <w:pPr>
              <w:spacing w:after="0"/>
              <w:rPr>
                <w:sz w:val="16"/>
                <w:szCs w:val="16"/>
                <w:color w:val="auto"/>
              </w:rPr>
            </w:pPr>
          </w:p>
        </w:tc>
        <w:tc>
          <w:tcPr>
            <w:tcW w:w="19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9"/>
              </w:rPr>
              <w:t>Online Education</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11/22/2013</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1,135,944</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12,000,006</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-1017905</wp:posOffset>
            </wp:positionV>
            <wp:extent cx="3523615" cy="1397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523615" cy="13970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-2685415</wp:posOffset>
            </wp:positionV>
            <wp:extent cx="4977765" cy="1314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977765" cy="131445"/>
                    </a:xfrm>
                    <a:prstGeom prst="rect">
                      <a:avLst/>
                    </a:prstGeom>
                    <a:noFill/>
                  </pic:spPr>
                </pic:pic>
              </a:graphicData>
            </a:graphic>
          </wp:anchor>
        </w:drawing>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0" w:type="dxa"/>
            <w:vAlign w:val="bottom"/>
            <w:shd w:val="clear" w:color="auto" w:fill="CCEEFF"/>
          </w:tcPr>
          <w:p>
            <w:pPr>
              <w:spacing w:after="0"/>
              <w:rPr>
                <w:sz w:val="16"/>
                <w:szCs w:val="16"/>
                <w:color w:val="auto"/>
              </w:rPr>
            </w:pPr>
          </w:p>
        </w:tc>
        <w:tc>
          <w:tcPr>
            <w:tcW w:w="352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4"/>
                <w:szCs w:val="14"/>
                <w:b w:val="1"/>
                <w:bCs w:val="1"/>
                <w:color w:val="auto"/>
              </w:rPr>
              <w:t>Total Non-controlled/Affiliate</w:t>
            </w:r>
          </w:p>
        </w:tc>
        <w:tc>
          <w:tcPr>
            <w:tcW w:w="2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41,140,804</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14,177,090</w:t>
            </w: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5.06 %</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3540" w:type="dxa"/>
            <w:vAlign w:val="bottom"/>
            <w:gridSpan w:val="5"/>
            <w:shd w:val="clear" w:color="auto" w:fill="CCEEFF"/>
          </w:tcPr>
          <w:p>
            <w:pPr>
              <w:ind w:left="20"/>
              <w:spacing w:after="0" w:line="194" w:lineRule="exact"/>
              <w:rPr>
                <w:sz w:val="20"/>
                <w:szCs w:val="20"/>
                <w:color w:val="auto"/>
              </w:rPr>
            </w:pPr>
            <w:r>
              <w:rPr>
                <w:rFonts w:ascii="Times New Roman" w:cs="Times New Roman" w:eastAsia="Times New Roman" w:hAnsi="Times New Roman"/>
                <w:sz w:val="14"/>
                <w:szCs w:val="14"/>
                <w:b w:val="1"/>
                <w:bCs w:val="1"/>
                <w:color w:val="auto"/>
              </w:rPr>
              <w:t>CONTROLLED</w:t>
            </w:r>
            <w:r>
              <w:rPr>
                <w:rFonts w:ascii="Times New Roman" w:cs="Times New Roman" w:eastAsia="Times New Roman" w:hAnsi="Times New Roman"/>
                <w:sz w:val="17"/>
                <w:szCs w:val="17"/>
                <w:b w:val="1"/>
                <w:bCs w:val="1"/>
                <w:color w:val="auto"/>
                <w:vertAlign w:val="superscript"/>
              </w:rPr>
              <w:t>(2)</w:t>
            </w:r>
          </w:p>
        </w:tc>
        <w:tc>
          <w:tcPr>
            <w:tcW w:w="2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3540" w:type="dxa"/>
            <w:vAlign w:val="bottom"/>
            <w:gridSpan w:val="5"/>
          </w:tcPr>
          <w:p>
            <w:pPr>
              <w:ind w:left="20"/>
              <w:spacing w:after="0" w:line="143" w:lineRule="exact"/>
              <w:rPr>
                <w:sz w:val="20"/>
                <w:szCs w:val="20"/>
                <w:color w:val="auto"/>
              </w:rPr>
            </w:pPr>
            <w:r>
              <w:rPr>
                <w:rFonts w:ascii="Times New Roman" w:cs="Times New Roman" w:eastAsia="Times New Roman" w:hAnsi="Times New Roman"/>
                <w:sz w:val="14"/>
                <w:szCs w:val="14"/>
                <w:b w:val="1"/>
                <w:bCs w:val="1"/>
                <w:color w:val="auto"/>
              </w:rPr>
              <w:t>Architect Capital PayJoy SPV, LLC**</w:t>
            </w:r>
          </w:p>
        </w:tc>
        <w:tc>
          <w:tcPr>
            <w:tcW w:w="210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color w:val="auto"/>
                <w:w w:val="98"/>
              </w:rPr>
              <w:t>San Francisco, CA</w:t>
            </w:r>
          </w:p>
        </w:tc>
        <w:tc>
          <w:tcPr>
            <w:tcW w:w="9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460" w:type="dxa"/>
            <w:vAlign w:val="bottom"/>
            <w:tcBorders>
              <w:top w:val="single" w:sz="8" w:color="auto"/>
            </w:tcBorders>
          </w:tcPr>
          <w:p>
            <w:pPr>
              <w:spacing w:after="0"/>
              <w:rPr>
                <w:sz w:val="2"/>
                <w:szCs w:val="2"/>
                <w:color w:val="auto"/>
              </w:rPr>
            </w:pPr>
          </w:p>
        </w:tc>
        <w:tc>
          <w:tcPr>
            <w:tcW w:w="660" w:type="dxa"/>
            <w:vAlign w:val="bottom"/>
            <w:tcBorders>
              <w:top w:val="single" w:sz="8" w:color="auto"/>
            </w:tcBorders>
          </w:tcPr>
          <w:p>
            <w:pPr>
              <w:spacing w:after="0"/>
              <w:rPr>
                <w:sz w:val="2"/>
                <w:szCs w:val="2"/>
                <w:color w:val="auto"/>
              </w:rPr>
            </w:pPr>
          </w:p>
        </w:tc>
        <w:tc>
          <w:tcPr>
            <w:tcW w:w="1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354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Membership Interest in Lending SPV***</w:t>
            </w:r>
          </w:p>
        </w:tc>
        <w:tc>
          <w:tcPr>
            <w:tcW w:w="2100" w:type="dxa"/>
            <w:vAlign w:val="bottom"/>
            <w:shd w:val="clear" w:color="auto" w:fill="CCEEFF"/>
          </w:tcPr>
          <w:p>
            <w:pPr>
              <w:jc w:val="center"/>
              <w:ind w:left="11"/>
              <w:spacing w:after="0"/>
              <w:rPr>
                <w:sz w:val="20"/>
                <w:szCs w:val="20"/>
                <w:color w:val="auto"/>
              </w:rPr>
            </w:pPr>
            <w:r>
              <w:rPr>
                <w:rFonts w:ascii="Times New Roman" w:cs="Times New Roman" w:eastAsia="Times New Roman" w:hAnsi="Times New Roman"/>
                <w:sz w:val="14"/>
                <w:szCs w:val="14"/>
                <w:color w:val="auto"/>
                <w:w w:val="97"/>
              </w:rPr>
              <w:t>Mobile Finance Technology</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3/24/2021</w:t>
            </w:r>
          </w:p>
        </w:tc>
        <w:tc>
          <w:tcPr>
            <w:tcW w:w="4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10,000,000</w:t>
            </w:r>
          </w:p>
        </w:tc>
        <w:tc>
          <w:tcPr>
            <w:tcW w:w="2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10,006,745</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10,000,000</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3540" w:type="dxa"/>
            <w:vAlign w:val="bottom"/>
            <w:gridSpan w:val="5"/>
          </w:tcPr>
          <w:p>
            <w:pPr>
              <w:ind w:left="20"/>
              <w:spacing w:after="0" w:line="142" w:lineRule="exact"/>
              <w:rPr>
                <w:sz w:val="20"/>
                <w:szCs w:val="20"/>
                <w:color w:val="auto"/>
              </w:rPr>
            </w:pPr>
            <w:r>
              <w:rPr>
                <w:rFonts w:ascii="Times New Roman" w:cs="Times New Roman" w:eastAsia="Times New Roman" w:hAnsi="Times New Roman"/>
                <w:sz w:val="13"/>
                <w:szCs w:val="13"/>
                <w:b w:val="1"/>
                <w:bCs w:val="1"/>
                <w:color w:val="auto"/>
              </w:rPr>
              <w:t>Colombier Sponsor LLC**</w:t>
            </w:r>
            <w:r>
              <w:rPr>
                <w:rFonts w:ascii="Times New Roman" w:cs="Times New Roman" w:eastAsia="Times New Roman" w:hAnsi="Times New Roman"/>
                <w:sz w:val="16"/>
                <w:szCs w:val="16"/>
                <w:b w:val="1"/>
                <w:bCs w:val="1"/>
                <w:color w:val="auto"/>
                <w:vertAlign w:val="superscript"/>
              </w:rPr>
              <w:t>(15)</w:t>
            </w:r>
          </w:p>
        </w:tc>
        <w:tc>
          <w:tcPr>
            <w:tcW w:w="2100" w:type="dxa"/>
            <w:vAlign w:val="bottom"/>
          </w:tcPr>
          <w:p>
            <w:pPr>
              <w:jc w:val="center"/>
              <w:ind w:left="11"/>
              <w:spacing w:after="0" w:line="143" w:lineRule="exact"/>
              <w:rPr>
                <w:sz w:val="20"/>
                <w:szCs w:val="20"/>
                <w:color w:val="auto"/>
              </w:rPr>
            </w:pPr>
            <w:r>
              <w:rPr>
                <w:rFonts w:ascii="Times New Roman" w:cs="Times New Roman" w:eastAsia="Times New Roman" w:hAnsi="Times New Roman"/>
                <w:sz w:val="14"/>
                <w:szCs w:val="14"/>
                <w:color w:val="auto"/>
                <w:w w:val="95"/>
              </w:rPr>
              <w:t>New York, NY</w:t>
            </w:r>
          </w:p>
        </w:tc>
        <w:tc>
          <w:tcPr>
            <w:tcW w:w="9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460" w:type="dxa"/>
            <w:vAlign w:val="bottom"/>
            <w:tcBorders>
              <w:top w:val="single" w:sz="8" w:color="auto"/>
            </w:tcBorders>
          </w:tcPr>
          <w:p>
            <w:pPr>
              <w:spacing w:after="0"/>
              <w:rPr>
                <w:sz w:val="2"/>
                <w:szCs w:val="2"/>
                <w:color w:val="auto"/>
              </w:rPr>
            </w:pPr>
          </w:p>
        </w:tc>
        <w:tc>
          <w:tcPr>
            <w:tcW w:w="6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3540" w:type="dxa"/>
            <w:vAlign w:val="bottom"/>
            <w:gridSpan w:val="5"/>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Class B Units</w:t>
            </w:r>
          </w:p>
        </w:tc>
        <w:tc>
          <w:tcPr>
            <w:tcW w:w="2100" w:type="dxa"/>
            <w:vAlign w:val="bottom"/>
            <w:shd w:val="clear" w:color="auto" w:fill="CCEEFF"/>
          </w:tcPr>
          <w:p>
            <w:pPr>
              <w:jc w:val="center"/>
              <w:spacing w:after="0" w:line="129" w:lineRule="exact"/>
              <w:rPr>
                <w:sz w:val="20"/>
                <w:szCs w:val="20"/>
                <w:color w:val="auto"/>
              </w:rPr>
            </w:pPr>
            <w:r>
              <w:rPr>
                <w:rFonts w:ascii="Times New Roman" w:cs="Times New Roman" w:eastAsia="Times New Roman" w:hAnsi="Times New Roman"/>
                <w:sz w:val="14"/>
                <w:szCs w:val="14"/>
                <w:color w:val="auto"/>
                <w:w w:val="98"/>
              </w:rPr>
              <w:t>Special Purpose Acquisition</w:t>
            </w:r>
          </w:p>
        </w:tc>
        <w:tc>
          <w:tcPr>
            <w:tcW w:w="9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4/1/2021</w:t>
            </w:r>
          </w:p>
        </w:tc>
        <w:tc>
          <w:tcPr>
            <w:tcW w:w="400" w:type="dxa"/>
            <w:vAlign w:val="bottom"/>
            <w:shd w:val="clear" w:color="auto" w:fill="CCEEFF"/>
          </w:tcPr>
          <w:p>
            <w:pPr>
              <w:spacing w:after="0"/>
              <w:rPr>
                <w:sz w:val="11"/>
                <w:szCs w:val="11"/>
                <w:color w:val="auto"/>
              </w:rPr>
            </w:pPr>
          </w:p>
        </w:tc>
        <w:tc>
          <w:tcPr>
            <w:tcW w:w="960" w:type="dxa"/>
            <w:vAlign w:val="bottom"/>
            <w:vMerge w:val="restart"/>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1,976,033</w:t>
            </w:r>
          </w:p>
        </w:tc>
        <w:tc>
          <w:tcPr>
            <w:tcW w:w="220" w:type="dxa"/>
            <w:vAlign w:val="bottom"/>
            <w:shd w:val="clear" w:color="auto" w:fill="CCEEFF"/>
          </w:tcPr>
          <w:p>
            <w:pPr>
              <w:spacing w:after="0"/>
              <w:rPr>
                <w:sz w:val="11"/>
                <w:szCs w:val="11"/>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1,556,587</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1,554,354</w:t>
            </w:r>
          </w:p>
        </w:tc>
        <w:tc>
          <w:tcPr>
            <w:tcW w:w="10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0.55</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4"/>
        </w:trPr>
        <w:tc>
          <w:tcPr>
            <w:tcW w:w="3540" w:type="dxa"/>
            <w:vAlign w:val="bottom"/>
            <w:gridSpan w:val="5"/>
            <w:vMerge w:val="continue"/>
            <w:shd w:val="clear" w:color="auto" w:fill="CCEEFF"/>
          </w:tcPr>
          <w:p>
            <w:pPr>
              <w:spacing w:after="0"/>
              <w:rPr>
                <w:sz w:val="16"/>
                <w:szCs w:val="16"/>
                <w:color w:val="auto"/>
              </w:rPr>
            </w:pPr>
          </w:p>
        </w:tc>
        <w:tc>
          <w:tcPr>
            <w:tcW w:w="2100" w:type="dxa"/>
            <w:vAlign w:val="bottom"/>
            <w:shd w:val="clear" w:color="auto" w:fill="CCEEFF"/>
          </w:tcPr>
          <w:p>
            <w:pPr>
              <w:jc w:val="center"/>
              <w:ind w:left="11"/>
              <w:spacing w:after="0"/>
              <w:rPr>
                <w:sz w:val="20"/>
                <w:szCs w:val="20"/>
                <w:color w:val="auto"/>
              </w:rPr>
            </w:pPr>
            <w:r>
              <w:rPr>
                <w:rFonts w:ascii="Times New Roman" w:cs="Times New Roman" w:eastAsia="Times New Roman" w:hAnsi="Times New Roman"/>
                <w:sz w:val="14"/>
                <w:szCs w:val="14"/>
                <w:color w:val="auto"/>
                <w:w w:val="99"/>
              </w:rPr>
              <w:t>Company</w:t>
            </w:r>
          </w:p>
        </w:tc>
        <w:tc>
          <w:tcPr>
            <w:tcW w:w="940" w:type="dxa"/>
            <w:vAlign w:val="bottom"/>
            <w:vMerge w:val="continue"/>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1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540" w:type="dxa"/>
            <w:vAlign w:val="bottom"/>
            <w:tcBorders>
              <w:bottom w:val="single" w:sz="8" w:color="CCEEFF"/>
            </w:tcBorders>
            <w:gridSpan w:val="5"/>
          </w:tcPr>
          <w:p>
            <w:pPr>
              <w:ind w:left="20"/>
              <w:spacing w:after="0"/>
              <w:rPr>
                <w:sz w:val="20"/>
                <w:szCs w:val="20"/>
                <w:color w:val="auto"/>
              </w:rPr>
            </w:pPr>
            <w:r>
              <w:rPr>
                <w:rFonts w:ascii="Times New Roman" w:cs="Times New Roman" w:eastAsia="Times New Roman" w:hAnsi="Times New Roman"/>
                <w:sz w:val="14"/>
                <w:szCs w:val="14"/>
                <w:color w:val="auto"/>
              </w:rPr>
              <w:t>Class W Units</w:t>
            </w:r>
          </w:p>
        </w:tc>
        <w:tc>
          <w:tcPr>
            <w:tcW w:w="2100" w:type="dxa"/>
            <w:vAlign w:val="bottom"/>
            <w:tcBorders>
              <w:bottom w:val="single" w:sz="8" w:color="CCEEFF"/>
            </w:tcBorders>
          </w:tcPr>
          <w:p>
            <w:pPr>
              <w:spacing w:after="0"/>
              <w:rPr>
                <w:sz w:val="16"/>
                <w:szCs w:val="16"/>
                <w:color w:val="auto"/>
              </w:rPr>
            </w:pPr>
          </w:p>
        </w:tc>
        <w:tc>
          <w:tcPr>
            <w:tcW w:w="94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4"/>
                <w:szCs w:val="14"/>
                <w:color w:val="auto"/>
                <w:w w:val="96"/>
              </w:rPr>
              <w:t>4/1/2021</w:t>
            </w:r>
          </w:p>
        </w:tc>
        <w:tc>
          <w:tcPr>
            <w:tcW w:w="400" w:type="dxa"/>
            <w:vAlign w:val="bottom"/>
            <w:tcBorders>
              <w:bottom w:val="single" w:sz="8" w:color="CCEEFF"/>
            </w:tcBorders>
          </w:tcPr>
          <w:p>
            <w:pPr>
              <w:spacing w:after="0"/>
              <w:rPr>
                <w:sz w:val="16"/>
                <w:szCs w:val="16"/>
                <w:color w:val="auto"/>
              </w:rPr>
            </w:pPr>
          </w:p>
        </w:tc>
        <w:tc>
          <w:tcPr>
            <w:tcW w:w="960" w:type="dxa"/>
            <w:vAlign w:val="bottom"/>
            <w:tcBorders>
              <w:bottom w:val="single" w:sz="8" w:color="CCEEFF"/>
            </w:tcBorders>
          </w:tcPr>
          <w:p>
            <w:pPr>
              <w:jc w:val="right"/>
              <w:ind w:right="91"/>
              <w:spacing w:after="0"/>
              <w:rPr>
                <w:sz w:val="20"/>
                <w:szCs w:val="20"/>
                <w:color w:val="auto"/>
              </w:rPr>
            </w:pPr>
            <w:r>
              <w:rPr>
                <w:rFonts w:ascii="Times New Roman" w:cs="Times New Roman" w:eastAsia="Times New Roman" w:hAnsi="Times New Roman"/>
                <w:sz w:val="14"/>
                <w:szCs w:val="14"/>
                <w:color w:val="auto"/>
              </w:rPr>
              <w:t>2,700,000</w:t>
            </w: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1,159,150</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1,157,487</w:t>
            </w:r>
          </w:p>
        </w:tc>
        <w:tc>
          <w:tcPr>
            <w:tcW w:w="10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0.41</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4"/>
        </w:trPr>
        <w:tc>
          <w:tcPr>
            <w:tcW w:w="20" w:type="dxa"/>
            <w:vAlign w:val="bottom"/>
            <w:shd w:val="clear" w:color="auto" w:fill="CCEEFF"/>
          </w:tcPr>
          <w:p>
            <w:pPr>
              <w:spacing w:after="0"/>
              <w:rPr>
                <w:sz w:val="16"/>
                <w:szCs w:val="16"/>
                <w:color w:val="auto"/>
              </w:rPr>
            </w:pPr>
          </w:p>
        </w:tc>
        <w:tc>
          <w:tcPr>
            <w:tcW w:w="352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Total</w:t>
            </w:r>
          </w:p>
        </w:tc>
        <w:tc>
          <w:tcPr>
            <w:tcW w:w="2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2,715,737</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2,711,841</w:t>
            </w:r>
          </w:p>
        </w:tc>
        <w:tc>
          <w:tcPr>
            <w:tcW w:w="100" w:type="dxa"/>
            <w:vAlign w:val="bottom"/>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0.97</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2"/>
        </w:trPr>
        <w:tc>
          <w:tcPr>
            <w:tcW w:w="3540" w:type="dxa"/>
            <w:vAlign w:val="bottom"/>
            <w:gridSpan w:val="5"/>
          </w:tcPr>
          <w:p>
            <w:pPr>
              <w:ind w:left="20"/>
              <w:spacing w:after="0" w:line="123" w:lineRule="exact"/>
              <w:rPr>
                <w:sz w:val="20"/>
                <w:szCs w:val="20"/>
                <w:color w:val="auto"/>
              </w:rPr>
            </w:pPr>
            <w:r>
              <w:rPr>
                <w:rFonts w:ascii="Times New Roman" w:cs="Times New Roman" w:eastAsia="Times New Roman" w:hAnsi="Times New Roman"/>
                <w:sz w:val="14"/>
                <w:szCs w:val="14"/>
                <w:b w:val="1"/>
                <w:bCs w:val="1"/>
                <w:color w:val="auto"/>
              </w:rPr>
              <w:t>SPBRX, INC. (f/k/a GSV Sustainability Partners, Inc.)</w:t>
            </w:r>
          </w:p>
        </w:tc>
        <w:tc>
          <w:tcPr>
            <w:tcW w:w="2100" w:type="dxa"/>
            <w:vAlign w:val="bottom"/>
          </w:tcPr>
          <w:p>
            <w:pPr>
              <w:jc w:val="center"/>
              <w:ind w:left="11"/>
              <w:spacing w:after="0" w:line="123" w:lineRule="exact"/>
              <w:rPr>
                <w:sz w:val="20"/>
                <w:szCs w:val="20"/>
                <w:color w:val="auto"/>
              </w:rPr>
            </w:pPr>
            <w:r>
              <w:rPr>
                <w:rFonts w:ascii="Times New Roman" w:cs="Times New Roman" w:eastAsia="Times New Roman" w:hAnsi="Times New Roman"/>
                <w:sz w:val="14"/>
                <w:szCs w:val="14"/>
                <w:color w:val="auto"/>
                <w:w w:val="99"/>
              </w:rPr>
              <w:t>Cupertino, CA</w:t>
            </w:r>
          </w:p>
        </w:tc>
        <w:tc>
          <w:tcPr>
            <w:tcW w:w="9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460" w:type="dxa"/>
            <w:vAlign w:val="bottom"/>
            <w:tcBorders>
              <w:top w:val="single" w:sz="8" w:color="auto"/>
            </w:tcBorders>
          </w:tcPr>
          <w:p>
            <w:pPr>
              <w:spacing w:after="0"/>
              <w:rPr>
                <w:sz w:val="2"/>
                <w:szCs w:val="2"/>
                <w:color w:val="auto"/>
              </w:rPr>
            </w:pPr>
          </w:p>
        </w:tc>
        <w:tc>
          <w:tcPr>
            <w:tcW w:w="660" w:type="dxa"/>
            <w:vAlign w:val="bottom"/>
            <w:tcBorders>
              <w:top w:val="single" w:sz="8" w:color="auto"/>
            </w:tcBorders>
          </w:tcPr>
          <w:p>
            <w:pPr>
              <w:spacing w:after="0"/>
              <w:rPr>
                <w:sz w:val="2"/>
                <w:szCs w:val="2"/>
                <w:color w:val="auto"/>
              </w:rPr>
            </w:pPr>
          </w:p>
        </w:tc>
        <w:tc>
          <w:tcPr>
            <w:tcW w:w="1080" w:type="dxa"/>
            <w:vAlign w:val="bottom"/>
            <w:tcBorders>
              <w:top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3540" w:type="dxa"/>
            <w:vAlign w:val="bottom"/>
            <w:gridSpan w:val="5"/>
            <w:shd w:val="clear" w:color="auto" w:fill="CCEEFF"/>
          </w:tcPr>
          <w:p>
            <w:pPr>
              <w:ind w:left="20"/>
              <w:spacing w:after="0" w:line="194" w:lineRule="exact"/>
              <w:rPr>
                <w:sz w:val="20"/>
                <w:szCs w:val="20"/>
                <w:color w:val="auto"/>
              </w:rPr>
            </w:pPr>
            <w:r>
              <w:rPr>
                <w:rFonts w:ascii="Times New Roman" w:cs="Times New Roman" w:eastAsia="Times New Roman" w:hAnsi="Times New Roman"/>
                <w:sz w:val="14"/>
                <w:szCs w:val="14"/>
                <w:color w:val="auto"/>
              </w:rPr>
              <w:t>Preferred shares, Class A</w:t>
            </w:r>
            <w:r>
              <w:rPr>
                <w:rFonts w:ascii="Times New Roman" w:cs="Times New Roman" w:eastAsia="Times New Roman" w:hAnsi="Times New Roman"/>
                <w:sz w:val="17"/>
                <w:szCs w:val="17"/>
                <w:color w:val="auto"/>
                <w:vertAlign w:val="superscript"/>
              </w:rPr>
              <w:t>(9)</w:t>
            </w:r>
          </w:p>
        </w:tc>
        <w:tc>
          <w:tcPr>
            <w:tcW w:w="2100" w:type="dxa"/>
            <w:vAlign w:val="bottom"/>
            <w:shd w:val="clear" w:color="auto" w:fill="CCEEFF"/>
          </w:tcPr>
          <w:p>
            <w:pPr>
              <w:jc w:val="center"/>
              <w:ind w:left="11"/>
              <w:spacing w:after="0"/>
              <w:rPr>
                <w:sz w:val="20"/>
                <w:szCs w:val="20"/>
                <w:color w:val="auto"/>
              </w:rPr>
            </w:pPr>
            <w:r>
              <w:rPr>
                <w:rFonts w:ascii="Times New Roman" w:cs="Times New Roman" w:eastAsia="Times New Roman" w:hAnsi="Times New Roman"/>
                <w:sz w:val="14"/>
                <w:szCs w:val="14"/>
                <w:color w:val="auto"/>
                <w:w w:val="98"/>
              </w:rPr>
              <w:t>Clean Technology</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4/15/2014</w:t>
            </w:r>
          </w:p>
        </w:tc>
        <w:tc>
          <w:tcPr>
            <w:tcW w:w="40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14,300,000</w:t>
            </w: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7,151,412</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1,307,033</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7"/>
        </w:trPr>
        <w:tc>
          <w:tcPr>
            <w:tcW w:w="3540" w:type="dxa"/>
            <w:vAlign w:val="bottom"/>
            <w:gridSpan w:val="5"/>
          </w:tcPr>
          <w:p>
            <w:pPr>
              <w:ind w:left="20"/>
              <w:spacing w:after="0"/>
              <w:rPr>
                <w:sz w:val="20"/>
                <w:szCs w:val="20"/>
                <w:color w:val="auto"/>
              </w:rPr>
            </w:pPr>
            <w:r>
              <w:rPr>
                <w:rFonts w:ascii="Times New Roman" w:cs="Times New Roman" w:eastAsia="Times New Roman" w:hAnsi="Times New Roman"/>
                <w:sz w:val="14"/>
                <w:szCs w:val="14"/>
                <w:color w:val="auto"/>
              </w:rPr>
              <w:t>Common shares</w:t>
            </w:r>
          </w:p>
        </w:tc>
        <w:tc>
          <w:tcPr>
            <w:tcW w:w="2100" w:type="dxa"/>
            <w:vAlign w:val="bottom"/>
          </w:tcPr>
          <w:p>
            <w:pPr>
              <w:spacing w:after="0"/>
              <w:rPr>
                <w:sz w:val="16"/>
                <w:szCs w:val="16"/>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4/15/2014</w:t>
            </w:r>
          </w:p>
        </w:tc>
        <w:tc>
          <w:tcPr>
            <w:tcW w:w="400" w:type="dxa"/>
            <w:vAlign w:val="bottom"/>
          </w:tcPr>
          <w:p>
            <w:pPr>
              <w:spacing w:after="0"/>
              <w:rPr>
                <w:sz w:val="16"/>
                <w:szCs w:val="16"/>
                <w:color w:val="auto"/>
              </w:rPr>
            </w:pPr>
          </w:p>
        </w:tc>
        <w:tc>
          <w:tcPr>
            <w:tcW w:w="96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100,000</w:t>
            </w:r>
          </w:p>
        </w:tc>
        <w:tc>
          <w:tcPr>
            <w:tcW w:w="2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87"/>
        </w:trPr>
        <w:tc>
          <w:tcPr>
            <w:tcW w:w="20" w:type="dxa"/>
            <w:vAlign w:val="bottom"/>
            <w:tcBorders>
              <w:top w:val="single" w:sz="8" w:color="CCEEFF"/>
            </w:tcBorders>
            <w:shd w:val="clear" w:color="auto" w:fill="CCEEFF"/>
          </w:tcPr>
          <w:p>
            <w:pPr>
              <w:spacing w:after="0"/>
              <w:rPr>
                <w:sz w:val="16"/>
                <w:szCs w:val="16"/>
                <w:color w:val="auto"/>
              </w:rPr>
            </w:pPr>
          </w:p>
        </w:tc>
        <w:tc>
          <w:tcPr>
            <w:tcW w:w="3520" w:type="dxa"/>
            <w:vAlign w:val="bottom"/>
            <w:tcBorders>
              <w:top w:val="single" w:sz="8" w:color="CCEEFF"/>
            </w:tcBorders>
            <w:gridSpan w:val="4"/>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Total</w:t>
            </w:r>
          </w:p>
        </w:tc>
        <w:tc>
          <w:tcPr>
            <w:tcW w:w="210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spacing w:after="0"/>
              <w:rPr>
                <w:sz w:val="16"/>
                <w:szCs w:val="16"/>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7,161,412</w:t>
            </w: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spacing w:after="0"/>
              <w:rPr>
                <w:sz w:val="16"/>
                <w:szCs w:val="16"/>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1,307,033</w:t>
            </w:r>
          </w:p>
        </w:tc>
        <w:tc>
          <w:tcPr>
            <w:tcW w:w="10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0.47</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shd w:val="clear" w:color="auto" w:fill="CCEEFF"/>
          </w:tcPr>
          <w:p>
            <w:pPr>
              <w:spacing w:after="0"/>
              <w:rPr>
                <w:sz w:val="16"/>
                <w:szCs w:val="16"/>
                <w:color w:val="auto"/>
              </w:rPr>
            </w:pPr>
          </w:p>
        </w:tc>
        <w:tc>
          <w:tcPr>
            <w:tcW w:w="352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4"/>
                <w:szCs w:val="14"/>
                <w:b w:val="1"/>
                <w:bCs w:val="1"/>
                <w:color w:val="auto"/>
              </w:rPr>
              <w:t>Total Controlled</w:t>
            </w:r>
          </w:p>
        </w:tc>
        <w:tc>
          <w:tcPr>
            <w:tcW w:w="2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19,883,894</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14,018,874</w:t>
            </w: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5.00 %</w:t>
            </w:r>
          </w:p>
        </w:tc>
        <w:tc>
          <w:tcPr>
            <w:tcW w:w="0" w:type="dxa"/>
            <w:vAlign w:val="bottom"/>
          </w:tcPr>
          <w:p>
            <w:pPr>
              <w:spacing w:after="0"/>
              <w:rPr>
                <w:sz w:val="1"/>
                <w:szCs w:val="1"/>
                <w:color w:val="auto"/>
              </w:rPr>
            </w:pPr>
          </w:p>
        </w:tc>
      </w:tr>
      <w:tr>
        <w:trPr>
          <w:trHeight w:val="207"/>
        </w:trPr>
        <w:tc>
          <w:tcPr>
            <w:tcW w:w="20" w:type="dxa"/>
            <w:vAlign w:val="bottom"/>
            <w:tcBorders>
              <w:bottom w:val="single" w:sz="8" w:color="CCEEFF"/>
            </w:tcBorders>
          </w:tcPr>
          <w:p>
            <w:pPr>
              <w:spacing w:after="0"/>
              <w:rPr>
                <w:sz w:val="17"/>
                <w:szCs w:val="17"/>
                <w:color w:val="auto"/>
              </w:rPr>
            </w:pPr>
          </w:p>
        </w:tc>
        <w:tc>
          <w:tcPr>
            <w:tcW w:w="1460" w:type="dxa"/>
            <w:vAlign w:val="bottom"/>
            <w:tcBorders>
              <w:bottom w:val="single" w:sz="8" w:color="CCEEFF"/>
            </w:tcBorders>
          </w:tcPr>
          <w:p>
            <w:pPr>
              <w:spacing w:after="0"/>
              <w:rPr>
                <w:sz w:val="17"/>
                <w:szCs w:val="17"/>
                <w:color w:val="auto"/>
              </w:rPr>
            </w:pPr>
          </w:p>
        </w:tc>
        <w:tc>
          <w:tcPr>
            <w:tcW w:w="660" w:type="dxa"/>
            <w:vAlign w:val="bottom"/>
            <w:tcBorders>
              <w:bottom w:val="single" w:sz="8" w:color="CCEEFF"/>
            </w:tcBorders>
          </w:tcPr>
          <w:p>
            <w:pPr>
              <w:spacing w:after="0"/>
              <w:rPr>
                <w:sz w:val="17"/>
                <w:szCs w:val="17"/>
                <w:color w:val="auto"/>
              </w:rPr>
            </w:pPr>
          </w:p>
        </w:tc>
        <w:tc>
          <w:tcPr>
            <w:tcW w:w="1080" w:type="dxa"/>
            <w:vAlign w:val="bottom"/>
            <w:tcBorders>
              <w:bottom w:val="single" w:sz="8" w:color="CCEEFF"/>
            </w:tcBorders>
          </w:tcPr>
          <w:p>
            <w:pPr>
              <w:spacing w:after="0"/>
              <w:rPr>
                <w:sz w:val="17"/>
                <w:szCs w:val="17"/>
                <w:color w:val="auto"/>
              </w:rPr>
            </w:pPr>
          </w:p>
        </w:tc>
        <w:tc>
          <w:tcPr>
            <w:tcW w:w="320" w:type="dxa"/>
            <w:vAlign w:val="bottom"/>
            <w:tcBorders>
              <w:bottom w:val="single" w:sz="8" w:color="CCEEFF"/>
            </w:tcBorders>
          </w:tcPr>
          <w:p>
            <w:pPr>
              <w:spacing w:after="0"/>
              <w:rPr>
                <w:sz w:val="17"/>
                <w:szCs w:val="17"/>
                <w:color w:val="auto"/>
              </w:rPr>
            </w:pPr>
          </w:p>
        </w:tc>
        <w:tc>
          <w:tcPr>
            <w:tcW w:w="2100" w:type="dxa"/>
            <w:vAlign w:val="bottom"/>
            <w:tcBorders>
              <w:bottom w:val="single" w:sz="8" w:color="CCEEFF"/>
            </w:tcBorders>
          </w:tcPr>
          <w:p>
            <w:pPr>
              <w:spacing w:after="0"/>
              <w:rPr>
                <w:sz w:val="17"/>
                <w:szCs w:val="17"/>
                <w:color w:val="auto"/>
              </w:rPr>
            </w:pPr>
          </w:p>
        </w:tc>
        <w:tc>
          <w:tcPr>
            <w:tcW w:w="940" w:type="dxa"/>
            <w:vAlign w:val="bottom"/>
            <w:tcBorders>
              <w:bottom w:val="single" w:sz="8" w:color="CCEEFF"/>
            </w:tcBorders>
          </w:tcPr>
          <w:p>
            <w:pPr>
              <w:spacing w:after="0"/>
              <w:rPr>
                <w:sz w:val="17"/>
                <w:szCs w:val="17"/>
                <w:color w:val="auto"/>
              </w:rPr>
            </w:pPr>
          </w:p>
        </w:tc>
        <w:tc>
          <w:tcPr>
            <w:tcW w:w="400" w:type="dxa"/>
            <w:vAlign w:val="bottom"/>
            <w:tcBorders>
              <w:bottom w:val="single" w:sz="8" w:color="CCEEFF"/>
            </w:tcBorders>
          </w:tcPr>
          <w:p>
            <w:pPr>
              <w:spacing w:after="0"/>
              <w:rPr>
                <w:sz w:val="17"/>
                <w:szCs w:val="17"/>
                <w:color w:val="auto"/>
              </w:rPr>
            </w:pPr>
          </w:p>
        </w:tc>
        <w:tc>
          <w:tcPr>
            <w:tcW w:w="96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gridSpan w:val="2"/>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Borders>
              <w:bottom w:val="single" w:sz="8" w:color="CCEEFF"/>
            </w:tcBorders>
            <w:shd w:val="clear" w:color="auto" w:fill="CCEEFF"/>
          </w:tcPr>
          <w:p>
            <w:pPr>
              <w:spacing w:after="0"/>
              <w:rPr>
                <w:sz w:val="17"/>
                <w:szCs w:val="17"/>
                <w:color w:val="auto"/>
              </w:rPr>
            </w:pPr>
          </w:p>
        </w:tc>
        <w:tc>
          <w:tcPr>
            <w:tcW w:w="3520" w:type="dxa"/>
            <w:vAlign w:val="bottom"/>
            <w:tcBorders>
              <w:bottom w:val="single" w:sz="8" w:color="CCEEFF"/>
            </w:tcBorders>
            <w:gridSpan w:val="4"/>
            <w:shd w:val="clear" w:color="auto" w:fill="CCEEFF"/>
          </w:tcPr>
          <w:p>
            <w:pPr>
              <w:ind w:left="120"/>
              <w:spacing w:after="0"/>
              <w:rPr>
                <w:sz w:val="20"/>
                <w:szCs w:val="20"/>
                <w:color w:val="auto"/>
              </w:rPr>
            </w:pPr>
            <w:r>
              <w:rPr>
                <w:rFonts w:ascii="Times New Roman" w:cs="Times New Roman" w:eastAsia="Times New Roman" w:hAnsi="Times New Roman"/>
                <w:sz w:val="14"/>
                <w:szCs w:val="14"/>
                <w:b w:val="1"/>
                <w:bCs w:val="1"/>
                <w:color w:val="auto"/>
              </w:rPr>
              <w:t>Total Portfolio Investments</w:t>
            </w:r>
          </w:p>
        </w:tc>
        <w:tc>
          <w:tcPr>
            <w:tcW w:w="21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214,381,536</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200,066,714</w:t>
            </w:r>
          </w:p>
        </w:tc>
        <w:tc>
          <w:tcPr>
            <w:tcW w:w="1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71.41 %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-804545</wp:posOffset>
            </wp:positionV>
            <wp:extent cx="4977765" cy="1314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977765" cy="13144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-1305560</wp:posOffset>
            </wp:positionV>
            <wp:extent cx="4977765" cy="1314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977765" cy="131445"/>
                    </a:xfrm>
                    <a:prstGeom prst="rect">
                      <a:avLst/>
                    </a:prstGeom>
                    <a:noFill/>
                  </pic:spPr>
                </pic:pic>
              </a:graphicData>
            </a:graphic>
          </wp:anchor>
        </w:drawing>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ectPr>
          <w:pgSz w:w="11900" w:h="16838" w:orient="portrait"/>
          <w:cols w:equalWidth="0" w:num="1">
            <w:col w:w="11240"/>
          </w:cols>
          <w:pgMar w:left="320" w:top="118"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color w:val="0000FF"/>
        </w:rPr>
        <w:t>TABLE OF CONTENTS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SURO CAPITAL CORP.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SCHEDULE OF INVESTMENTS (UNAUDITED) - continued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June 30, 2022</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__________________________________________</w:t>
      </w:r>
    </w:p>
    <w:p>
      <w:pPr>
        <w:spacing w:after="0" w:line="27" w:lineRule="exact"/>
        <w:rPr>
          <w:sz w:val="20"/>
          <w:szCs w:val="20"/>
          <w:color w:val="auto"/>
        </w:rPr>
      </w:pPr>
    </w:p>
    <w:p>
      <w:pPr>
        <w:jc w:val="right"/>
        <w:ind w:left="460" w:hanging="457"/>
        <w:spacing w:after="0" w:line="259" w:lineRule="auto"/>
        <w:tabs>
          <w:tab w:leader="none" w:pos="253"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5"/>
          <w:szCs w:val="15"/>
          <w:color w:val="auto"/>
        </w:rPr>
        <w:t>All portfolio investments are non-control/non-affiliated and non-income-producing, unless otherwise identified. Equity investments are subject to lock-up restrictions upon their initial public offering (“IPO”). Preferred dividends are generally only payable when declared and paid by the portfolio company's board of directors. The Company’s directors, officers, employees and staff, as applicable, may serve on the board of directors of the Company’s portfolio investments. (Refer to “Note 3—Related-Party Arrangements”). All portfolio investments are considered Level 3 and valued using significant unobservable inputs, unless otherwise noted. (Refer to “Note 4—Investments</w:t>
      </w:r>
    </w:p>
    <w:p>
      <w:pPr>
        <w:spacing w:after="0" w:line="2" w:lineRule="exact"/>
        <w:rPr>
          <w:sz w:val="20"/>
          <w:szCs w:val="20"/>
          <w:color w:val="auto"/>
        </w:rPr>
      </w:pPr>
    </w:p>
    <w:p>
      <w:pPr>
        <w:ind w:left="460"/>
        <w:spacing w:after="0" w:line="244" w:lineRule="auto"/>
        <w:rPr>
          <w:sz w:val="20"/>
          <w:szCs w:val="20"/>
          <w:color w:val="auto"/>
        </w:rPr>
      </w:pPr>
      <w:r>
        <w:rPr>
          <w:rFonts w:ascii="Times New Roman" w:cs="Times New Roman" w:eastAsia="Times New Roman" w:hAnsi="Times New Roman"/>
          <w:sz w:val="16"/>
          <w:szCs w:val="16"/>
          <w:color w:val="auto"/>
        </w:rPr>
        <w:t>at Fair Value”). All of the Company's portfolio investments are restricted as to resale, unless otherwise noted, and were valued at fair value as determined in good faith by the Company’s Board of Directors. (Refer to "Note 2—Significant Accounting Policies—</w:t>
      </w:r>
      <w:r>
        <w:rPr>
          <w:rFonts w:ascii="Times New Roman" w:cs="Times New Roman" w:eastAsia="Times New Roman" w:hAnsi="Times New Roman"/>
          <w:sz w:val="16"/>
          <w:szCs w:val="16"/>
          <w:i w:val="1"/>
          <w:iCs w:val="1"/>
          <w:color w:val="auto"/>
        </w:rPr>
        <w:t>Investments at Fair Value</w:t>
      </w:r>
      <w:r>
        <w:rPr>
          <w:rFonts w:ascii="Times New Roman" w:cs="Times New Roman" w:eastAsia="Times New Roman" w:hAnsi="Times New Roman"/>
          <w:sz w:val="16"/>
          <w:szCs w:val="16"/>
          <w:color w:val="auto"/>
        </w:rPr>
        <w:t>").</w:t>
      </w:r>
    </w:p>
    <w:p>
      <w:pPr>
        <w:spacing w:after="0" w:line="1" w:lineRule="exact"/>
        <w:rPr>
          <w:sz w:val="20"/>
          <w:szCs w:val="20"/>
          <w:color w:val="auto"/>
        </w:rPr>
      </w:pPr>
    </w:p>
    <w:p>
      <w:pPr>
        <w:ind w:left="460" w:hanging="457"/>
        <w:spacing w:after="0" w:line="242" w:lineRule="auto"/>
        <w:tabs>
          <w:tab w:leader="none" w:pos="348"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Indicates assets that SuRo Capital Corp. believes do not represent “qualifying assets” under Section 55(a) of the Investment Company Act of 1940, as amended (the “1940 Act”). Of the Company’s total investments as of June 30, 2022, 31.74% of its total investments are non-qualifying assets.</w:t>
      </w:r>
    </w:p>
    <w:p>
      <w:pPr>
        <w:ind w:left="400" w:hanging="397"/>
        <w:spacing w:after="0"/>
        <w:tabs>
          <w:tab w:leader="none" w:pos="40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Investment is income-producing.</w:t>
      </w:r>
    </w:p>
    <w:p>
      <w:pPr>
        <w:spacing w:after="0" w:line="225" w:lineRule="exact"/>
        <w:rPr>
          <w:sz w:val="20"/>
          <w:szCs w:val="20"/>
          <w:color w:val="auto"/>
        </w:rPr>
      </w:pPr>
    </w:p>
    <w:p>
      <w:pPr>
        <w:jc w:val="both"/>
        <w:ind w:left="460" w:hanging="457"/>
        <w:spacing w:after="0" w:line="310" w:lineRule="auto"/>
        <w:tabs>
          <w:tab w:leader="none" w:pos="4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“Affiliate Investments” are investments in those companies that are “Affiliated Companies” of SuRo Capital Corp., as defined in the 1940 Act. In general, a company is deemed to be an “Affiliate” of SuRo Capital Corp. if SuRo Capital Corp. owns 5% or more of the voting securities (</w:t>
      </w:r>
      <w:r>
        <w:rPr>
          <w:rFonts w:ascii="Times New Roman" w:cs="Times New Roman" w:eastAsia="Times New Roman" w:hAnsi="Times New Roman"/>
          <w:sz w:val="14"/>
          <w:szCs w:val="14"/>
          <w:i w:val="1"/>
          <w:iCs w:val="1"/>
          <w:color w:val="auto"/>
        </w:rPr>
        <w:t>i.e.</w:t>
      </w:r>
      <w:r>
        <w:rPr>
          <w:rFonts w:ascii="Times New Roman" w:cs="Times New Roman" w:eastAsia="Times New Roman" w:hAnsi="Times New Roman"/>
          <w:sz w:val="14"/>
          <w:szCs w:val="14"/>
          <w:color w:val="auto"/>
        </w:rPr>
        <w:t>, securities with the right to elect directors) of such company. For the Schedule of Investments In, and Advances To, Affiliates, as required by SEC Regulation S-X, Rule 12-14, refer to “Note 4—Investments at Fair Value”.</w:t>
      </w:r>
    </w:p>
    <w:p>
      <w:pPr>
        <w:spacing w:after="0" w:line="165" w:lineRule="exact"/>
        <w:rPr>
          <w:rFonts w:ascii="Times New Roman" w:cs="Times New Roman" w:eastAsia="Times New Roman" w:hAnsi="Times New Roman"/>
          <w:sz w:val="14"/>
          <w:szCs w:val="14"/>
          <w:color w:val="auto"/>
        </w:rPr>
      </w:pPr>
    </w:p>
    <w:p>
      <w:pPr>
        <w:jc w:val="both"/>
        <w:ind w:left="460" w:hanging="457"/>
        <w:spacing w:after="0" w:line="249" w:lineRule="auto"/>
        <w:tabs>
          <w:tab w:leader="none" w:pos="4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“Control Investments” are investments in those companies that are “Controlled Companies” of SuRo Capital Corp., as defined in the 1940 Act. In general, under the 1940 Act, the Company would “Control” a portfolio company if the Company owned more than 25% of its outstanding voting securities (i.e., securities with the right to elect directors) and/or had the power to exercise control over the management or policies of such portfolio company. For the Schedule of Investments In, and Advances To, Affiliates, as required by SEC Regulation S-X, Rule 12-14, refer to “Note 4—Investments at Fair Value”.</w:t>
      </w:r>
    </w:p>
    <w:p>
      <w:pPr>
        <w:spacing w:after="0" w:line="206" w:lineRule="exact"/>
        <w:rPr>
          <w:rFonts w:ascii="Times New Roman" w:cs="Times New Roman" w:eastAsia="Times New Roman" w:hAnsi="Times New Roman"/>
          <w:sz w:val="16"/>
          <w:szCs w:val="16"/>
          <w:color w:val="auto"/>
        </w:rPr>
      </w:pPr>
    </w:p>
    <w:p>
      <w:pPr>
        <w:ind w:left="460" w:hanging="457"/>
        <w:spacing w:after="0"/>
        <w:tabs>
          <w:tab w:leader="none" w:pos="4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Denotes an investment considered Level 1 or Level 2 and valued using observable inputs. Refer to “Note 4—Investments at Fair Value”.</w:t>
      </w:r>
    </w:p>
    <w:p>
      <w:pPr>
        <w:spacing w:after="0" w:line="242" w:lineRule="exact"/>
        <w:rPr>
          <w:rFonts w:ascii="Times New Roman" w:cs="Times New Roman" w:eastAsia="Times New Roman" w:hAnsi="Times New Roman"/>
          <w:sz w:val="16"/>
          <w:szCs w:val="16"/>
          <w:color w:val="auto"/>
        </w:rPr>
      </w:pPr>
    </w:p>
    <w:p>
      <w:pPr>
        <w:ind w:left="460" w:hanging="457"/>
        <w:spacing w:after="0"/>
        <w:tabs>
          <w:tab w:leader="none" w:pos="4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June 30, 2022, the investments noted had been placed on non-accrual status.</w:t>
      </w:r>
    </w:p>
    <w:p>
      <w:pPr>
        <w:spacing w:after="0" w:line="229" w:lineRule="exact"/>
        <w:rPr>
          <w:rFonts w:ascii="Times New Roman" w:cs="Times New Roman" w:eastAsia="Times New Roman" w:hAnsi="Times New Roman"/>
          <w:sz w:val="16"/>
          <w:szCs w:val="16"/>
          <w:color w:val="auto"/>
        </w:rPr>
      </w:pPr>
    </w:p>
    <w:p>
      <w:pPr>
        <w:ind w:left="460" w:hanging="457"/>
        <w:spacing w:after="0"/>
        <w:tabs>
          <w:tab w:leader="none" w:pos="4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SuRo Capital Corp.’s investments in StormWind, LLC are held through SuRo Capital Corp.'s wholly owned subsidiary, GSVC SW Holdings, Inc.</w:t>
      </w:r>
    </w:p>
    <w:p>
      <w:pPr>
        <w:spacing w:after="0" w:line="242" w:lineRule="exact"/>
        <w:rPr>
          <w:rFonts w:ascii="Times New Roman" w:cs="Times New Roman" w:eastAsia="Times New Roman" w:hAnsi="Times New Roman"/>
          <w:sz w:val="16"/>
          <w:szCs w:val="16"/>
          <w:color w:val="auto"/>
        </w:rPr>
      </w:pPr>
    </w:p>
    <w:p>
      <w:pPr>
        <w:ind w:left="460" w:hanging="457"/>
        <w:spacing w:after="0" w:line="260" w:lineRule="auto"/>
        <w:tabs>
          <w:tab w:leader="none" w:pos="4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SuRo Capital Corp.’s investments in preferred shares of Residential Homes for Rent, LLC (d/b/a Second Avenue) are held through SuRo Capital Corp.'s wholly owned subsidiary, GSVC AV Holdings, Inc.</w:t>
      </w:r>
    </w:p>
    <w:p>
      <w:pPr>
        <w:spacing w:after="0" w:line="196" w:lineRule="exact"/>
        <w:rPr>
          <w:rFonts w:ascii="Times New Roman" w:cs="Times New Roman" w:eastAsia="Times New Roman" w:hAnsi="Times New Roman"/>
          <w:sz w:val="16"/>
          <w:szCs w:val="16"/>
          <w:color w:val="auto"/>
        </w:rPr>
      </w:pPr>
    </w:p>
    <w:p>
      <w:pPr>
        <w:ind w:left="460" w:hanging="457"/>
        <w:spacing w:after="0" w:line="277" w:lineRule="auto"/>
        <w:tabs>
          <w:tab w:leader="none" w:pos="4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SuRo Capital Corp.’s investments in Commercial Streaming Solutions Inc. (d/b/a BettorView), YouBet Technology, Inc. (d/b/a PickUp), Rebric Inc. (d/b/a Compliable), and EDGE Markets, Inc. are held through SuRo Capital Corp.'s wholly owned subsidiary, SuRo Capital Sports, LLC ("SuRo Sports").</w:t>
      </w:r>
    </w:p>
    <w:p>
      <w:pPr>
        <w:spacing w:after="0" w:line="183" w:lineRule="exact"/>
        <w:rPr>
          <w:rFonts w:ascii="Times New Roman" w:cs="Times New Roman" w:eastAsia="Times New Roman" w:hAnsi="Times New Roman"/>
          <w:sz w:val="16"/>
          <w:szCs w:val="16"/>
          <w:color w:val="auto"/>
        </w:rPr>
      </w:pPr>
    </w:p>
    <w:p>
      <w:pPr>
        <w:ind w:left="460" w:hanging="457"/>
        <w:spacing w:after="0" w:line="277" w:lineRule="auto"/>
        <w:tabs>
          <w:tab w:leader="none" w:pos="4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SuRo Capital Corp.’s investments in True Global Ventures 4 Plus Pte Ltd are held through SuRo Capital Corp.'s wholly owned subsidiary, GSVC SVDS Holdings, Inc. As of June 30, 2022, $0.7 million of a $2.0 million capital commitment to True Global Ventures 4 Plus Fund LP had been called and funded.</w:t>
      </w:r>
    </w:p>
    <w:p>
      <w:pPr>
        <w:spacing w:after="0" w:line="183" w:lineRule="exact"/>
        <w:rPr>
          <w:rFonts w:ascii="Times New Roman" w:cs="Times New Roman" w:eastAsia="Times New Roman" w:hAnsi="Times New Roman"/>
          <w:sz w:val="16"/>
          <w:szCs w:val="16"/>
          <w:color w:val="auto"/>
        </w:rPr>
      </w:pPr>
    </w:p>
    <w:p>
      <w:pPr>
        <w:ind w:left="460" w:hanging="457"/>
        <w:spacing w:after="0" w:line="260" w:lineRule="auto"/>
        <w:tabs>
          <w:tab w:leader="none" w:pos="4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SPBRX, INC. (f/k/a GSV Sustainability Partners, Inc.) preferred shares held by SuRo Capital Corp. do not entitle SuRo Capital Corp. to a preferred dividend. SuRo Capital Corp. does not anticipate that SPBRX, INC. will pay distributions on a quarterly or regular basis or become a predictable distributor of distributions.</w:t>
      </w:r>
    </w:p>
    <w:p>
      <w:pPr>
        <w:spacing w:after="0" w:line="209" w:lineRule="exact"/>
        <w:rPr>
          <w:rFonts w:ascii="Times New Roman" w:cs="Times New Roman" w:eastAsia="Times New Roman" w:hAnsi="Times New Roman"/>
          <w:sz w:val="16"/>
          <w:szCs w:val="16"/>
          <w:color w:val="auto"/>
        </w:rPr>
      </w:pPr>
    </w:p>
    <w:p>
      <w:pPr>
        <w:jc w:val="both"/>
        <w:ind w:left="460" w:hanging="457"/>
        <w:spacing w:after="0" w:line="256" w:lineRule="auto"/>
        <w:tabs>
          <w:tab w:leader="none" w:pos="4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August 23, 2019, SuRo Capital Corp. amended the structure of its investment in OneValley, Inc. (f/k/a NestGSV, Inc.). As part of the agreement, SuRo Capital Corp.’s equity holdings (warrants notwithstanding) were restructured into a derivative security. OneValley, Inc. (f/k/a NestGSV, Inc.) has the right to call the position at any time over a five year period, while SuRo Capital Corp. can put the shares to OneValley, Inc. (f/k/a NestGSV, Inc.) at the end of the five year period.</w:t>
      </w:r>
    </w:p>
    <w:p>
      <w:pPr>
        <w:spacing w:after="0" w:line="200" w:lineRule="exact"/>
        <w:rPr>
          <w:rFonts w:ascii="Times New Roman" w:cs="Times New Roman" w:eastAsia="Times New Roman" w:hAnsi="Times New Roman"/>
          <w:sz w:val="16"/>
          <w:szCs w:val="16"/>
          <w:color w:val="auto"/>
        </w:rPr>
      </w:pPr>
    </w:p>
    <w:p>
      <w:pPr>
        <w:ind w:left="460" w:hanging="457"/>
        <w:spacing w:after="0"/>
        <w:tabs>
          <w:tab w:leader="none" w:pos="4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June 30, 2022, 512,290 Class A common shares remain in Palantir Lending Trust SPV I, none of which are subject to lock-up restrictions.</w:t>
      </w:r>
    </w:p>
    <w:p>
      <w:pPr>
        <w:spacing w:after="0" w:line="229" w:lineRule="exact"/>
        <w:rPr>
          <w:rFonts w:ascii="Times New Roman" w:cs="Times New Roman" w:eastAsia="Times New Roman" w:hAnsi="Times New Roman"/>
          <w:sz w:val="16"/>
          <w:szCs w:val="16"/>
          <w:color w:val="auto"/>
        </w:rPr>
      </w:pPr>
    </w:p>
    <w:p>
      <w:pPr>
        <w:jc w:val="both"/>
        <w:ind w:left="460" w:hanging="457"/>
        <w:spacing w:after="0" w:line="256" w:lineRule="auto"/>
        <w:tabs>
          <w:tab w:leader="none" w:pos="4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January 1, 2021, Treehouse Real Estate Investment Trust, Inc. completed its spin off of 34.4% of its assets into Aventine Property Group, Inc. During the six months ended June 30, 2022, Aventine Property Group, Inc. declared an aggregate of less than $0.1 million in dividend distributions. During the six months ended June 30, 2022, Treehouse Real Estate Investment Trust, Inc. declared an aggregate of less than $0.1 million in dividend distributions.</w:t>
      </w:r>
    </w:p>
    <w:p>
      <w:pPr>
        <w:spacing w:after="0" w:line="200" w:lineRule="exact"/>
        <w:rPr>
          <w:rFonts w:ascii="Times New Roman" w:cs="Times New Roman" w:eastAsia="Times New Roman" w:hAnsi="Times New Roman"/>
          <w:sz w:val="16"/>
          <w:szCs w:val="16"/>
          <w:color w:val="auto"/>
        </w:rPr>
      </w:pPr>
    </w:p>
    <w:p>
      <w:pPr>
        <w:jc w:val="both"/>
        <w:ind w:left="460" w:hanging="457"/>
        <w:spacing w:after="0" w:line="256" w:lineRule="auto"/>
        <w:tabs>
          <w:tab w:leader="none" w:pos="4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During the six months ended June 30, 2022, approximately $0.6 million has been received from Residential Homes for Rent, LLC (d/b/a Second Avenue) related to the 15% term loan due December 23, 2023. Of the proceeds received, approximately $0.5 million repaid a portion of the outstanding principal and the remaining was attributed to interest.</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ectPr>
          <w:pgSz w:w="11900" w:h="16838" w:orient="portrait"/>
          <w:cols w:equalWidth="0" w:num="1">
            <w:col w:w="11240"/>
          </w:cols>
          <w:pgMar w:left="320" w:top="118"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7"/>
          <w:szCs w:val="17"/>
          <w:b w:val="1"/>
          <w:bCs w:val="1"/>
          <w:color w:val="auto"/>
        </w:rPr>
        <w:t>SURO CAPITAL CORP.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SCHEDULE OF INVESTMENTS (UNAUDITED)- continued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June 30, 2022</w:t>
      </w:r>
    </w:p>
    <w:p>
      <w:pPr>
        <w:spacing w:after="0" w:line="230" w:lineRule="exact"/>
        <w:rPr>
          <w:sz w:val="20"/>
          <w:szCs w:val="20"/>
          <w:color w:val="auto"/>
        </w:rPr>
      </w:pPr>
    </w:p>
    <w:p>
      <w:pPr>
        <w:ind w:left="460" w:hanging="457"/>
        <w:spacing w:after="0" w:line="260" w:lineRule="auto"/>
        <w:tabs>
          <w:tab w:leader="none" w:pos="46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During the six months ended June 30, 2022, NewLake Capital Partners, Inc. (f/k/a GreenAcreage Real Estate Corp.) declared an aggregate of $0.2 million in dividend distributions.</w:t>
      </w:r>
    </w:p>
    <w:p>
      <w:pPr>
        <w:spacing w:after="0" w:line="209" w:lineRule="exact"/>
        <w:rPr>
          <w:rFonts w:ascii="Times New Roman" w:cs="Times New Roman" w:eastAsia="Times New Roman" w:hAnsi="Times New Roman"/>
          <w:sz w:val="16"/>
          <w:szCs w:val="16"/>
          <w:color w:val="auto"/>
        </w:rPr>
      </w:pPr>
    </w:p>
    <w:p>
      <w:pPr>
        <w:ind w:left="460" w:hanging="457"/>
        <w:spacing w:after="0" w:line="260" w:lineRule="auto"/>
        <w:tabs>
          <w:tab w:leader="none" w:pos="46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Denotes an investment that is the sponsor of a special purpose acquisition company formed for the purpose of effecting a merger, capital stock exchange, asset acquisition, stock purchase, reorganization or similar business combination with one or more businesses.</w:t>
      </w:r>
    </w:p>
    <w:p>
      <w:pPr>
        <w:spacing w:after="0" w:line="196" w:lineRule="exact"/>
        <w:rPr>
          <w:rFonts w:ascii="Times New Roman" w:cs="Times New Roman" w:eastAsia="Times New Roman" w:hAnsi="Times New Roman"/>
          <w:sz w:val="16"/>
          <w:szCs w:val="16"/>
          <w:color w:val="auto"/>
        </w:rPr>
      </w:pPr>
    </w:p>
    <w:p>
      <w:pPr>
        <w:ind w:left="460" w:hanging="457"/>
        <w:spacing w:after="0"/>
        <w:tabs>
          <w:tab w:leader="none" w:pos="46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June 30, 2022, Fullbridge, Inc.'s obligations under its financing arrangements with the Company became past due.</w:t>
      </w:r>
    </w:p>
    <w:p>
      <w:pPr>
        <w:spacing w:after="0" w:line="217" w:lineRule="exact"/>
        <w:rPr>
          <w:rFonts w:ascii="Times New Roman" w:cs="Times New Roman" w:eastAsia="Times New Roman" w:hAnsi="Times New Roman"/>
          <w:sz w:val="16"/>
          <w:szCs w:val="16"/>
          <w:color w:val="auto"/>
        </w:rPr>
      </w:pPr>
    </w:p>
    <w:p>
      <w:pPr>
        <w:jc w:val="both"/>
        <w:ind w:left="460" w:hanging="457"/>
        <w:spacing w:after="0" w:line="234" w:lineRule="auto"/>
        <w:tabs>
          <w:tab w:leader="none" w:pos="46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March 22, 2022, Forge Global Holdings, Inc., completed its business combination with Motive Capital Corp. As a result of the transaction, each share of Forge Global, Inc.'s capital stock outstanding prior to the business combination was exchanged at the designated exchange ratio of approximately 3.123. In addition, each warrant of Forge Global, Inc. was exchanged into warrants exercisable into common stock based on the exchange ratio of 3.123. The exercise price of each converted warrant was determined by dividing the exercise price of the respective Forge warrants by the exchange ratio, rounded to the nearest whole cent.</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ectPr>
          <w:pgSz w:w="11900" w:h="16838" w:orient="portrait"/>
          <w:cols w:equalWidth="0" w:num="1">
            <w:col w:w="11240"/>
          </w:cols>
          <w:pgMar w:left="320" w:top="118"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color w:val="0000FF"/>
        </w:rPr>
        <w:t>TABLE OF CONTENTS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SURO CAPITAL CORP.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SCHEDULE OF INVESTMENTS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December 31, 2021</w:t>
      </w:r>
    </w:p>
    <w:p>
      <w:pPr>
        <w:spacing w:after="0" w:line="96"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580" w:type="dxa"/>
            <w:vAlign w:val="bottom"/>
            <w:gridSpan w:val="14"/>
            <w:vMerge w:val="restart"/>
          </w:tcPr>
          <w:p>
            <w:pPr>
              <w:spacing w:after="0"/>
              <w:rPr>
                <w:sz w:val="20"/>
                <w:szCs w:val="20"/>
                <w:color w:val="auto"/>
              </w:rPr>
            </w:pPr>
            <w:r>
              <w:rPr>
                <w:rFonts w:ascii="Times New Roman" w:cs="Times New Roman" w:eastAsia="Times New Roman" w:hAnsi="Times New Roman"/>
                <w:sz w:val="14"/>
                <w:szCs w:val="14"/>
                <w:b w:val="1"/>
                <w:bCs w:val="1"/>
                <w:color w:val="auto"/>
              </w:rPr>
              <w:t>Portfolio Investments*</w:t>
            </w:r>
          </w:p>
        </w:tc>
        <w:tc>
          <w:tcPr>
            <w:tcW w:w="100" w:type="dxa"/>
            <w:vAlign w:val="bottom"/>
          </w:tcPr>
          <w:p>
            <w:pPr>
              <w:spacing w:after="0"/>
              <w:rPr>
                <w:sz w:val="13"/>
                <w:szCs w:val="13"/>
                <w:color w:val="auto"/>
              </w:rPr>
            </w:pPr>
          </w:p>
        </w:tc>
        <w:tc>
          <w:tcPr>
            <w:tcW w:w="20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6"/>
              </w:rPr>
              <w:t>Headquarters/</w:t>
            </w:r>
          </w:p>
        </w:tc>
        <w:tc>
          <w:tcPr>
            <w:tcW w:w="10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8"/>
              </w:rPr>
              <w:t>Date of Initial</w:t>
            </w:r>
          </w:p>
        </w:tc>
        <w:tc>
          <w:tcPr>
            <w:tcW w:w="140" w:type="dxa"/>
            <w:vAlign w:val="bottom"/>
          </w:tcPr>
          <w:p>
            <w:pPr>
              <w:spacing w:after="0"/>
              <w:rPr>
                <w:sz w:val="13"/>
                <w:szCs w:val="13"/>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4"/>
              </w:rPr>
              <w:t>Shares/</w:t>
            </w:r>
          </w:p>
        </w:tc>
        <w:tc>
          <w:tcPr>
            <w:tcW w:w="240" w:type="dxa"/>
            <w:vAlign w:val="bottom"/>
          </w:tcPr>
          <w:p>
            <w:pPr>
              <w:spacing w:after="0"/>
              <w:rPr>
                <w:sz w:val="13"/>
                <w:szCs w:val="13"/>
                <w:color w:val="auto"/>
              </w:rPr>
            </w:pPr>
          </w:p>
        </w:tc>
        <w:tc>
          <w:tcPr>
            <w:tcW w:w="9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40" w:type="dxa"/>
            <w:vAlign w:val="bottom"/>
          </w:tcPr>
          <w:p>
            <w:pPr>
              <w:spacing w:after="0"/>
              <w:rPr>
                <w:sz w:val="13"/>
                <w:szCs w:val="13"/>
                <w:color w:val="auto"/>
              </w:rPr>
            </w:pPr>
          </w:p>
        </w:tc>
        <w:tc>
          <w:tcPr>
            <w:tcW w:w="10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920" w:type="dxa"/>
            <w:vAlign w:val="bottom"/>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 of Net</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580" w:type="dxa"/>
            <w:vAlign w:val="bottom"/>
            <w:gridSpan w:val="14"/>
            <w:vMerge w:val="continue"/>
          </w:tcPr>
          <w:p>
            <w:pPr>
              <w:spacing w:after="0"/>
              <w:rPr>
                <w:sz w:val="16"/>
                <w:szCs w:val="16"/>
                <w:color w:val="auto"/>
              </w:rPr>
            </w:pPr>
          </w:p>
        </w:tc>
        <w:tc>
          <w:tcPr>
            <w:tcW w:w="100" w:type="dxa"/>
            <w:vAlign w:val="bottom"/>
          </w:tcPr>
          <w:p>
            <w:pPr>
              <w:spacing w:after="0"/>
              <w:rPr>
                <w:sz w:val="16"/>
                <w:szCs w:val="16"/>
                <w:color w:val="auto"/>
              </w:rPr>
            </w:pPr>
          </w:p>
        </w:tc>
        <w:tc>
          <w:tcPr>
            <w:tcW w:w="20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Industry</w:t>
            </w:r>
          </w:p>
        </w:tc>
        <w:tc>
          <w:tcPr>
            <w:tcW w:w="10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8"/>
              </w:rPr>
              <w:t>Investment</w:t>
            </w:r>
          </w:p>
        </w:tc>
        <w:tc>
          <w:tcPr>
            <w:tcW w:w="140" w:type="dxa"/>
            <w:vAlign w:val="bottom"/>
          </w:tcPr>
          <w:p>
            <w:pPr>
              <w:spacing w:after="0"/>
              <w:rPr>
                <w:sz w:val="16"/>
                <w:szCs w:val="16"/>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7"/>
              </w:rPr>
              <w:t>Principal</w:t>
            </w:r>
          </w:p>
        </w:tc>
        <w:tc>
          <w:tcPr>
            <w:tcW w:w="24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920" w:type="dxa"/>
            <w:vAlign w:val="bottom"/>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0" w:type="dxa"/>
            <w:vAlign w:val="bottom"/>
          </w:tcPr>
          <w:p>
            <w:pPr>
              <w:spacing w:after="0"/>
              <w:rPr>
                <w:sz w:val="1"/>
                <w:szCs w:val="1"/>
                <w:color w:val="auto"/>
              </w:rPr>
            </w:pPr>
          </w:p>
        </w:tc>
      </w:tr>
      <w:tr>
        <w:trPr>
          <w:trHeight w:val="193"/>
        </w:trPr>
        <w:tc>
          <w:tcPr>
            <w:tcW w:w="20" w:type="dxa"/>
            <w:vAlign w:val="bottom"/>
            <w:tcBorders>
              <w:top w:val="single" w:sz="8" w:color="auto"/>
            </w:tcBorders>
            <w:shd w:val="clear" w:color="auto" w:fill="CCEEFF"/>
          </w:tcPr>
          <w:p>
            <w:pPr>
              <w:spacing w:after="0"/>
              <w:rPr>
                <w:sz w:val="16"/>
                <w:szCs w:val="16"/>
                <w:color w:val="auto"/>
              </w:rPr>
            </w:pPr>
          </w:p>
        </w:tc>
        <w:tc>
          <w:tcPr>
            <w:tcW w:w="3580" w:type="dxa"/>
            <w:vAlign w:val="bottom"/>
            <w:tcBorders>
              <w:top w:val="single" w:sz="8" w:color="auto"/>
            </w:tcBorders>
            <w:gridSpan w:val="14"/>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NON-CONTROLLED/NON-AFFILIATE</w:t>
            </w:r>
          </w:p>
        </w:tc>
        <w:tc>
          <w:tcPr>
            <w:tcW w:w="100" w:type="dxa"/>
            <w:vAlign w:val="bottom"/>
            <w:tcBorders>
              <w:top w:val="single" w:sz="8" w:color="CCEEFF"/>
            </w:tcBorders>
            <w:shd w:val="clear" w:color="auto" w:fill="CCEEFF"/>
          </w:tcPr>
          <w:p>
            <w:pPr>
              <w:spacing w:after="0"/>
              <w:rPr>
                <w:sz w:val="16"/>
                <w:szCs w:val="16"/>
                <w:color w:val="auto"/>
              </w:rPr>
            </w:pPr>
          </w:p>
        </w:tc>
        <w:tc>
          <w:tcPr>
            <w:tcW w:w="19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580" w:type="dxa"/>
            <w:vAlign w:val="bottom"/>
            <w:gridSpan w:val="14"/>
          </w:tcPr>
          <w:p>
            <w:pPr>
              <w:spacing w:after="0" w:line="143" w:lineRule="exact"/>
              <w:rPr>
                <w:sz w:val="20"/>
                <w:szCs w:val="20"/>
                <w:color w:val="auto"/>
              </w:rPr>
            </w:pPr>
            <w:r>
              <w:rPr>
                <w:rFonts w:ascii="Times New Roman" w:cs="Times New Roman" w:eastAsia="Times New Roman" w:hAnsi="Times New Roman"/>
                <w:sz w:val="14"/>
                <w:szCs w:val="14"/>
                <w:b w:val="1"/>
                <w:bCs w:val="1"/>
                <w:color w:val="auto"/>
              </w:rPr>
              <w:t>Course Hero, Inc.</w:t>
            </w:r>
          </w:p>
        </w:tc>
        <w:tc>
          <w:tcPr>
            <w:tcW w:w="100" w:type="dxa"/>
            <w:vAlign w:val="bottom"/>
          </w:tcPr>
          <w:p>
            <w:pPr>
              <w:spacing w:after="0"/>
              <w:rPr>
                <w:sz w:val="12"/>
                <w:szCs w:val="12"/>
                <w:color w:val="auto"/>
              </w:rPr>
            </w:pPr>
          </w:p>
        </w:tc>
        <w:tc>
          <w:tcPr>
            <w:tcW w:w="2080" w:type="dxa"/>
            <w:vAlign w:val="bottom"/>
            <w:gridSpan w:val="2"/>
          </w:tcPr>
          <w:p>
            <w:pPr>
              <w:jc w:val="center"/>
              <w:ind w:right="120"/>
              <w:spacing w:after="0" w:line="143" w:lineRule="exact"/>
              <w:rPr>
                <w:sz w:val="20"/>
                <w:szCs w:val="20"/>
                <w:color w:val="auto"/>
              </w:rPr>
            </w:pPr>
            <w:r>
              <w:rPr>
                <w:rFonts w:ascii="Times New Roman" w:cs="Times New Roman" w:eastAsia="Times New Roman" w:hAnsi="Times New Roman"/>
                <w:sz w:val="14"/>
                <w:szCs w:val="14"/>
                <w:color w:val="auto"/>
                <w:w w:val="96"/>
              </w:rPr>
              <w:t>Redwood City, CA</w:t>
            </w: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shd w:val="clear" w:color="auto" w:fill="CCEEFF"/>
          </w:tcPr>
          <w:p>
            <w:pPr>
              <w:spacing w:after="0"/>
              <w:rPr>
                <w:sz w:val="16"/>
                <w:szCs w:val="16"/>
                <w:color w:val="auto"/>
              </w:rPr>
            </w:pPr>
          </w:p>
        </w:tc>
        <w:tc>
          <w:tcPr>
            <w:tcW w:w="3580" w:type="dxa"/>
            <w:vAlign w:val="bottom"/>
            <w:gridSpan w:val="14"/>
            <w:shd w:val="clear" w:color="auto" w:fill="CCEEFF"/>
          </w:tcPr>
          <w:p>
            <w:pPr>
              <w:spacing w:after="0"/>
              <w:rPr>
                <w:sz w:val="20"/>
                <w:szCs w:val="20"/>
                <w:color w:val="auto"/>
              </w:rPr>
            </w:pPr>
            <w:r>
              <w:rPr>
                <w:rFonts w:ascii="Times New Roman" w:cs="Times New Roman" w:eastAsia="Times New Roman" w:hAnsi="Times New Roman"/>
                <w:sz w:val="14"/>
                <w:szCs w:val="14"/>
                <w:color w:val="auto"/>
              </w:rPr>
              <w:t>Preferred shares, Series A 8%</w:t>
            </w:r>
          </w:p>
        </w:tc>
        <w:tc>
          <w:tcPr>
            <w:tcW w:w="100" w:type="dxa"/>
            <w:vAlign w:val="bottom"/>
            <w:shd w:val="clear" w:color="auto" w:fill="CCEEFF"/>
          </w:tcPr>
          <w:p>
            <w:pPr>
              <w:spacing w:after="0"/>
              <w:rPr>
                <w:sz w:val="16"/>
                <w:szCs w:val="16"/>
                <w:color w:val="auto"/>
              </w:rPr>
            </w:pPr>
          </w:p>
        </w:tc>
        <w:tc>
          <w:tcPr>
            <w:tcW w:w="20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w w:val="97"/>
              </w:rPr>
              <w:t>Online Education</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9/18/2014</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2,145,509</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5,000,001</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77,831,772</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21.33 %</w:t>
            </w:r>
          </w:p>
        </w:tc>
        <w:tc>
          <w:tcPr>
            <w:tcW w:w="0" w:type="dxa"/>
            <w:vAlign w:val="bottom"/>
          </w:tcPr>
          <w:p>
            <w:pPr>
              <w:spacing w:after="0"/>
              <w:rPr>
                <w:sz w:val="1"/>
                <w:szCs w:val="1"/>
                <w:color w:val="auto"/>
              </w:rPr>
            </w:pPr>
          </w:p>
        </w:tc>
      </w:tr>
      <w:tr>
        <w:trPr>
          <w:trHeight w:val="187"/>
        </w:trPr>
        <w:tc>
          <w:tcPr>
            <w:tcW w:w="20" w:type="dxa"/>
            <w:vAlign w:val="bottom"/>
            <w:tcBorders>
              <w:bottom w:val="single" w:sz="8" w:color="CCEEFF"/>
            </w:tcBorders>
          </w:tcPr>
          <w:p>
            <w:pPr>
              <w:spacing w:after="0"/>
              <w:rPr>
                <w:sz w:val="16"/>
                <w:szCs w:val="16"/>
                <w:color w:val="auto"/>
              </w:rPr>
            </w:pPr>
          </w:p>
        </w:tc>
        <w:tc>
          <w:tcPr>
            <w:tcW w:w="3580" w:type="dxa"/>
            <w:vAlign w:val="bottom"/>
            <w:tcBorders>
              <w:bottom w:val="single" w:sz="8" w:color="CCEEFF"/>
            </w:tcBorders>
            <w:gridSpan w:val="14"/>
          </w:tcPr>
          <w:p>
            <w:pPr>
              <w:spacing w:after="0"/>
              <w:rPr>
                <w:sz w:val="20"/>
                <w:szCs w:val="20"/>
                <w:color w:val="auto"/>
              </w:rPr>
            </w:pPr>
            <w:r>
              <w:rPr>
                <w:rFonts w:ascii="Times New Roman" w:cs="Times New Roman" w:eastAsia="Times New Roman" w:hAnsi="Times New Roman"/>
                <w:sz w:val="14"/>
                <w:szCs w:val="14"/>
                <w:color w:val="auto"/>
              </w:rPr>
              <w:t>Preferred shares, Series C 8%</w:t>
            </w:r>
          </w:p>
        </w:tc>
        <w:tc>
          <w:tcPr>
            <w:tcW w:w="100" w:type="dxa"/>
            <w:vAlign w:val="bottom"/>
            <w:tcBorders>
              <w:bottom w:val="single" w:sz="8" w:color="CCEEFF"/>
            </w:tcBorders>
          </w:tcPr>
          <w:p>
            <w:pPr>
              <w:spacing w:after="0"/>
              <w:rPr>
                <w:sz w:val="16"/>
                <w:szCs w:val="16"/>
                <w:color w:val="auto"/>
              </w:rPr>
            </w:pPr>
          </w:p>
        </w:tc>
        <w:tc>
          <w:tcPr>
            <w:tcW w:w="19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6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4"/>
                <w:szCs w:val="14"/>
                <w:color w:val="auto"/>
                <w:w w:val="98"/>
              </w:rPr>
              <w:t>11/5/2021</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8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275,659</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9,999,971</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9,999,971</w:t>
            </w:r>
          </w:p>
        </w:tc>
        <w:tc>
          <w:tcPr>
            <w:tcW w:w="10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2.74 %</w:t>
            </w:r>
          </w:p>
        </w:tc>
        <w:tc>
          <w:tcPr>
            <w:tcW w:w="0" w:type="dxa"/>
            <w:vAlign w:val="bottom"/>
          </w:tcPr>
          <w:p>
            <w:pPr>
              <w:spacing w:after="0"/>
              <w:rPr>
                <w:sz w:val="1"/>
                <w:szCs w:val="1"/>
                <w:color w:val="auto"/>
              </w:rPr>
            </w:pPr>
          </w:p>
        </w:tc>
      </w:tr>
      <w:tr>
        <w:trPr>
          <w:trHeight w:val="194"/>
        </w:trPr>
        <w:tc>
          <w:tcPr>
            <w:tcW w:w="20" w:type="dxa"/>
            <w:vAlign w:val="bottom"/>
            <w:shd w:val="clear" w:color="auto" w:fill="CCEEFF"/>
          </w:tcPr>
          <w:p>
            <w:pPr>
              <w:spacing w:after="0"/>
              <w:rPr>
                <w:sz w:val="16"/>
                <w:szCs w:val="16"/>
                <w:color w:val="auto"/>
              </w:rPr>
            </w:pPr>
          </w:p>
        </w:tc>
        <w:tc>
          <w:tcPr>
            <w:tcW w:w="3580" w:type="dxa"/>
            <w:vAlign w:val="bottom"/>
            <w:gridSpan w:val="14"/>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shd w:val="clear" w:color="auto" w:fill="CCEEFF"/>
          </w:tcPr>
          <w:p>
            <w:pPr>
              <w:spacing w:after="0"/>
              <w:rPr>
                <w:sz w:val="16"/>
                <w:szCs w:val="16"/>
                <w:color w:val="auto"/>
              </w:rPr>
            </w:pPr>
          </w:p>
        </w:tc>
        <w:tc>
          <w:tcPr>
            <w:tcW w:w="1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14,999,972</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87,831,743</w:t>
            </w:r>
          </w:p>
        </w:tc>
        <w:tc>
          <w:tcPr>
            <w:tcW w:w="100" w:type="dxa"/>
            <w:vAlign w:val="bottom"/>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24.07 %</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580" w:type="dxa"/>
            <w:vAlign w:val="bottom"/>
            <w:gridSpan w:val="14"/>
          </w:tcPr>
          <w:p>
            <w:pPr>
              <w:spacing w:after="0" w:line="123" w:lineRule="exact"/>
              <w:rPr>
                <w:sz w:val="20"/>
                <w:szCs w:val="20"/>
                <w:color w:val="auto"/>
              </w:rPr>
            </w:pPr>
            <w:r>
              <w:rPr>
                <w:rFonts w:ascii="Times New Roman" w:cs="Times New Roman" w:eastAsia="Times New Roman" w:hAnsi="Times New Roman"/>
                <w:sz w:val="14"/>
                <w:szCs w:val="14"/>
                <w:b w:val="1"/>
                <w:bCs w:val="1"/>
                <w:color w:val="auto"/>
              </w:rPr>
              <w:t>Forge Global, Inc.</w:t>
            </w:r>
          </w:p>
        </w:tc>
        <w:tc>
          <w:tcPr>
            <w:tcW w:w="100" w:type="dxa"/>
            <w:vAlign w:val="bottom"/>
          </w:tcPr>
          <w:p>
            <w:pPr>
              <w:spacing w:after="0"/>
              <w:rPr>
                <w:sz w:val="10"/>
                <w:szCs w:val="10"/>
                <w:color w:val="auto"/>
              </w:rPr>
            </w:pPr>
          </w:p>
        </w:tc>
        <w:tc>
          <w:tcPr>
            <w:tcW w:w="2080" w:type="dxa"/>
            <w:vAlign w:val="bottom"/>
            <w:gridSpan w:val="2"/>
          </w:tcPr>
          <w:p>
            <w:pPr>
              <w:jc w:val="center"/>
              <w:ind w:right="120"/>
              <w:spacing w:after="0" w:line="123" w:lineRule="exact"/>
              <w:rPr>
                <w:sz w:val="20"/>
                <w:szCs w:val="20"/>
                <w:color w:val="auto"/>
              </w:rPr>
            </w:pPr>
            <w:r>
              <w:rPr>
                <w:rFonts w:ascii="Times New Roman" w:cs="Times New Roman" w:eastAsia="Times New Roman" w:hAnsi="Times New Roman"/>
                <w:sz w:val="14"/>
                <w:szCs w:val="14"/>
                <w:color w:val="auto"/>
                <w:w w:val="98"/>
              </w:rPr>
              <w:t>San Francisco, CA</w:t>
            </w: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Borders>
              <w:bottom w:val="single" w:sz="8" w:color="CCEEFF"/>
            </w:tcBorders>
            <w:shd w:val="clear" w:color="auto" w:fill="CCEEFF"/>
          </w:tcPr>
          <w:p>
            <w:pPr>
              <w:spacing w:after="0"/>
              <w:rPr>
                <w:sz w:val="17"/>
                <w:szCs w:val="17"/>
                <w:color w:val="auto"/>
              </w:rPr>
            </w:pPr>
          </w:p>
        </w:tc>
        <w:tc>
          <w:tcPr>
            <w:tcW w:w="3580" w:type="dxa"/>
            <w:vAlign w:val="bottom"/>
            <w:tcBorders>
              <w:bottom w:val="single" w:sz="8" w:color="CCEEFF"/>
            </w:tcBorders>
            <w:gridSpan w:val="14"/>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Common shares, Class AA</w:t>
            </w:r>
          </w:p>
        </w:tc>
        <w:tc>
          <w:tcPr>
            <w:tcW w:w="100" w:type="dxa"/>
            <w:vAlign w:val="bottom"/>
            <w:tcBorders>
              <w:bottom w:val="single" w:sz="8" w:color="CCEEFF"/>
            </w:tcBorders>
            <w:shd w:val="clear" w:color="auto" w:fill="CCEEFF"/>
          </w:tcPr>
          <w:p>
            <w:pPr>
              <w:spacing w:after="0"/>
              <w:rPr>
                <w:sz w:val="17"/>
                <w:szCs w:val="17"/>
                <w:color w:val="auto"/>
              </w:rPr>
            </w:pPr>
          </w:p>
        </w:tc>
        <w:tc>
          <w:tcPr>
            <w:tcW w:w="20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w w:val="97"/>
              </w:rPr>
              <w:t>Online Marketplace Finance</w:t>
            </w:r>
          </w:p>
        </w:tc>
        <w:tc>
          <w:tcPr>
            <w:tcW w:w="9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7/20/2011</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625,520</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266,507</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16,430,555</w:t>
            </w:r>
          </w:p>
        </w:tc>
        <w:tc>
          <w:tcPr>
            <w:tcW w:w="1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4.50 %</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580" w:type="dxa"/>
            <w:vAlign w:val="bottom"/>
            <w:gridSpan w:val="14"/>
          </w:tcPr>
          <w:p>
            <w:pPr>
              <w:spacing w:after="0"/>
              <w:rPr>
                <w:sz w:val="20"/>
                <w:szCs w:val="20"/>
                <w:color w:val="auto"/>
              </w:rPr>
            </w:pPr>
            <w:r>
              <w:rPr>
                <w:rFonts w:ascii="Times New Roman" w:cs="Times New Roman" w:eastAsia="Times New Roman" w:hAnsi="Times New Roman"/>
                <w:sz w:val="14"/>
                <w:szCs w:val="14"/>
                <w:color w:val="auto"/>
              </w:rPr>
              <w:t>Junior Preferred shares</w:t>
            </w:r>
          </w:p>
        </w:tc>
        <w:tc>
          <w:tcPr>
            <w:tcW w:w="10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7/19/2011</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160,534</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2,259,716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4,216,752</w:t>
            </w: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1.16 %</w:t>
            </w:r>
          </w:p>
        </w:tc>
        <w:tc>
          <w:tcPr>
            <w:tcW w:w="0" w:type="dxa"/>
            <w:vAlign w:val="bottom"/>
          </w:tcPr>
          <w:p>
            <w:pPr>
              <w:spacing w:after="0"/>
              <w:rPr>
                <w:sz w:val="1"/>
                <w:szCs w:val="1"/>
                <w:color w:val="auto"/>
              </w:rPr>
            </w:pPr>
          </w:p>
        </w:tc>
      </w:tr>
      <w:tr>
        <w:trPr>
          <w:trHeight w:val="150"/>
        </w:trPr>
        <w:tc>
          <w:tcPr>
            <w:tcW w:w="20" w:type="dxa"/>
            <w:vAlign w:val="bottom"/>
            <w:shd w:val="clear" w:color="auto" w:fill="CCEEFF"/>
          </w:tcPr>
          <w:p>
            <w:pPr>
              <w:spacing w:after="0"/>
              <w:rPr>
                <w:sz w:val="13"/>
                <w:szCs w:val="13"/>
                <w:color w:val="auto"/>
              </w:rPr>
            </w:pPr>
          </w:p>
        </w:tc>
        <w:tc>
          <w:tcPr>
            <w:tcW w:w="3580" w:type="dxa"/>
            <w:vAlign w:val="bottom"/>
            <w:gridSpan w:val="14"/>
            <w:shd w:val="clear" w:color="auto" w:fill="CCEEFF"/>
          </w:tcPr>
          <w:p>
            <w:pPr>
              <w:spacing w:after="0" w:line="150" w:lineRule="exact"/>
              <w:rPr>
                <w:sz w:val="20"/>
                <w:szCs w:val="20"/>
                <w:color w:val="auto"/>
              </w:rPr>
            </w:pPr>
            <w:r>
              <w:rPr>
                <w:rFonts w:ascii="Times New Roman" w:cs="Times New Roman" w:eastAsia="Times New Roman" w:hAnsi="Times New Roman"/>
                <w:sz w:val="14"/>
                <w:szCs w:val="14"/>
                <w:color w:val="auto"/>
              </w:rPr>
              <w:t>Junior Preferred warrants, Strike Price $12.42, Expiration Date</w:t>
            </w:r>
          </w:p>
        </w:tc>
        <w:tc>
          <w:tcPr>
            <w:tcW w:w="100" w:type="dxa"/>
            <w:vAlign w:val="bottom"/>
            <w:shd w:val="clear" w:color="auto" w:fill="CCEEFF"/>
          </w:tcPr>
          <w:p>
            <w:pPr>
              <w:spacing w:after="0"/>
              <w:rPr>
                <w:sz w:val="13"/>
                <w:szCs w:val="13"/>
                <w:color w:val="auto"/>
              </w:rPr>
            </w:pPr>
          </w:p>
        </w:tc>
        <w:tc>
          <w:tcPr>
            <w:tcW w:w="1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7/19/2011</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73,695</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3"/>
                <w:szCs w:val="13"/>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368,474</w:t>
            </w:r>
          </w:p>
        </w:tc>
        <w:tc>
          <w:tcPr>
            <w:tcW w:w="10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0.10 %</w:t>
            </w:r>
          </w:p>
        </w:tc>
        <w:tc>
          <w:tcPr>
            <w:tcW w:w="0" w:type="dxa"/>
            <w:vAlign w:val="bottom"/>
          </w:tcPr>
          <w:p>
            <w:pPr>
              <w:spacing w:after="0"/>
              <w:rPr>
                <w:sz w:val="1"/>
                <w:szCs w:val="1"/>
                <w:color w:val="auto"/>
              </w:rPr>
            </w:pPr>
          </w:p>
        </w:tc>
      </w:tr>
      <w:tr>
        <w:trPr>
          <w:trHeight w:val="194"/>
        </w:trPr>
        <w:tc>
          <w:tcPr>
            <w:tcW w:w="8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11/9/2025</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6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tcBorders>
              <w:bottom w:val="single" w:sz="8" w:color="CCEEFF"/>
            </w:tcBorders>
          </w:tcPr>
          <w:p>
            <w:pPr>
              <w:spacing w:after="0"/>
              <w:rPr>
                <w:sz w:val="15"/>
                <w:szCs w:val="15"/>
                <w:color w:val="auto"/>
              </w:rPr>
            </w:pPr>
          </w:p>
        </w:tc>
        <w:tc>
          <w:tcPr>
            <w:tcW w:w="3580" w:type="dxa"/>
            <w:vAlign w:val="bottom"/>
            <w:tcBorders>
              <w:bottom w:val="single" w:sz="8" w:color="CCEEFF"/>
            </w:tcBorders>
            <w:gridSpan w:val="14"/>
          </w:tcPr>
          <w:p>
            <w:pPr>
              <w:ind w:left="120"/>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tcBorders>
              <w:bottom w:val="single" w:sz="8" w:color="CCEEFF"/>
            </w:tcBorders>
          </w:tcPr>
          <w:p>
            <w:pPr>
              <w:spacing w:after="0"/>
              <w:rPr>
                <w:sz w:val="15"/>
                <w:szCs w:val="15"/>
                <w:color w:val="auto"/>
              </w:rPr>
            </w:pPr>
          </w:p>
        </w:tc>
        <w:tc>
          <w:tcPr>
            <w:tcW w:w="19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96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40" w:type="dxa"/>
            <w:vAlign w:val="bottom"/>
            <w:tcBorders>
              <w:top w:val="single" w:sz="8" w:color="CCEEFF"/>
              <w:bottom w:val="single" w:sz="8" w:color="CCEEFF"/>
            </w:tcBorders>
          </w:tcPr>
          <w:p>
            <w:pPr>
              <w:spacing w:after="0"/>
              <w:rPr>
                <w:sz w:val="15"/>
                <w:szCs w:val="15"/>
                <w:color w:val="auto"/>
              </w:rPr>
            </w:pPr>
          </w:p>
        </w:tc>
        <w:tc>
          <w:tcPr>
            <w:tcW w:w="820" w:type="dxa"/>
            <w:vAlign w:val="bottom"/>
            <w:tcBorders>
              <w:top w:val="single" w:sz="8" w:color="CCEEFF"/>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2,526,223</w:t>
            </w:r>
          </w:p>
        </w:tc>
        <w:tc>
          <w:tcPr>
            <w:tcW w:w="10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21,015,781</w:t>
            </w:r>
          </w:p>
        </w:tc>
        <w:tc>
          <w:tcPr>
            <w:tcW w:w="100" w:type="dxa"/>
            <w:vAlign w:val="bottom"/>
            <w:tcBorders>
              <w:bottom w:val="single" w:sz="8" w:color="CCEEFF"/>
            </w:tcBorders>
          </w:tcPr>
          <w:p>
            <w:pPr>
              <w:spacing w:after="0"/>
              <w:rPr>
                <w:sz w:val="15"/>
                <w:szCs w:val="15"/>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5.76 %</w:t>
            </w:r>
          </w:p>
        </w:tc>
        <w:tc>
          <w:tcPr>
            <w:tcW w:w="0" w:type="dxa"/>
            <w:vAlign w:val="bottom"/>
          </w:tcPr>
          <w:p>
            <w:pPr>
              <w:spacing w:after="0"/>
              <w:rPr>
                <w:sz w:val="1"/>
                <w:szCs w:val="1"/>
                <w:color w:val="auto"/>
              </w:rPr>
            </w:pPr>
          </w:p>
        </w:tc>
      </w:tr>
      <w:tr>
        <w:trPr>
          <w:trHeight w:val="142"/>
        </w:trPr>
        <w:tc>
          <w:tcPr>
            <w:tcW w:w="20" w:type="dxa"/>
            <w:vAlign w:val="bottom"/>
            <w:shd w:val="clear" w:color="auto" w:fill="CCEEFF"/>
          </w:tcPr>
          <w:p>
            <w:pPr>
              <w:spacing w:after="0"/>
              <w:rPr>
                <w:sz w:val="12"/>
                <w:szCs w:val="12"/>
                <w:color w:val="auto"/>
              </w:rPr>
            </w:pPr>
          </w:p>
        </w:tc>
        <w:tc>
          <w:tcPr>
            <w:tcW w:w="3580" w:type="dxa"/>
            <w:vAlign w:val="bottom"/>
            <w:gridSpan w:val="14"/>
            <w:shd w:val="clear" w:color="auto" w:fill="CCEEFF"/>
          </w:tcPr>
          <w:p>
            <w:pPr>
              <w:spacing w:after="0" w:line="143" w:lineRule="exact"/>
              <w:rPr>
                <w:sz w:val="20"/>
                <w:szCs w:val="20"/>
                <w:color w:val="auto"/>
              </w:rPr>
            </w:pPr>
            <w:r>
              <w:rPr>
                <w:rFonts w:ascii="Times New Roman" w:cs="Times New Roman" w:eastAsia="Times New Roman" w:hAnsi="Times New Roman"/>
                <w:sz w:val="14"/>
                <w:szCs w:val="14"/>
                <w:b w:val="1"/>
                <w:bCs w:val="1"/>
                <w:color w:val="auto"/>
              </w:rPr>
              <w:t>Blink Health, Inc.</w:t>
            </w:r>
          </w:p>
        </w:tc>
        <w:tc>
          <w:tcPr>
            <w:tcW w:w="100" w:type="dxa"/>
            <w:vAlign w:val="bottom"/>
            <w:shd w:val="clear" w:color="auto" w:fill="CCEEFF"/>
          </w:tcPr>
          <w:p>
            <w:pPr>
              <w:spacing w:after="0"/>
              <w:rPr>
                <w:sz w:val="12"/>
                <w:szCs w:val="12"/>
                <w:color w:val="auto"/>
              </w:rPr>
            </w:pPr>
          </w:p>
        </w:tc>
        <w:tc>
          <w:tcPr>
            <w:tcW w:w="1980" w:type="dxa"/>
            <w:vAlign w:val="bottom"/>
            <w:shd w:val="clear" w:color="auto" w:fill="CCEEFF"/>
          </w:tcPr>
          <w:p>
            <w:pPr>
              <w:jc w:val="center"/>
              <w:spacing w:after="0" w:line="143" w:lineRule="exact"/>
              <w:rPr>
                <w:sz w:val="20"/>
                <w:szCs w:val="20"/>
                <w:color w:val="auto"/>
              </w:rPr>
            </w:pPr>
            <w:r>
              <w:rPr>
                <w:rFonts w:ascii="Times New Roman" w:cs="Times New Roman" w:eastAsia="Times New Roman" w:hAnsi="Times New Roman"/>
                <w:sz w:val="14"/>
                <w:szCs w:val="14"/>
                <w:color w:val="auto"/>
                <w:w w:val="97"/>
              </w:rPr>
              <w:t>New York, NY</w:t>
            </w: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2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auto"/>
            </w:tcBorders>
            <w:shd w:val="clear" w:color="auto" w:fill="CCEEFF"/>
          </w:tcPr>
          <w:p>
            <w:pPr>
              <w:spacing w:after="0"/>
              <w:rPr>
                <w:sz w:val="2"/>
                <w:szCs w:val="2"/>
                <w:color w:val="auto"/>
              </w:rPr>
            </w:pPr>
          </w:p>
        </w:tc>
        <w:tc>
          <w:tcPr>
            <w:tcW w:w="260" w:type="dxa"/>
            <w:vAlign w:val="bottom"/>
            <w:tcBorders>
              <w:top w:val="single" w:sz="8" w:color="auto"/>
            </w:tcBorders>
            <w:shd w:val="clear" w:color="auto" w:fill="CCEEFF"/>
          </w:tcPr>
          <w:p>
            <w:pPr>
              <w:spacing w:after="0"/>
              <w:rPr>
                <w:sz w:val="2"/>
                <w:szCs w:val="2"/>
                <w:color w:val="auto"/>
              </w:rPr>
            </w:pPr>
          </w:p>
        </w:tc>
        <w:tc>
          <w:tcPr>
            <w:tcW w:w="80" w:type="dxa"/>
            <w:vAlign w:val="bottom"/>
            <w:tcBorders>
              <w:top w:val="single" w:sz="8" w:color="auto"/>
            </w:tcBorders>
            <w:shd w:val="clear" w:color="auto" w:fill="CCEEFF"/>
          </w:tcPr>
          <w:p>
            <w:pPr>
              <w:spacing w:after="0"/>
              <w:rPr>
                <w:sz w:val="2"/>
                <w:szCs w:val="2"/>
                <w:color w:val="auto"/>
              </w:rPr>
            </w:pPr>
          </w:p>
        </w:tc>
        <w:tc>
          <w:tcPr>
            <w:tcW w:w="160" w:type="dxa"/>
            <w:vAlign w:val="bottom"/>
            <w:tcBorders>
              <w:top w:val="single" w:sz="8" w:color="auto"/>
            </w:tcBorders>
            <w:shd w:val="clear" w:color="auto" w:fill="CCEEFF"/>
          </w:tcPr>
          <w:p>
            <w:pPr>
              <w:spacing w:after="0"/>
              <w:rPr>
                <w:sz w:val="2"/>
                <w:szCs w:val="2"/>
                <w:color w:val="auto"/>
              </w:rPr>
            </w:pPr>
          </w:p>
        </w:tc>
        <w:tc>
          <w:tcPr>
            <w:tcW w:w="20" w:type="dxa"/>
            <w:vAlign w:val="bottom"/>
            <w:tcBorders>
              <w:top w:val="single" w:sz="8" w:color="auto"/>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12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9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9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9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9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tcPr>
          <w:p>
            <w:pPr>
              <w:spacing w:after="0"/>
              <w:rPr>
                <w:sz w:val="16"/>
                <w:szCs w:val="16"/>
                <w:color w:val="auto"/>
              </w:rPr>
            </w:pPr>
          </w:p>
        </w:tc>
        <w:tc>
          <w:tcPr>
            <w:tcW w:w="3580" w:type="dxa"/>
            <w:vAlign w:val="bottom"/>
            <w:gridSpan w:val="14"/>
          </w:tcPr>
          <w:p>
            <w:pPr>
              <w:spacing w:after="0"/>
              <w:rPr>
                <w:sz w:val="20"/>
                <w:szCs w:val="20"/>
                <w:color w:val="auto"/>
              </w:rPr>
            </w:pPr>
            <w:r>
              <w:rPr>
                <w:rFonts w:ascii="Times New Roman" w:cs="Times New Roman" w:eastAsia="Times New Roman" w:hAnsi="Times New Roman"/>
                <w:sz w:val="14"/>
                <w:szCs w:val="14"/>
                <w:color w:val="auto"/>
              </w:rPr>
              <w:t>Preferred shares, Series A</w:t>
            </w:r>
          </w:p>
        </w:tc>
        <w:tc>
          <w:tcPr>
            <w:tcW w:w="100" w:type="dxa"/>
            <w:vAlign w:val="bottom"/>
          </w:tcPr>
          <w:p>
            <w:pPr>
              <w:spacing w:after="0"/>
              <w:rPr>
                <w:sz w:val="16"/>
                <w:szCs w:val="16"/>
                <w:color w:val="auto"/>
              </w:rPr>
            </w:pPr>
          </w:p>
        </w:tc>
        <w:tc>
          <w:tcPr>
            <w:tcW w:w="20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w w:val="96"/>
              </w:rPr>
              <w:t>Pharmaceutical Technology</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10/27/2020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238,095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5,000,423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4,315,552</w:t>
            </w: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1.18 %</w:t>
            </w:r>
          </w:p>
        </w:tc>
        <w:tc>
          <w:tcPr>
            <w:tcW w:w="0" w:type="dxa"/>
            <w:vAlign w:val="bottom"/>
          </w:tcPr>
          <w:p>
            <w:pPr>
              <w:spacing w:after="0"/>
              <w:rPr>
                <w:sz w:val="1"/>
                <w:szCs w:val="1"/>
                <w:color w:val="auto"/>
              </w:rPr>
            </w:pPr>
          </w:p>
        </w:tc>
      </w:tr>
      <w:tr>
        <w:trPr>
          <w:trHeight w:val="202"/>
        </w:trPr>
        <w:tc>
          <w:tcPr>
            <w:tcW w:w="20" w:type="dxa"/>
            <w:vAlign w:val="bottom"/>
            <w:shd w:val="clear" w:color="auto" w:fill="CCEEFF"/>
          </w:tcPr>
          <w:p>
            <w:pPr>
              <w:spacing w:after="0"/>
              <w:rPr>
                <w:sz w:val="17"/>
                <w:szCs w:val="17"/>
                <w:color w:val="auto"/>
              </w:rPr>
            </w:pPr>
          </w:p>
        </w:tc>
        <w:tc>
          <w:tcPr>
            <w:tcW w:w="3580" w:type="dxa"/>
            <w:vAlign w:val="bottom"/>
            <w:gridSpan w:val="14"/>
            <w:shd w:val="clear" w:color="auto" w:fill="CCEEFF"/>
          </w:tcPr>
          <w:p>
            <w:pPr>
              <w:spacing w:after="0"/>
              <w:rPr>
                <w:sz w:val="20"/>
                <w:szCs w:val="20"/>
                <w:color w:val="auto"/>
              </w:rPr>
            </w:pPr>
            <w:r>
              <w:rPr>
                <w:rFonts w:ascii="Times New Roman" w:cs="Times New Roman" w:eastAsia="Times New Roman" w:hAnsi="Times New Roman"/>
                <w:sz w:val="14"/>
                <w:szCs w:val="14"/>
                <w:color w:val="auto"/>
              </w:rPr>
              <w:t>Preferred shares, Series C</w:t>
            </w:r>
          </w:p>
        </w:tc>
        <w:tc>
          <w:tcPr>
            <w:tcW w:w="100" w:type="dxa"/>
            <w:vAlign w:val="bottom"/>
            <w:shd w:val="clear" w:color="auto" w:fill="CCEEFF"/>
          </w:tcPr>
          <w:p>
            <w:pPr>
              <w:spacing w:after="0"/>
              <w:rPr>
                <w:sz w:val="17"/>
                <w:szCs w:val="17"/>
                <w:color w:val="auto"/>
              </w:rPr>
            </w:pPr>
          </w:p>
        </w:tc>
        <w:tc>
          <w:tcPr>
            <w:tcW w:w="1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10/27/2020</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261,944</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10,003,917</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9,999,974</w:t>
            </w:r>
          </w:p>
        </w:tc>
        <w:tc>
          <w:tcPr>
            <w:tcW w:w="100" w:type="dxa"/>
            <w:vAlign w:val="bottom"/>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2.74 %</w:t>
            </w:r>
          </w:p>
        </w:tc>
        <w:tc>
          <w:tcPr>
            <w:tcW w:w="0" w:type="dxa"/>
            <w:vAlign w:val="bottom"/>
          </w:tcPr>
          <w:p>
            <w:pPr>
              <w:spacing w:after="0"/>
              <w:rPr>
                <w:sz w:val="1"/>
                <w:szCs w:val="1"/>
                <w:color w:val="auto"/>
              </w:rPr>
            </w:pPr>
          </w:p>
        </w:tc>
      </w:tr>
      <w:tr>
        <w:trPr>
          <w:trHeight w:val="180"/>
        </w:trPr>
        <w:tc>
          <w:tcPr>
            <w:tcW w:w="20" w:type="dxa"/>
            <w:vAlign w:val="bottom"/>
            <w:tcBorders>
              <w:bottom w:val="single" w:sz="8" w:color="CCEEFF"/>
            </w:tcBorders>
          </w:tcPr>
          <w:p>
            <w:pPr>
              <w:spacing w:after="0"/>
              <w:rPr>
                <w:sz w:val="15"/>
                <w:szCs w:val="15"/>
                <w:color w:val="auto"/>
              </w:rPr>
            </w:pPr>
          </w:p>
        </w:tc>
        <w:tc>
          <w:tcPr>
            <w:tcW w:w="3580" w:type="dxa"/>
            <w:vAlign w:val="bottom"/>
            <w:tcBorders>
              <w:bottom w:val="single" w:sz="8" w:color="CCEEFF"/>
            </w:tcBorders>
            <w:gridSpan w:val="14"/>
          </w:tcPr>
          <w:p>
            <w:pPr>
              <w:ind w:left="120"/>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tcBorders>
              <w:bottom w:val="single" w:sz="8" w:color="CCEEFF"/>
            </w:tcBorders>
          </w:tcPr>
          <w:p>
            <w:pPr>
              <w:spacing w:after="0"/>
              <w:rPr>
                <w:sz w:val="15"/>
                <w:szCs w:val="15"/>
                <w:color w:val="auto"/>
              </w:rPr>
            </w:pPr>
          </w:p>
        </w:tc>
        <w:tc>
          <w:tcPr>
            <w:tcW w:w="19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96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8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15,004,340</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14,315,526</w:t>
            </w:r>
          </w:p>
        </w:tc>
        <w:tc>
          <w:tcPr>
            <w:tcW w:w="10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3.92 %</w:t>
            </w:r>
          </w:p>
        </w:tc>
        <w:tc>
          <w:tcPr>
            <w:tcW w:w="0" w:type="dxa"/>
            <w:vAlign w:val="bottom"/>
          </w:tcPr>
          <w:p>
            <w:pPr>
              <w:spacing w:after="0"/>
              <w:rPr>
                <w:sz w:val="1"/>
                <w:szCs w:val="1"/>
                <w:color w:val="auto"/>
              </w:rPr>
            </w:pPr>
          </w:p>
        </w:tc>
      </w:tr>
      <w:tr>
        <w:trPr>
          <w:trHeight w:val="161"/>
        </w:trPr>
        <w:tc>
          <w:tcPr>
            <w:tcW w:w="20" w:type="dxa"/>
            <w:vAlign w:val="bottom"/>
            <w:shd w:val="clear" w:color="auto" w:fill="CCEEFF"/>
          </w:tcPr>
          <w:p>
            <w:pPr>
              <w:spacing w:after="0"/>
              <w:rPr>
                <w:sz w:val="14"/>
                <w:szCs w:val="14"/>
                <w:color w:val="auto"/>
              </w:rPr>
            </w:pPr>
          </w:p>
        </w:tc>
        <w:tc>
          <w:tcPr>
            <w:tcW w:w="3580" w:type="dxa"/>
            <w:vAlign w:val="bottom"/>
            <w:gridSpan w:val="14"/>
            <w:shd w:val="clear" w:color="auto" w:fill="CCEEFF"/>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Nextdoor Holdings, Inc.**</w:t>
            </w:r>
          </w:p>
        </w:tc>
        <w:tc>
          <w:tcPr>
            <w:tcW w:w="100" w:type="dxa"/>
            <w:vAlign w:val="bottom"/>
            <w:shd w:val="clear" w:color="auto" w:fill="CCEEFF"/>
          </w:tcPr>
          <w:p>
            <w:pPr>
              <w:spacing w:after="0"/>
              <w:rPr>
                <w:sz w:val="14"/>
                <w:szCs w:val="14"/>
                <w:color w:val="auto"/>
              </w:rPr>
            </w:pPr>
          </w:p>
        </w:tc>
        <w:tc>
          <w:tcPr>
            <w:tcW w:w="2080" w:type="dxa"/>
            <w:vAlign w:val="bottom"/>
            <w:gridSpan w:val="2"/>
            <w:shd w:val="clear" w:color="auto" w:fill="CCEEFF"/>
          </w:tcPr>
          <w:p>
            <w:pPr>
              <w:jc w:val="center"/>
              <w:ind w:right="120"/>
              <w:spacing w:after="0" w:line="129" w:lineRule="exact"/>
              <w:rPr>
                <w:sz w:val="20"/>
                <w:szCs w:val="20"/>
                <w:color w:val="auto"/>
              </w:rPr>
            </w:pPr>
            <w:r>
              <w:rPr>
                <w:rFonts w:ascii="Times New Roman" w:cs="Times New Roman" w:eastAsia="Times New Roman" w:hAnsi="Times New Roman"/>
                <w:sz w:val="14"/>
                <w:szCs w:val="14"/>
                <w:color w:val="auto"/>
                <w:w w:val="98"/>
              </w:rPr>
              <w:t>San Francisco, CA</w:t>
            </w: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0" w:type="dxa"/>
            <w:vAlign w:val="bottom"/>
            <w:tcBorders>
              <w:top w:val="single" w:sz="8" w:color="CCEEFF"/>
            </w:tcBorders>
          </w:tcPr>
          <w:p>
            <w:pPr>
              <w:spacing w:after="0"/>
              <w:rPr>
                <w:sz w:val="16"/>
                <w:szCs w:val="16"/>
                <w:color w:val="auto"/>
              </w:rPr>
            </w:pPr>
          </w:p>
        </w:tc>
        <w:tc>
          <w:tcPr>
            <w:tcW w:w="1400" w:type="dxa"/>
            <w:vAlign w:val="bottom"/>
            <w:tcBorders>
              <w:top w:val="single" w:sz="8" w:color="auto"/>
            </w:tcBorders>
            <w:gridSpan w:val="8"/>
          </w:tcPr>
          <w:p>
            <w:pPr>
              <w:spacing w:after="0" w:line="194" w:lineRule="exact"/>
              <w:rPr>
                <w:sz w:val="20"/>
                <w:szCs w:val="20"/>
                <w:color w:val="auto"/>
              </w:rPr>
            </w:pPr>
            <w:r>
              <w:rPr>
                <w:rFonts w:ascii="Times New Roman" w:cs="Times New Roman" w:eastAsia="Times New Roman" w:hAnsi="Times New Roman"/>
                <w:sz w:val="14"/>
                <w:szCs w:val="14"/>
                <w:color w:val="auto"/>
              </w:rPr>
              <w:t>Common shares</w:t>
            </w:r>
            <w:r>
              <w:rPr>
                <w:rFonts w:ascii="Times New Roman" w:cs="Times New Roman" w:eastAsia="Times New Roman" w:hAnsi="Times New Roman"/>
                <w:sz w:val="17"/>
                <w:szCs w:val="17"/>
                <w:color w:val="auto"/>
                <w:vertAlign w:val="superscript"/>
              </w:rPr>
              <w:t>(3)</w:t>
            </w:r>
          </w:p>
        </w:tc>
        <w:tc>
          <w:tcPr>
            <w:tcW w:w="2180" w:type="dxa"/>
            <w:vAlign w:val="bottom"/>
            <w:tcBorders>
              <w:top w:val="single" w:sz="8" w:color="CCEEFF"/>
            </w:tcBorders>
            <w:gridSpan w:val="6"/>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2080" w:type="dxa"/>
            <w:vAlign w:val="bottom"/>
            <w:tcBorders>
              <w:top w:val="single" w:sz="8" w:color="CCEEFF"/>
            </w:tcBorders>
            <w:gridSpan w:val="2"/>
          </w:tcPr>
          <w:p>
            <w:pPr>
              <w:jc w:val="center"/>
              <w:ind w:right="120"/>
              <w:spacing w:after="0"/>
              <w:rPr>
                <w:sz w:val="20"/>
                <w:szCs w:val="20"/>
                <w:color w:val="auto"/>
              </w:rPr>
            </w:pPr>
            <w:r>
              <w:rPr>
                <w:rFonts w:ascii="Times New Roman" w:cs="Times New Roman" w:eastAsia="Times New Roman" w:hAnsi="Times New Roman"/>
                <w:sz w:val="14"/>
                <w:szCs w:val="14"/>
                <w:color w:val="auto"/>
                <w:w w:val="98"/>
              </w:rPr>
              <w:t>Social Networking</w:t>
            </w:r>
          </w:p>
        </w:tc>
        <w:tc>
          <w:tcPr>
            <w:tcW w:w="960" w:type="dxa"/>
            <w:vAlign w:val="bottom"/>
            <w:tcBorders>
              <w:top w:val="single" w:sz="8" w:color="CCEEFF"/>
            </w:tcBorders>
          </w:tcPr>
          <w:p>
            <w:pPr>
              <w:jc w:val="center"/>
              <w:spacing w:after="0"/>
              <w:rPr>
                <w:sz w:val="20"/>
                <w:szCs w:val="20"/>
                <w:color w:val="auto"/>
              </w:rPr>
            </w:pPr>
            <w:r>
              <w:rPr>
                <w:rFonts w:ascii="Times New Roman" w:cs="Times New Roman" w:eastAsia="Times New Roman" w:hAnsi="Times New Roman"/>
                <w:sz w:val="14"/>
                <w:szCs w:val="14"/>
                <w:color w:val="auto"/>
                <w:w w:val="98"/>
              </w:rPr>
              <w:t>9/27/2018</w:t>
            </w:r>
          </w:p>
        </w:tc>
        <w:tc>
          <w:tcPr>
            <w:tcW w:w="12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8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1,801,850</w:t>
            </w:r>
          </w:p>
        </w:tc>
        <w:tc>
          <w:tcPr>
            <w:tcW w:w="100" w:type="dxa"/>
            <w:vAlign w:val="bottom"/>
            <w:tcBorders>
              <w:top w:val="single" w:sz="8" w:color="CCEEFF"/>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860" w:type="dxa"/>
            <w:vAlign w:val="bottom"/>
            <w:tcBorders>
              <w:top w:val="single" w:sz="8" w:color="CCEEFF"/>
            </w:tcBorders>
          </w:tcPr>
          <w:p>
            <w:pPr>
              <w:jc w:val="right"/>
              <w:ind w:right="11"/>
              <w:spacing w:after="0"/>
              <w:rPr>
                <w:sz w:val="20"/>
                <w:szCs w:val="20"/>
                <w:color w:val="auto"/>
              </w:rPr>
            </w:pPr>
            <w:r>
              <w:rPr>
                <w:rFonts w:ascii="Times New Roman" w:cs="Times New Roman" w:eastAsia="Times New Roman" w:hAnsi="Times New Roman"/>
                <w:sz w:val="14"/>
                <w:szCs w:val="14"/>
                <w:color w:val="auto"/>
              </w:rPr>
              <w:t>10,002,666</w:t>
            </w:r>
          </w:p>
        </w:tc>
        <w:tc>
          <w:tcPr>
            <w:tcW w:w="10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9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12,439,522</w:t>
            </w:r>
          </w:p>
        </w:tc>
        <w:tc>
          <w:tcPr>
            <w:tcW w:w="100" w:type="dxa"/>
            <w:vAlign w:val="bottom"/>
            <w:tcBorders>
              <w:top w:val="single" w:sz="8" w:color="CCEEFF"/>
            </w:tcBorders>
          </w:tcPr>
          <w:p>
            <w:pPr>
              <w:spacing w:after="0"/>
              <w:rPr>
                <w:sz w:val="16"/>
                <w:szCs w:val="16"/>
                <w:color w:val="auto"/>
              </w:rPr>
            </w:pPr>
          </w:p>
        </w:tc>
        <w:tc>
          <w:tcPr>
            <w:tcW w:w="9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3.41 %</w:t>
            </w:r>
          </w:p>
        </w:tc>
        <w:tc>
          <w:tcPr>
            <w:tcW w:w="0" w:type="dxa"/>
            <w:vAlign w:val="bottom"/>
          </w:tcPr>
          <w:p>
            <w:pPr>
              <w:spacing w:after="0"/>
              <w:rPr>
                <w:sz w:val="1"/>
                <w:szCs w:val="1"/>
                <w:color w:val="auto"/>
              </w:rPr>
            </w:pPr>
          </w:p>
        </w:tc>
      </w:tr>
      <w:tr>
        <w:trPr>
          <w:trHeight w:val="194"/>
        </w:trPr>
        <w:tc>
          <w:tcPr>
            <w:tcW w:w="2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auto"/>
            </w:tcBorders>
            <w:gridSpan w:val="10"/>
            <w:shd w:val="clear" w:color="auto" w:fill="CCEEFF"/>
          </w:tcPr>
          <w:p>
            <w:pPr>
              <w:spacing w:after="0" w:line="143" w:lineRule="exact"/>
              <w:rPr>
                <w:sz w:val="20"/>
                <w:szCs w:val="20"/>
                <w:color w:val="auto"/>
              </w:rPr>
            </w:pPr>
            <w:r>
              <w:rPr>
                <w:rFonts w:ascii="Times New Roman" w:cs="Times New Roman" w:eastAsia="Times New Roman" w:hAnsi="Times New Roman"/>
                <w:sz w:val="14"/>
                <w:szCs w:val="14"/>
                <w:b w:val="1"/>
                <w:bCs w:val="1"/>
                <w:color w:val="auto"/>
                <w:w w:val="97"/>
              </w:rPr>
              <w:t>Aspiration Partners, Inc.</w:t>
            </w:r>
          </w:p>
        </w:tc>
        <w:tc>
          <w:tcPr>
            <w:tcW w:w="2100" w:type="dxa"/>
            <w:vAlign w:val="bottom"/>
            <w:tcBorders>
              <w:bottom w:val="single" w:sz="8" w:color="CCEEFF"/>
            </w:tcBorders>
            <w:gridSpan w:val="4"/>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80" w:type="dxa"/>
            <w:vAlign w:val="bottom"/>
            <w:tcBorders>
              <w:bottom w:val="single" w:sz="8" w:color="CCEEFF"/>
            </w:tcBorders>
            <w:gridSpan w:val="2"/>
            <w:shd w:val="clear" w:color="auto" w:fill="CCEEFF"/>
          </w:tcPr>
          <w:p>
            <w:pPr>
              <w:jc w:val="center"/>
              <w:ind w:right="140"/>
              <w:spacing w:after="0" w:line="143" w:lineRule="exact"/>
              <w:rPr>
                <w:sz w:val="20"/>
                <w:szCs w:val="20"/>
                <w:color w:val="auto"/>
              </w:rPr>
            </w:pPr>
            <w:r>
              <w:rPr>
                <w:rFonts w:ascii="Times New Roman" w:cs="Times New Roman" w:eastAsia="Times New Roman" w:hAnsi="Times New Roman"/>
                <w:sz w:val="14"/>
                <w:szCs w:val="14"/>
                <w:color w:val="auto"/>
                <w:w w:val="97"/>
              </w:rPr>
              <w:t>Marina Del Rey, CA</w:t>
            </w:r>
          </w:p>
        </w:tc>
        <w:tc>
          <w:tcPr>
            <w:tcW w:w="9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580" w:type="dxa"/>
            <w:vAlign w:val="bottom"/>
            <w:gridSpan w:val="14"/>
          </w:tcPr>
          <w:p>
            <w:pPr>
              <w:spacing w:after="0"/>
              <w:rPr>
                <w:sz w:val="20"/>
                <w:szCs w:val="20"/>
                <w:color w:val="auto"/>
              </w:rPr>
            </w:pPr>
            <w:r>
              <w:rPr>
                <w:rFonts w:ascii="Times New Roman" w:cs="Times New Roman" w:eastAsia="Times New Roman" w:hAnsi="Times New Roman"/>
                <w:sz w:val="14"/>
                <w:szCs w:val="14"/>
                <w:color w:val="auto"/>
              </w:rPr>
              <w:t>Preferred shares, Series A</w:t>
            </w:r>
          </w:p>
        </w:tc>
        <w:tc>
          <w:tcPr>
            <w:tcW w:w="100" w:type="dxa"/>
            <w:vAlign w:val="bottom"/>
          </w:tcPr>
          <w:p>
            <w:pPr>
              <w:spacing w:after="0"/>
              <w:rPr>
                <w:sz w:val="15"/>
                <w:szCs w:val="15"/>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Financial Services</w:t>
            </w:r>
          </w:p>
        </w:tc>
        <w:tc>
          <w:tcPr>
            <w:tcW w:w="100" w:type="dxa"/>
            <w:vAlign w:val="bottom"/>
          </w:tcPr>
          <w:p>
            <w:pPr>
              <w:spacing w:after="0"/>
              <w:rPr>
                <w:sz w:val="15"/>
                <w:szCs w:val="15"/>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8/11/2015</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540,270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1,001,815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10,556,306</w:t>
            </w: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2.89 %</w:t>
            </w:r>
          </w:p>
        </w:tc>
        <w:tc>
          <w:tcPr>
            <w:tcW w:w="0" w:type="dxa"/>
            <w:vAlign w:val="bottom"/>
          </w:tcPr>
          <w:p>
            <w:pPr>
              <w:spacing w:after="0"/>
              <w:rPr>
                <w:sz w:val="1"/>
                <w:szCs w:val="1"/>
                <w:color w:val="auto"/>
              </w:rPr>
            </w:pPr>
          </w:p>
        </w:tc>
      </w:tr>
      <w:tr>
        <w:trPr>
          <w:trHeight w:val="215"/>
        </w:trPr>
        <w:tc>
          <w:tcPr>
            <w:tcW w:w="20" w:type="dxa"/>
            <w:vAlign w:val="bottom"/>
            <w:tcBorders>
              <w:bottom w:val="single" w:sz="8" w:color="CCEEFF"/>
            </w:tcBorders>
            <w:shd w:val="clear" w:color="auto" w:fill="CCEEFF"/>
          </w:tcPr>
          <w:p>
            <w:pPr>
              <w:spacing w:after="0"/>
              <w:rPr>
                <w:sz w:val="18"/>
                <w:szCs w:val="18"/>
                <w:color w:val="auto"/>
              </w:rPr>
            </w:pPr>
          </w:p>
        </w:tc>
        <w:tc>
          <w:tcPr>
            <w:tcW w:w="3580" w:type="dxa"/>
            <w:vAlign w:val="bottom"/>
            <w:tcBorders>
              <w:bottom w:val="single" w:sz="8" w:color="CCEEFF"/>
            </w:tcBorders>
            <w:gridSpan w:val="14"/>
            <w:shd w:val="clear" w:color="auto" w:fill="CCEEFF"/>
          </w:tcPr>
          <w:p>
            <w:pPr>
              <w:spacing w:after="0"/>
              <w:rPr>
                <w:sz w:val="20"/>
                <w:szCs w:val="20"/>
                <w:color w:val="auto"/>
              </w:rPr>
            </w:pPr>
            <w:r>
              <w:rPr>
                <w:rFonts w:ascii="Times New Roman" w:cs="Times New Roman" w:eastAsia="Times New Roman" w:hAnsi="Times New Roman"/>
                <w:sz w:val="14"/>
                <w:szCs w:val="14"/>
                <w:color w:val="auto"/>
              </w:rPr>
              <w:t>Preferred shares, Series C-3</w:t>
            </w:r>
          </w:p>
        </w:tc>
        <w:tc>
          <w:tcPr>
            <w:tcW w:w="100" w:type="dxa"/>
            <w:vAlign w:val="bottom"/>
            <w:tcBorders>
              <w:bottom w:val="single" w:sz="8" w:color="CCEEFF"/>
            </w:tcBorders>
            <w:shd w:val="clear" w:color="auto" w:fill="CCEEFF"/>
          </w:tcPr>
          <w:p>
            <w:pPr>
              <w:spacing w:after="0"/>
              <w:rPr>
                <w:sz w:val="18"/>
                <w:szCs w:val="18"/>
                <w:color w:val="auto"/>
              </w:rPr>
            </w:pPr>
          </w:p>
        </w:tc>
        <w:tc>
          <w:tcPr>
            <w:tcW w:w="19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8/12/2019</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24,912</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281,190</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499,437</w:t>
            </w:r>
          </w:p>
        </w:tc>
        <w:tc>
          <w:tcPr>
            <w:tcW w:w="1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0.14 %</w:t>
            </w:r>
          </w:p>
        </w:tc>
        <w:tc>
          <w:tcPr>
            <w:tcW w:w="0" w:type="dxa"/>
            <w:vAlign w:val="bottom"/>
          </w:tcPr>
          <w:p>
            <w:pPr>
              <w:spacing w:after="0"/>
              <w:rPr>
                <w:sz w:val="1"/>
                <w:szCs w:val="1"/>
                <w:color w:val="auto"/>
              </w:rPr>
            </w:pPr>
          </w:p>
        </w:tc>
      </w:tr>
      <w:tr>
        <w:trPr>
          <w:trHeight w:val="180"/>
        </w:trPr>
        <w:tc>
          <w:tcPr>
            <w:tcW w:w="20" w:type="dxa"/>
            <w:vAlign w:val="bottom"/>
            <w:tcBorders>
              <w:bottom w:val="single" w:sz="8" w:color="CCEEFF"/>
            </w:tcBorders>
          </w:tcPr>
          <w:p>
            <w:pPr>
              <w:spacing w:after="0"/>
              <w:rPr>
                <w:sz w:val="15"/>
                <w:szCs w:val="15"/>
                <w:color w:val="auto"/>
              </w:rPr>
            </w:pPr>
          </w:p>
        </w:tc>
        <w:tc>
          <w:tcPr>
            <w:tcW w:w="3580" w:type="dxa"/>
            <w:vAlign w:val="bottom"/>
            <w:tcBorders>
              <w:bottom w:val="single" w:sz="8" w:color="CCEEFF"/>
            </w:tcBorders>
            <w:gridSpan w:val="14"/>
          </w:tcPr>
          <w:p>
            <w:pPr>
              <w:ind w:left="120"/>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tcBorders>
              <w:bottom w:val="single" w:sz="8" w:color="CCEEFF"/>
            </w:tcBorders>
          </w:tcPr>
          <w:p>
            <w:pPr>
              <w:spacing w:after="0"/>
              <w:rPr>
                <w:sz w:val="15"/>
                <w:szCs w:val="15"/>
                <w:color w:val="auto"/>
              </w:rPr>
            </w:pPr>
          </w:p>
        </w:tc>
        <w:tc>
          <w:tcPr>
            <w:tcW w:w="19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96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8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1,283,005</w:t>
            </w:r>
          </w:p>
        </w:tc>
        <w:tc>
          <w:tcPr>
            <w:tcW w:w="10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11,055,743</w:t>
            </w:r>
          </w:p>
        </w:tc>
        <w:tc>
          <w:tcPr>
            <w:tcW w:w="100" w:type="dxa"/>
            <w:vAlign w:val="bottom"/>
            <w:tcBorders>
              <w:bottom w:val="single" w:sz="8" w:color="CCEEFF"/>
            </w:tcBorders>
          </w:tcPr>
          <w:p>
            <w:pPr>
              <w:spacing w:after="0"/>
              <w:rPr>
                <w:sz w:val="15"/>
                <w:szCs w:val="15"/>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3.03 %</w:t>
            </w:r>
          </w:p>
        </w:tc>
        <w:tc>
          <w:tcPr>
            <w:tcW w:w="0" w:type="dxa"/>
            <w:vAlign w:val="bottom"/>
          </w:tcPr>
          <w:p>
            <w:pPr>
              <w:spacing w:after="0"/>
              <w:rPr>
                <w:sz w:val="1"/>
                <w:szCs w:val="1"/>
                <w:color w:val="auto"/>
              </w:rPr>
            </w:pPr>
          </w:p>
        </w:tc>
      </w:tr>
      <w:tr>
        <w:trPr>
          <w:trHeight w:val="161"/>
        </w:trPr>
        <w:tc>
          <w:tcPr>
            <w:tcW w:w="20" w:type="dxa"/>
            <w:vAlign w:val="bottom"/>
            <w:shd w:val="clear" w:color="auto" w:fill="CCEEFF"/>
          </w:tcPr>
          <w:p>
            <w:pPr>
              <w:spacing w:after="0"/>
              <w:rPr>
                <w:sz w:val="14"/>
                <w:szCs w:val="14"/>
                <w:color w:val="auto"/>
              </w:rPr>
            </w:pPr>
          </w:p>
        </w:tc>
        <w:tc>
          <w:tcPr>
            <w:tcW w:w="3580" w:type="dxa"/>
            <w:vAlign w:val="bottom"/>
            <w:gridSpan w:val="14"/>
            <w:shd w:val="clear" w:color="auto" w:fill="CCEEFF"/>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Trax Ltd.**</w:t>
            </w:r>
          </w:p>
        </w:tc>
        <w:tc>
          <w:tcPr>
            <w:tcW w:w="100" w:type="dxa"/>
            <w:vAlign w:val="bottom"/>
            <w:shd w:val="clear" w:color="auto" w:fill="CCEEFF"/>
          </w:tcPr>
          <w:p>
            <w:pPr>
              <w:spacing w:after="0"/>
              <w:rPr>
                <w:sz w:val="14"/>
                <w:szCs w:val="14"/>
                <w:color w:val="auto"/>
              </w:rPr>
            </w:pPr>
          </w:p>
        </w:tc>
        <w:tc>
          <w:tcPr>
            <w:tcW w:w="2080" w:type="dxa"/>
            <w:vAlign w:val="bottom"/>
            <w:gridSpan w:val="2"/>
            <w:shd w:val="clear" w:color="auto" w:fill="CCEEFF"/>
          </w:tcPr>
          <w:p>
            <w:pPr>
              <w:jc w:val="center"/>
              <w:ind w:right="120"/>
              <w:spacing w:after="0" w:line="129" w:lineRule="exact"/>
              <w:rPr>
                <w:sz w:val="20"/>
                <w:szCs w:val="20"/>
                <w:color w:val="auto"/>
              </w:rPr>
            </w:pPr>
            <w:r>
              <w:rPr>
                <w:rFonts w:ascii="Times New Roman" w:cs="Times New Roman" w:eastAsia="Times New Roman" w:hAnsi="Times New Roman"/>
                <w:sz w:val="14"/>
                <w:szCs w:val="14"/>
                <w:color w:val="auto"/>
                <w:w w:val="99"/>
              </w:rPr>
              <w:t>Singapore, Singapore</w:t>
            </w: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9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vMerge w:val="restart"/>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vMerge w:val="restart"/>
          </w:tcPr>
          <w:p>
            <w:pPr>
              <w:jc w:val="right"/>
              <w:ind w:right="11"/>
              <w:spacing w:after="0"/>
              <w:rPr>
                <w:sz w:val="20"/>
                <w:szCs w:val="20"/>
                <w:color w:val="auto"/>
              </w:rPr>
            </w:pPr>
            <w:r>
              <w:rPr>
                <w:rFonts w:ascii="Times New Roman" w:cs="Times New Roman" w:eastAsia="Times New Roman" w:hAnsi="Times New Roman"/>
                <w:sz w:val="14"/>
                <w:szCs w:val="14"/>
                <w:color w:val="auto"/>
              </w:rPr>
              <w:t>2,781,148</w:t>
            </w: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2,882,476</w:t>
            </w: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0.79 %</w:t>
            </w:r>
          </w:p>
        </w:tc>
        <w:tc>
          <w:tcPr>
            <w:tcW w:w="0" w:type="dxa"/>
            <w:vAlign w:val="bottom"/>
          </w:tcPr>
          <w:p>
            <w:pPr>
              <w:spacing w:after="0" w:line="20" w:lineRule="exact"/>
              <w:rPr>
                <w:sz w:val="1"/>
                <w:szCs w:val="1"/>
                <w:color w:val="auto"/>
              </w:rPr>
            </w:pPr>
          </w:p>
        </w:tc>
      </w:tr>
      <w:tr>
        <w:trPr>
          <w:trHeight w:val="179"/>
        </w:trPr>
        <w:tc>
          <w:tcPr>
            <w:tcW w:w="20" w:type="dxa"/>
            <w:vAlign w:val="bottom"/>
          </w:tcPr>
          <w:p>
            <w:pPr>
              <w:spacing w:after="0"/>
              <w:rPr>
                <w:sz w:val="15"/>
                <w:szCs w:val="15"/>
                <w:color w:val="auto"/>
              </w:rPr>
            </w:pPr>
          </w:p>
        </w:tc>
        <w:tc>
          <w:tcPr>
            <w:tcW w:w="3580" w:type="dxa"/>
            <w:vAlign w:val="bottom"/>
            <w:gridSpan w:val="14"/>
          </w:tcPr>
          <w:p>
            <w:pPr>
              <w:spacing w:after="0"/>
              <w:rPr>
                <w:sz w:val="20"/>
                <w:szCs w:val="20"/>
                <w:color w:val="auto"/>
              </w:rPr>
            </w:pPr>
            <w:r>
              <w:rPr>
                <w:rFonts w:ascii="Times New Roman" w:cs="Times New Roman" w:eastAsia="Times New Roman" w:hAnsi="Times New Roman"/>
                <w:sz w:val="14"/>
                <w:szCs w:val="14"/>
                <w:color w:val="auto"/>
              </w:rPr>
              <w:t>Common shares</w:t>
            </w:r>
          </w:p>
        </w:tc>
        <w:tc>
          <w:tcPr>
            <w:tcW w:w="100" w:type="dxa"/>
            <w:vAlign w:val="bottom"/>
          </w:tcPr>
          <w:p>
            <w:pPr>
              <w:spacing w:after="0"/>
              <w:rPr>
                <w:sz w:val="15"/>
                <w:szCs w:val="15"/>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Retail Technology</w:t>
            </w:r>
          </w:p>
        </w:tc>
        <w:tc>
          <w:tcPr>
            <w:tcW w:w="100" w:type="dxa"/>
            <w:vAlign w:val="bottom"/>
            <w:vMerge w:val="continue"/>
          </w:tcPr>
          <w:p>
            <w:pPr>
              <w:spacing w:after="0"/>
              <w:rPr>
                <w:sz w:val="15"/>
                <w:szCs w:val="15"/>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6/9/2021</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55,591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20" w:type="dxa"/>
            <w:vAlign w:val="bottom"/>
            <w:tcBorders>
              <w:bottom w:val="single" w:sz="8" w:color="CCEEFF"/>
            </w:tcBorders>
            <w:shd w:val="clear" w:color="auto" w:fill="CCEEFF"/>
          </w:tcPr>
          <w:p>
            <w:pPr>
              <w:spacing w:after="0"/>
              <w:rPr>
                <w:sz w:val="18"/>
                <w:szCs w:val="18"/>
                <w:color w:val="auto"/>
              </w:rPr>
            </w:pPr>
          </w:p>
        </w:tc>
        <w:tc>
          <w:tcPr>
            <w:tcW w:w="3580" w:type="dxa"/>
            <w:vAlign w:val="bottom"/>
            <w:tcBorders>
              <w:bottom w:val="single" w:sz="8" w:color="CCEEFF"/>
            </w:tcBorders>
            <w:gridSpan w:val="14"/>
            <w:shd w:val="clear" w:color="auto" w:fill="CCEEFF"/>
          </w:tcPr>
          <w:p>
            <w:pPr>
              <w:spacing w:after="0"/>
              <w:rPr>
                <w:sz w:val="20"/>
                <w:szCs w:val="20"/>
                <w:color w:val="auto"/>
              </w:rPr>
            </w:pPr>
            <w:r>
              <w:rPr>
                <w:rFonts w:ascii="Times New Roman" w:cs="Times New Roman" w:eastAsia="Times New Roman" w:hAnsi="Times New Roman"/>
                <w:sz w:val="14"/>
                <w:szCs w:val="14"/>
                <w:color w:val="auto"/>
              </w:rPr>
              <w:t>Preferred shares, Investec series</w:t>
            </w:r>
          </w:p>
        </w:tc>
        <w:tc>
          <w:tcPr>
            <w:tcW w:w="100" w:type="dxa"/>
            <w:vAlign w:val="bottom"/>
            <w:tcBorders>
              <w:bottom w:val="single" w:sz="8" w:color="CCEEFF"/>
            </w:tcBorders>
            <w:shd w:val="clear" w:color="auto" w:fill="CCEEFF"/>
          </w:tcPr>
          <w:p>
            <w:pPr>
              <w:spacing w:after="0"/>
              <w:rPr>
                <w:sz w:val="18"/>
                <w:szCs w:val="18"/>
                <w:color w:val="auto"/>
              </w:rPr>
            </w:pPr>
          </w:p>
        </w:tc>
        <w:tc>
          <w:tcPr>
            <w:tcW w:w="19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6/9/2021</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144,409</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7,224,600</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7,487,823</w:t>
            </w:r>
          </w:p>
        </w:tc>
        <w:tc>
          <w:tcPr>
            <w:tcW w:w="1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2.05 %</w:t>
            </w:r>
          </w:p>
        </w:tc>
        <w:tc>
          <w:tcPr>
            <w:tcW w:w="0" w:type="dxa"/>
            <w:vAlign w:val="bottom"/>
          </w:tcPr>
          <w:p>
            <w:pPr>
              <w:spacing w:after="0"/>
              <w:rPr>
                <w:sz w:val="1"/>
                <w:szCs w:val="1"/>
                <w:color w:val="auto"/>
              </w:rPr>
            </w:pPr>
          </w:p>
        </w:tc>
      </w:tr>
      <w:tr>
        <w:trPr>
          <w:trHeight w:val="180"/>
        </w:trPr>
        <w:tc>
          <w:tcPr>
            <w:tcW w:w="20" w:type="dxa"/>
            <w:vAlign w:val="bottom"/>
            <w:tcBorders>
              <w:bottom w:val="single" w:sz="8" w:color="CCEEFF"/>
            </w:tcBorders>
          </w:tcPr>
          <w:p>
            <w:pPr>
              <w:spacing w:after="0"/>
              <w:rPr>
                <w:sz w:val="15"/>
                <w:szCs w:val="15"/>
                <w:color w:val="auto"/>
              </w:rPr>
            </w:pPr>
          </w:p>
        </w:tc>
        <w:tc>
          <w:tcPr>
            <w:tcW w:w="3580" w:type="dxa"/>
            <w:vAlign w:val="bottom"/>
            <w:tcBorders>
              <w:bottom w:val="single" w:sz="8" w:color="CCEEFF"/>
            </w:tcBorders>
            <w:gridSpan w:val="14"/>
          </w:tcPr>
          <w:p>
            <w:pPr>
              <w:ind w:left="120"/>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tcBorders>
              <w:bottom w:val="single" w:sz="8" w:color="CCEEFF"/>
            </w:tcBorders>
          </w:tcPr>
          <w:p>
            <w:pPr>
              <w:spacing w:after="0"/>
              <w:rPr>
                <w:sz w:val="15"/>
                <w:szCs w:val="15"/>
                <w:color w:val="auto"/>
              </w:rPr>
            </w:pPr>
          </w:p>
        </w:tc>
        <w:tc>
          <w:tcPr>
            <w:tcW w:w="19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96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8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10,005,748</w:t>
            </w:r>
          </w:p>
        </w:tc>
        <w:tc>
          <w:tcPr>
            <w:tcW w:w="10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10,370,299</w:t>
            </w:r>
          </w:p>
        </w:tc>
        <w:tc>
          <w:tcPr>
            <w:tcW w:w="100" w:type="dxa"/>
            <w:vAlign w:val="bottom"/>
            <w:tcBorders>
              <w:bottom w:val="single" w:sz="8" w:color="CCEEFF"/>
            </w:tcBorders>
          </w:tcPr>
          <w:p>
            <w:pPr>
              <w:spacing w:after="0"/>
              <w:rPr>
                <w:sz w:val="15"/>
                <w:szCs w:val="15"/>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2.84 %</w:t>
            </w:r>
          </w:p>
        </w:tc>
        <w:tc>
          <w:tcPr>
            <w:tcW w:w="0" w:type="dxa"/>
            <w:vAlign w:val="bottom"/>
          </w:tcPr>
          <w:p>
            <w:pPr>
              <w:spacing w:after="0"/>
              <w:rPr>
                <w:sz w:val="1"/>
                <w:szCs w:val="1"/>
                <w:color w:val="auto"/>
              </w:rPr>
            </w:pPr>
          </w:p>
        </w:tc>
      </w:tr>
      <w:tr>
        <w:trPr>
          <w:trHeight w:val="161"/>
        </w:trPr>
        <w:tc>
          <w:tcPr>
            <w:tcW w:w="20" w:type="dxa"/>
            <w:vAlign w:val="bottom"/>
            <w:tcBorders>
              <w:bottom w:val="single" w:sz="8" w:color="CCEEFF"/>
            </w:tcBorders>
            <w:shd w:val="clear" w:color="auto" w:fill="CCEEFF"/>
          </w:tcPr>
          <w:p>
            <w:pPr>
              <w:spacing w:after="0"/>
              <w:rPr>
                <w:sz w:val="14"/>
                <w:szCs w:val="14"/>
                <w:color w:val="auto"/>
              </w:rPr>
            </w:pPr>
          </w:p>
        </w:tc>
        <w:tc>
          <w:tcPr>
            <w:tcW w:w="1600" w:type="dxa"/>
            <w:vAlign w:val="bottom"/>
            <w:tcBorders>
              <w:bottom w:val="single" w:sz="8" w:color="auto"/>
            </w:tcBorders>
            <w:gridSpan w:val="11"/>
            <w:shd w:val="clear" w:color="auto" w:fill="CCEEFF"/>
          </w:tcPr>
          <w:p>
            <w:pPr>
              <w:spacing w:after="0" w:line="129" w:lineRule="exact"/>
              <w:rPr>
                <w:sz w:val="20"/>
                <w:szCs w:val="20"/>
                <w:color w:val="auto"/>
              </w:rPr>
            </w:pPr>
            <w:r>
              <w:rPr>
                <w:rFonts w:ascii="Times New Roman" w:cs="Times New Roman" w:eastAsia="Times New Roman" w:hAnsi="Times New Roman"/>
                <w:sz w:val="14"/>
                <w:szCs w:val="14"/>
                <w:b w:val="1"/>
                <w:bCs w:val="1"/>
                <w:color w:val="auto"/>
                <w:w w:val="96"/>
              </w:rPr>
              <w:t>Orchard Technologies, Inc.</w:t>
            </w:r>
          </w:p>
        </w:tc>
        <w:tc>
          <w:tcPr>
            <w:tcW w:w="1980" w:type="dxa"/>
            <w:vAlign w:val="bottom"/>
            <w:tcBorders>
              <w:bottom w:val="single" w:sz="8" w:color="CCEEFF"/>
            </w:tcBorders>
            <w:gridSpan w:val="3"/>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080" w:type="dxa"/>
            <w:vAlign w:val="bottom"/>
            <w:tcBorders>
              <w:bottom w:val="single" w:sz="8" w:color="CCEEFF"/>
            </w:tcBorders>
            <w:gridSpan w:val="2"/>
            <w:shd w:val="clear" w:color="auto" w:fill="CCEEFF"/>
          </w:tcPr>
          <w:p>
            <w:pPr>
              <w:jc w:val="center"/>
              <w:ind w:right="120"/>
              <w:spacing w:after="0" w:line="129" w:lineRule="exact"/>
              <w:rPr>
                <w:sz w:val="20"/>
                <w:szCs w:val="20"/>
                <w:color w:val="auto"/>
              </w:rPr>
            </w:pPr>
            <w:r>
              <w:rPr>
                <w:rFonts w:ascii="Times New Roman" w:cs="Times New Roman" w:eastAsia="Times New Roman" w:hAnsi="Times New Roman"/>
                <w:sz w:val="14"/>
                <w:szCs w:val="14"/>
                <w:color w:val="auto"/>
                <w:w w:val="97"/>
              </w:rPr>
              <w:t>New York, NY</w:t>
            </w:r>
          </w:p>
        </w:tc>
        <w:tc>
          <w:tcPr>
            <w:tcW w:w="9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580" w:type="dxa"/>
            <w:vAlign w:val="bottom"/>
            <w:gridSpan w:val="14"/>
          </w:tcPr>
          <w:p>
            <w:pPr>
              <w:spacing w:after="0"/>
              <w:rPr>
                <w:sz w:val="20"/>
                <w:szCs w:val="20"/>
                <w:color w:val="auto"/>
              </w:rPr>
            </w:pPr>
            <w:r>
              <w:rPr>
                <w:rFonts w:ascii="Times New Roman" w:cs="Times New Roman" w:eastAsia="Times New Roman" w:hAnsi="Times New Roman"/>
                <w:sz w:val="14"/>
                <w:szCs w:val="14"/>
                <w:color w:val="auto"/>
              </w:rPr>
              <w:t>Preferred shares, Series D</w:t>
            </w:r>
          </w:p>
        </w:tc>
        <w:tc>
          <w:tcPr>
            <w:tcW w:w="100" w:type="dxa"/>
            <w:vAlign w:val="bottom"/>
          </w:tcPr>
          <w:p>
            <w:pPr>
              <w:spacing w:after="0"/>
              <w:rPr>
                <w:sz w:val="16"/>
                <w:szCs w:val="16"/>
                <w:color w:val="auto"/>
              </w:rPr>
            </w:pPr>
          </w:p>
        </w:tc>
        <w:tc>
          <w:tcPr>
            <w:tcW w:w="20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w w:val="98"/>
              </w:rPr>
              <w:t>Real Estate Platform</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8/9/2021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1,488,139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10,004,034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9,999,996</w:t>
            </w: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2.74 %</w:t>
            </w:r>
          </w:p>
        </w:tc>
        <w:tc>
          <w:tcPr>
            <w:tcW w:w="0" w:type="dxa"/>
            <w:vAlign w:val="bottom"/>
          </w:tcPr>
          <w:p>
            <w:pPr>
              <w:spacing w:after="0"/>
              <w:rPr>
                <w:sz w:val="1"/>
                <w:szCs w:val="1"/>
                <w:color w:val="auto"/>
              </w:rPr>
            </w:pPr>
          </w:p>
        </w:tc>
      </w:tr>
      <w:tr>
        <w:trPr>
          <w:trHeight w:val="150"/>
        </w:trPr>
        <w:tc>
          <w:tcPr>
            <w:tcW w:w="20" w:type="dxa"/>
            <w:vAlign w:val="bottom"/>
            <w:shd w:val="clear" w:color="auto" w:fill="CCEEFF"/>
          </w:tcPr>
          <w:p>
            <w:pPr>
              <w:spacing w:after="0"/>
              <w:rPr>
                <w:sz w:val="13"/>
                <w:szCs w:val="13"/>
                <w:color w:val="auto"/>
              </w:rPr>
            </w:pPr>
          </w:p>
        </w:tc>
        <w:tc>
          <w:tcPr>
            <w:tcW w:w="3580" w:type="dxa"/>
            <w:vAlign w:val="bottom"/>
            <w:gridSpan w:val="14"/>
            <w:shd w:val="clear" w:color="auto" w:fill="CCEEFF"/>
          </w:tcPr>
          <w:p>
            <w:pPr>
              <w:spacing w:after="0" w:line="150" w:lineRule="exact"/>
              <w:rPr>
                <w:sz w:val="20"/>
                <w:szCs w:val="20"/>
                <w:color w:val="auto"/>
              </w:rPr>
            </w:pPr>
            <w:r>
              <w:rPr>
                <w:rFonts w:ascii="Times New Roman" w:cs="Times New Roman" w:eastAsia="Times New Roman" w:hAnsi="Times New Roman"/>
                <w:sz w:val="14"/>
                <w:szCs w:val="14"/>
                <w:b w:val="1"/>
                <w:bCs w:val="1"/>
                <w:color w:val="auto"/>
              </w:rPr>
              <w:t>Skillsoft Corp.**</w:t>
            </w:r>
            <w:r>
              <w:rPr>
                <w:rFonts w:ascii="Times New Roman" w:cs="Times New Roman" w:eastAsia="Times New Roman" w:hAnsi="Times New Roman"/>
                <w:sz w:val="17"/>
                <w:szCs w:val="17"/>
                <w:b w:val="1"/>
                <w:bCs w:val="1"/>
                <w:color w:val="auto"/>
                <w:vertAlign w:val="superscript"/>
              </w:rPr>
              <w:t>(18)</w:t>
            </w:r>
          </w:p>
        </w:tc>
        <w:tc>
          <w:tcPr>
            <w:tcW w:w="100" w:type="dxa"/>
            <w:vAlign w:val="bottom"/>
            <w:shd w:val="clear" w:color="auto" w:fill="CCEEFF"/>
          </w:tcPr>
          <w:p>
            <w:pPr>
              <w:spacing w:after="0"/>
              <w:rPr>
                <w:sz w:val="13"/>
                <w:szCs w:val="13"/>
                <w:color w:val="auto"/>
              </w:rPr>
            </w:pPr>
          </w:p>
        </w:tc>
        <w:tc>
          <w:tcPr>
            <w:tcW w:w="2080" w:type="dxa"/>
            <w:vAlign w:val="bottom"/>
            <w:gridSpan w:val="2"/>
            <w:shd w:val="clear" w:color="auto" w:fill="CCEEFF"/>
          </w:tcPr>
          <w:p>
            <w:pPr>
              <w:jc w:val="center"/>
              <w:ind w:right="120"/>
              <w:spacing w:after="0" w:line="150" w:lineRule="exact"/>
              <w:rPr>
                <w:sz w:val="20"/>
                <w:szCs w:val="20"/>
                <w:color w:val="auto"/>
              </w:rPr>
            </w:pPr>
            <w:r>
              <w:rPr>
                <w:rFonts w:ascii="Times New Roman" w:cs="Times New Roman" w:eastAsia="Times New Roman" w:hAnsi="Times New Roman"/>
                <w:sz w:val="14"/>
                <w:szCs w:val="14"/>
                <w:color w:val="auto"/>
                <w:w w:val="98"/>
              </w:rPr>
              <w:t>Nashua, NH</w:t>
            </w:r>
          </w:p>
        </w:tc>
        <w:tc>
          <w:tcPr>
            <w:tcW w:w="9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2"/>
        </w:trPr>
        <w:tc>
          <w:tcPr>
            <w:tcW w:w="2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auto"/>
            </w:tcBorders>
            <w:shd w:val="clear" w:color="auto" w:fill="CCEEFF"/>
          </w:tcPr>
          <w:p>
            <w:pPr>
              <w:spacing w:after="0"/>
              <w:rPr>
                <w:sz w:val="2"/>
                <w:szCs w:val="2"/>
                <w:color w:val="auto"/>
              </w:rPr>
            </w:pPr>
          </w:p>
        </w:tc>
        <w:tc>
          <w:tcPr>
            <w:tcW w:w="260" w:type="dxa"/>
            <w:vAlign w:val="bottom"/>
            <w:tcBorders>
              <w:top w:val="single" w:sz="8" w:color="auto"/>
            </w:tcBorders>
            <w:shd w:val="clear" w:color="auto" w:fill="CCEEFF"/>
          </w:tcPr>
          <w:p>
            <w:pPr>
              <w:spacing w:after="0"/>
              <w:rPr>
                <w:sz w:val="2"/>
                <w:szCs w:val="2"/>
                <w:color w:val="auto"/>
              </w:rPr>
            </w:pPr>
          </w:p>
        </w:tc>
        <w:tc>
          <w:tcPr>
            <w:tcW w:w="80" w:type="dxa"/>
            <w:vAlign w:val="bottom"/>
            <w:tcBorders>
              <w:top w:val="single" w:sz="8" w:color="auto"/>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12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9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9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bottom w:val="single" w:sz="8" w:color="CCEEFF"/>
            </w:tcBorders>
            <w:shd w:val="clear" w:color="auto" w:fill="CCEEFF"/>
          </w:tcPr>
          <w:p>
            <w:pPr>
              <w:spacing w:after="0"/>
              <w:rPr>
                <w:sz w:val="2"/>
                <w:szCs w:val="2"/>
                <w:color w:val="auto"/>
              </w:rPr>
            </w:pPr>
          </w:p>
        </w:tc>
        <w:tc>
          <w:tcPr>
            <w:tcW w:w="820" w:type="dxa"/>
            <w:vAlign w:val="bottom"/>
            <w:tcBorders>
              <w:top w:val="single" w:sz="8" w:color="CCEEFF"/>
              <w:bottom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9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9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580" w:type="dxa"/>
            <w:vAlign w:val="bottom"/>
            <w:gridSpan w:val="14"/>
          </w:tcPr>
          <w:p>
            <w:pPr>
              <w:spacing w:after="0" w:line="187" w:lineRule="exact"/>
              <w:rPr>
                <w:sz w:val="20"/>
                <w:szCs w:val="20"/>
                <w:color w:val="auto"/>
              </w:rPr>
            </w:pPr>
            <w:r>
              <w:rPr>
                <w:rFonts w:ascii="Times New Roman" w:cs="Times New Roman" w:eastAsia="Times New Roman" w:hAnsi="Times New Roman"/>
                <w:sz w:val="14"/>
                <w:szCs w:val="14"/>
                <w:color w:val="auto"/>
              </w:rPr>
              <w:t>Common shares</w:t>
            </w:r>
            <w:r>
              <w:rPr>
                <w:rFonts w:ascii="Times New Roman" w:cs="Times New Roman" w:eastAsia="Times New Roman" w:hAnsi="Times New Roman"/>
                <w:sz w:val="17"/>
                <w:szCs w:val="17"/>
                <w:color w:val="auto"/>
                <w:vertAlign w:val="superscript"/>
              </w:rPr>
              <w:t>(3)</w:t>
            </w:r>
          </w:p>
        </w:tc>
        <w:tc>
          <w:tcPr>
            <w:tcW w:w="100" w:type="dxa"/>
            <w:vAlign w:val="bottom"/>
          </w:tcPr>
          <w:p>
            <w:pPr>
              <w:spacing w:after="0"/>
              <w:rPr>
                <w:sz w:val="16"/>
                <w:szCs w:val="16"/>
                <w:color w:val="auto"/>
              </w:rPr>
            </w:pPr>
          </w:p>
        </w:tc>
        <w:tc>
          <w:tcPr>
            <w:tcW w:w="20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w w:val="97"/>
              </w:rPr>
              <w:t>Online Education</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6/8/2021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981,843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9,818,430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8,983,863</w:t>
            </w: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2.46 %</w:t>
            </w:r>
          </w:p>
        </w:tc>
        <w:tc>
          <w:tcPr>
            <w:tcW w:w="0" w:type="dxa"/>
            <w:vAlign w:val="bottom"/>
          </w:tcPr>
          <w:p>
            <w:pPr>
              <w:spacing w:after="0"/>
              <w:rPr>
                <w:sz w:val="1"/>
                <w:szCs w:val="1"/>
                <w:color w:val="auto"/>
              </w:rPr>
            </w:pPr>
          </w:p>
        </w:tc>
      </w:tr>
      <w:tr>
        <w:trPr>
          <w:trHeight w:val="174"/>
        </w:trPr>
        <w:tc>
          <w:tcPr>
            <w:tcW w:w="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auto"/>
            </w:tcBorders>
            <w:gridSpan w:val="4"/>
            <w:shd w:val="clear" w:color="auto" w:fill="CCEEFF"/>
          </w:tcPr>
          <w:p>
            <w:pPr>
              <w:spacing w:after="0" w:line="143" w:lineRule="exact"/>
              <w:rPr>
                <w:sz w:val="20"/>
                <w:szCs w:val="20"/>
                <w:color w:val="auto"/>
              </w:rPr>
            </w:pPr>
            <w:r>
              <w:rPr>
                <w:rFonts w:ascii="Times New Roman" w:cs="Times New Roman" w:eastAsia="Times New Roman" w:hAnsi="Times New Roman"/>
                <w:sz w:val="14"/>
                <w:szCs w:val="14"/>
                <w:b w:val="1"/>
                <w:bCs w:val="1"/>
                <w:color w:val="auto"/>
                <w:w w:val="95"/>
              </w:rPr>
              <w:t>Varo Money, Inc.</w:t>
            </w:r>
          </w:p>
        </w:tc>
        <w:tc>
          <w:tcPr>
            <w:tcW w:w="2560" w:type="dxa"/>
            <w:vAlign w:val="bottom"/>
            <w:tcBorders>
              <w:bottom w:val="single" w:sz="8" w:color="CCEEFF"/>
            </w:tcBorders>
            <w:gridSpan w:val="10"/>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80" w:type="dxa"/>
            <w:vAlign w:val="bottom"/>
            <w:tcBorders>
              <w:bottom w:val="single" w:sz="8" w:color="CCEEFF"/>
            </w:tcBorders>
            <w:gridSpan w:val="2"/>
            <w:shd w:val="clear" w:color="auto" w:fill="CCEEFF"/>
          </w:tcPr>
          <w:p>
            <w:pPr>
              <w:jc w:val="center"/>
              <w:ind w:right="120"/>
              <w:spacing w:after="0" w:line="143" w:lineRule="exact"/>
              <w:rPr>
                <w:sz w:val="20"/>
                <w:szCs w:val="20"/>
                <w:color w:val="auto"/>
              </w:rPr>
            </w:pPr>
            <w:r>
              <w:rPr>
                <w:rFonts w:ascii="Times New Roman" w:cs="Times New Roman" w:eastAsia="Times New Roman" w:hAnsi="Times New Roman"/>
                <w:sz w:val="14"/>
                <w:szCs w:val="14"/>
                <w:color w:val="auto"/>
                <w:w w:val="98"/>
              </w:rPr>
              <w:t>San Francisco, CA</w:t>
            </w:r>
          </w:p>
        </w:tc>
        <w:tc>
          <w:tcPr>
            <w:tcW w:w="9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580" w:type="dxa"/>
            <w:vAlign w:val="bottom"/>
            <w:gridSpan w:val="14"/>
          </w:tcPr>
          <w:p>
            <w:pPr>
              <w:spacing w:after="0"/>
              <w:rPr>
                <w:sz w:val="20"/>
                <w:szCs w:val="20"/>
                <w:color w:val="auto"/>
              </w:rPr>
            </w:pPr>
            <w:r>
              <w:rPr>
                <w:rFonts w:ascii="Times New Roman" w:cs="Times New Roman" w:eastAsia="Times New Roman" w:hAnsi="Times New Roman"/>
                <w:sz w:val="14"/>
                <w:szCs w:val="14"/>
                <w:color w:val="auto"/>
              </w:rPr>
              <w:t>Common shares</w:t>
            </w:r>
          </w:p>
        </w:tc>
        <w:tc>
          <w:tcPr>
            <w:tcW w:w="100" w:type="dxa"/>
            <w:vAlign w:val="bottom"/>
          </w:tcPr>
          <w:p>
            <w:pPr>
              <w:spacing w:after="0"/>
              <w:rPr>
                <w:sz w:val="16"/>
                <w:szCs w:val="16"/>
                <w:color w:val="auto"/>
              </w:rPr>
            </w:pPr>
          </w:p>
        </w:tc>
        <w:tc>
          <w:tcPr>
            <w:tcW w:w="20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w w:val="97"/>
              </w:rPr>
              <w:t>Financial Services</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8/11/2021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1,079,266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10,005,548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8,541,676</w:t>
            </w: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2.34 %</w:t>
            </w:r>
          </w:p>
        </w:tc>
        <w:tc>
          <w:tcPr>
            <w:tcW w:w="0" w:type="dxa"/>
            <w:vAlign w:val="bottom"/>
          </w:tcPr>
          <w:p>
            <w:pPr>
              <w:spacing w:after="0"/>
              <w:rPr>
                <w:sz w:val="1"/>
                <w:szCs w:val="1"/>
                <w:color w:val="auto"/>
              </w:rPr>
            </w:pPr>
          </w:p>
        </w:tc>
      </w:tr>
      <w:tr>
        <w:trPr>
          <w:trHeight w:val="150"/>
        </w:trPr>
        <w:tc>
          <w:tcPr>
            <w:tcW w:w="20" w:type="dxa"/>
            <w:vAlign w:val="bottom"/>
            <w:shd w:val="clear" w:color="auto" w:fill="CCEEFF"/>
          </w:tcPr>
          <w:p>
            <w:pPr>
              <w:spacing w:after="0"/>
              <w:rPr>
                <w:sz w:val="13"/>
                <w:szCs w:val="13"/>
                <w:color w:val="auto"/>
              </w:rPr>
            </w:pPr>
          </w:p>
        </w:tc>
        <w:tc>
          <w:tcPr>
            <w:tcW w:w="3580" w:type="dxa"/>
            <w:vAlign w:val="bottom"/>
            <w:gridSpan w:val="14"/>
            <w:shd w:val="clear" w:color="auto" w:fill="CCEEFF"/>
          </w:tcPr>
          <w:p>
            <w:pPr>
              <w:spacing w:after="0" w:line="150" w:lineRule="exact"/>
              <w:rPr>
                <w:sz w:val="20"/>
                <w:szCs w:val="20"/>
                <w:color w:val="auto"/>
              </w:rPr>
            </w:pPr>
            <w:r>
              <w:rPr>
                <w:rFonts w:ascii="Times New Roman" w:cs="Times New Roman" w:eastAsia="Times New Roman" w:hAnsi="Times New Roman"/>
                <w:sz w:val="14"/>
                <w:szCs w:val="14"/>
                <w:b w:val="1"/>
                <w:bCs w:val="1"/>
                <w:color w:val="auto"/>
              </w:rPr>
              <w:t>NewLake Capital Partners, Inc. (f/k/a GreenAcreage Real</w:t>
            </w:r>
          </w:p>
        </w:tc>
        <w:tc>
          <w:tcPr>
            <w:tcW w:w="100" w:type="dxa"/>
            <w:vAlign w:val="bottom"/>
            <w:shd w:val="clear" w:color="auto" w:fill="CCEEFF"/>
          </w:tcPr>
          <w:p>
            <w:pPr>
              <w:spacing w:after="0"/>
              <w:rPr>
                <w:sz w:val="13"/>
                <w:szCs w:val="13"/>
                <w:color w:val="auto"/>
              </w:rPr>
            </w:pPr>
          </w:p>
        </w:tc>
        <w:tc>
          <w:tcPr>
            <w:tcW w:w="2080" w:type="dxa"/>
            <w:vAlign w:val="bottom"/>
            <w:gridSpan w:val="2"/>
            <w:vMerge w:val="restart"/>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w w:val="97"/>
              </w:rPr>
              <w:t>New York, NY</w:t>
            </w:r>
          </w:p>
        </w:tc>
        <w:tc>
          <w:tcPr>
            <w:tcW w:w="9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09"/>
        </w:trPr>
        <w:tc>
          <w:tcPr>
            <w:tcW w:w="20" w:type="dxa"/>
            <w:vAlign w:val="bottom"/>
            <w:tcBorders>
              <w:top w:val="single" w:sz="8" w:color="CCEEFF"/>
            </w:tcBorders>
            <w:shd w:val="clear" w:color="auto" w:fill="CCEEFF"/>
          </w:tcPr>
          <w:p>
            <w:pPr>
              <w:spacing w:after="0"/>
              <w:rPr>
                <w:sz w:val="9"/>
                <w:szCs w:val="9"/>
                <w:color w:val="auto"/>
              </w:rPr>
            </w:pPr>
          </w:p>
        </w:tc>
        <w:tc>
          <w:tcPr>
            <w:tcW w:w="3400" w:type="dxa"/>
            <w:vAlign w:val="bottom"/>
            <w:tcBorders>
              <w:top w:val="single" w:sz="8" w:color="auto"/>
            </w:tcBorders>
            <w:gridSpan w:val="13"/>
            <w:shd w:val="clear" w:color="auto" w:fill="CCEEFF"/>
          </w:tcPr>
          <w:p>
            <w:pPr>
              <w:spacing w:after="0" w:line="110" w:lineRule="exact"/>
              <w:rPr>
                <w:sz w:val="20"/>
                <w:szCs w:val="20"/>
                <w:color w:val="auto"/>
              </w:rPr>
            </w:pPr>
            <w:r>
              <w:rPr>
                <w:rFonts w:ascii="Times New Roman" w:cs="Times New Roman" w:eastAsia="Times New Roman" w:hAnsi="Times New Roman"/>
                <w:sz w:val="11"/>
                <w:szCs w:val="11"/>
                <w:b w:val="1"/>
                <w:bCs w:val="1"/>
                <w:color w:val="auto"/>
              </w:rPr>
              <w:t>Estate Corp.)**</w:t>
            </w:r>
          </w:p>
        </w:tc>
        <w:tc>
          <w:tcPr>
            <w:tcW w:w="18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2080" w:type="dxa"/>
            <w:vAlign w:val="bottom"/>
            <w:tcBorders>
              <w:top w:val="single" w:sz="8" w:color="CCEEFF"/>
            </w:tcBorders>
            <w:gridSpan w:val="2"/>
            <w:vMerge w:val="continue"/>
            <w:shd w:val="clear" w:color="auto" w:fill="CCEEFF"/>
          </w:tcPr>
          <w:p>
            <w:pPr>
              <w:spacing w:after="0"/>
              <w:rPr>
                <w:sz w:val="9"/>
                <w:szCs w:val="9"/>
                <w:color w:val="auto"/>
              </w:rPr>
            </w:pPr>
          </w:p>
        </w:tc>
        <w:tc>
          <w:tcPr>
            <w:tcW w:w="96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82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240" w:type="dxa"/>
            <w:vAlign w:val="bottom"/>
            <w:tcBorders>
              <w:top w:val="single" w:sz="8" w:color="CCEEFF"/>
            </w:tcBorders>
            <w:shd w:val="clear" w:color="auto" w:fill="CCEEFF"/>
          </w:tcPr>
          <w:p>
            <w:pPr>
              <w:spacing w:after="0"/>
              <w:rPr>
                <w:sz w:val="9"/>
                <w:szCs w:val="9"/>
                <w:color w:val="auto"/>
              </w:rPr>
            </w:pPr>
          </w:p>
        </w:tc>
        <w:tc>
          <w:tcPr>
            <w:tcW w:w="86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94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92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32"/>
        </w:trPr>
        <w:tc>
          <w:tcPr>
            <w:tcW w:w="2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auto"/>
            </w:tcBorders>
            <w:shd w:val="clear" w:color="auto" w:fill="CCEEFF"/>
          </w:tcPr>
          <w:p>
            <w:pPr>
              <w:spacing w:after="0"/>
              <w:rPr>
                <w:sz w:val="2"/>
                <w:szCs w:val="2"/>
                <w:color w:val="auto"/>
              </w:rPr>
            </w:pPr>
          </w:p>
        </w:tc>
        <w:tc>
          <w:tcPr>
            <w:tcW w:w="260" w:type="dxa"/>
            <w:vAlign w:val="bottom"/>
            <w:tcBorders>
              <w:top w:val="single" w:sz="8" w:color="auto"/>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12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9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9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9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9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3580" w:type="dxa"/>
            <w:vAlign w:val="bottom"/>
            <w:gridSpan w:val="14"/>
          </w:tcPr>
          <w:p>
            <w:pPr>
              <w:spacing w:after="0" w:line="194" w:lineRule="exact"/>
              <w:rPr>
                <w:sz w:val="20"/>
                <w:szCs w:val="20"/>
                <w:color w:val="auto"/>
              </w:rPr>
            </w:pPr>
            <w:r>
              <w:rPr>
                <w:rFonts w:ascii="Times New Roman" w:cs="Times New Roman" w:eastAsia="Times New Roman" w:hAnsi="Times New Roman"/>
                <w:sz w:val="14"/>
                <w:szCs w:val="14"/>
                <w:color w:val="auto"/>
              </w:rPr>
              <w:t>Common shares***</w:t>
            </w:r>
            <w:r>
              <w:rPr>
                <w:rFonts w:ascii="Times New Roman" w:cs="Times New Roman" w:eastAsia="Times New Roman" w:hAnsi="Times New Roman"/>
                <w:sz w:val="17"/>
                <w:szCs w:val="17"/>
                <w:color w:val="auto"/>
                <w:vertAlign w:val="superscript"/>
              </w:rPr>
              <w:t>(3)(16)</w:t>
            </w:r>
          </w:p>
        </w:tc>
        <w:tc>
          <w:tcPr>
            <w:tcW w:w="100" w:type="dxa"/>
            <w:vAlign w:val="bottom"/>
          </w:tcPr>
          <w:p>
            <w:pPr>
              <w:spacing w:after="0"/>
              <w:rPr>
                <w:sz w:val="16"/>
                <w:szCs w:val="16"/>
                <w:color w:val="auto"/>
              </w:rPr>
            </w:pPr>
          </w:p>
        </w:tc>
        <w:tc>
          <w:tcPr>
            <w:tcW w:w="20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w w:val="96"/>
              </w:rPr>
              <w:t>Cannabis REIT</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8/12/2019</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278,471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5,653,375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7,986,548</w:t>
            </w: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2.19 %</w:t>
            </w:r>
          </w:p>
        </w:tc>
        <w:tc>
          <w:tcPr>
            <w:tcW w:w="0" w:type="dxa"/>
            <w:vAlign w:val="bottom"/>
          </w:tcPr>
          <w:p>
            <w:pPr>
              <w:spacing w:after="0"/>
              <w:rPr>
                <w:sz w:val="1"/>
                <w:szCs w:val="1"/>
                <w:color w:val="auto"/>
              </w:rPr>
            </w:pPr>
          </w:p>
        </w:tc>
      </w:tr>
      <w:tr>
        <w:trPr>
          <w:trHeight w:val="174"/>
        </w:trPr>
        <w:tc>
          <w:tcPr>
            <w:tcW w:w="20" w:type="dxa"/>
            <w:vAlign w:val="bottom"/>
            <w:shd w:val="clear" w:color="auto" w:fill="CCEEFF"/>
          </w:tcPr>
          <w:p>
            <w:pPr>
              <w:spacing w:after="0"/>
              <w:rPr>
                <w:sz w:val="15"/>
                <w:szCs w:val="15"/>
                <w:color w:val="auto"/>
              </w:rPr>
            </w:pPr>
          </w:p>
        </w:tc>
        <w:tc>
          <w:tcPr>
            <w:tcW w:w="3580" w:type="dxa"/>
            <w:vAlign w:val="bottom"/>
            <w:gridSpan w:val="14"/>
            <w:shd w:val="clear" w:color="auto" w:fill="CCEEFF"/>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Rover Group, Inc.**</w:t>
            </w:r>
            <w:r>
              <w:rPr>
                <w:rFonts w:ascii="Times New Roman" w:cs="Times New Roman" w:eastAsia="Times New Roman" w:hAnsi="Times New Roman"/>
                <w:sz w:val="16"/>
                <w:szCs w:val="16"/>
                <w:b w:val="1"/>
                <w:bCs w:val="1"/>
                <w:color w:val="auto"/>
                <w:vertAlign w:val="superscript"/>
              </w:rPr>
              <w:t>(13)</w:t>
            </w:r>
          </w:p>
        </w:tc>
        <w:tc>
          <w:tcPr>
            <w:tcW w:w="100" w:type="dxa"/>
            <w:vAlign w:val="bottom"/>
            <w:shd w:val="clear" w:color="auto" w:fill="CCEEFF"/>
          </w:tcPr>
          <w:p>
            <w:pPr>
              <w:spacing w:after="0"/>
              <w:rPr>
                <w:sz w:val="15"/>
                <w:szCs w:val="15"/>
                <w:color w:val="auto"/>
              </w:rPr>
            </w:pPr>
          </w:p>
        </w:tc>
        <w:tc>
          <w:tcPr>
            <w:tcW w:w="2080" w:type="dxa"/>
            <w:vAlign w:val="bottom"/>
            <w:gridSpan w:val="2"/>
            <w:shd w:val="clear" w:color="auto" w:fill="CCEEFF"/>
          </w:tcPr>
          <w:p>
            <w:pPr>
              <w:jc w:val="center"/>
              <w:ind w:right="140"/>
              <w:spacing w:after="0" w:line="143" w:lineRule="exact"/>
              <w:rPr>
                <w:sz w:val="20"/>
                <w:szCs w:val="20"/>
                <w:color w:val="auto"/>
              </w:rPr>
            </w:pPr>
            <w:r>
              <w:rPr>
                <w:rFonts w:ascii="Times New Roman" w:cs="Times New Roman" w:eastAsia="Times New Roman" w:hAnsi="Times New Roman"/>
                <w:sz w:val="14"/>
                <w:szCs w:val="14"/>
                <w:color w:val="auto"/>
                <w:w w:val="96"/>
              </w:rPr>
              <w:t>Seattle, WA</w:t>
            </w: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0" w:type="dxa"/>
            <w:vAlign w:val="bottom"/>
            <w:tcBorders>
              <w:top w:val="single" w:sz="8" w:color="CCEEFF"/>
            </w:tcBorders>
          </w:tcPr>
          <w:p>
            <w:pPr>
              <w:spacing w:after="0"/>
              <w:rPr>
                <w:sz w:val="16"/>
                <w:szCs w:val="16"/>
                <w:color w:val="auto"/>
              </w:rPr>
            </w:pPr>
          </w:p>
        </w:tc>
        <w:tc>
          <w:tcPr>
            <w:tcW w:w="1080" w:type="dxa"/>
            <w:vAlign w:val="bottom"/>
            <w:tcBorders>
              <w:top w:val="single" w:sz="8" w:color="auto"/>
            </w:tcBorders>
            <w:gridSpan w:val="6"/>
          </w:tcPr>
          <w:p>
            <w:pPr>
              <w:spacing w:after="0" w:line="194" w:lineRule="exact"/>
              <w:rPr>
                <w:sz w:val="20"/>
                <w:szCs w:val="20"/>
                <w:color w:val="auto"/>
              </w:rPr>
            </w:pPr>
            <w:r>
              <w:rPr>
                <w:rFonts w:ascii="Times New Roman" w:cs="Times New Roman" w:eastAsia="Times New Roman" w:hAnsi="Times New Roman"/>
                <w:sz w:val="14"/>
                <w:szCs w:val="14"/>
                <w:color w:val="auto"/>
              </w:rPr>
              <w:t>Common shares</w:t>
            </w:r>
            <w:r>
              <w:rPr>
                <w:rFonts w:ascii="Times New Roman" w:cs="Times New Roman" w:eastAsia="Times New Roman" w:hAnsi="Times New Roman"/>
                <w:sz w:val="17"/>
                <w:szCs w:val="17"/>
                <w:color w:val="auto"/>
                <w:vertAlign w:val="superscript"/>
              </w:rPr>
              <w:t>(3)</w:t>
            </w:r>
          </w:p>
        </w:tc>
        <w:tc>
          <w:tcPr>
            <w:tcW w:w="2500" w:type="dxa"/>
            <w:vAlign w:val="bottom"/>
            <w:tcBorders>
              <w:top w:val="single" w:sz="8" w:color="CCEEFF"/>
            </w:tcBorders>
            <w:gridSpan w:val="8"/>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2080" w:type="dxa"/>
            <w:vAlign w:val="bottom"/>
            <w:tcBorders>
              <w:top w:val="single" w:sz="8" w:color="CCEEFF"/>
            </w:tcBorders>
            <w:gridSpan w:val="2"/>
          </w:tcPr>
          <w:p>
            <w:pPr>
              <w:jc w:val="center"/>
              <w:ind w:right="120"/>
              <w:spacing w:after="0"/>
              <w:rPr>
                <w:sz w:val="20"/>
                <w:szCs w:val="20"/>
                <w:color w:val="auto"/>
              </w:rPr>
            </w:pPr>
            <w:r>
              <w:rPr>
                <w:rFonts w:ascii="Times New Roman" w:cs="Times New Roman" w:eastAsia="Times New Roman" w:hAnsi="Times New Roman"/>
                <w:sz w:val="14"/>
                <w:szCs w:val="14"/>
                <w:color w:val="auto"/>
                <w:w w:val="98"/>
              </w:rPr>
              <w:t>Peer-to-Peer Pet Services</w:t>
            </w:r>
          </w:p>
        </w:tc>
        <w:tc>
          <w:tcPr>
            <w:tcW w:w="960" w:type="dxa"/>
            <w:vAlign w:val="bottom"/>
            <w:tcBorders>
              <w:top w:val="single" w:sz="8" w:color="CCEEFF"/>
            </w:tcBorders>
          </w:tcPr>
          <w:p>
            <w:pPr>
              <w:jc w:val="center"/>
              <w:spacing w:after="0"/>
              <w:rPr>
                <w:sz w:val="20"/>
                <w:szCs w:val="20"/>
                <w:color w:val="auto"/>
              </w:rPr>
            </w:pPr>
            <w:r>
              <w:rPr>
                <w:rFonts w:ascii="Times New Roman" w:cs="Times New Roman" w:eastAsia="Times New Roman" w:hAnsi="Times New Roman"/>
                <w:sz w:val="14"/>
                <w:szCs w:val="14"/>
                <w:color w:val="auto"/>
                <w:w w:val="98"/>
              </w:rPr>
              <w:t>11/3/2014</w:t>
            </w:r>
          </w:p>
        </w:tc>
        <w:tc>
          <w:tcPr>
            <w:tcW w:w="12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8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838,381</w:t>
            </w:r>
          </w:p>
        </w:tc>
        <w:tc>
          <w:tcPr>
            <w:tcW w:w="100" w:type="dxa"/>
            <w:vAlign w:val="bottom"/>
            <w:tcBorders>
              <w:top w:val="single" w:sz="8" w:color="CCEEFF"/>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860" w:type="dxa"/>
            <w:vAlign w:val="bottom"/>
            <w:tcBorders>
              <w:top w:val="single" w:sz="8" w:color="CCEEFF"/>
            </w:tcBorders>
          </w:tcPr>
          <w:p>
            <w:pPr>
              <w:jc w:val="right"/>
              <w:ind w:right="11"/>
              <w:spacing w:after="0"/>
              <w:rPr>
                <w:sz w:val="20"/>
                <w:szCs w:val="20"/>
                <w:color w:val="auto"/>
              </w:rPr>
            </w:pPr>
            <w:r>
              <w:rPr>
                <w:rFonts w:ascii="Times New Roman" w:cs="Times New Roman" w:eastAsia="Times New Roman" w:hAnsi="Times New Roman"/>
                <w:sz w:val="14"/>
                <w:szCs w:val="14"/>
                <w:color w:val="auto"/>
              </w:rPr>
              <w:t>2,506,119</w:t>
            </w:r>
          </w:p>
        </w:tc>
        <w:tc>
          <w:tcPr>
            <w:tcW w:w="10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9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7,765,504</w:t>
            </w:r>
          </w:p>
        </w:tc>
        <w:tc>
          <w:tcPr>
            <w:tcW w:w="100" w:type="dxa"/>
            <w:vAlign w:val="bottom"/>
            <w:tcBorders>
              <w:top w:val="single" w:sz="8" w:color="CCEEFF"/>
            </w:tcBorders>
          </w:tcPr>
          <w:p>
            <w:pPr>
              <w:spacing w:after="0"/>
              <w:rPr>
                <w:sz w:val="16"/>
                <w:szCs w:val="16"/>
                <w:color w:val="auto"/>
              </w:rPr>
            </w:pPr>
          </w:p>
        </w:tc>
        <w:tc>
          <w:tcPr>
            <w:tcW w:w="9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2.13 %</w:t>
            </w:r>
          </w:p>
        </w:tc>
        <w:tc>
          <w:tcPr>
            <w:tcW w:w="0" w:type="dxa"/>
            <w:vAlign w:val="bottom"/>
          </w:tcPr>
          <w:p>
            <w:pPr>
              <w:spacing w:after="0"/>
              <w:rPr>
                <w:sz w:val="1"/>
                <w:szCs w:val="1"/>
                <w:color w:val="auto"/>
              </w:rPr>
            </w:pPr>
          </w:p>
        </w:tc>
      </w:tr>
      <w:tr>
        <w:trPr>
          <w:trHeight w:val="174"/>
        </w:trPr>
        <w:tc>
          <w:tcPr>
            <w:tcW w:w="20" w:type="dxa"/>
            <w:vAlign w:val="bottom"/>
            <w:tcBorders>
              <w:bottom w:val="single" w:sz="8" w:color="CCEEFF"/>
            </w:tcBorders>
            <w:shd w:val="clear" w:color="auto" w:fill="CCEEFF"/>
          </w:tcPr>
          <w:p>
            <w:pPr>
              <w:spacing w:after="0"/>
              <w:rPr>
                <w:sz w:val="15"/>
                <w:szCs w:val="15"/>
                <w:color w:val="auto"/>
              </w:rPr>
            </w:pPr>
          </w:p>
        </w:tc>
        <w:tc>
          <w:tcPr>
            <w:tcW w:w="1460" w:type="dxa"/>
            <w:vAlign w:val="bottom"/>
            <w:tcBorders>
              <w:bottom w:val="single" w:sz="8" w:color="auto"/>
            </w:tcBorders>
            <w:gridSpan w:val="9"/>
            <w:shd w:val="clear" w:color="auto" w:fill="CCEEFF"/>
          </w:tcPr>
          <w:p>
            <w:pPr>
              <w:spacing w:after="0" w:line="143" w:lineRule="exact"/>
              <w:rPr>
                <w:sz w:val="20"/>
                <w:szCs w:val="20"/>
                <w:color w:val="auto"/>
              </w:rPr>
            </w:pPr>
            <w:r>
              <w:rPr>
                <w:rFonts w:ascii="Times New Roman" w:cs="Times New Roman" w:eastAsia="Times New Roman" w:hAnsi="Times New Roman"/>
                <w:sz w:val="14"/>
                <w:szCs w:val="14"/>
                <w:b w:val="1"/>
                <w:bCs w:val="1"/>
                <w:color w:val="auto"/>
                <w:w w:val="97"/>
              </w:rPr>
              <w:t>Shogun Enterprises, Inc.</w:t>
            </w:r>
          </w:p>
        </w:tc>
        <w:tc>
          <w:tcPr>
            <w:tcW w:w="2120" w:type="dxa"/>
            <w:vAlign w:val="bottom"/>
            <w:tcBorders>
              <w:bottom w:val="single" w:sz="8" w:color="CCEEFF"/>
            </w:tcBorders>
            <w:gridSpan w:val="5"/>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80" w:type="dxa"/>
            <w:vAlign w:val="bottom"/>
            <w:tcBorders>
              <w:bottom w:val="single" w:sz="8" w:color="CCEEFF"/>
            </w:tcBorders>
            <w:gridSpan w:val="2"/>
            <w:shd w:val="clear" w:color="auto" w:fill="CCEEFF"/>
          </w:tcPr>
          <w:p>
            <w:pPr>
              <w:jc w:val="center"/>
              <w:ind w:right="140"/>
              <w:spacing w:after="0" w:line="143" w:lineRule="exact"/>
              <w:rPr>
                <w:sz w:val="20"/>
                <w:szCs w:val="20"/>
                <w:color w:val="auto"/>
              </w:rPr>
            </w:pPr>
            <w:r>
              <w:rPr>
                <w:rFonts w:ascii="Times New Roman" w:cs="Times New Roman" w:eastAsia="Times New Roman" w:hAnsi="Times New Roman"/>
                <w:sz w:val="14"/>
                <w:szCs w:val="14"/>
                <w:color w:val="auto"/>
                <w:w w:val="98"/>
              </w:rPr>
              <w:t>Austin, TX</w:t>
            </w:r>
          </w:p>
        </w:tc>
        <w:tc>
          <w:tcPr>
            <w:tcW w:w="9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580" w:type="dxa"/>
            <w:vAlign w:val="bottom"/>
            <w:gridSpan w:val="14"/>
          </w:tcPr>
          <w:p>
            <w:pPr>
              <w:spacing w:after="0"/>
              <w:rPr>
                <w:sz w:val="20"/>
                <w:szCs w:val="20"/>
                <w:color w:val="auto"/>
              </w:rPr>
            </w:pPr>
            <w:r>
              <w:rPr>
                <w:rFonts w:ascii="Times New Roman" w:cs="Times New Roman" w:eastAsia="Times New Roman" w:hAnsi="Times New Roman"/>
                <w:sz w:val="14"/>
                <w:szCs w:val="14"/>
                <w:color w:val="auto"/>
              </w:rPr>
              <w:t>Preferred shares, Series B-1</w:t>
            </w:r>
          </w:p>
        </w:tc>
        <w:tc>
          <w:tcPr>
            <w:tcW w:w="100" w:type="dxa"/>
            <w:vAlign w:val="bottom"/>
          </w:tcPr>
          <w:p>
            <w:pPr>
              <w:spacing w:after="0"/>
              <w:rPr>
                <w:sz w:val="16"/>
                <w:szCs w:val="16"/>
                <w:color w:val="auto"/>
              </w:rPr>
            </w:pPr>
          </w:p>
        </w:tc>
        <w:tc>
          <w:tcPr>
            <w:tcW w:w="20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w w:val="99"/>
              </w:rPr>
              <w:t>Home Improvement Finance</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2/26/2021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436,844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3,501,657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3,531,447</w:t>
            </w: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0.97 %</w:t>
            </w:r>
          </w:p>
        </w:tc>
        <w:tc>
          <w:tcPr>
            <w:tcW w:w="0" w:type="dxa"/>
            <w:vAlign w:val="bottom"/>
          </w:tcPr>
          <w:p>
            <w:pPr>
              <w:spacing w:after="0"/>
              <w:rPr>
                <w:sz w:val="1"/>
                <w:szCs w:val="1"/>
                <w:color w:val="auto"/>
              </w:rPr>
            </w:pPr>
          </w:p>
        </w:tc>
      </w:tr>
      <w:tr>
        <w:trPr>
          <w:trHeight w:val="202"/>
        </w:trPr>
        <w:tc>
          <w:tcPr>
            <w:tcW w:w="20" w:type="dxa"/>
            <w:vAlign w:val="bottom"/>
            <w:shd w:val="clear" w:color="auto" w:fill="CCEEFF"/>
          </w:tcPr>
          <w:p>
            <w:pPr>
              <w:spacing w:after="0"/>
              <w:rPr>
                <w:sz w:val="17"/>
                <w:szCs w:val="17"/>
                <w:color w:val="auto"/>
              </w:rPr>
            </w:pPr>
          </w:p>
        </w:tc>
        <w:tc>
          <w:tcPr>
            <w:tcW w:w="3580" w:type="dxa"/>
            <w:vAlign w:val="bottom"/>
            <w:gridSpan w:val="14"/>
            <w:shd w:val="clear" w:color="auto" w:fill="CCEEFF"/>
          </w:tcPr>
          <w:p>
            <w:pPr>
              <w:spacing w:after="0"/>
              <w:rPr>
                <w:sz w:val="20"/>
                <w:szCs w:val="20"/>
                <w:color w:val="auto"/>
              </w:rPr>
            </w:pPr>
            <w:r>
              <w:rPr>
                <w:rFonts w:ascii="Times New Roman" w:cs="Times New Roman" w:eastAsia="Times New Roman" w:hAnsi="Times New Roman"/>
                <w:sz w:val="14"/>
                <w:szCs w:val="14"/>
                <w:color w:val="auto"/>
              </w:rPr>
              <w:t>Preferred shares, Series B-2</w:t>
            </w:r>
          </w:p>
        </w:tc>
        <w:tc>
          <w:tcPr>
            <w:tcW w:w="100" w:type="dxa"/>
            <w:vAlign w:val="bottom"/>
            <w:shd w:val="clear" w:color="auto" w:fill="CCEEFF"/>
          </w:tcPr>
          <w:p>
            <w:pPr>
              <w:spacing w:after="0"/>
              <w:rPr>
                <w:sz w:val="17"/>
                <w:szCs w:val="17"/>
                <w:color w:val="auto"/>
              </w:rPr>
            </w:pPr>
          </w:p>
        </w:tc>
        <w:tc>
          <w:tcPr>
            <w:tcW w:w="1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2/26/2021</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301,750</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3,501,661</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3,499,998</w:t>
            </w:r>
          </w:p>
        </w:tc>
        <w:tc>
          <w:tcPr>
            <w:tcW w:w="100" w:type="dxa"/>
            <w:vAlign w:val="bottom"/>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0.96 %</w:t>
            </w:r>
          </w:p>
        </w:tc>
        <w:tc>
          <w:tcPr>
            <w:tcW w:w="0" w:type="dxa"/>
            <w:vAlign w:val="bottom"/>
          </w:tcPr>
          <w:p>
            <w:pPr>
              <w:spacing w:after="0"/>
              <w:rPr>
                <w:sz w:val="1"/>
                <w:szCs w:val="1"/>
                <w:color w:val="auto"/>
              </w:rPr>
            </w:pPr>
          </w:p>
        </w:tc>
      </w:tr>
      <w:tr>
        <w:trPr>
          <w:trHeight w:val="180"/>
        </w:trPr>
        <w:tc>
          <w:tcPr>
            <w:tcW w:w="20" w:type="dxa"/>
            <w:vAlign w:val="bottom"/>
            <w:tcBorders>
              <w:bottom w:val="single" w:sz="8" w:color="CCEEFF"/>
            </w:tcBorders>
          </w:tcPr>
          <w:p>
            <w:pPr>
              <w:spacing w:after="0"/>
              <w:rPr>
                <w:sz w:val="15"/>
                <w:szCs w:val="15"/>
                <w:color w:val="auto"/>
              </w:rPr>
            </w:pPr>
          </w:p>
        </w:tc>
        <w:tc>
          <w:tcPr>
            <w:tcW w:w="3580" w:type="dxa"/>
            <w:vAlign w:val="bottom"/>
            <w:tcBorders>
              <w:bottom w:val="single" w:sz="8" w:color="CCEEFF"/>
            </w:tcBorders>
            <w:gridSpan w:val="14"/>
          </w:tcPr>
          <w:p>
            <w:pPr>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tcBorders>
              <w:bottom w:val="single" w:sz="8" w:color="CCEEFF"/>
            </w:tcBorders>
          </w:tcPr>
          <w:p>
            <w:pPr>
              <w:spacing w:after="0"/>
              <w:rPr>
                <w:sz w:val="15"/>
                <w:szCs w:val="15"/>
                <w:color w:val="auto"/>
              </w:rPr>
            </w:pPr>
          </w:p>
        </w:tc>
        <w:tc>
          <w:tcPr>
            <w:tcW w:w="19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96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8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7,003,318</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7,031,445</w:t>
            </w:r>
          </w:p>
        </w:tc>
        <w:tc>
          <w:tcPr>
            <w:tcW w:w="10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1.93 %</w:t>
            </w:r>
          </w:p>
        </w:tc>
        <w:tc>
          <w:tcPr>
            <w:tcW w:w="0" w:type="dxa"/>
            <w:vAlign w:val="bottom"/>
          </w:tcPr>
          <w:p>
            <w:pPr>
              <w:spacing w:after="0"/>
              <w:rPr>
                <w:sz w:val="1"/>
                <w:szCs w:val="1"/>
                <w:color w:val="auto"/>
              </w:rPr>
            </w:pPr>
          </w:p>
        </w:tc>
      </w:tr>
      <w:tr>
        <w:trPr>
          <w:trHeight w:val="161"/>
        </w:trPr>
        <w:tc>
          <w:tcPr>
            <w:tcW w:w="20" w:type="dxa"/>
            <w:vAlign w:val="bottom"/>
            <w:shd w:val="clear" w:color="auto" w:fill="CCEEFF"/>
          </w:tcPr>
          <w:p>
            <w:pPr>
              <w:spacing w:after="0"/>
              <w:rPr>
                <w:sz w:val="14"/>
                <w:szCs w:val="14"/>
                <w:color w:val="auto"/>
              </w:rPr>
            </w:pPr>
          </w:p>
        </w:tc>
        <w:tc>
          <w:tcPr>
            <w:tcW w:w="3580" w:type="dxa"/>
            <w:vAlign w:val="bottom"/>
            <w:gridSpan w:val="14"/>
            <w:shd w:val="clear" w:color="auto" w:fill="CCEEFF"/>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Enjoy Technology, Inc.**</w:t>
            </w:r>
          </w:p>
        </w:tc>
        <w:tc>
          <w:tcPr>
            <w:tcW w:w="100" w:type="dxa"/>
            <w:vAlign w:val="bottom"/>
            <w:shd w:val="clear" w:color="auto" w:fill="CCEEFF"/>
          </w:tcPr>
          <w:p>
            <w:pPr>
              <w:spacing w:after="0"/>
              <w:rPr>
                <w:sz w:val="14"/>
                <w:szCs w:val="14"/>
                <w:color w:val="auto"/>
              </w:rPr>
            </w:pPr>
          </w:p>
        </w:tc>
        <w:tc>
          <w:tcPr>
            <w:tcW w:w="2080" w:type="dxa"/>
            <w:vAlign w:val="bottom"/>
            <w:gridSpan w:val="2"/>
            <w:shd w:val="clear" w:color="auto" w:fill="CCEEFF"/>
          </w:tcPr>
          <w:p>
            <w:pPr>
              <w:jc w:val="center"/>
              <w:ind w:right="120"/>
              <w:spacing w:after="0" w:line="129" w:lineRule="exact"/>
              <w:rPr>
                <w:sz w:val="20"/>
                <w:szCs w:val="20"/>
                <w:color w:val="auto"/>
              </w:rPr>
            </w:pPr>
            <w:r>
              <w:rPr>
                <w:rFonts w:ascii="Times New Roman" w:cs="Times New Roman" w:eastAsia="Times New Roman" w:hAnsi="Times New Roman"/>
                <w:sz w:val="14"/>
                <w:szCs w:val="14"/>
                <w:color w:val="auto"/>
                <w:w w:val="99"/>
              </w:rPr>
              <w:t>Menlo Park, CA</w:t>
            </w: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0" w:type="dxa"/>
            <w:vAlign w:val="bottom"/>
            <w:tcBorders>
              <w:top w:val="single" w:sz="8" w:color="CCEEFF"/>
            </w:tcBorders>
          </w:tcPr>
          <w:p>
            <w:pPr>
              <w:spacing w:after="0"/>
              <w:rPr>
                <w:sz w:val="16"/>
                <w:szCs w:val="16"/>
                <w:color w:val="auto"/>
              </w:rPr>
            </w:pPr>
          </w:p>
        </w:tc>
        <w:tc>
          <w:tcPr>
            <w:tcW w:w="1340" w:type="dxa"/>
            <w:vAlign w:val="bottom"/>
            <w:tcBorders>
              <w:top w:val="single" w:sz="8" w:color="auto"/>
            </w:tcBorders>
            <w:gridSpan w:val="7"/>
          </w:tcPr>
          <w:p>
            <w:pPr>
              <w:spacing w:after="0" w:line="194" w:lineRule="exact"/>
              <w:rPr>
                <w:sz w:val="20"/>
                <w:szCs w:val="20"/>
                <w:color w:val="auto"/>
              </w:rPr>
            </w:pPr>
            <w:r>
              <w:rPr>
                <w:rFonts w:ascii="Times New Roman" w:cs="Times New Roman" w:eastAsia="Times New Roman" w:hAnsi="Times New Roman"/>
                <w:sz w:val="14"/>
                <w:szCs w:val="14"/>
                <w:color w:val="auto"/>
              </w:rPr>
              <w:t>Common shares</w:t>
            </w:r>
            <w:r>
              <w:rPr>
                <w:rFonts w:ascii="Times New Roman" w:cs="Times New Roman" w:eastAsia="Times New Roman" w:hAnsi="Times New Roman"/>
                <w:sz w:val="17"/>
                <w:szCs w:val="17"/>
                <w:color w:val="auto"/>
                <w:vertAlign w:val="superscript"/>
              </w:rPr>
              <w:t>(3)</w:t>
            </w:r>
          </w:p>
        </w:tc>
        <w:tc>
          <w:tcPr>
            <w:tcW w:w="2240" w:type="dxa"/>
            <w:vAlign w:val="bottom"/>
            <w:tcBorders>
              <w:top w:val="single" w:sz="8" w:color="CCEEFF"/>
            </w:tcBorders>
            <w:gridSpan w:val="7"/>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2080" w:type="dxa"/>
            <w:vAlign w:val="bottom"/>
            <w:tcBorders>
              <w:top w:val="single" w:sz="8" w:color="CCEEFF"/>
            </w:tcBorders>
            <w:gridSpan w:val="2"/>
          </w:tcPr>
          <w:p>
            <w:pPr>
              <w:jc w:val="center"/>
              <w:ind w:right="120"/>
              <w:spacing w:after="0"/>
              <w:rPr>
                <w:sz w:val="20"/>
                <w:szCs w:val="20"/>
                <w:color w:val="auto"/>
              </w:rPr>
            </w:pPr>
            <w:r>
              <w:rPr>
                <w:rFonts w:ascii="Times New Roman" w:cs="Times New Roman" w:eastAsia="Times New Roman" w:hAnsi="Times New Roman"/>
                <w:sz w:val="14"/>
                <w:szCs w:val="14"/>
                <w:color w:val="auto"/>
                <w:w w:val="98"/>
              </w:rPr>
              <w:t>On-Demand Commerce</w:t>
            </w:r>
          </w:p>
        </w:tc>
        <w:tc>
          <w:tcPr>
            <w:tcW w:w="960" w:type="dxa"/>
            <w:vAlign w:val="bottom"/>
            <w:tcBorders>
              <w:top w:val="single" w:sz="8" w:color="CCEEFF"/>
            </w:tcBorders>
          </w:tcPr>
          <w:p>
            <w:pPr>
              <w:jc w:val="center"/>
              <w:spacing w:after="0"/>
              <w:rPr>
                <w:sz w:val="20"/>
                <w:szCs w:val="20"/>
                <w:color w:val="auto"/>
              </w:rPr>
            </w:pPr>
            <w:r>
              <w:rPr>
                <w:rFonts w:ascii="Times New Roman" w:cs="Times New Roman" w:eastAsia="Times New Roman" w:hAnsi="Times New Roman"/>
                <w:sz w:val="14"/>
                <w:szCs w:val="14"/>
                <w:color w:val="auto"/>
              </w:rPr>
              <w:t>10/16/2014</w:t>
            </w:r>
          </w:p>
        </w:tc>
        <w:tc>
          <w:tcPr>
            <w:tcW w:w="12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8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1,070,919</w:t>
            </w:r>
          </w:p>
        </w:tc>
        <w:tc>
          <w:tcPr>
            <w:tcW w:w="100" w:type="dxa"/>
            <w:vAlign w:val="bottom"/>
            <w:tcBorders>
              <w:top w:val="single" w:sz="8" w:color="CCEEFF"/>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860" w:type="dxa"/>
            <w:vAlign w:val="bottom"/>
            <w:tcBorders>
              <w:top w:val="single" w:sz="8" w:color="CCEEFF"/>
            </w:tcBorders>
          </w:tcPr>
          <w:p>
            <w:pPr>
              <w:jc w:val="right"/>
              <w:ind w:right="11"/>
              <w:spacing w:after="0"/>
              <w:rPr>
                <w:sz w:val="20"/>
                <w:szCs w:val="20"/>
                <w:color w:val="auto"/>
              </w:rPr>
            </w:pPr>
            <w:r>
              <w:rPr>
                <w:rFonts w:ascii="Times New Roman" w:cs="Times New Roman" w:eastAsia="Times New Roman" w:hAnsi="Times New Roman"/>
                <w:sz w:val="14"/>
                <w:szCs w:val="14"/>
                <w:color w:val="auto"/>
              </w:rPr>
              <w:t>5,526,777</w:t>
            </w:r>
          </w:p>
        </w:tc>
        <w:tc>
          <w:tcPr>
            <w:tcW w:w="10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9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4,576,572</w:t>
            </w:r>
          </w:p>
        </w:tc>
        <w:tc>
          <w:tcPr>
            <w:tcW w:w="100" w:type="dxa"/>
            <w:vAlign w:val="bottom"/>
            <w:tcBorders>
              <w:top w:val="single" w:sz="8" w:color="CCEEFF"/>
            </w:tcBorders>
          </w:tcPr>
          <w:p>
            <w:pPr>
              <w:spacing w:after="0"/>
              <w:rPr>
                <w:sz w:val="16"/>
                <w:szCs w:val="16"/>
                <w:color w:val="auto"/>
              </w:rPr>
            </w:pPr>
          </w:p>
        </w:tc>
        <w:tc>
          <w:tcPr>
            <w:tcW w:w="9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1.25 %</w:t>
            </w:r>
          </w:p>
        </w:tc>
        <w:tc>
          <w:tcPr>
            <w:tcW w:w="0" w:type="dxa"/>
            <w:vAlign w:val="bottom"/>
          </w:tcPr>
          <w:p>
            <w:pPr>
              <w:spacing w:after="0"/>
              <w:rPr>
                <w:sz w:val="1"/>
                <w:szCs w:val="1"/>
                <w:color w:val="auto"/>
              </w:rPr>
            </w:pPr>
          </w:p>
        </w:tc>
      </w:tr>
      <w:tr>
        <w:trPr>
          <w:trHeight w:val="194"/>
        </w:trPr>
        <w:tc>
          <w:tcPr>
            <w:tcW w:w="20" w:type="dxa"/>
            <w:vAlign w:val="bottom"/>
            <w:shd w:val="clear" w:color="auto" w:fill="CCEEFF"/>
          </w:tcPr>
          <w:p>
            <w:pPr>
              <w:spacing w:after="0"/>
              <w:rPr>
                <w:sz w:val="16"/>
                <w:szCs w:val="16"/>
                <w:color w:val="auto"/>
              </w:rPr>
            </w:pPr>
          </w:p>
        </w:tc>
        <w:tc>
          <w:tcPr>
            <w:tcW w:w="3580" w:type="dxa"/>
            <w:vAlign w:val="bottom"/>
            <w:gridSpan w:val="14"/>
            <w:shd w:val="clear" w:color="auto" w:fill="CCEEFF"/>
          </w:tcPr>
          <w:p>
            <w:pPr>
              <w:spacing w:after="0" w:line="143" w:lineRule="exact"/>
              <w:rPr>
                <w:sz w:val="20"/>
                <w:szCs w:val="20"/>
                <w:color w:val="auto"/>
              </w:rPr>
            </w:pPr>
            <w:r>
              <w:rPr>
                <w:rFonts w:ascii="Times New Roman" w:cs="Times New Roman" w:eastAsia="Times New Roman" w:hAnsi="Times New Roman"/>
                <w:sz w:val="14"/>
                <w:szCs w:val="14"/>
                <w:b w:val="1"/>
                <w:bCs w:val="1"/>
                <w:color w:val="auto"/>
              </w:rPr>
              <w:t>Neutron Holdings, Inc. (d/b/a/ Lime)</w:t>
            </w:r>
          </w:p>
        </w:tc>
        <w:tc>
          <w:tcPr>
            <w:tcW w:w="100" w:type="dxa"/>
            <w:vAlign w:val="bottom"/>
            <w:shd w:val="clear" w:color="auto" w:fill="CCEEFF"/>
          </w:tcPr>
          <w:p>
            <w:pPr>
              <w:spacing w:after="0"/>
              <w:rPr>
                <w:sz w:val="16"/>
                <w:szCs w:val="16"/>
                <w:color w:val="auto"/>
              </w:rPr>
            </w:pPr>
          </w:p>
        </w:tc>
        <w:tc>
          <w:tcPr>
            <w:tcW w:w="2080" w:type="dxa"/>
            <w:vAlign w:val="bottom"/>
            <w:gridSpan w:val="2"/>
            <w:shd w:val="clear" w:color="auto" w:fill="CCEEFF"/>
          </w:tcPr>
          <w:p>
            <w:pPr>
              <w:jc w:val="center"/>
              <w:ind w:right="120"/>
              <w:spacing w:after="0" w:line="143" w:lineRule="exact"/>
              <w:rPr>
                <w:sz w:val="20"/>
                <w:szCs w:val="20"/>
                <w:color w:val="auto"/>
              </w:rPr>
            </w:pPr>
            <w:r>
              <w:rPr>
                <w:rFonts w:ascii="Times New Roman" w:cs="Times New Roman" w:eastAsia="Times New Roman" w:hAnsi="Times New Roman"/>
                <w:sz w:val="14"/>
                <w:szCs w:val="14"/>
                <w:color w:val="auto"/>
                <w:w w:val="98"/>
              </w:rPr>
              <w:t>San Francisco, CA</w:t>
            </w: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20" w:type="dxa"/>
            <w:vAlign w:val="bottom"/>
            <w:tcBorders>
              <w:top w:val="single" w:sz="8" w:color="CCEEFF"/>
            </w:tcBorders>
          </w:tcPr>
          <w:p>
            <w:pPr>
              <w:spacing w:after="0"/>
              <w:rPr>
                <w:sz w:val="15"/>
                <w:szCs w:val="15"/>
                <w:color w:val="auto"/>
              </w:rPr>
            </w:pPr>
          </w:p>
        </w:tc>
        <w:tc>
          <w:tcPr>
            <w:tcW w:w="2140" w:type="dxa"/>
            <w:vAlign w:val="bottom"/>
            <w:tcBorders>
              <w:top w:val="single" w:sz="8" w:color="auto"/>
            </w:tcBorders>
            <w:gridSpan w:val="12"/>
          </w:tcPr>
          <w:p>
            <w:pPr>
              <w:spacing w:after="0"/>
              <w:rPr>
                <w:sz w:val="20"/>
                <w:szCs w:val="20"/>
                <w:color w:val="auto"/>
              </w:rPr>
            </w:pPr>
            <w:r>
              <w:rPr>
                <w:rFonts w:ascii="Times New Roman" w:cs="Times New Roman" w:eastAsia="Times New Roman" w:hAnsi="Times New Roman"/>
                <w:sz w:val="14"/>
                <w:szCs w:val="14"/>
                <w:color w:val="auto"/>
              </w:rPr>
              <w:t>Junior Preferred shares, Series 1-D</w:t>
            </w:r>
          </w:p>
        </w:tc>
        <w:tc>
          <w:tcPr>
            <w:tcW w:w="1440" w:type="dxa"/>
            <w:vAlign w:val="bottom"/>
            <w:tcBorders>
              <w:top w:val="single" w:sz="8" w:color="CCEEFF"/>
            </w:tcBorders>
            <w:gridSpan w:val="2"/>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2080" w:type="dxa"/>
            <w:vAlign w:val="bottom"/>
            <w:tcBorders>
              <w:top w:val="single" w:sz="8" w:color="CCEEFF"/>
            </w:tcBorders>
            <w:gridSpan w:val="2"/>
          </w:tcPr>
          <w:p>
            <w:pPr>
              <w:jc w:val="center"/>
              <w:ind w:right="120"/>
              <w:spacing w:after="0"/>
              <w:rPr>
                <w:sz w:val="20"/>
                <w:szCs w:val="20"/>
                <w:color w:val="auto"/>
              </w:rPr>
            </w:pPr>
            <w:r>
              <w:rPr>
                <w:rFonts w:ascii="Times New Roman" w:cs="Times New Roman" w:eastAsia="Times New Roman" w:hAnsi="Times New Roman"/>
                <w:sz w:val="14"/>
                <w:szCs w:val="14"/>
                <w:color w:val="auto"/>
                <w:w w:val="97"/>
              </w:rPr>
              <w:t>Micromobility</w:t>
            </w:r>
          </w:p>
        </w:tc>
        <w:tc>
          <w:tcPr>
            <w:tcW w:w="960" w:type="dxa"/>
            <w:vAlign w:val="bottom"/>
            <w:tcBorders>
              <w:top w:val="single" w:sz="8" w:color="CCEEFF"/>
            </w:tcBorders>
          </w:tcPr>
          <w:p>
            <w:pPr>
              <w:jc w:val="center"/>
              <w:spacing w:after="0"/>
              <w:rPr>
                <w:sz w:val="20"/>
                <w:szCs w:val="20"/>
                <w:color w:val="auto"/>
              </w:rPr>
            </w:pPr>
            <w:r>
              <w:rPr>
                <w:rFonts w:ascii="Times New Roman" w:cs="Times New Roman" w:eastAsia="Times New Roman" w:hAnsi="Times New Roman"/>
                <w:sz w:val="14"/>
                <w:szCs w:val="14"/>
                <w:color w:val="auto"/>
                <w:w w:val="98"/>
              </w:rPr>
              <w:t>1/25/2019</w:t>
            </w:r>
          </w:p>
        </w:tc>
        <w:tc>
          <w:tcPr>
            <w:tcW w:w="12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8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41,237,113</w:t>
            </w:r>
          </w:p>
        </w:tc>
        <w:tc>
          <w:tcPr>
            <w:tcW w:w="100" w:type="dxa"/>
            <w:vAlign w:val="bottom"/>
            <w:tcBorders>
              <w:top w:val="single" w:sz="8" w:color="CCEEFF"/>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860" w:type="dxa"/>
            <w:vAlign w:val="bottom"/>
            <w:tcBorders>
              <w:top w:val="single" w:sz="8" w:color="CCEEFF"/>
            </w:tcBorders>
          </w:tcPr>
          <w:p>
            <w:pPr>
              <w:jc w:val="right"/>
              <w:ind w:right="11"/>
              <w:spacing w:after="0"/>
              <w:rPr>
                <w:sz w:val="20"/>
                <w:szCs w:val="20"/>
                <w:color w:val="auto"/>
              </w:rPr>
            </w:pPr>
            <w:r>
              <w:rPr>
                <w:rFonts w:ascii="Times New Roman" w:cs="Times New Roman" w:eastAsia="Times New Roman" w:hAnsi="Times New Roman"/>
                <w:sz w:val="14"/>
                <w:szCs w:val="14"/>
                <w:color w:val="auto"/>
              </w:rPr>
              <w:t>10,007,322</w:t>
            </w:r>
          </w:p>
        </w:tc>
        <w:tc>
          <w:tcPr>
            <w:tcW w:w="10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9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3,485,014</w:t>
            </w:r>
          </w:p>
        </w:tc>
        <w:tc>
          <w:tcPr>
            <w:tcW w:w="100" w:type="dxa"/>
            <w:vAlign w:val="bottom"/>
            <w:tcBorders>
              <w:top w:val="single" w:sz="8" w:color="CCEEFF"/>
            </w:tcBorders>
          </w:tcPr>
          <w:p>
            <w:pPr>
              <w:spacing w:after="0"/>
              <w:rPr>
                <w:sz w:val="15"/>
                <w:szCs w:val="15"/>
                <w:color w:val="auto"/>
              </w:rPr>
            </w:pPr>
          </w:p>
        </w:tc>
        <w:tc>
          <w:tcPr>
            <w:tcW w:w="9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0.96 %</w:t>
            </w:r>
          </w:p>
        </w:tc>
        <w:tc>
          <w:tcPr>
            <w:tcW w:w="0" w:type="dxa"/>
            <w:vAlign w:val="bottom"/>
          </w:tcPr>
          <w:p>
            <w:pPr>
              <w:spacing w:after="0"/>
              <w:rPr>
                <w:sz w:val="1"/>
                <w:szCs w:val="1"/>
                <w:color w:val="auto"/>
              </w:rPr>
            </w:pPr>
          </w:p>
        </w:tc>
      </w:tr>
      <w:tr>
        <w:trPr>
          <w:trHeight w:val="202"/>
        </w:trPr>
        <w:tc>
          <w:tcPr>
            <w:tcW w:w="20" w:type="dxa"/>
            <w:vAlign w:val="bottom"/>
            <w:shd w:val="clear" w:color="auto" w:fill="CCEEFF"/>
          </w:tcPr>
          <w:p>
            <w:pPr>
              <w:spacing w:after="0"/>
              <w:rPr>
                <w:sz w:val="17"/>
                <w:szCs w:val="17"/>
                <w:color w:val="auto"/>
              </w:rPr>
            </w:pPr>
          </w:p>
        </w:tc>
        <w:tc>
          <w:tcPr>
            <w:tcW w:w="3580" w:type="dxa"/>
            <w:vAlign w:val="bottom"/>
            <w:gridSpan w:val="14"/>
            <w:shd w:val="clear" w:color="auto" w:fill="CCEEFF"/>
          </w:tcPr>
          <w:p>
            <w:pPr>
              <w:spacing w:after="0"/>
              <w:rPr>
                <w:sz w:val="20"/>
                <w:szCs w:val="20"/>
                <w:color w:val="auto"/>
              </w:rPr>
            </w:pPr>
            <w:r>
              <w:rPr>
                <w:rFonts w:ascii="Times New Roman" w:cs="Times New Roman" w:eastAsia="Times New Roman" w:hAnsi="Times New Roman"/>
                <w:sz w:val="14"/>
                <w:szCs w:val="14"/>
                <w:color w:val="auto"/>
              </w:rPr>
              <w:t>Junior Preferred Convertible Note 4% Due 5/11/2027***</w:t>
            </w:r>
          </w:p>
        </w:tc>
        <w:tc>
          <w:tcPr>
            <w:tcW w:w="100" w:type="dxa"/>
            <w:vAlign w:val="bottom"/>
            <w:shd w:val="clear" w:color="auto" w:fill="CCEEFF"/>
          </w:tcPr>
          <w:p>
            <w:pPr>
              <w:spacing w:after="0"/>
              <w:rPr>
                <w:sz w:val="17"/>
                <w:szCs w:val="17"/>
                <w:color w:val="auto"/>
              </w:rPr>
            </w:pPr>
          </w:p>
        </w:tc>
        <w:tc>
          <w:tcPr>
            <w:tcW w:w="1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5/11/2020</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506,339</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506,339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506,339</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0.14 %</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580" w:type="dxa"/>
            <w:vAlign w:val="bottom"/>
            <w:gridSpan w:val="14"/>
          </w:tcPr>
          <w:p>
            <w:pPr>
              <w:ind w:left="20"/>
              <w:spacing w:after="0" w:line="143" w:lineRule="exact"/>
              <w:rPr>
                <w:sz w:val="20"/>
                <w:szCs w:val="20"/>
                <w:color w:val="auto"/>
              </w:rPr>
            </w:pPr>
            <w:r>
              <w:rPr>
                <w:rFonts w:ascii="Times New Roman" w:cs="Times New Roman" w:eastAsia="Times New Roman" w:hAnsi="Times New Roman"/>
                <w:sz w:val="14"/>
                <w:szCs w:val="14"/>
                <w:color w:val="auto"/>
              </w:rPr>
              <w:t>Common Warrants, Strike Price $0.01, Expiration Date</w:t>
            </w:r>
          </w:p>
        </w:tc>
        <w:tc>
          <w:tcPr>
            <w:tcW w:w="1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8"/>
              </w:rPr>
              <w:t>5/11/2020</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2,032,967</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0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87"/>
        </w:trPr>
        <w:tc>
          <w:tcPr>
            <w:tcW w:w="80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5/11/2027</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Borders>
              <w:top w:val="single" w:sz="8" w:color="CCEEFF"/>
            </w:tcBorders>
            <w:shd w:val="clear" w:color="auto" w:fill="CCEEFF"/>
          </w:tcPr>
          <w:p>
            <w:pPr>
              <w:spacing w:after="0"/>
              <w:rPr>
                <w:sz w:val="16"/>
                <w:szCs w:val="16"/>
                <w:color w:val="auto"/>
              </w:rPr>
            </w:pPr>
          </w:p>
        </w:tc>
        <w:tc>
          <w:tcPr>
            <w:tcW w:w="3580" w:type="dxa"/>
            <w:vAlign w:val="bottom"/>
            <w:tcBorders>
              <w:top w:val="single" w:sz="8" w:color="CCEEFF"/>
            </w:tcBorders>
            <w:gridSpan w:val="14"/>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tcBorders>
              <w:top w:val="single" w:sz="8" w:color="CCEEFF"/>
            </w:tcBorders>
            <w:shd w:val="clear" w:color="auto" w:fill="CCEEFF"/>
          </w:tcPr>
          <w:p>
            <w:pPr>
              <w:spacing w:after="0"/>
              <w:rPr>
                <w:sz w:val="16"/>
                <w:szCs w:val="16"/>
                <w:color w:val="auto"/>
              </w:rPr>
            </w:pPr>
          </w:p>
        </w:tc>
        <w:tc>
          <w:tcPr>
            <w:tcW w:w="19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spacing w:after="0"/>
              <w:rPr>
                <w:sz w:val="16"/>
                <w:szCs w:val="16"/>
                <w:color w:val="auto"/>
              </w:rPr>
            </w:pPr>
          </w:p>
        </w:tc>
        <w:tc>
          <w:tcPr>
            <w:tcW w:w="86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10,513,661</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spacing w:after="0"/>
              <w:rPr>
                <w:sz w:val="16"/>
                <w:szCs w:val="16"/>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3,991,353</w:t>
            </w:r>
          </w:p>
        </w:tc>
        <w:tc>
          <w:tcPr>
            <w:tcW w:w="10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-5576570</wp:posOffset>
            </wp:positionV>
            <wp:extent cx="2275205" cy="1314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275205" cy="131445"/>
                    </a:xfrm>
                    <a:prstGeom prst="rect">
                      <a:avLst/>
                    </a:prstGeom>
                    <a:noFill/>
                  </pic:spPr>
                </pic:pic>
              </a:graphicData>
            </a:graphic>
          </wp:anchor>
        </w:drawing>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See accompanying notes to condensed consolidated financial statements.</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ectPr>
          <w:pgSz w:w="11900" w:h="16838" w:orient="portrait"/>
          <w:cols w:equalWidth="0" w:num="1">
            <w:col w:w="11240"/>
          </w:cols>
          <w:pgMar w:left="320" w:top="118"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color w:val="0000FF"/>
        </w:rPr>
        <w:t>TABLE OF CONTENTS</w:t>
      </w:r>
    </w:p>
    <w:p>
      <w:pPr>
        <w:spacing w:after="0" w:line="200" w:lineRule="exact"/>
        <w:rPr>
          <w:sz w:val="20"/>
          <w:szCs w:val="20"/>
          <w:color w:val="auto"/>
        </w:rPr>
      </w:pPr>
    </w:p>
    <w:p>
      <w:pPr>
        <w:spacing w:after="0" w:line="378" w:lineRule="exact"/>
        <w:rPr>
          <w:sz w:val="20"/>
          <w:szCs w:val="20"/>
          <w:color w:val="auto"/>
        </w:rPr>
      </w:pPr>
    </w:p>
    <w:p>
      <w:pPr>
        <w:jc w:val="center"/>
        <w:spacing w:after="0" w:line="273" w:lineRule="auto"/>
        <w:rPr>
          <w:sz w:val="20"/>
          <w:szCs w:val="20"/>
          <w:color w:val="auto"/>
        </w:rPr>
      </w:pPr>
      <w:r>
        <w:rPr>
          <w:rFonts w:ascii="Times New Roman" w:cs="Times New Roman" w:eastAsia="Times New Roman" w:hAnsi="Times New Roman"/>
          <w:sz w:val="17"/>
          <w:szCs w:val="17"/>
          <w:b w:val="1"/>
          <w:bCs w:val="1"/>
          <w:color w:val="auto"/>
        </w:rPr>
        <w:t>SURO CAPITAL CORP. AND SUBSIDIARIES CONDENSED CONSOLIDATED SCHEDULE OF INVESTMENTS - continued December 31, 2021</w:t>
      </w:r>
    </w:p>
    <w:p>
      <w:pPr>
        <w:spacing w:after="0" w:line="59"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580" w:type="dxa"/>
            <w:vAlign w:val="bottom"/>
            <w:gridSpan w:val="19"/>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Portfolio Investments*</w:t>
            </w:r>
          </w:p>
        </w:tc>
        <w:tc>
          <w:tcPr>
            <w:tcW w:w="100" w:type="dxa"/>
            <w:vAlign w:val="bottom"/>
          </w:tcPr>
          <w:p>
            <w:pPr>
              <w:spacing w:after="0"/>
              <w:rPr>
                <w:sz w:val="13"/>
                <w:szCs w:val="13"/>
                <w:color w:val="auto"/>
              </w:rPr>
            </w:pPr>
          </w:p>
        </w:tc>
        <w:tc>
          <w:tcPr>
            <w:tcW w:w="20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Headquarters/</w:t>
            </w: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Date of Initial</w:t>
            </w:r>
          </w:p>
        </w:tc>
        <w:tc>
          <w:tcPr>
            <w:tcW w:w="140" w:type="dxa"/>
            <w:vAlign w:val="bottom"/>
          </w:tcPr>
          <w:p>
            <w:pPr>
              <w:spacing w:after="0"/>
              <w:rPr>
                <w:sz w:val="13"/>
                <w:szCs w:val="13"/>
                <w:color w:val="auto"/>
              </w:rPr>
            </w:pPr>
          </w:p>
        </w:tc>
        <w:tc>
          <w:tcPr>
            <w:tcW w:w="9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Shares/</w:t>
            </w:r>
          </w:p>
        </w:tc>
        <w:tc>
          <w:tcPr>
            <w:tcW w:w="200" w:type="dxa"/>
            <w:vAlign w:val="bottom"/>
          </w:tcPr>
          <w:p>
            <w:pPr>
              <w:spacing w:after="0"/>
              <w:rPr>
                <w:sz w:val="13"/>
                <w:szCs w:val="13"/>
                <w:color w:val="auto"/>
              </w:rPr>
            </w:pPr>
          </w:p>
        </w:tc>
        <w:tc>
          <w:tcPr>
            <w:tcW w:w="9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60" w:type="dxa"/>
            <w:vAlign w:val="bottom"/>
          </w:tcPr>
          <w:p>
            <w:pPr>
              <w:spacing w:after="0"/>
              <w:rPr>
                <w:sz w:val="13"/>
                <w:szCs w:val="13"/>
                <w:color w:val="auto"/>
              </w:rPr>
            </w:pPr>
          </w:p>
        </w:tc>
        <w:tc>
          <w:tcPr>
            <w:tcW w:w="10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of Net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580" w:type="dxa"/>
            <w:vAlign w:val="bottom"/>
            <w:gridSpan w:val="19"/>
            <w:vMerge w:val="continue"/>
          </w:tcPr>
          <w:p>
            <w:pPr>
              <w:spacing w:after="0"/>
              <w:rPr>
                <w:sz w:val="16"/>
                <w:szCs w:val="16"/>
                <w:color w:val="auto"/>
              </w:rPr>
            </w:pPr>
          </w:p>
        </w:tc>
        <w:tc>
          <w:tcPr>
            <w:tcW w:w="100" w:type="dxa"/>
            <w:vAlign w:val="bottom"/>
          </w:tcPr>
          <w:p>
            <w:pPr>
              <w:spacing w:after="0"/>
              <w:rPr>
                <w:sz w:val="16"/>
                <w:szCs w:val="16"/>
                <w:color w:val="auto"/>
              </w:rPr>
            </w:pPr>
          </w:p>
        </w:tc>
        <w:tc>
          <w:tcPr>
            <w:tcW w:w="20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Industry</w:t>
            </w: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Investment</w:t>
            </w:r>
          </w:p>
        </w:tc>
        <w:tc>
          <w:tcPr>
            <w:tcW w:w="140" w:type="dxa"/>
            <w:vAlign w:val="bottom"/>
          </w:tcPr>
          <w:p>
            <w:pPr>
              <w:spacing w:after="0"/>
              <w:rPr>
                <w:sz w:val="16"/>
                <w:szCs w:val="16"/>
                <w:color w:val="auto"/>
              </w:rPr>
            </w:pPr>
          </w:p>
        </w:tc>
        <w:tc>
          <w:tcPr>
            <w:tcW w:w="9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7"/>
              </w:rPr>
              <w:t>Principal</w:t>
            </w:r>
          </w:p>
        </w:tc>
        <w:tc>
          <w:tcPr>
            <w:tcW w:w="20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740" w:type="dxa"/>
            <w:vAlign w:val="bottom"/>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Borders>
              <w:top w:val="single" w:sz="8" w:color="auto"/>
            </w:tcBorders>
            <w:shd w:val="clear" w:color="auto" w:fill="CCEEFF"/>
          </w:tcPr>
          <w:p>
            <w:pPr>
              <w:spacing w:after="0"/>
              <w:rPr>
                <w:sz w:val="16"/>
                <w:szCs w:val="16"/>
                <w:color w:val="auto"/>
              </w:rPr>
            </w:pPr>
          </w:p>
        </w:tc>
        <w:tc>
          <w:tcPr>
            <w:tcW w:w="3560" w:type="dxa"/>
            <w:vAlign w:val="bottom"/>
            <w:tcBorders>
              <w:top w:val="single" w:sz="8" w:color="auto"/>
            </w:tcBorders>
            <w:gridSpan w:val="18"/>
            <w:shd w:val="clear" w:color="auto" w:fill="CCEEFF"/>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Residential Homes for Rent, LLC (d/b/a Second Avenue)</w:t>
            </w:r>
          </w:p>
        </w:tc>
        <w:tc>
          <w:tcPr>
            <w:tcW w:w="100" w:type="dxa"/>
            <w:vAlign w:val="bottom"/>
            <w:tcBorders>
              <w:top w:val="single" w:sz="8" w:color="CCEEFF"/>
            </w:tcBorders>
            <w:shd w:val="clear" w:color="auto" w:fill="CCEEFF"/>
          </w:tcPr>
          <w:p>
            <w:pPr>
              <w:spacing w:after="0"/>
              <w:rPr>
                <w:sz w:val="16"/>
                <w:szCs w:val="16"/>
                <w:color w:val="auto"/>
              </w:rPr>
            </w:pPr>
          </w:p>
        </w:tc>
        <w:tc>
          <w:tcPr>
            <w:tcW w:w="1980" w:type="dxa"/>
            <w:vAlign w:val="bottom"/>
            <w:tcBorders>
              <w:top w:val="single" w:sz="8" w:color="auto"/>
            </w:tcBorders>
            <w:shd w:val="clear" w:color="auto" w:fill="CCEEFF"/>
          </w:tcPr>
          <w:p>
            <w:pPr>
              <w:jc w:val="center"/>
              <w:spacing w:after="0" w:line="141" w:lineRule="exact"/>
              <w:rPr>
                <w:sz w:val="20"/>
                <w:szCs w:val="20"/>
                <w:color w:val="auto"/>
              </w:rPr>
            </w:pPr>
            <w:r>
              <w:rPr>
                <w:rFonts w:ascii="Times New Roman" w:cs="Times New Roman" w:eastAsia="Times New Roman" w:hAnsi="Times New Roman"/>
                <w:sz w:val="14"/>
                <w:szCs w:val="14"/>
                <w:color w:val="auto"/>
                <w:w w:val="98"/>
              </w:rPr>
              <w:t>Chicago, IL</w:t>
            </w:r>
          </w:p>
        </w:tc>
        <w:tc>
          <w:tcPr>
            <w:tcW w:w="100" w:type="dxa"/>
            <w:vAlign w:val="bottom"/>
            <w:tcBorders>
              <w:top w:val="single" w:sz="8" w:color="CCEEFF"/>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Borders>
              <w:top w:val="single" w:sz="8" w:color="CCEEFF"/>
            </w:tcBorders>
          </w:tcPr>
          <w:p>
            <w:pPr>
              <w:spacing w:after="0"/>
              <w:rPr>
                <w:sz w:val="16"/>
                <w:szCs w:val="16"/>
                <w:color w:val="auto"/>
              </w:rPr>
            </w:pPr>
          </w:p>
        </w:tc>
        <w:tc>
          <w:tcPr>
            <w:tcW w:w="3320" w:type="dxa"/>
            <w:vAlign w:val="bottom"/>
            <w:tcBorders>
              <w:top w:val="single" w:sz="8" w:color="auto"/>
            </w:tcBorders>
            <w:gridSpan w:val="15"/>
          </w:tcPr>
          <w:p>
            <w:pPr>
              <w:spacing w:after="0" w:line="187" w:lineRule="exact"/>
              <w:rPr>
                <w:sz w:val="20"/>
                <w:szCs w:val="20"/>
                <w:color w:val="auto"/>
              </w:rPr>
            </w:pPr>
            <w:r>
              <w:rPr>
                <w:rFonts w:ascii="Times New Roman" w:cs="Times New Roman" w:eastAsia="Times New Roman" w:hAnsi="Times New Roman"/>
                <w:sz w:val="14"/>
                <w:szCs w:val="14"/>
                <w:color w:val="auto"/>
              </w:rPr>
              <w:t>Preferred shares, Series A</w:t>
            </w:r>
            <w:r>
              <w:rPr>
                <w:rFonts w:ascii="Times New Roman" w:cs="Times New Roman" w:eastAsia="Times New Roman" w:hAnsi="Times New Roman"/>
                <w:sz w:val="17"/>
                <w:szCs w:val="17"/>
                <w:color w:val="auto"/>
                <w:vertAlign w:val="superscript"/>
              </w:rPr>
              <w:t>(6)</w:t>
            </w:r>
          </w:p>
        </w:tc>
        <w:tc>
          <w:tcPr>
            <w:tcW w:w="240" w:type="dxa"/>
            <w:vAlign w:val="bottom"/>
            <w:tcBorders>
              <w:top w:val="single" w:sz="8" w:color="CCEEFF"/>
            </w:tcBorders>
            <w:gridSpan w:val="3"/>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2080" w:type="dxa"/>
            <w:vAlign w:val="bottom"/>
            <w:tcBorders>
              <w:top w:val="single" w:sz="8" w:color="CCEEFF"/>
            </w:tcBorders>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8"/>
              </w:rPr>
              <w:t>Real Estate Platform</w:t>
            </w:r>
          </w:p>
        </w:tc>
        <w:tc>
          <w:tcPr>
            <w:tcW w:w="980" w:type="dxa"/>
            <w:vAlign w:val="bottom"/>
            <w:tcBorders>
              <w:top w:val="single" w:sz="8" w:color="CCEEFF"/>
            </w:tcBorders>
          </w:tcPr>
          <w:p>
            <w:pPr>
              <w:jc w:val="center"/>
              <w:spacing w:after="0"/>
              <w:rPr>
                <w:sz w:val="20"/>
                <w:szCs w:val="20"/>
                <w:color w:val="auto"/>
              </w:rPr>
            </w:pPr>
            <w:r>
              <w:rPr>
                <w:rFonts w:ascii="Times New Roman" w:cs="Times New Roman" w:eastAsia="Times New Roman" w:hAnsi="Times New Roman"/>
                <w:sz w:val="14"/>
                <w:szCs w:val="14"/>
                <w:color w:val="auto"/>
                <w:w w:val="97"/>
              </w:rPr>
              <w:t>12/23/2020</w:t>
            </w:r>
          </w:p>
        </w:tc>
        <w:tc>
          <w:tcPr>
            <w:tcW w:w="10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8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150,000</w:t>
            </w:r>
          </w:p>
        </w:tc>
        <w:tc>
          <w:tcPr>
            <w:tcW w:w="12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1,500,000</w:t>
            </w:r>
          </w:p>
        </w:tc>
        <w:tc>
          <w:tcPr>
            <w:tcW w:w="10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1,500,000</w:t>
            </w:r>
          </w:p>
        </w:tc>
        <w:tc>
          <w:tcPr>
            <w:tcW w:w="120" w:type="dxa"/>
            <w:vAlign w:val="bottom"/>
            <w:tcBorders>
              <w:top w:val="single" w:sz="8" w:color="CCEEFF"/>
            </w:tcBorders>
          </w:tcPr>
          <w:p>
            <w:pPr>
              <w:spacing w:after="0"/>
              <w:rPr>
                <w:sz w:val="16"/>
                <w:szCs w:val="16"/>
                <w:color w:val="auto"/>
              </w:rPr>
            </w:pPr>
          </w:p>
        </w:tc>
        <w:tc>
          <w:tcPr>
            <w:tcW w:w="7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0.41</w:t>
            </w:r>
          </w:p>
        </w:tc>
        <w:tc>
          <w:tcPr>
            <w:tcW w:w="1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7"/>
        </w:trPr>
        <w:tc>
          <w:tcPr>
            <w:tcW w:w="3580" w:type="dxa"/>
            <w:vAlign w:val="bottom"/>
            <w:gridSpan w:val="19"/>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Term loan 15%, Due 12/23/2023***</w:t>
            </w:r>
            <w:r>
              <w:rPr>
                <w:rFonts w:ascii="Times New Roman" w:cs="Times New Roman" w:eastAsia="Times New Roman" w:hAnsi="Times New Roman"/>
                <w:sz w:val="17"/>
                <w:szCs w:val="17"/>
                <w:color w:val="auto"/>
                <w:vertAlign w:val="superscript"/>
              </w:rPr>
              <w:t>(14)</w:t>
            </w:r>
          </w:p>
        </w:tc>
        <w:tc>
          <w:tcPr>
            <w:tcW w:w="100" w:type="dxa"/>
            <w:vAlign w:val="bottom"/>
            <w:shd w:val="clear" w:color="auto" w:fill="CCEEFF"/>
          </w:tcPr>
          <w:p>
            <w:pPr>
              <w:spacing w:after="0"/>
              <w:rPr>
                <w:sz w:val="17"/>
                <w:szCs w:val="17"/>
                <w:color w:val="auto"/>
              </w:rPr>
            </w:pPr>
          </w:p>
        </w:tc>
        <w:tc>
          <w:tcPr>
            <w:tcW w:w="1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12/23/2020</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2,000,000</w:t>
            </w: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2,000,000</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2,000,000</w:t>
            </w:r>
          </w:p>
        </w:tc>
        <w:tc>
          <w:tcPr>
            <w:tcW w:w="120" w:type="dxa"/>
            <w:vAlign w:val="bottom"/>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0.55</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3580" w:type="dxa"/>
            <w:vAlign w:val="bottom"/>
            <w:tcBorders>
              <w:bottom w:val="single" w:sz="8" w:color="CCEEFF"/>
            </w:tcBorders>
            <w:gridSpan w:val="19"/>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tcBorders>
              <w:bottom w:val="single" w:sz="8" w:color="CCEEFF"/>
            </w:tcBorders>
          </w:tcPr>
          <w:p>
            <w:pPr>
              <w:spacing w:after="0"/>
              <w:rPr>
                <w:sz w:val="15"/>
                <w:szCs w:val="15"/>
                <w:color w:val="auto"/>
              </w:rPr>
            </w:pPr>
          </w:p>
        </w:tc>
        <w:tc>
          <w:tcPr>
            <w:tcW w:w="19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9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8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3,500,000</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3,500,000</w:t>
            </w:r>
          </w:p>
        </w:tc>
        <w:tc>
          <w:tcPr>
            <w:tcW w:w="120" w:type="dxa"/>
            <w:vAlign w:val="bottom"/>
            <w:tcBorders>
              <w:bottom w:val="single" w:sz="8" w:color="CCEEFF"/>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0.96</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1"/>
        </w:trPr>
        <w:tc>
          <w:tcPr>
            <w:tcW w:w="2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4"/>
                <w:szCs w:val="14"/>
                <w:b w:val="1"/>
                <w:bCs w:val="1"/>
                <w:color w:val="auto"/>
                <w:w w:val="95"/>
              </w:rPr>
              <w:t>PayJoy, Inc.</w:t>
            </w:r>
          </w:p>
        </w:tc>
        <w:tc>
          <w:tcPr>
            <w:tcW w:w="2840" w:type="dxa"/>
            <w:vAlign w:val="bottom"/>
            <w:tcBorders>
              <w:bottom w:val="single" w:sz="8" w:color="CCEEFF"/>
            </w:tcBorders>
            <w:gridSpan w:val="17"/>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080" w:type="dxa"/>
            <w:vAlign w:val="bottom"/>
            <w:tcBorders>
              <w:bottom w:val="single" w:sz="8" w:color="CCEEFF"/>
            </w:tcBorders>
            <w:gridSpan w:val="2"/>
            <w:shd w:val="clear" w:color="auto" w:fill="CCEEFF"/>
          </w:tcPr>
          <w:p>
            <w:pPr>
              <w:jc w:val="center"/>
              <w:ind w:right="120"/>
              <w:spacing w:after="0" w:line="129" w:lineRule="exact"/>
              <w:rPr>
                <w:sz w:val="20"/>
                <w:szCs w:val="20"/>
                <w:color w:val="auto"/>
              </w:rPr>
            </w:pPr>
            <w:r>
              <w:rPr>
                <w:rFonts w:ascii="Times New Roman" w:cs="Times New Roman" w:eastAsia="Times New Roman" w:hAnsi="Times New Roman"/>
                <w:sz w:val="14"/>
                <w:szCs w:val="14"/>
                <w:color w:val="auto"/>
                <w:w w:val="98"/>
              </w:rPr>
              <w:t>San Francisco, CA</w:t>
            </w:r>
          </w:p>
        </w:tc>
        <w:tc>
          <w:tcPr>
            <w:tcW w:w="9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3580" w:type="dxa"/>
            <w:vAlign w:val="bottom"/>
            <w:gridSpan w:val="19"/>
          </w:tcPr>
          <w:p>
            <w:pPr>
              <w:ind w:left="20"/>
              <w:spacing w:after="0"/>
              <w:rPr>
                <w:sz w:val="20"/>
                <w:szCs w:val="20"/>
                <w:color w:val="auto"/>
              </w:rPr>
            </w:pPr>
            <w:r>
              <w:rPr>
                <w:rFonts w:ascii="Times New Roman" w:cs="Times New Roman" w:eastAsia="Times New Roman" w:hAnsi="Times New Roman"/>
                <w:sz w:val="14"/>
                <w:szCs w:val="14"/>
                <w:color w:val="auto"/>
              </w:rPr>
              <w:t>Preferred shares</w:t>
            </w:r>
          </w:p>
        </w:tc>
        <w:tc>
          <w:tcPr>
            <w:tcW w:w="100" w:type="dxa"/>
            <w:vAlign w:val="bottom"/>
          </w:tcPr>
          <w:p>
            <w:pPr>
              <w:spacing w:after="0"/>
              <w:rPr>
                <w:sz w:val="16"/>
                <w:szCs w:val="16"/>
                <w:color w:val="auto"/>
              </w:rPr>
            </w:pPr>
          </w:p>
        </w:tc>
        <w:tc>
          <w:tcPr>
            <w:tcW w:w="20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7"/>
              </w:rPr>
              <w:t>Mobile Access Technology</w:t>
            </w: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7/23/2021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244,117</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2,501,570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2,500,002</w:t>
            </w: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0.69</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2"/>
        </w:trPr>
        <w:tc>
          <w:tcPr>
            <w:tcW w:w="20" w:type="dxa"/>
            <w:vAlign w:val="bottom"/>
            <w:shd w:val="clear" w:color="auto" w:fill="CCEEFF"/>
          </w:tcPr>
          <w:p>
            <w:pPr>
              <w:spacing w:after="0"/>
              <w:rPr>
                <w:sz w:val="17"/>
                <w:szCs w:val="17"/>
                <w:color w:val="auto"/>
              </w:rPr>
            </w:pPr>
          </w:p>
        </w:tc>
        <w:tc>
          <w:tcPr>
            <w:tcW w:w="3560" w:type="dxa"/>
            <w:vAlign w:val="bottom"/>
            <w:gridSpan w:val="18"/>
            <w:shd w:val="clear" w:color="auto" w:fill="CCEEFF"/>
          </w:tcPr>
          <w:p>
            <w:pPr>
              <w:spacing w:after="0" w:line="150" w:lineRule="exact"/>
              <w:rPr>
                <w:sz w:val="20"/>
                <w:szCs w:val="20"/>
                <w:color w:val="auto"/>
              </w:rPr>
            </w:pPr>
            <w:r>
              <w:rPr>
                <w:rFonts w:ascii="Times New Roman" w:cs="Times New Roman" w:eastAsia="Times New Roman" w:hAnsi="Times New Roman"/>
                <w:sz w:val="14"/>
                <w:szCs w:val="14"/>
                <w:b w:val="1"/>
                <w:bCs w:val="1"/>
                <w:color w:val="auto"/>
              </w:rPr>
              <w:t>Rent the Runway, Inc.**</w:t>
            </w:r>
          </w:p>
        </w:tc>
        <w:tc>
          <w:tcPr>
            <w:tcW w:w="100" w:type="dxa"/>
            <w:vAlign w:val="bottom"/>
            <w:shd w:val="clear" w:color="auto" w:fill="CCEEFF"/>
          </w:tcPr>
          <w:p>
            <w:pPr>
              <w:spacing w:after="0"/>
              <w:rPr>
                <w:sz w:val="17"/>
                <w:szCs w:val="17"/>
                <w:color w:val="auto"/>
              </w:rPr>
            </w:pPr>
          </w:p>
        </w:tc>
        <w:tc>
          <w:tcPr>
            <w:tcW w:w="2080" w:type="dxa"/>
            <w:vAlign w:val="bottom"/>
            <w:gridSpan w:val="2"/>
            <w:shd w:val="clear" w:color="auto" w:fill="CCEEFF"/>
          </w:tcPr>
          <w:p>
            <w:pPr>
              <w:jc w:val="center"/>
              <w:ind w:right="100"/>
              <w:spacing w:after="0" w:line="150" w:lineRule="exact"/>
              <w:rPr>
                <w:sz w:val="20"/>
                <w:szCs w:val="20"/>
                <w:color w:val="auto"/>
              </w:rPr>
            </w:pPr>
            <w:r>
              <w:rPr>
                <w:rFonts w:ascii="Times New Roman" w:cs="Times New Roman" w:eastAsia="Times New Roman" w:hAnsi="Times New Roman"/>
                <w:sz w:val="14"/>
                <w:szCs w:val="14"/>
                <w:color w:val="auto"/>
                <w:w w:val="95"/>
              </w:rPr>
              <w:t>New York, NY</w:t>
            </w: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20" w:type="dxa"/>
            <w:vAlign w:val="bottom"/>
            <w:tcBorders>
              <w:top w:val="single" w:sz="8" w:color="CCEEFF"/>
            </w:tcBorders>
          </w:tcPr>
          <w:p>
            <w:pPr>
              <w:spacing w:after="0"/>
              <w:rPr>
                <w:sz w:val="16"/>
                <w:szCs w:val="16"/>
                <w:color w:val="auto"/>
              </w:rPr>
            </w:pPr>
          </w:p>
        </w:tc>
        <w:tc>
          <w:tcPr>
            <w:tcW w:w="1320" w:type="dxa"/>
            <w:vAlign w:val="bottom"/>
            <w:tcBorders>
              <w:top w:val="single" w:sz="8" w:color="auto"/>
            </w:tcBorders>
            <w:gridSpan w:val="5"/>
          </w:tcPr>
          <w:p>
            <w:pPr>
              <w:spacing w:after="0" w:line="187" w:lineRule="exact"/>
              <w:rPr>
                <w:sz w:val="20"/>
                <w:szCs w:val="20"/>
                <w:color w:val="auto"/>
              </w:rPr>
            </w:pPr>
            <w:r>
              <w:rPr>
                <w:rFonts w:ascii="Times New Roman" w:cs="Times New Roman" w:eastAsia="Times New Roman" w:hAnsi="Times New Roman"/>
                <w:sz w:val="14"/>
                <w:szCs w:val="14"/>
                <w:color w:val="auto"/>
              </w:rPr>
              <w:t>Common shares</w:t>
            </w:r>
            <w:r>
              <w:rPr>
                <w:rFonts w:ascii="Times New Roman" w:cs="Times New Roman" w:eastAsia="Times New Roman" w:hAnsi="Times New Roman"/>
                <w:sz w:val="17"/>
                <w:szCs w:val="17"/>
                <w:color w:val="auto"/>
                <w:vertAlign w:val="superscript"/>
              </w:rPr>
              <w:t>(3)</w:t>
            </w:r>
          </w:p>
        </w:tc>
        <w:tc>
          <w:tcPr>
            <w:tcW w:w="2240" w:type="dxa"/>
            <w:vAlign w:val="bottom"/>
            <w:tcBorders>
              <w:top w:val="single" w:sz="8" w:color="CCEEFF"/>
            </w:tcBorders>
            <w:gridSpan w:val="13"/>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2080" w:type="dxa"/>
            <w:vAlign w:val="bottom"/>
            <w:tcBorders>
              <w:top w:val="single" w:sz="8" w:color="CCEEFF"/>
            </w:tcBorders>
            <w:gridSpan w:val="2"/>
          </w:tcPr>
          <w:p>
            <w:pPr>
              <w:jc w:val="center"/>
              <w:ind w:right="120"/>
              <w:spacing w:after="0"/>
              <w:rPr>
                <w:sz w:val="20"/>
                <w:szCs w:val="20"/>
                <w:color w:val="auto"/>
              </w:rPr>
            </w:pPr>
            <w:r>
              <w:rPr>
                <w:rFonts w:ascii="Times New Roman" w:cs="Times New Roman" w:eastAsia="Times New Roman" w:hAnsi="Times New Roman"/>
                <w:sz w:val="14"/>
                <w:szCs w:val="14"/>
                <w:color w:val="auto"/>
                <w:w w:val="98"/>
              </w:rPr>
              <w:t>Subscription Fashion Rental</w:t>
            </w:r>
          </w:p>
        </w:tc>
        <w:tc>
          <w:tcPr>
            <w:tcW w:w="980" w:type="dxa"/>
            <w:vAlign w:val="bottom"/>
            <w:tcBorders>
              <w:top w:val="single" w:sz="8" w:color="CCEEFF"/>
            </w:tcBorders>
          </w:tcPr>
          <w:p>
            <w:pPr>
              <w:jc w:val="center"/>
              <w:spacing w:after="0"/>
              <w:rPr>
                <w:sz w:val="20"/>
                <w:szCs w:val="20"/>
                <w:color w:val="auto"/>
              </w:rPr>
            </w:pPr>
            <w:r>
              <w:rPr>
                <w:rFonts w:ascii="Times New Roman" w:cs="Times New Roman" w:eastAsia="Times New Roman" w:hAnsi="Times New Roman"/>
                <w:sz w:val="14"/>
                <w:szCs w:val="14"/>
                <w:color w:val="auto"/>
                <w:w w:val="98"/>
              </w:rPr>
              <w:t>6/17/2020</w:t>
            </w:r>
          </w:p>
        </w:tc>
        <w:tc>
          <w:tcPr>
            <w:tcW w:w="10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8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339,191</w:t>
            </w:r>
          </w:p>
        </w:tc>
        <w:tc>
          <w:tcPr>
            <w:tcW w:w="12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8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5,153,945</w:t>
            </w:r>
          </w:p>
        </w:tc>
        <w:tc>
          <w:tcPr>
            <w:tcW w:w="10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9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2,418,856</w:t>
            </w:r>
          </w:p>
        </w:tc>
        <w:tc>
          <w:tcPr>
            <w:tcW w:w="120" w:type="dxa"/>
            <w:vAlign w:val="bottom"/>
            <w:tcBorders>
              <w:top w:val="single" w:sz="8" w:color="CCEEFF"/>
            </w:tcBorders>
          </w:tcPr>
          <w:p>
            <w:pPr>
              <w:spacing w:after="0"/>
              <w:rPr>
                <w:sz w:val="16"/>
                <w:szCs w:val="16"/>
                <w:color w:val="auto"/>
              </w:rPr>
            </w:pPr>
          </w:p>
        </w:tc>
        <w:tc>
          <w:tcPr>
            <w:tcW w:w="7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0.66</w:t>
            </w:r>
          </w:p>
        </w:tc>
        <w:tc>
          <w:tcPr>
            <w:tcW w:w="1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4"/>
        </w:trPr>
        <w:tc>
          <w:tcPr>
            <w:tcW w:w="20" w:type="dxa"/>
            <w:vAlign w:val="bottom"/>
            <w:shd w:val="clear" w:color="auto" w:fill="CCEEFF"/>
          </w:tcPr>
          <w:p>
            <w:pPr>
              <w:spacing w:after="0"/>
              <w:rPr>
                <w:sz w:val="15"/>
                <w:szCs w:val="15"/>
                <w:color w:val="auto"/>
              </w:rPr>
            </w:pPr>
          </w:p>
        </w:tc>
        <w:tc>
          <w:tcPr>
            <w:tcW w:w="3560" w:type="dxa"/>
            <w:vAlign w:val="bottom"/>
            <w:gridSpan w:val="18"/>
            <w:shd w:val="clear" w:color="auto" w:fill="CCEEFF"/>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Aventine Property Group, Inc.</w:t>
            </w:r>
            <w:r>
              <w:rPr>
                <w:rFonts w:ascii="Times New Roman" w:cs="Times New Roman" w:eastAsia="Times New Roman" w:hAnsi="Times New Roman"/>
                <w:sz w:val="16"/>
                <w:szCs w:val="16"/>
                <w:b w:val="1"/>
                <w:bCs w:val="1"/>
                <w:color w:val="auto"/>
                <w:vertAlign w:val="superscript"/>
              </w:rPr>
              <w:t>(12)</w:t>
            </w:r>
          </w:p>
        </w:tc>
        <w:tc>
          <w:tcPr>
            <w:tcW w:w="100" w:type="dxa"/>
            <w:vAlign w:val="bottom"/>
            <w:shd w:val="clear" w:color="auto" w:fill="CCEEFF"/>
          </w:tcPr>
          <w:p>
            <w:pPr>
              <w:spacing w:after="0"/>
              <w:rPr>
                <w:sz w:val="15"/>
                <w:szCs w:val="15"/>
                <w:color w:val="auto"/>
              </w:rPr>
            </w:pPr>
          </w:p>
        </w:tc>
        <w:tc>
          <w:tcPr>
            <w:tcW w:w="2080" w:type="dxa"/>
            <w:vAlign w:val="bottom"/>
            <w:gridSpan w:val="2"/>
            <w:shd w:val="clear" w:color="auto" w:fill="CCEEFF"/>
          </w:tcPr>
          <w:p>
            <w:pPr>
              <w:jc w:val="center"/>
              <w:ind w:right="100"/>
              <w:spacing w:after="0" w:line="143" w:lineRule="exact"/>
              <w:rPr>
                <w:sz w:val="20"/>
                <w:szCs w:val="20"/>
                <w:color w:val="auto"/>
              </w:rPr>
            </w:pPr>
            <w:r>
              <w:rPr>
                <w:rFonts w:ascii="Times New Roman" w:cs="Times New Roman" w:eastAsia="Times New Roman" w:hAnsi="Times New Roman"/>
                <w:sz w:val="14"/>
                <w:szCs w:val="14"/>
                <w:color w:val="auto"/>
                <w:w w:val="98"/>
              </w:rPr>
              <w:t>Chicago, IL</w:t>
            </w: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0" w:type="dxa"/>
            <w:vAlign w:val="bottom"/>
            <w:tcBorders>
              <w:top w:val="single" w:sz="8" w:color="CCEEFF"/>
            </w:tcBorders>
          </w:tcPr>
          <w:p>
            <w:pPr>
              <w:spacing w:after="0"/>
              <w:rPr>
                <w:sz w:val="16"/>
                <w:szCs w:val="16"/>
                <w:color w:val="auto"/>
              </w:rPr>
            </w:pPr>
          </w:p>
        </w:tc>
        <w:tc>
          <w:tcPr>
            <w:tcW w:w="1800" w:type="dxa"/>
            <w:vAlign w:val="bottom"/>
            <w:tcBorders>
              <w:top w:val="single" w:sz="8" w:color="auto"/>
            </w:tcBorders>
            <w:gridSpan w:val="10"/>
          </w:tcPr>
          <w:p>
            <w:pPr>
              <w:spacing w:after="0"/>
              <w:rPr>
                <w:sz w:val="20"/>
                <w:szCs w:val="20"/>
                <w:color w:val="auto"/>
              </w:rPr>
            </w:pPr>
            <w:r>
              <w:rPr>
                <w:rFonts w:ascii="Times New Roman" w:cs="Times New Roman" w:eastAsia="Times New Roman" w:hAnsi="Times New Roman"/>
                <w:sz w:val="14"/>
                <w:szCs w:val="14"/>
                <w:color w:val="auto"/>
              </w:rPr>
              <w:t>Common shares***</w:t>
            </w:r>
          </w:p>
        </w:tc>
        <w:tc>
          <w:tcPr>
            <w:tcW w:w="1760" w:type="dxa"/>
            <w:vAlign w:val="bottom"/>
            <w:tcBorders>
              <w:top w:val="single" w:sz="8" w:color="CCEEFF"/>
            </w:tcBorders>
            <w:gridSpan w:val="8"/>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2080" w:type="dxa"/>
            <w:vAlign w:val="bottom"/>
            <w:tcBorders>
              <w:top w:val="single" w:sz="8" w:color="CCEEFF"/>
            </w:tcBorders>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Cannabis REIT</w:t>
            </w:r>
          </w:p>
        </w:tc>
        <w:tc>
          <w:tcPr>
            <w:tcW w:w="980" w:type="dxa"/>
            <w:vAlign w:val="bottom"/>
            <w:tcBorders>
              <w:top w:val="single" w:sz="8" w:color="CCEEFF"/>
            </w:tcBorders>
          </w:tcPr>
          <w:p>
            <w:pPr>
              <w:jc w:val="center"/>
              <w:spacing w:after="0"/>
              <w:rPr>
                <w:sz w:val="20"/>
                <w:szCs w:val="20"/>
                <w:color w:val="auto"/>
              </w:rPr>
            </w:pPr>
            <w:r>
              <w:rPr>
                <w:rFonts w:ascii="Times New Roman" w:cs="Times New Roman" w:eastAsia="Times New Roman" w:hAnsi="Times New Roman"/>
                <w:sz w:val="14"/>
                <w:szCs w:val="14"/>
                <w:color w:val="auto"/>
                <w:w w:val="98"/>
              </w:rPr>
              <w:t>9/11/2019</w:t>
            </w:r>
          </w:p>
        </w:tc>
        <w:tc>
          <w:tcPr>
            <w:tcW w:w="10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8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312,500</w:t>
            </w:r>
          </w:p>
        </w:tc>
        <w:tc>
          <w:tcPr>
            <w:tcW w:w="12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8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2,580,750</w:t>
            </w:r>
          </w:p>
        </w:tc>
        <w:tc>
          <w:tcPr>
            <w:tcW w:w="10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9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2,190,978</w:t>
            </w:r>
          </w:p>
        </w:tc>
        <w:tc>
          <w:tcPr>
            <w:tcW w:w="120" w:type="dxa"/>
            <w:vAlign w:val="bottom"/>
            <w:tcBorders>
              <w:top w:val="single" w:sz="8" w:color="CCEEFF"/>
            </w:tcBorders>
          </w:tcPr>
          <w:p>
            <w:pPr>
              <w:spacing w:after="0"/>
              <w:rPr>
                <w:sz w:val="16"/>
                <w:szCs w:val="16"/>
                <w:color w:val="auto"/>
              </w:rPr>
            </w:pPr>
          </w:p>
        </w:tc>
        <w:tc>
          <w:tcPr>
            <w:tcW w:w="7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0.60</w:t>
            </w:r>
          </w:p>
        </w:tc>
        <w:tc>
          <w:tcPr>
            <w:tcW w:w="1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98"/>
        </w:trPr>
        <w:tc>
          <w:tcPr>
            <w:tcW w:w="20" w:type="dxa"/>
            <w:vAlign w:val="bottom"/>
            <w:tcBorders>
              <w:bottom w:val="single" w:sz="8" w:color="CCEEFF"/>
            </w:tcBorders>
            <w:vMerge w:val="restart"/>
            <w:shd w:val="clear" w:color="auto" w:fill="CCEEFF"/>
          </w:tcPr>
          <w:p>
            <w:pPr>
              <w:spacing w:after="0"/>
              <w:rPr>
                <w:sz w:val="8"/>
                <w:szCs w:val="8"/>
                <w:color w:val="auto"/>
              </w:rPr>
            </w:pPr>
          </w:p>
        </w:tc>
        <w:tc>
          <w:tcPr>
            <w:tcW w:w="3340" w:type="dxa"/>
            <w:vAlign w:val="bottom"/>
            <w:tcBorders>
              <w:bottom w:val="single" w:sz="8" w:color="CCEEFF"/>
            </w:tcBorders>
            <w:gridSpan w:val="16"/>
            <w:vMerge w:val="restart"/>
            <w:shd w:val="clear" w:color="auto" w:fill="CCEEFF"/>
          </w:tcPr>
          <w:p>
            <w:pPr>
              <w:spacing w:after="0" w:line="150" w:lineRule="exact"/>
              <w:rPr>
                <w:sz w:val="20"/>
                <w:szCs w:val="20"/>
                <w:color w:val="auto"/>
              </w:rPr>
            </w:pPr>
            <w:r>
              <w:rPr>
                <w:rFonts w:ascii="Times New Roman" w:cs="Times New Roman" w:eastAsia="Times New Roman" w:hAnsi="Times New Roman"/>
                <w:sz w:val="14"/>
                <w:szCs w:val="14"/>
                <w:b w:val="1"/>
                <w:bCs w:val="1"/>
                <w:color w:val="auto"/>
                <w:w w:val="97"/>
              </w:rPr>
              <w:t>Commercial Streaming Solutions Inc. (d/b/a BettorView)</w:t>
            </w:r>
          </w:p>
        </w:tc>
        <w:tc>
          <w:tcPr>
            <w:tcW w:w="80" w:type="dxa"/>
            <w:vAlign w:val="bottom"/>
            <w:tcBorders>
              <w:bottom w:val="single" w:sz="8" w:color="auto"/>
            </w:tcBorders>
            <w:shd w:val="clear" w:color="auto" w:fill="CCEEFF"/>
          </w:tcPr>
          <w:p>
            <w:pPr>
              <w:jc w:val="right"/>
              <w:spacing w:after="0" w:line="79" w:lineRule="exact"/>
              <w:rPr>
                <w:sz w:val="20"/>
                <w:szCs w:val="20"/>
                <w:color w:val="auto"/>
              </w:rPr>
            </w:pPr>
            <w:r>
              <w:rPr>
                <w:rFonts w:ascii="Times New Roman" w:cs="Times New Roman" w:eastAsia="Times New Roman" w:hAnsi="Times New Roman"/>
                <w:sz w:val="9"/>
                <w:szCs w:val="9"/>
                <w:b w:val="1"/>
                <w:bCs w:val="1"/>
                <w:color w:val="auto"/>
                <w:w w:val="79"/>
              </w:rPr>
              <w:t>(7</w:t>
            </w:r>
          </w:p>
        </w:tc>
        <w:tc>
          <w:tcPr>
            <w:tcW w:w="140" w:type="dxa"/>
            <w:vAlign w:val="bottom"/>
            <w:tcBorders>
              <w:bottom w:val="single" w:sz="8" w:color="CCEEFF"/>
            </w:tcBorders>
            <w:vMerge w:val="restart"/>
            <w:shd w:val="clear" w:color="auto" w:fill="CCEEFF"/>
          </w:tcPr>
          <w:p>
            <w:pPr>
              <w:jc w:val="right"/>
              <w:ind w:right="114"/>
              <w:spacing w:after="0"/>
              <w:rPr>
                <w:sz w:val="20"/>
                <w:szCs w:val="20"/>
                <w:color w:val="auto"/>
              </w:rPr>
            </w:pPr>
            <w:r>
              <w:rPr>
                <w:rFonts w:ascii="Times New Roman" w:cs="Times New Roman" w:eastAsia="Times New Roman" w:hAnsi="Times New Roman"/>
                <w:sz w:val="1"/>
                <w:szCs w:val="1"/>
                <w:b w:val="1"/>
                <w:bCs w:val="1"/>
                <w:color w:val="auto"/>
                <w:w w:val="4294967281"/>
              </w:rPr>
              <w:t>)</w:t>
            </w:r>
          </w:p>
        </w:tc>
        <w:tc>
          <w:tcPr>
            <w:tcW w:w="100" w:type="dxa"/>
            <w:vAlign w:val="bottom"/>
            <w:tcBorders>
              <w:bottom w:val="single" w:sz="8" w:color="CCEEFF"/>
            </w:tcBorders>
            <w:shd w:val="clear" w:color="auto" w:fill="CCEEFF"/>
          </w:tcPr>
          <w:p>
            <w:pPr>
              <w:spacing w:after="0"/>
              <w:rPr>
                <w:sz w:val="8"/>
                <w:szCs w:val="8"/>
                <w:color w:val="auto"/>
              </w:rPr>
            </w:pPr>
          </w:p>
        </w:tc>
        <w:tc>
          <w:tcPr>
            <w:tcW w:w="2080" w:type="dxa"/>
            <w:vAlign w:val="bottom"/>
            <w:tcBorders>
              <w:bottom w:val="single" w:sz="8" w:color="CCEEFF"/>
            </w:tcBorders>
            <w:gridSpan w:val="2"/>
            <w:vMerge w:val="restart"/>
            <w:shd w:val="clear" w:color="auto" w:fill="CCEEFF"/>
          </w:tcPr>
          <w:p>
            <w:pPr>
              <w:jc w:val="center"/>
              <w:ind w:right="100"/>
              <w:spacing w:after="0" w:line="150" w:lineRule="exact"/>
              <w:rPr>
                <w:sz w:val="20"/>
                <w:szCs w:val="20"/>
                <w:color w:val="auto"/>
              </w:rPr>
            </w:pPr>
            <w:r>
              <w:rPr>
                <w:rFonts w:ascii="Times New Roman" w:cs="Times New Roman" w:eastAsia="Times New Roman" w:hAnsi="Times New Roman"/>
                <w:sz w:val="14"/>
                <w:szCs w:val="14"/>
                <w:color w:val="auto"/>
                <w:w w:val="95"/>
              </w:rPr>
              <w:t>Las Vegas, NV</w:t>
            </w:r>
          </w:p>
        </w:tc>
        <w:tc>
          <w:tcPr>
            <w:tcW w:w="980" w:type="dxa"/>
            <w:vAlign w:val="bottom"/>
            <w:tcBorders>
              <w:bottom w:val="single" w:sz="8" w:color="CCEEFF"/>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140" w:type="dxa"/>
            <w:vAlign w:val="bottom"/>
            <w:tcBorders>
              <w:bottom w:val="single" w:sz="8" w:color="CCEEFF"/>
            </w:tcBorders>
            <w:shd w:val="clear" w:color="auto" w:fill="CCEEFF"/>
          </w:tcPr>
          <w:p>
            <w:pPr>
              <w:spacing w:after="0"/>
              <w:rPr>
                <w:sz w:val="8"/>
                <w:szCs w:val="8"/>
                <w:color w:val="auto"/>
              </w:rPr>
            </w:pPr>
          </w:p>
        </w:tc>
        <w:tc>
          <w:tcPr>
            <w:tcW w:w="820" w:type="dxa"/>
            <w:vAlign w:val="bottom"/>
            <w:tcBorders>
              <w:bottom w:val="single" w:sz="8" w:color="CCEEFF"/>
            </w:tcBorders>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200" w:type="dxa"/>
            <w:vAlign w:val="bottom"/>
            <w:tcBorders>
              <w:bottom w:val="single" w:sz="8" w:color="CCEEFF"/>
            </w:tcBorders>
            <w:shd w:val="clear" w:color="auto" w:fill="CCEEFF"/>
          </w:tcPr>
          <w:p>
            <w:pPr>
              <w:spacing w:after="0"/>
              <w:rPr>
                <w:sz w:val="8"/>
                <w:szCs w:val="8"/>
                <w:color w:val="auto"/>
              </w:rPr>
            </w:pPr>
          </w:p>
        </w:tc>
        <w:tc>
          <w:tcPr>
            <w:tcW w:w="880" w:type="dxa"/>
            <w:vAlign w:val="bottom"/>
            <w:tcBorders>
              <w:bottom w:val="single" w:sz="8" w:color="CCEEFF"/>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160" w:type="dxa"/>
            <w:vAlign w:val="bottom"/>
            <w:tcBorders>
              <w:bottom w:val="single" w:sz="8" w:color="CCEEFF"/>
            </w:tcBorders>
            <w:shd w:val="clear" w:color="auto" w:fill="CCEEFF"/>
          </w:tcPr>
          <w:p>
            <w:pPr>
              <w:spacing w:after="0"/>
              <w:rPr>
                <w:sz w:val="8"/>
                <w:szCs w:val="8"/>
                <w:color w:val="auto"/>
              </w:rPr>
            </w:pPr>
          </w:p>
        </w:tc>
        <w:tc>
          <w:tcPr>
            <w:tcW w:w="920" w:type="dxa"/>
            <w:vAlign w:val="bottom"/>
            <w:tcBorders>
              <w:bottom w:val="single" w:sz="8" w:color="CCEEFF"/>
            </w:tcBorders>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740" w:type="dxa"/>
            <w:vAlign w:val="bottom"/>
            <w:tcBorders>
              <w:bottom w:val="single" w:sz="8" w:color="CCEEFF"/>
            </w:tcBorders>
            <w:shd w:val="clear" w:color="auto" w:fill="CCEEFF"/>
          </w:tcPr>
          <w:p>
            <w:pPr>
              <w:spacing w:after="0"/>
              <w:rPr>
                <w:sz w:val="8"/>
                <w:szCs w:val="8"/>
                <w:color w:val="auto"/>
              </w:rPr>
            </w:pPr>
          </w:p>
        </w:tc>
        <w:tc>
          <w:tcPr>
            <w:tcW w:w="180" w:type="dxa"/>
            <w:vAlign w:val="bottom"/>
            <w:tcBorders>
              <w:bottom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63"/>
        </w:trPr>
        <w:tc>
          <w:tcPr>
            <w:tcW w:w="20" w:type="dxa"/>
            <w:vAlign w:val="bottom"/>
            <w:tcBorders>
              <w:bottom w:val="single" w:sz="8" w:color="CCEEFF"/>
            </w:tcBorders>
            <w:vMerge w:val="continue"/>
            <w:shd w:val="clear" w:color="auto" w:fill="CCEEFF"/>
          </w:tcPr>
          <w:p>
            <w:pPr>
              <w:spacing w:after="0"/>
              <w:rPr>
                <w:sz w:val="5"/>
                <w:szCs w:val="5"/>
                <w:color w:val="auto"/>
              </w:rPr>
            </w:pPr>
          </w:p>
        </w:tc>
        <w:tc>
          <w:tcPr>
            <w:tcW w:w="3340" w:type="dxa"/>
            <w:vAlign w:val="bottom"/>
            <w:tcBorders>
              <w:bottom w:val="single" w:sz="8" w:color="auto"/>
            </w:tcBorders>
            <w:gridSpan w:val="16"/>
            <w:vMerge w:val="continue"/>
            <w:shd w:val="clear" w:color="auto" w:fill="CCEEFF"/>
          </w:tcPr>
          <w:p>
            <w:pPr>
              <w:spacing w:after="0"/>
              <w:rPr>
                <w:sz w:val="5"/>
                <w:szCs w:val="5"/>
                <w:color w:val="auto"/>
              </w:rPr>
            </w:pPr>
          </w:p>
        </w:tc>
        <w:tc>
          <w:tcPr>
            <w:tcW w:w="80" w:type="dxa"/>
            <w:vAlign w:val="bottom"/>
            <w:tcBorders>
              <w:bottom w:val="single" w:sz="8" w:color="CCEEFF"/>
            </w:tcBorders>
            <w:shd w:val="clear" w:color="auto" w:fill="CCEEFF"/>
          </w:tcPr>
          <w:p>
            <w:pPr>
              <w:spacing w:after="0"/>
              <w:rPr>
                <w:sz w:val="5"/>
                <w:szCs w:val="5"/>
                <w:color w:val="auto"/>
              </w:rPr>
            </w:pPr>
          </w:p>
        </w:tc>
        <w:tc>
          <w:tcPr>
            <w:tcW w:w="140" w:type="dxa"/>
            <w:vAlign w:val="bottom"/>
            <w:tcBorders>
              <w:bottom w:val="single" w:sz="8" w:color="CCEEFF"/>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2080" w:type="dxa"/>
            <w:vAlign w:val="bottom"/>
            <w:tcBorders>
              <w:bottom w:val="single" w:sz="8" w:color="CCEEFF"/>
            </w:tcBorders>
            <w:gridSpan w:val="2"/>
            <w:vMerge w:val="continue"/>
            <w:shd w:val="clear" w:color="auto" w:fill="CCEEFF"/>
          </w:tcPr>
          <w:p>
            <w:pPr>
              <w:spacing w:after="0"/>
              <w:rPr>
                <w:sz w:val="5"/>
                <w:szCs w:val="5"/>
                <w:color w:val="auto"/>
              </w:rPr>
            </w:pPr>
          </w:p>
        </w:tc>
        <w:tc>
          <w:tcPr>
            <w:tcW w:w="98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40" w:type="dxa"/>
            <w:vAlign w:val="bottom"/>
            <w:tcBorders>
              <w:bottom w:val="single" w:sz="8" w:color="CCEEFF"/>
            </w:tcBorders>
            <w:shd w:val="clear" w:color="auto" w:fill="CCEEFF"/>
          </w:tcPr>
          <w:p>
            <w:pPr>
              <w:spacing w:after="0"/>
              <w:rPr>
                <w:sz w:val="5"/>
                <w:szCs w:val="5"/>
                <w:color w:val="auto"/>
              </w:rPr>
            </w:pPr>
          </w:p>
        </w:tc>
        <w:tc>
          <w:tcPr>
            <w:tcW w:w="820" w:type="dxa"/>
            <w:vAlign w:val="bottom"/>
            <w:tcBorders>
              <w:bottom w:val="single" w:sz="8" w:color="CCEEFF"/>
            </w:tcBorders>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200" w:type="dxa"/>
            <w:vAlign w:val="bottom"/>
            <w:tcBorders>
              <w:bottom w:val="single" w:sz="8" w:color="CCEEFF"/>
            </w:tcBorders>
            <w:shd w:val="clear" w:color="auto" w:fill="CCEEFF"/>
          </w:tcPr>
          <w:p>
            <w:pPr>
              <w:spacing w:after="0"/>
              <w:rPr>
                <w:sz w:val="5"/>
                <w:szCs w:val="5"/>
                <w:color w:val="auto"/>
              </w:rPr>
            </w:pPr>
          </w:p>
        </w:tc>
        <w:tc>
          <w:tcPr>
            <w:tcW w:w="88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60" w:type="dxa"/>
            <w:vAlign w:val="bottom"/>
            <w:tcBorders>
              <w:bottom w:val="single" w:sz="8" w:color="CCEEFF"/>
            </w:tcBorders>
            <w:shd w:val="clear" w:color="auto" w:fill="CCEEFF"/>
          </w:tcPr>
          <w:p>
            <w:pPr>
              <w:spacing w:after="0"/>
              <w:rPr>
                <w:sz w:val="5"/>
                <w:szCs w:val="5"/>
                <w:color w:val="auto"/>
              </w:rPr>
            </w:pPr>
          </w:p>
        </w:tc>
        <w:tc>
          <w:tcPr>
            <w:tcW w:w="920" w:type="dxa"/>
            <w:vAlign w:val="bottom"/>
            <w:tcBorders>
              <w:bottom w:val="single" w:sz="8" w:color="CCEEFF"/>
            </w:tcBorders>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740" w:type="dxa"/>
            <w:vAlign w:val="bottom"/>
            <w:tcBorders>
              <w:bottom w:val="single" w:sz="8" w:color="CCEEFF"/>
            </w:tcBorders>
            <w:shd w:val="clear" w:color="auto" w:fill="CCEEFF"/>
          </w:tcPr>
          <w:p>
            <w:pPr>
              <w:spacing w:after="0"/>
              <w:rPr>
                <w:sz w:val="5"/>
                <w:szCs w:val="5"/>
                <w:color w:val="auto"/>
              </w:rPr>
            </w:pPr>
          </w:p>
        </w:tc>
        <w:tc>
          <w:tcPr>
            <w:tcW w:w="180" w:type="dxa"/>
            <w:vAlign w:val="bottom"/>
            <w:tcBorders>
              <w:bottom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86"/>
        </w:trPr>
        <w:tc>
          <w:tcPr>
            <w:tcW w:w="3580" w:type="dxa"/>
            <w:vAlign w:val="bottom"/>
            <w:gridSpan w:val="19"/>
          </w:tcPr>
          <w:p>
            <w:pPr>
              <w:ind w:left="20"/>
              <w:spacing w:after="0"/>
              <w:rPr>
                <w:sz w:val="20"/>
                <w:szCs w:val="20"/>
                <w:color w:val="auto"/>
              </w:rPr>
            </w:pPr>
            <w:r>
              <w:rPr>
                <w:rFonts w:ascii="Times New Roman" w:cs="Times New Roman" w:eastAsia="Times New Roman" w:hAnsi="Times New Roman"/>
                <w:sz w:val="14"/>
                <w:szCs w:val="14"/>
                <w:color w:val="auto"/>
              </w:rPr>
              <w:t>Simple Agreement for Future Equity</w:t>
            </w:r>
          </w:p>
        </w:tc>
        <w:tc>
          <w:tcPr>
            <w:tcW w:w="100" w:type="dxa"/>
            <w:vAlign w:val="bottom"/>
          </w:tcPr>
          <w:p>
            <w:pPr>
              <w:spacing w:after="0"/>
              <w:rPr>
                <w:sz w:val="16"/>
                <w:szCs w:val="16"/>
                <w:color w:val="auto"/>
              </w:rPr>
            </w:pPr>
          </w:p>
        </w:tc>
        <w:tc>
          <w:tcPr>
            <w:tcW w:w="20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8"/>
              </w:rPr>
              <w:t>Interactive Media &amp; Services</w:t>
            </w: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3/26/2021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1,002,720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1,000,000</w:t>
            </w: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0.27</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2"/>
        </w:trPr>
        <w:tc>
          <w:tcPr>
            <w:tcW w:w="20" w:type="dxa"/>
            <w:vAlign w:val="bottom"/>
            <w:shd w:val="clear" w:color="auto" w:fill="CCEEFF"/>
          </w:tcPr>
          <w:p>
            <w:pPr>
              <w:spacing w:after="0"/>
              <w:rPr>
                <w:sz w:val="15"/>
                <w:szCs w:val="15"/>
                <w:color w:val="auto"/>
              </w:rPr>
            </w:pPr>
          </w:p>
        </w:tc>
        <w:tc>
          <w:tcPr>
            <w:tcW w:w="3560" w:type="dxa"/>
            <w:vAlign w:val="bottom"/>
            <w:gridSpan w:val="18"/>
            <w:shd w:val="clear" w:color="auto" w:fill="CCEEFF"/>
          </w:tcPr>
          <w:p>
            <w:pPr>
              <w:spacing w:after="0" w:line="150" w:lineRule="exact"/>
              <w:rPr>
                <w:sz w:val="20"/>
                <w:szCs w:val="20"/>
                <w:color w:val="auto"/>
              </w:rPr>
            </w:pPr>
            <w:r>
              <w:rPr>
                <w:rFonts w:ascii="Times New Roman" w:cs="Times New Roman" w:eastAsia="Times New Roman" w:hAnsi="Times New Roman"/>
                <w:sz w:val="14"/>
                <w:szCs w:val="14"/>
                <w:b w:val="1"/>
                <w:bCs w:val="1"/>
                <w:color w:val="auto"/>
              </w:rPr>
              <w:t>Rebric, Inc. (d/b/a Compliable)</w:t>
            </w:r>
            <w:r>
              <w:rPr>
                <w:rFonts w:ascii="Times New Roman" w:cs="Times New Roman" w:eastAsia="Times New Roman" w:hAnsi="Times New Roman"/>
                <w:sz w:val="17"/>
                <w:szCs w:val="17"/>
                <w:b w:val="1"/>
                <w:bCs w:val="1"/>
                <w:color w:val="auto"/>
                <w:vertAlign w:val="superscript"/>
              </w:rPr>
              <w:t>(7)</w:t>
            </w:r>
          </w:p>
        </w:tc>
        <w:tc>
          <w:tcPr>
            <w:tcW w:w="100" w:type="dxa"/>
            <w:vAlign w:val="bottom"/>
            <w:shd w:val="clear" w:color="auto" w:fill="CCEEFF"/>
          </w:tcPr>
          <w:p>
            <w:pPr>
              <w:spacing w:after="0"/>
              <w:rPr>
                <w:sz w:val="15"/>
                <w:szCs w:val="15"/>
                <w:color w:val="auto"/>
              </w:rPr>
            </w:pPr>
          </w:p>
        </w:tc>
        <w:tc>
          <w:tcPr>
            <w:tcW w:w="2080" w:type="dxa"/>
            <w:vAlign w:val="bottom"/>
            <w:gridSpan w:val="2"/>
            <w:shd w:val="clear" w:color="auto" w:fill="CCEEFF"/>
          </w:tcPr>
          <w:p>
            <w:pPr>
              <w:jc w:val="center"/>
              <w:ind w:right="100"/>
              <w:spacing w:after="0" w:line="150" w:lineRule="exact"/>
              <w:rPr>
                <w:sz w:val="20"/>
                <w:szCs w:val="20"/>
                <w:color w:val="auto"/>
              </w:rPr>
            </w:pPr>
            <w:r>
              <w:rPr>
                <w:rFonts w:ascii="Times New Roman" w:cs="Times New Roman" w:eastAsia="Times New Roman" w:hAnsi="Times New Roman"/>
                <w:sz w:val="14"/>
                <w:szCs w:val="14"/>
                <w:color w:val="auto"/>
                <w:w w:val="97"/>
              </w:rPr>
              <w:t>Denver, CO</w:t>
            </w: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0" w:type="dxa"/>
            <w:vAlign w:val="bottom"/>
            <w:tcBorders>
              <w:top w:val="single" w:sz="8" w:color="CCEEFF"/>
            </w:tcBorders>
          </w:tcPr>
          <w:p>
            <w:pPr>
              <w:spacing w:after="0"/>
              <w:rPr>
                <w:sz w:val="16"/>
                <w:szCs w:val="16"/>
                <w:color w:val="auto"/>
              </w:rPr>
            </w:pPr>
          </w:p>
        </w:tc>
        <w:tc>
          <w:tcPr>
            <w:tcW w:w="1840" w:type="dxa"/>
            <w:vAlign w:val="bottom"/>
            <w:tcBorders>
              <w:top w:val="single" w:sz="8" w:color="auto"/>
            </w:tcBorders>
            <w:gridSpan w:val="11"/>
          </w:tcPr>
          <w:p>
            <w:pPr>
              <w:spacing w:after="0"/>
              <w:rPr>
                <w:sz w:val="20"/>
                <w:szCs w:val="20"/>
                <w:color w:val="auto"/>
              </w:rPr>
            </w:pPr>
            <w:r>
              <w:rPr>
                <w:rFonts w:ascii="Times New Roman" w:cs="Times New Roman" w:eastAsia="Times New Roman" w:hAnsi="Times New Roman"/>
                <w:sz w:val="14"/>
                <w:szCs w:val="14"/>
                <w:color w:val="auto"/>
              </w:rPr>
              <w:t>Preferred shares, Series Seed-4</w:t>
            </w:r>
          </w:p>
        </w:tc>
        <w:tc>
          <w:tcPr>
            <w:tcW w:w="1720" w:type="dxa"/>
            <w:vAlign w:val="bottom"/>
            <w:tcBorders>
              <w:top w:val="single" w:sz="8" w:color="CCEEFF"/>
            </w:tcBorders>
            <w:gridSpan w:val="7"/>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2080" w:type="dxa"/>
            <w:vAlign w:val="bottom"/>
            <w:tcBorders>
              <w:top w:val="single" w:sz="8" w:color="CCEEFF"/>
            </w:tcBorders>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8"/>
              </w:rPr>
              <w:t>Gaming Licensing</w:t>
            </w:r>
          </w:p>
        </w:tc>
        <w:tc>
          <w:tcPr>
            <w:tcW w:w="980" w:type="dxa"/>
            <w:vAlign w:val="bottom"/>
            <w:tcBorders>
              <w:top w:val="single" w:sz="8" w:color="CCEEFF"/>
            </w:tcBorders>
          </w:tcPr>
          <w:p>
            <w:pPr>
              <w:jc w:val="center"/>
              <w:spacing w:after="0"/>
              <w:rPr>
                <w:sz w:val="20"/>
                <w:szCs w:val="20"/>
                <w:color w:val="auto"/>
              </w:rPr>
            </w:pPr>
            <w:r>
              <w:rPr>
                <w:rFonts w:ascii="Times New Roman" w:cs="Times New Roman" w:eastAsia="Times New Roman" w:hAnsi="Times New Roman"/>
                <w:sz w:val="14"/>
                <w:szCs w:val="14"/>
                <w:color w:val="auto"/>
                <w:w w:val="97"/>
              </w:rPr>
              <w:t>10/12/2021</w:t>
            </w:r>
          </w:p>
        </w:tc>
        <w:tc>
          <w:tcPr>
            <w:tcW w:w="10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8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2,064,409</w:t>
            </w:r>
          </w:p>
        </w:tc>
        <w:tc>
          <w:tcPr>
            <w:tcW w:w="12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8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1,002,755</w:t>
            </w:r>
          </w:p>
        </w:tc>
        <w:tc>
          <w:tcPr>
            <w:tcW w:w="10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9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1,000,000</w:t>
            </w:r>
          </w:p>
        </w:tc>
        <w:tc>
          <w:tcPr>
            <w:tcW w:w="120" w:type="dxa"/>
            <w:vAlign w:val="bottom"/>
            <w:tcBorders>
              <w:top w:val="single" w:sz="8" w:color="CCEEFF"/>
            </w:tcBorders>
          </w:tcPr>
          <w:p>
            <w:pPr>
              <w:spacing w:after="0"/>
              <w:rPr>
                <w:sz w:val="16"/>
                <w:szCs w:val="16"/>
                <w:color w:val="auto"/>
              </w:rPr>
            </w:pPr>
          </w:p>
        </w:tc>
        <w:tc>
          <w:tcPr>
            <w:tcW w:w="7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0.27</w:t>
            </w:r>
          </w:p>
        </w:tc>
        <w:tc>
          <w:tcPr>
            <w:tcW w:w="1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2"/>
        </w:trPr>
        <w:tc>
          <w:tcPr>
            <w:tcW w:w="20" w:type="dxa"/>
            <w:vAlign w:val="bottom"/>
            <w:shd w:val="clear" w:color="auto" w:fill="CCEEFF"/>
          </w:tcPr>
          <w:p>
            <w:pPr>
              <w:spacing w:after="0"/>
              <w:rPr>
                <w:sz w:val="15"/>
                <w:szCs w:val="15"/>
                <w:color w:val="auto"/>
              </w:rPr>
            </w:pPr>
          </w:p>
        </w:tc>
        <w:tc>
          <w:tcPr>
            <w:tcW w:w="3560" w:type="dxa"/>
            <w:vAlign w:val="bottom"/>
            <w:gridSpan w:val="18"/>
            <w:shd w:val="clear" w:color="auto" w:fill="CCEEFF"/>
          </w:tcPr>
          <w:p>
            <w:pPr>
              <w:spacing w:after="0" w:line="150" w:lineRule="exact"/>
              <w:rPr>
                <w:sz w:val="20"/>
                <w:szCs w:val="20"/>
                <w:color w:val="auto"/>
              </w:rPr>
            </w:pPr>
            <w:r>
              <w:rPr>
                <w:rFonts w:ascii="Times New Roman" w:cs="Times New Roman" w:eastAsia="Times New Roman" w:hAnsi="Times New Roman"/>
                <w:sz w:val="14"/>
                <w:szCs w:val="14"/>
                <w:b w:val="1"/>
                <w:bCs w:val="1"/>
                <w:color w:val="auto"/>
              </w:rPr>
              <w:t>Palantir Lending Trust SPV I **</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7"/>
                <w:szCs w:val="17"/>
                <w:b w:val="1"/>
                <w:bCs w:val="1"/>
                <w:color w:val="auto"/>
                <w:vertAlign w:val="superscript"/>
              </w:rPr>
              <w:t>11)</w:t>
            </w:r>
          </w:p>
        </w:tc>
        <w:tc>
          <w:tcPr>
            <w:tcW w:w="100" w:type="dxa"/>
            <w:vAlign w:val="bottom"/>
            <w:shd w:val="clear" w:color="auto" w:fill="CCEEFF"/>
          </w:tcPr>
          <w:p>
            <w:pPr>
              <w:spacing w:after="0"/>
              <w:rPr>
                <w:sz w:val="15"/>
                <w:szCs w:val="15"/>
                <w:color w:val="auto"/>
              </w:rPr>
            </w:pPr>
          </w:p>
        </w:tc>
        <w:tc>
          <w:tcPr>
            <w:tcW w:w="2080" w:type="dxa"/>
            <w:vAlign w:val="bottom"/>
            <w:gridSpan w:val="2"/>
            <w:shd w:val="clear" w:color="auto" w:fill="CCEEFF"/>
          </w:tcPr>
          <w:p>
            <w:pPr>
              <w:jc w:val="center"/>
              <w:ind w:right="100"/>
              <w:spacing w:after="0" w:line="150" w:lineRule="exact"/>
              <w:rPr>
                <w:sz w:val="20"/>
                <w:szCs w:val="20"/>
                <w:color w:val="auto"/>
              </w:rPr>
            </w:pPr>
            <w:r>
              <w:rPr>
                <w:rFonts w:ascii="Times New Roman" w:cs="Times New Roman" w:eastAsia="Times New Roman" w:hAnsi="Times New Roman"/>
                <w:sz w:val="14"/>
                <w:szCs w:val="14"/>
                <w:color w:val="auto"/>
                <w:w w:val="97"/>
              </w:rPr>
              <w:t>Palo Alto, CA</w:t>
            </w: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w w:val="98"/>
              </w:rPr>
              <w:t>Data Analysis</w:t>
            </w: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vMerge w:val="restart"/>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930,524</w:t>
            </w: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0.26</w:t>
            </w:r>
          </w:p>
        </w:tc>
        <w:tc>
          <w:tcPr>
            <w:tcW w:w="180" w:type="dxa"/>
            <w:vAlign w:val="bottom"/>
            <w:tcBorders>
              <w:top w:val="single" w:sz="8" w:color="CCEEFF"/>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line="20" w:lineRule="exact"/>
              <w:rPr>
                <w:sz w:val="1"/>
                <w:szCs w:val="1"/>
                <w:color w:val="auto"/>
              </w:rPr>
            </w:pPr>
          </w:p>
        </w:tc>
      </w:tr>
      <w:tr>
        <w:trPr>
          <w:trHeight w:val="187"/>
        </w:trPr>
        <w:tc>
          <w:tcPr>
            <w:tcW w:w="20" w:type="dxa"/>
            <w:vAlign w:val="bottom"/>
          </w:tcPr>
          <w:p>
            <w:pPr>
              <w:spacing w:after="0"/>
              <w:rPr>
                <w:sz w:val="16"/>
                <w:szCs w:val="16"/>
                <w:color w:val="auto"/>
              </w:rPr>
            </w:pPr>
          </w:p>
        </w:tc>
        <w:tc>
          <w:tcPr>
            <w:tcW w:w="3560" w:type="dxa"/>
            <w:vAlign w:val="bottom"/>
            <w:gridSpan w:val="18"/>
          </w:tcPr>
          <w:p>
            <w:pPr>
              <w:spacing w:after="0" w:line="187" w:lineRule="exact"/>
              <w:rPr>
                <w:sz w:val="20"/>
                <w:szCs w:val="20"/>
                <w:color w:val="auto"/>
              </w:rPr>
            </w:pPr>
            <w:r>
              <w:rPr>
                <w:rFonts w:ascii="Times New Roman" w:cs="Times New Roman" w:eastAsia="Times New Roman" w:hAnsi="Times New Roman"/>
                <w:sz w:val="14"/>
                <w:szCs w:val="14"/>
                <w:color w:val="auto"/>
              </w:rPr>
              <w:t>Equity Participation in Underlying Collateral</w:t>
            </w:r>
            <w:r>
              <w:rPr>
                <w:rFonts w:ascii="Times New Roman" w:cs="Times New Roman" w:eastAsia="Times New Roman" w:hAnsi="Times New Roman"/>
                <w:sz w:val="17"/>
                <w:szCs w:val="17"/>
                <w:color w:val="auto"/>
                <w:vertAlign w:val="superscript"/>
              </w:rPr>
              <w:t>(3)</w:t>
            </w:r>
          </w:p>
        </w:tc>
        <w:tc>
          <w:tcPr>
            <w:tcW w:w="100" w:type="dxa"/>
            <w:vAlign w:val="bottom"/>
          </w:tcPr>
          <w:p>
            <w:pPr>
              <w:spacing w:after="0"/>
              <w:rPr>
                <w:sz w:val="16"/>
                <w:szCs w:val="16"/>
                <w:color w:val="auto"/>
              </w:rPr>
            </w:pPr>
          </w:p>
        </w:tc>
        <w:tc>
          <w:tcPr>
            <w:tcW w:w="2080" w:type="dxa"/>
            <w:vAlign w:val="bottom"/>
            <w:gridSpan w:val="2"/>
            <w:vMerge w:val="continue"/>
          </w:tcPr>
          <w:p>
            <w:pPr>
              <w:spacing w:after="0"/>
              <w:rPr>
                <w:sz w:val="16"/>
                <w:szCs w:val="16"/>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6/19/2020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20" w:type="dxa"/>
            <w:vAlign w:val="bottom"/>
            <w:shd w:val="clear" w:color="auto" w:fill="CCEEFF"/>
          </w:tcPr>
          <w:p>
            <w:pPr>
              <w:spacing w:after="0"/>
              <w:rPr>
                <w:sz w:val="15"/>
                <w:szCs w:val="15"/>
                <w:color w:val="auto"/>
              </w:rPr>
            </w:pPr>
          </w:p>
        </w:tc>
        <w:tc>
          <w:tcPr>
            <w:tcW w:w="3560" w:type="dxa"/>
            <w:vAlign w:val="bottom"/>
            <w:gridSpan w:val="18"/>
            <w:shd w:val="clear" w:color="auto" w:fill="CCEEFF"/>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True Global Ventures 4 Plus Pte Ltd**</w:t>
            </w:r>
            <w:r>
              <w:rPr>
                <w:rFonts w:ascii="Times New Roman" w:cs="Times New Roman" w:eastAsia="Times New Roman" w:hAnsi="Times New Roman"/>
                <w:sz w:val="16"/>
                <w:szCs w:val="16"/>
                <w:b w:val="1"/>
                <w:bCs w:val="1"/>
                <w:color w:val="auto"/>
                <w:vertAlign w:val="superscript"/>
              </w:rPr>
              <w:t>(8)</w:t>
            </w:r>
          </w:p>
        </w:tc>
        <w:tc>
          <w:tcPr>
            <w:tcW w:w="100" w:type="dxa"/>
            <w:vAlign w:val="bottom"/>
            <w:shd w:val="clear" w:color="auto" w:fill="CCEEFF"/>
          </w:tcPr>
          <w:p>
            <w:pPr>
              <w:spacing w:after="0"/>
              <w:rPr>
                <w:sz w:val="15"/>
                <w:szCs w:val="15"/>
                <w:color w:val="auto"/>
              </w:rPr>
            </w:pPr>
          </w:p>
        </w:tc>
        <w:tc>
          <w:tcPr>
            <w:tcW w:w="2080" w:type="dxa"/>
            <w:vAlign w:val="bottom"/>
            <w:gridSpan w:val="2"/>
            <w:shd w:val="clear" w:color="auto" w:fill="CCEEFF"/>
          </w:tcPr>
          <w:p>
            <w:pPr>
              <w:jc w:val="center"/>
              <w:ind w:right="100"/>
              <w:spacing w:after="0" w:line="143" w:lineRule="exact"/>
              <w:rPr>
                <w:sz w:val="20"/>
                <w:szCs w:val="20"/>
                <w:color w:val="auto"/>
              </w:rPr>
            </w:pPr>
            <w:r>
              <w:rPr>
                <w:rFonts w:ascii="Times New Roman" w:cs="Times New Roman" w:eastAsia="Times New Roman" w:hAnsi="Times New Roman"/>
                <w:sz w:val="14"/>
                <w:szCs w:val="14"/>
                <w:color w:val="auto"/>
                <w:w w:val="97"/>
              </w:rPr>
              <w:t>Singapore, Singapore</w:t>
            </w: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0" w:type="dxa"/>
            <w:vAlign w:val="bottom"/>
            <w:tcBorders>
              <w:top w:val="single" w:sz="8" w:color="CCEEFF"/>
            </w:tcBorders>
          </w:tcPr>
          <w:p>
            <w:pPr>
              <w:spacing w:after="0"/>
              <w:rPr>
                <w:sz w:val="16"/>
                <w:szCs w:val="16"/>
                <w:color w:val="auto"/>
              </w:rPr>
            </w:pPr>
          </w:p>
        </w:tc>
        <w:tc>
          <w:tcPr>
            <w:tcW w:w="2140" w:type="dxa"/>
            <w:vAlign w:val="bottom"/>
            <w:tcBorders>
              <w:top w:val="single" w:sz="8" w:color="auto"/>
            </w:tcBorders>
            <w:gridSpan w:val="12"/>
          </w:tcPr>
          <w:p>
            <w:pPr>
              <w:spacing w:after="0"/>
              <w:rPr>
                <w:sz w:val="20"/>
                <w:szCs w:val="20"/>
                <w:color w:val="auto"/>
              </w:rPr>
            </w:pPr>
            <w:r>
              <w:rPr>
                <w:rFonts w:ascii="Times New Roman" w:cs="Times New Roman" w:eastAsia="Times New Roman" w:hAnsi="Times New Roman"/>
                <w:sz w:val="14"/>
                <w:szCs w:val="14"/>
                <w:color w:val="auto"/>
              </w:rPr>
              <w:t>Limited Partner Fund Investment</w:t>
            </w:r>
          </w:p>
        </w:tc>
        <w:tc>
          <w:tcPr>
            <w:tcW w:w="1420" w:type="dxa"/>
            <w:vAlign w:val="bottom"/>
            <w:tcBorders>
              <w:top w:val="single" w:sz="8" w:color="CCEEFF"/>
            </w:tcBorders>
            <w:gridSpan w:val="6"/>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2080" w:type="dxa"/>
            <w:vAlign w:val="bottom"/>
            <w:tcBorders>
              <w:top w:val="single" w:sz="8" w:color="CCEEFF"/>
            </w:tcBorders>
            <w:gridSpan w:val="2"/>
          </w:tcPr>
          <w:p>
            <w:pPr>
              <w:jc w:val="center"/>
              <w:ind w:right="120"/>
              <w:spacing w:after="0"/>
              <w:rPr>
                <w:sz w:val="20"/>
                <w:szCs w:val="20"/>
                <w:color w:val="auto"/>
              </w:rPr>
            </w:pPr>
            <w:r>
              <w:rPr>
                <w:rFonts w:ascii="Times New Roman" w:cs="Times New Roman" w:eastAsia="Times New Roman" w:hAnsi="Times New Roman"/>
                <w:sz w:val="14"/>
                <w:szCs w:val="14"/>
                <w:color w:val="auto"/>
                <w:w w:val="97"/>
              </w:rPr>
              <w:t>Venture Investment Fund</w:t>
            </w:r>
          </w:p>
        </w:tc>
        <w:tc>
          <w:tcPr>
            <w:tcW w:w="980" w:type="dxa"/>
            <w:vAlign w:val="bottom"/>
            <w:tcBorders>
              <w:top w:val="single" w:sz="8" w:color="CCEEFF"/>
            </w:tcBorders>
          </w:tcPr>
          <w:p>
            <w:pPr>
              <w:jc w:val="center"/>
              <w:spacing w:after="0"/>
              <w:rPr>
                <w:sz w:val="20"/>
                <w:szCs w:val="20"/>
                <w:color w:val="auto"/>
              </w:rPr>
            </w:pPr>
            <w:r>
              <w:rPr>
                <w:rFonts w:ascii="Times New Roman" w:cs="Times New Roman" w:eastAsia="Times New Roman" w:hAnsi="Times New Roman"/>
                <w:sz w:val="14"/>
                <w:szCs w:val="14"/>
                <w:color w:val="auto"/>
                <w:w w:val="98"/>
              </w:rPr>
              <w:t>8/27/2021</w:t>
            </w:r>
          </w:p>
        </w:tc>
        <w:tc>
          <w:tcPr>
            <w:tcW w:w="10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8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8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713,505</w:t>
            </w:r>
          </w:p>
        </w:tc>
        <w:tc>
          <w:tcPr>
            <w:tcW w:w="10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9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670,000</w:t>
            </w:r>
          </w:p>
        </w:tc>
        <w:tc>
          <w:tcPr>
            <w:tcW w:w="120" w:type="dxa"/>
            <w:vAlign w:val="bottom"/>
            <w:tcBorders>
              <w:top w:val="single" w:sz="8" w:color="CCEEFF"/>
            </w:tcBorders>
          </w:tcPr>
          <w:p>
            <w:pPr>
              <w:spacing w:after="0"/>
              <w:rPr>
                <w:sz w:val="16"/>
                <w:szCs w:val="16"/>
                <w:color w:val="auto"/>
              </w:rPr>
            </w:pPr>
          </w:p>
        </w:tc>
        <w:tc>
          <w:tcPr>
            <w:tcW w:w="7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0.18</w:t>
            </w:r>
          </w:p>
        </w:tc>
        <w:tc>
          <w:tcPr>
            <w:tcW w:w="1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2"/>
        </w:trPr>
        <w:tc>
          <w:tcPr>
            <w:tcW w:w="20" w:type="dxa"/>
            <w:vAlign w:val="bottom"/>
            <w:shd w:val="clear" w:color="auto" w:fill="CCEEFF"/>
          </w:tcPr>
          <w:p>
            <w:pPr>
              <w:spacing w:after="0"/>
              <w:rPr>
                <w:sz w:val="15"/>
                <w:szCs w:val="15"/>
                <w:color w:val="auto"/>
              </w:rPr>
            </w:pPr>
          </w:p>
        </w:tc>
        <w:tc>
          <w:tcPr>
            <w:tcW w:w="3560" w:type="dxa"/>
            <w:vAlign w:val="bottom"/>
            <w:gridSpan w:val="18"/>
            <w:shd w:val="clear" w:color="auto" w:fill="CCEEFF"/>
          </w:tcPr>
          <w:p>
            <w:pPr>
              <w:spacing w:after="0" w:line="150" w:lineRule="exact"/>
              <w:rPr>
                <w:sz w:val="20"/>
                <w:szCs w:val="20"/>
                <w:color w:val="auto"/>
              </w:rPr>
            </w:pPr>
            <w:r>
              <w:rPr>
                <w:rFonts w:ascii="Times New Roman" w:cs="Times New Roman" w:eastAsia="Times New Roman" w:hAnsi="Times New Roman"/>
                <w:sz w:val="14"/>
                <w:szCs w:val="14"/>
                <w:b w:val="1"/>
                <w:bCs w:val="1"/>
                <w:color w:val="auto"/>
              </w:rPr>
              <w:t>YouBet Technology, Inc. (d/b/a PickUp)</w:t>
            </w:r>
            <w:r>
              <w:rPr>
                <w:rFonts w:ascii="Times New Roman" w:cs="Times New Roman" w:eastAsia="Times New Roman" w:hAnsi="Times New Roman"/>
                <w:sz w:val="17"/>
                <w:szCs w:val="17"/>
                <w:b w:val="1"/>
                <w:bCs w:val="1"/>
                <w:color w:val="auto"/>
                <w:vertAlign w:val="superscript"/>
              </w:rPr>
              <w:t>(7)</w:t>
            </w:r>
          </w:p>
        </w:tc>
        <w:tc>
          <w:tcPr>
            <w:tcW w:w="100" w:type="dxa"/>
            <w:vAlign w:val="bottom"/>
            <w:shd w:val="clear" w:color="auto" w:fill="CCEEFF"/>
          </w:tcPr>
          <w:p>
            <w:pPr>
              <w:spacing w:after="0"/>
              <w:rPr>
                <w:sz w:val="15"/>
                <w:szCs w:val="15"/>
                <w:color w:val="auto"/>
              </w:rPr>
            </w:pPr>
          </w:p>
        </w:tc>
        <w:tc>
          <w:tcPr>
            <w:tcW w:w="2080" w:type="dxa"/>
            <w:vAlign w:val="bottom"/>
            <w:gridSpan w:val="2"/>
            <w:shd w:val="clear" w:color="auto" w:fill="CCEEFF"/>
          </w:tcPr>
          <w:p>
            <w:pPr>
              <w:jc w:val="center"/>
              <w:ind w:right="100"/>
              <w:spacing w:after="0" w:line="150" w:lineRule="exact"/>
              <w:rPr>
                <w:sz w:val="20"/>
                <w:szCs w:val="20"/>
                <w:color w:val="auto"/>
              </w:rPr>
            </w:pPr>
            <w:r>
              <w:rPr>
                <w:rFonts w:ascii="Times New Roman" w:cs="Times New Roman" w:eastAsia="Times New Roman" w:hAnsi="Times New Roman"/>
                <w:sz w:val="14"/>
                <w:szCs w:val="14"/>
                <w:color w:val="auto"/>
                <w:w w:val="95"/>
              </w:rPr>
              <w:t>New York, NY</w:t>
            </w: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0" w:type="dxa"/>
            <w:vAlign w:val="bottom"/>
            <w:tcBorders>
              <w:top w:val="single" w:sz="8" w:color="CCEEFF"/>
            </w:tcBorders>
          </w:tcPr>
          <w:p>
            <w:pPr>
              <w:spacing w:after="0"/>
              <w:rPr>
                <w:sz w:val="16"/>
                <w:szCs w:val="16"/>
                <w:color w:val="auto"/>
              </w:rPr>
            </w:pPr>
          </w:p>
        </w:tc>
        <w:tc>
          <w:tcPr>
            <w:tcW w:w="2320" w:type="dxa"/>
            <w:vAlign w:val="bottom"/>
            <w:tcBorders>
              <w:top w:val="single" w:sz="8" w:color="auto"/>
            </w:tcBorders>
            <w:gridSpan w:val="13"/>
          </w:tcPr>
          <w:p>
            <w:pPr>
              <w:spacing w:after="0"/>
              <w:rPr>
                <w:sz w:val="20"/>
                <w:szCs w:val="20"/>
                <w:color w:val="auto"/>
              </w:rPr>
            </w:pPr>
            <w:r>
              <w:rPr>
                <w:rFonts w:ascii="Times New Roman" w:cs="Times New Roman" w:eastAsia="Times New Roman" w:hAnsi="Times New Roman"/>
                <w:sz w:val="14"/>
                <w:szCs w:val="14"/>
                <w:color w:val="auto"/>
              </w:rPr>
              <w:t>Preferred shares, Series Seed-2</w:t>
            </w:r>
          </w:p>
        </w:tc>
        <w:tc>
          <w:tcPr>
            <w:tcW w:w="1240" w:type="dxa"/>
            <w:vAlign w:val="bottom"/>
            <w:tcBorders>
              <w:top w:val="single" w:sz="8" w:color="CCEEFF"/>
            </w:tcBorders>
            <w:gridSpan w:val="5"/>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2080" w:type="dxa"/>
            <w:vAlign w:val="bottom"/>
            <w:tcBorders>
              <w:top w:val="single" w:sz="8" w:color="CCEEFF"/>
            </w:tcBorders>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8"/>
              </w:rPr>
              <w:t>Digital Media Technology</w:t>
            </w:r>
          </w:p>
        </w:tc>
        <w:tc>
          <w:tcPr>
            <w:tcW w:w="980" w:type="dxa"/>
            <w:vAlign w:val="bottom"/>
            <w:tcBorders>
              <w:top w:val="single" w:sz="8" w:color="CCEEFF"/>
            </w:tcBorders>
          </w:tcPr>
          <w:p>
            <w:pPr>
              <w:jc w:val="center"/>
              <w:spacing w:after="0"/>
              <w:rPr>
                <w:sz w:val="20"/>
                <w:szCs w:val="20"/>
                <w:color w:val="auto"/>
              </w:rPr>
            </w:pPr>
            <w:r>
              <w:rPr>
                <w:rFonts w:ascii="Times New Roman" w:cs="Times New Roman" w:eastAsia="Times New Roman" w:hAnsi="Times New Roman"/>
                <w:sz w:val="14"/>
                <w:szCs w:val="14"/>
                <w:color w:val="auto"/>
                <w:w w:val="98"/>
              </w:rPr>
              <w:t>8/26/2021</w:t>
            </w:r>
          </w:p>
        </w:tc>
        <w:tc>
          <w:tcPr>
            <w:tcW w:w="10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8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385,353</w:t>
            </w:r>
          </w:p>
        </w:tc>
        <w:tc>
          <w:tcPr>
            <w:tcW w:w="12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8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502,232</w:t>
            </w:r>
          </w:p>
        </w:tc>
        <w:tc>
          <w:tcPr>
            <w:tcW w:w="10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9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499,999</w:t>
            </w:r>
          </w:p>
        </w:tc>
        <w:tc>
          <w:tcPr>
            <w:tcW w:w="120" w:type="dxa"/>
            <w:vAlign w:val="bottom"/>
            <w:tcBorders>
              <w:top w:val="single" w:sz="8" w:color="CCEEFF"/>
            </w:tcBorders>
          </w:tcPr>
          <w:p>
            <w:pPr>
              <w:spacing w:after="0"/>
              <w:rPr>
                <w:sz w:val="16"/>
                <w:szCs w:val="16"/>
                <w:color w:val="auto"/>
              </w:rPr>
            </w:pPr>
          </w:p>
        </w:tc>
        <w:tc>
          <w:tcPr>
            <w:tcW w:w="7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0.14</w:t>
            </w:r>
          </w:p>
        </w:tc>
        <w:tc>
          <w:tcPr>
            <w:tcW w:w="1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2"/>
        </w:trPr>
        <w:tc>
          <w:tcPr>
            <w:tcW w:w="20" w:type="dxa"/>
            <w:vAlign w:val="bottom"/>
            <w:shd w:val="clear" w:color="auto" w:fill="CCEEFF"/>
          </w:tcPr>
          <w:p>
            <w:pPr>
              <w:spacing w:after="0"/>
              <w:rPr>
                <w:sz w:val="15"/>
                <w:szCs w:val="15"/>
                <w:color w:val="auto"/>
              </w:rPr>
            </w:pPr>
          </w:p>
        </w:tc>
        <w:tc>
          <w:tcPr>
            <w:tcW w:w="3560" w:type="dxa"/>
            <w:vAlign w:val="bottom"/>
            <w:gridSpan w:val="18"/>
            <w:shd w:val="clear" w:color="auto" w:fill="CCEEFF"/>
          </w:tcPr>
          <w:p>
            <w:pPr>
              <w:spacing w:after="0" w:line="150" w:lineRule="exact"/>
              <w:rPr>
                <w:sz w:val="20"/>
                <w:szCs w:val="20"/>
                <w:color w:val="auto"/>
              </w:rPr>
            </w:pPr>
            <w:r>
              <w:rPr>
                <w:rFonts w:ascii="Times New Roman" w:cs="Times New Roman" w:eastAsia="Times New Roman" w:hAnsi="Times New Roman"/>
                <w:sz w:val="14"/>
                <w:szCs w:val="14"/>
                <w:b w:val="1"/>
                <w:bCs w:val="1"/>
                <w:color w:val="auto"/>
              </w:rPr>
              <w:t>Kahoot! ASA**</w:t>
            </w:r>
            <w:r>
              <w:rPr>
                <w:rFonts w:ascii="Times New Roman" w:cs="Times New Roman" w:eastAsia="Times New Roman" w:hAnsi="Times New Roman"/>
                <w:sz w:val="17"/>
                <w:szCs w:val="17"/>
                <w:b w:val="1"/>
                <w:bCs w:val="1"/>
                <w:color w:val="auto"/>
                <w:vertAlign w:val="superscript"/>
              </w:rPr>
              <w:t>(19)</w:t>
            </w:r>
          </w:p>
        </w:tc>
        <w:tc>
          <w:tcPr>
            <w:tcW w:w="100" w:type="dxa"/>
            <w:vAlign w:val="bottom"/>
            <w:shd w:val="clear" w:color="auto" w:fill="CCEEFF"/>
          </w:tcPr>
          <w:p>
            <w:pPr>
              <w:spacing w:after="0"/>
              <w:rPr>
                <w:sz w:val="15"/>
                <w:szCs w:val="15"/>
                <w:color w:val="auto"/>
              </w:rPr>
            </w:pPr>
          </w:p>
        </w:tc>
        <w:tc>
          <w:tcPr>
            <w:tcW w:w="2080" w:type="dxa"/>
            <w:vAlign w:val="bottom"/>
            <w:gridSpan w:val="2"/>
            <w:shd w:val="clear" w:color="auto" w:fill="CCEEFF"/>
          </w:tcPr>
          <w:p>
            <w:pPr>
              <w:jc w:val="center"/>
              <w:ind w:right="100"/>
              <w:spacing w:after="0" w:line="150" w:lineRule="exact"/>
              <w:rPr>
                <w:sz w:val="20"/>
                <w:szCs w:val="20"/>
                <w:color w:val="auto"/>
              </w:rPr>
            </w:pPr>
            <w:r>
              <w:rPr>
                <w:rFonts w:ascii="Times New Roman" w:cs="Times New Roman" w:eastAsia="Times New Roman" w:hAnsi="Times New Roman"/>
                <w:sz w:val="14"/>
                <w:szCs w:val="14"/>
                <w:color w:val="auto"/>
                <w:w w:val="99"/>
              </w:rPr>
              <w:t>Oslo, Norway</w:t>
            </w: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9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vMerge w:val="restart"/>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vMerge w:val="restart"/>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458,138</w:t>
            </w: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402,360</w:t>
            </w: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0.11</w:t>
            </w:r>
          </w:p>
        </w:tc>
        <w:tc>
          <w:tcPr>
            <w:tcW w:w="180" w:type="dxa"/>
            <w:vAlign w:val="bottom"/>
            <w:tcBorders>
              <w:top w:val="single" w:sz="8" w:color="CCEEFF"/>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line="20" w:lineRule="exact"/>
              <w:rPr>
                <w:sz w:val="1"/>
                <w:szCs w:val="1"/>
                <w:color w:val="auto"/>
              </w:rPr>
            </w:pPr>
          </w:p>
        </w:tc>
      </w:tr>
      <w:tr>
        <w:trPr>
          <w:trHeight w:val="187"/>
        </w:trPr>
        <w:tc>
          <w:tcPr>
            <w:tcW w:w="20" w:type="dxa"/>
            <w:vAlign w:val="bottom"/>
          </w:tcPr>
          <w:p>
            <w:pPr>
              <w:spacing w:after="0"/>
              <w:rPr>
                <w:sz w:val="16"/>
                <w:szCs w:val="16"/>
                <w:color w:val="auto"/>
              </w:rPr>
            </w:pPr>
          </w:p>
        </w:tc>
        <w:tc>
          <w:tcPr>
            <w:tcW w:w="3560" w:type="dxa"/>
            <w:vAlign w:val="bottom"/>
            <w:gridSpan w:val="18"/>
          </w:tcPr>
          <w:p>
            <w:pPr>
              <w:spacing w:after="0" w:line="187" w:lineRule="exact"/>
              <w:rPr>
                <w:sz w:val="20"/>
                <w:szCs w:val="20"/>
                <w:color w:val="auto"/>
              </w:rPr>
            </w:pPr>
            <w:r>
              <w:rPr>
                <w:rFonts w:ascii="Times New Roman" w:cs="Times New Roman" w:eastAsia="Times New Roman" w:hAnsi="Times New Roman"/>
                <w:sz w:val="14"/>
                <w:szCs w:val="14"/>
                <w:color w:val="auto"/>
              </w:rPr>
              <w:t>Common shares</w:t>
            </w:r>
            <w:r>
              <w:rPr>
                <w:rFonts w:ascii="Times New Roman" w:cs="Times New Roman" w:eastAsia="Times New Roman" w:hAnsi="Times New Roman"/>
                <w:sz w:val="17"/>
                <w:szCs w:val="17"/>
                <w:color w:val="auto"/>
                <w:vertAlign w:val="superscript"/>
              </w:rPr>
              <w:t>(3)</w:t>
            </w:r>
          </w:p>
        </w:tc>
        <w:tc>
          <w:tcPr>
            <w:tcW w:w="100" w:type="dxa"/>
            <w:vAlign w:val="bottom"/>
          </w:tcPr>
          <w:p>
            <w:pPr>
              <w:spacing w:after="0"/>
              <w:rPr>
                <w:sz w:val="16"/>
                <w:szCs w:val="16"/>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Education Software</w:t>
            </w:r>
          </w:p>
        </w:tc>
        <w:tc>
          <w:tcPr>
            <w:tcW w:w="100" w:type="dxa"/>
            <w:vAlign w:val="bottom"/>
            <w:vMerge w:val="continue"/>
          </w:tcPr>
          <w:p>
            <w:pPr>
              <w:spacing w:after="0"/>
              <w:rPr>
                <w:sz w:val="16"/>
                <w:szCs w:val="16"/>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12/5/2014</w:t>
            </w:r>
          </w:p>
        </w:tc>
        <w:tc>
          <w:tcPr>
            <w:tcW w:w="1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86,800</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20" w:type="dxa"/>
            <w:vAlign w:val="bottom"/>
            <w:shd w:val="clear" w:color="auto" w:fill="CCEEFF"/>
          </w:tcPr>
          <w:p>
            <w:pPr>
              <w:spacing w:after="0"/>
              <w:rPr>
                <w:sz w:val="15"/>
                <w:szCs w:val="15"/>
                <w:color w:val="auto"/>
              </w:rPr>
            </w:pPr>
          </w:p>
        </w:tc>
        <w:tc>
          <w:tcPr>
            <w:tcW w:w="3560" w:type="dxa"/>
            <w:vAlign w:val="bottom"/>
            <w:gridSpan w:val="18"/>
            <w:shd w:val="clear" w:color="auto" w:fill="CCEEFF"/>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Churchill Sponsor VII LLC**</w:t>
            </w:r>
            <w:r>
              <w:rPr>
                <w:rFonts w:ascii="Times New Roman" w:cs="Times New Roman" w:eastAsia="Times New Roman" w:hAnsi="Times New Roman"/>
                <w:sz w:val="16"/>
                <w:szCs w:val="16"/>
                <w:b w:val="1"/>
                <w:bCs w:val="1"/>
                <w:color w:val="auto"/>
                <w:vertAlign w:val="superscript"/>
              </w:rPr>
              <w:t>(17)</w:t>
            </w:r>
          </w:p>
        </w:tc>
        <w:tc>
          <w:tcPr>
            <w:tcW w:w="100" w:type="dxa"/>
            <w:vAlign w:val="bottom"/>
            <w:shd w:val="clear" w:color="auto" w:fill="CCEEFF"/>
          </w:tcPr>
          <w:p>
            <w:pPr>
              <w:spacing w:after="0"/>
              <w:rPr>
                <w:sz w:val="15"/>
                <w:szCs w:val="15"/>
                <w:color w:val="auto"/>
              </w:rPr>
            </w:pPr>
          </w:p>
        </w:tc>
        <w:tc>
          <w:tcPr>
            <w:tcW w:w="2080" w:type="dxa"/>
            <w:vAlign w:val="bottom"/>
            <w:gridSpan w:val="2"/>
            <w:shd w:val="clear" w:color="auto" w:fill="CCEEFF"/>
          </w:tcPr>
          <w:p>
            <w:pPr>
              <w:jc w:val="center"/>
              <w:ind w:right="100"/>
              <w:spacing w:after="0" w:line="143" w:lineRule="exact"/>
              <w:rPr>
                <w:sz w:val="20"/>
                <w:szCs w:val="20"/>
                <w:color w:val="auto"/>
              </w:rPr>
            </w:pPr>
            <w:r>
              <w:rPr>
                <w:rFonts w:ascii="Times New Roman" w:cs="Times New Roman" w:eastAsia="Times New Roman" w:hAnsi="Times New Roman"/>
                <w:sz w:val="14"/>
                <w:szCs w:val="14"/>
                <w:color w:val="auto"/>
                <w:w w:val="95"/>
              </w:rPr>
              <w:t>New York, NY</w:t>
            </w: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Borders>
              <w:top w:val="single" w:sz="8" w:color="CCEEFF"/>
            </w:tcBorders>
            <w:vMerge w:val="restart"/>
          </w:tcPr>
          <w:p>
            <w:pPr>
              <w:spacing w:after="0"/>
              <w:rPr>
                <w:sz w:val="11"/>
                <w:szCs w:val="11"/>
                <w:color w:val="auto"/>
              </w:rPr>
            </w:pPr>
          </w:p>
        </w:tc>
        <w:tc>
          <w:tcPr>
            <w:tcW w:w="1640" w:type="dxa"/>
            <w:vAlign w:val="bottom"/>
            <w:tcBorders>
              <w:top w:val="single" w:sz="8" w:color="auto"/>
            </w:tcBorders>
            <w:gridSpan w:val="8"/>
            <w:vMerge w:val="restart"/>
          </w:tcPr>
          <w:p>
            <w:pPr>
              <w:spacing w:after="0"/>
              <w:rPr>
                <w:sz w:val="20"/>
                <w:szCs w:val="20"/>
                <w:color w:val="auto"/>
              </w:rPr>
            </w:pPr>
            <w:r>
              <w:rPr>
                <w:rFonts w:ascii="Times New Roman" w:cs="Times New Roman" w:eastAsia="Times New Roman" w:hAnsi="Times New Roman"/>
                <w:sz w:val="14"/>
                <w:szCs w:val="14"/>
                <w:color w:val="auto"/>
              </w:rPr>
              <w:t>Common share units</w:t>
            </w:r>
          </w:p>
        </w:tc>
        <w:tc>
          <w:tcPr>
            <w:tcW w:w="1920" w:type="dxa"/>
            <w:vAlign w:val="bottom"/>
            <w:tcBorders>
              <w:top w:val="single" w:sz="8" w:color="CCEEFF"/>
            </w:tcBorders>
            <w:gridSpan w:val="10"/>
            <w:vMerge w:val="restart"/>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2080" w:type="dxa"/>
            <w:vAlign w:val="bottom"/>
            <w:tcBorders>
              <w:top w:val="single" w:sz="8" w:color="CCEEFF"/>
            </w:tcBorders>
            <w:gridSpan w:val="2"/>
          </w:tcPr>
          <w:p>
            <w:pPr>
              <w:jc w:val="center"/>
              <w:ind w:right="120"/>
              <w:spacing w:after="0" w:line="129" w:lineRule="exact"/>
              <w:rPr>
                <w:sz w:val="20"/>
                <w:szCs w:val="20"/>
                <w:color w:val="auto"/>
              </w:rPr>
            </w:pPr>
            <w:r>
              <w:rPr>
                <w:rFonts w:ascii="Times New Roman" w:cs="Times New Roman" w:eastAsia="Times New Roman" w:hAnsi="Times New Roman"/>
                <w:sz w:val="14"/>
                <w:szCs w:val="14"/>
                <w:color w:val="auto"/>
                <w:w w:val="98"/>
              </w:rPr>
              <w:t>Special Purpose Acquisition</w:t>
            </w:r>
          </w:p>
        </w:tc>
        <w:tc>
          <w:tcPr>
            <w:tcW w:w="980" w:type="dxa"/>
            <w:vAlign w:val="bottom"/>
            <w:tcBorders>
              <w:top w:val="single" w:sz="8" w:color="CCEEFF"/>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8"/>
              </w:rPr>
              <w:t>2/25/2021</w:t>
            </w:r>
          </w:p>
        </w:tc>
        <w:tc>
          <w:tcPr>
            <w:tcW w:w="100" w:type="dxa"/>
            <w:vAlign w:val="bottom"/>
            <w:tcBorders>
              <w:top w:val="single" w:sz="8" w:color="CCEEFF"/>
            </w:tcBorders>
          </w:tcPr>
          <w:p>
            <w:pPr>
              <w:spacing w:after="0"/>
              <w:rPr>
                <w:sz w:val="11"/>
                <w:szCs w:val="11"/>
                <w:color w:val="auto"/>
              </w:rPr>
            </w:pPr>
          </w:p>
        </w:tc>
        <w:tc>
          <w:tcPr>
            <w:tcW w:w="140" w:type="dxa"/>
            <w:vAlign w:val="bottom"/>
            <w:tcBorders>
              <w:top w:val="single" w:sz="8" w:color="CCEEFF"/>
            </w:tcBorders>
          </w:tcPr>
          <w:p>
            <w:pPr>
              <w:spacing w:after="0"/>
              <w:rPr>
                <w:sz w:val="11"/>
                <w:szCs w:val="11"/>
                <w:color w:val="auto"/>
              </w:rPr>
            </w:pPr>
          </w:p>
        </w:tc>
        <w:tc>
          <w:tcPr>
            <w:tcW w:w="820" w:type="dxa"/>
            <w:vAlign w:val="bottom"/>
            <w:tcBorders>
              <w:top w:val="single" w:sz="8" w:color="CCEEFF"/>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292,100</w:t>
            </w:r>
          </w:p>
        </w:tc>
        <w:tc>
          <w:tcPr>
            <w:tcW w:w="120" w:type="dxa"/>
            <w:vAlign w:val="bottom"/>
            <w:tcBorders>
              <w:top w:val="single" w:sz="8" w:color="CCEEFF"/>
            </w:tcBorders>
          </w:tcPr>
          <w:p>
            <w:pPr>
              <w:spacing w:after="0"/>
              <w:rPr>
                <w:sz w:val="11"/>
                <w:szCs w:val="11"/>
                <w:color w:val="auto"/>
              </w:rPr>
            </w:pPr>
          </w:p>
        </w:tc>
        <w:tc>
          <w:tcPr>
            <w:tcW w:w="200" w:type="dxa"/>
            <w:vAlign w:val="bottom"/>
            <w:tcBorders>
              <w:top w:val="single" w:sz="8" w:color="CCEEFF"/>
            </w:tcBorders>
          </w:tcPr>
          <w:p>
            <w:pPr>
              <w:spacing w:after="0"/>
              <w:rPr>
                <w:sz w:val="11"/>
                <w:szCs w:val="11"/>
                <w:color w:val="auto"/>
              </w:rPr>
            </w:pPr>
          </w:p>
        </w:tc>
        <w:tc>
          <w:tcPr>
            <w:tcW w:w="880" w:type="dxa"/>
            <w:vAlign w:val="bottom"/>
            <w:tcBorders>
              <w:top w:val="single" w:sz="8" w:color="CCEEFF"/>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205,820</w:t>
            </w:r>
          </w:p>
        </w:tc>
        <w:tc>
          <w:tcPr>
            <w:tcW w:w="100" w:type="dxa"/>
            <w:vAlign w:val="bottom"/>
            <w:tcBorders>
              <w:top w:val="single" w:sz="8" w:color="CCEEFF"/>
            </w:tcBorders>
          </w:tcPr>
          <w:p>
            <w:pPr>
              <w:spacing w:after="0"/>
              <w:rPr>
                <w:sz w:val="11"/>
                <w:szCs w:val="11"/>
                <w:color w:val="auto"/>
              </w:rPr>
            </w:pPr>
          </w:p>
        </w:tc>
        <w:tc>
          <w:tcPr>
            <w:tcW w:w="160" w:type="dxa"/>
            <w:vAlign w:val="bottom"/>
            <w:tcBorders>
              <w:top w:val="single" w:sz="8" w:color="CCEEFF"/>
            </w:tcBorders>
          </w:tcPr>
          <w:p>
            <w:pPr>
              <w:spacing w:after="0"/>
              <w:rPr>
                <w:sz w:val="11"/>
                <w:szCs w:val="11"/>
                <w:color w:val="auto"/>
              </w:rPr>
            </w:pPr>
          </w:p>
        </w:tc>
        <w:tc>
          <w:tcPr>
            <w:tcW w:w="920" w:type="dxa"/>
            <w:vAlign w:val="bottom"/>
            <w:tcBorders>
              <w:top w:val="single" w:sz="8" w:color="CCEEFF"/>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205,820</w:t>
            </w:r>
          </w:p>
        </w:tc>
        <w:tc>
          <w:tcPr>
            <w:tcW w:w="120" w:type="dxa"/>
            <w:vAlign w:val="bottom"/>
            <w:tcBorders>
              <w:top w:val="single" w:sz="8" w:color="CCEEFF"/>
            </w:tcBorders>
          </w:tcPr>
          <w:p>
            <w:pPr>
              <w:spacing w:after="0"/>
              <w:rPr>
                <w:sz w:val="11"/>
                <w:szCs w:val="11"/>
                <w:color w:val="auto"/>
              </w:rPr>
            </w:pPr>
          </w:p>
        </w:tc>
        <w:tc>
          <w:tcPr>
            <w:tcW w:w="740" w:type="dxa"/>
            <w:vAlign w:val="bottom"/>
            <w:tcBorders>
              <w:top w:val="single" w:sz="8" w:color="CCEEFF"/>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0.06</w:t>
            </w:r>
          </w:p>
        </w:tc>
        <w:tc>
          <w:tcPr>
            <w:tcW w:w="180" w:type="dxa"/>
            <w:vAlign w:val="bottom"/>
            <w:tcBorders>
              <w:top w:val="single" w:sz="8" w:color="CCEEFF"/>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6"/>
        </w:trPr>
        <w:tc>
          <w:tcPr>
            <w:tcW w:w="20" w:type="dxa"/>
            <w:vAlign w:val="bottom"/>
            <w:vMerge w:val="continue"/>
          </w:tcPr>
          <w:p>
            <w:pPr>
              <w:spacing w:after="0"/>
              <w:rPr>
                <w:sz w:val="16"/>
                <w:szCs w:val="16"/>
                <w:color w:val="auto"/>
              </w:rPr>
            </w:pPr>
          </w:p>
        </w:tc>
        <w:tc>
          <w:tcPr>
            <w:tcW w:w="1640" w:type="dxa"/>
            <w:vAlign w:val="bottom"/>
            <w:gridSpan w:val="8"/>
            <w:vMerge w:val="continue"/>
          </w:tcPr>
          <w:p>
            <w:pPr>
              <w:spacing w:after="0"/>
              <w:rPr>
                <w:sz w:val="16"/>
                <w:szCs w:val="16"/>
                <w:color w:val="auto"/>
              </w:rPr>
            </w:pPr>
          </w:p>
        </w:tc>
        <w:tc>
          <w:tcPr>
            <w:tcW w:w="1920" w:type="dxa"/>
            <w:vAlign w:val="bottom"/>
            <w:gridSpan w:val="10"/>
            <w:vMerge w:val="continue"/>
          </w:tcPr>
          <w:p>
            <w:pPr>
              <w:spacing w:after="0"/>
              <w:rPr>
                <w:sz w:val="16"/>
                <w:szCs w:val="16"/>
                <w:color w:val="auto"/>
              </w:rPr>
            </w:pPr>
          </w:p>
        </w:tc>
        <w:tc>
          <w:tcPr>
            <w:tcW w:w="100" w:type="dxa"/>
            <w:vAlign w:val="bottom"/>
          </w:tcPr>
          <w:p>
            <w:pPr>
              <w:spacing w:after="0"/>
              <w:rPr>
                <w:sz w:val="16"/>
                <w:szCs w:val="16"/>
                <w:color w:val="auto"/>
              </w:rPr>
            </w:pPr>
          </w:p>
        </w:tc>
        <w:tc>
          <w:tcPr>
            <w:tcW w:w="20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Company</w:t>
            </w: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3580" w:type="dxa"/>
            <w:vAlign w:val="bottom"/>
            <w:gridSpan w:val="19"/>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Warrant units</w:t>
            </w:r>
          </w:p>
        </w:tc>
        <w:tc>
          <w:tcPr>
            <w:tcW w:w="100" w:type="dxa"/>
            <w:vAlign w:val="bottom"/>
            <w:shd w:val="clear" w:color="auto" w:fill="CCEEFF"/>
          </w:tcPr>
          <w:p>
            <w:pPr>
              <w:spacing w:after="0"/>
              <w:rPr>
                <w:sz w:val="17"/>
                <w:szCs w:val="17"/>
                <w:color w:val="auto"/>
              </w:rPr>
            </w:pPr>
          </w:p>
        </w:tc>
        <w:tc>
          <w:tcPr>
            <w:tcW w:w="1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2/25/2021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277,000</w:t>
            </w: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94,180</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94,180</w:t>
            </w:r>
          </w:p>
        </w:tc>
        <w:tc>
          <w:tcPr>
            <w:tcW w:w="120" w:type="dxa"/>
            <w:vAlign w:val="bottom"/>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20" w:type="dxa"/>
            <w:vAlign w:val="bottom"/>
            <w:tcBorders>
              <w:bottom w:val="single" w:sz="8" w:color="CCEEFF"/>
            </w:tcBorders>
          </w:tcPr>
          <w:p>
            <w:pPr>
              <w:spacing w:after="0"/>
              <w:rPr>
                <w:sz w:val="15"/>
                <w:szCs w:val="15"/>
                <w:color w:val="auto"/>
              </w:rPr>
            </w:pPr>
          </w:p>
        </w:tc>
        <w:tc>
          <w:tcPr>
            <w:tcW w:w="3560" w:type="dxa"/>
            <w:vAlign w:val="bottom"/>
            <w:tcBorders>
              <w:bottom w:val="single" w:sz="8" w:color="CCEEFF"/>
            </w:tcBorders>
            <w:gridSpan w:val="18"/>
          </w:tcPr>
          <w:p>
            <w:pPr>
              <w:ind w:left="120"/>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tcBorders>
              <w:bottom w:val="single" w:sz="8" w:color="CCEEFF"/>
            </w:tcBorders>
          </w:tcPr>
          <w:p>
            <w:pPr>
              <w:spacing w:after="0"/>
              <w:rPr>
                <w:sz w:val="15"/>
                <w:szCs w:val="15"/>
                <w:color w:val="auto"/>
              </w:rPr>
            </w:pPr>
          </w:p>
        </w:tc>
        <w:tc>
          <w:tcPr>
            <w:tcW w:w="19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9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8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300,000</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300,000</w:t>
            </w:r>
          </w:p>
        </w:tc>
        <w:tc>
          <w:tcPr>
            <w:tcW w:w="120" w:type="dxa"/>
            <w:vAlign w:val="bottom"/>
            <w:tcBorders>
              <w:bottom w:val="single" w:sz="8" w:color="CCEEFF"/>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0.09</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1"/>
        </w:trPr>
        <w:tc>
          <w:tcPr>
            <w:tcW w:w="20" w:type="dxa"/>
            <w:vAlign w:val="bottom"/>
            <w:shd w:val="clear" w:color="auto" w:fill="CCEEFF"/>
          </w:tcPr>
          <w:p>
            <w:pPr>
              <w:spacing w:after="0"/>
              <w:rPr>
                <w:sz w:val="14"/>
                <w:szCs w:val="14"/>
                <w:color w:val="auto"/>
              </w:rPr>
            </w:pPr>
          </w:p>
        </w:tc>
        <w:tc>
          <w:tcPr>
            <w:tcW w:w="3560" w:type="dxa"/>
            <w:vAlign w:val="bottom"/>
            <w:gridSpan w:val="18"/>
            <w:shd w:val="clear" w:color="auto" w:fill="CCEEFF"/>
          </w:tcPr>
          <w:p>
            <w:pPr>
              <w:spacing w:after="0" w:line="129" w:lineRule="exact"/>
              <w:rPr>
                <w:sz w:val="20"/>
                <w:szCs w:val="20"/>
                <w:color w:val="auto"/>
              </w:rPr>
            </w:pPr>
            <w:r>
              <w:rPr>
                <w:rFonts w:ascii="Times New Roman" w:cs="Times New Roman" w:eastAsia="Times New Roman" w:hAnsi="Times New Roman"/>
                <w:sz w:val="11"/>
                <w:szCs w:val="11"/>
                <w:b w:val="1"/>
                <w:bCs w:val="1"/>
                <w:color w:val="auto"/>
              </w:rPr>
              <w:t>AltC Sponsor LLC**</w:t>
            </w:r>
            <w:r>
              <w:rPr>
                <w:rFonts w:ascii="Times New Roman" w:cs="Times New Roman" w:eastAsia="Times New Roman" w:hAnsi="Times New Roman"/>
                <w:sz w:val="14"/>
                <w:szCs w:val="14"/>
                <w:b w:val="1"/>
                <w:bCs w:val="1"/>
                <w:color w:val="auto"/>
                <w:vertAlign w:val="superscript"/>
              </w:rPr>
              <w:t>(17)</w:t>
            </w:r>
          </w:p>
        </w:tc>
        <w:tc>
          <w:tcPr>
            <w:tcW w:w="100" w:type="dxa"/>
            <w:vAlign w:val="bottom"/>
            <w:shd w:val="clear" w:color="auto" w:fill="CCEEFF"/>
          </w:tcPr>
          <w:p>
            <w:pPr>
              <w:spacing w:after="0"/>
              <w:rPr>
                <w:sz w:val="14"/>
                <w:szCs w:val="14"/>
                <w:color w:val="auto"/>
              </w:rPr>
            </w:pPr>
          </w:p>
        </w:tc>
        <w:tc>
          <w:tcPr>
            <w:tcW w:w="2080" w:type="dxa"/>
            <w:vAlign w:val="bottom"/>
            <w:gridSpan w:val="2"/>
            <w:shd w:val="clear" w:color="auto" w:fill="CCEEFF"/>
          </w:tcPr>
          <w:p>
            <w:pPr>
              <w:jc w:val="center"/>
              <w:ind w:right="100"/>
              <w:spacing w:after="0" w:line="129" w:lineRule="exact"/>
              <w:rPr>
                <w:sz w:val="20"/>
                <w:szCs w:val="20"/>
                <w:color w:val="auto"/>
              </w:rPr>
            </w:pPr>
            <w:r>
              <w:rPr>
                <w:rFonts w:ascii="Times New Roman" w:cs="Times New Roman" w:eastAsia="Times New Roman" w:hAnsi="Times New Roman"/>
                <w:sz w:val="14"/>
                <w:szCs w:val="14"/>
                <w:color w:val="auto"/>
                <w:w w:val="95"/>
              </w:rPr>
              <w:t>New York, NY</w:t>
            </w: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Borders>
              <w:top w:val="single" w:sz="8" w:color="CCEEFF"/>
            </w:tcBorders>
            <w:vMerge w:val="restart"/>
          </w:tcPr>
          <w:p>
            <w:pPr>
              <w:spacing w:after="0"/>
              <w:rPr>
                <w:sz w:val="11"/>
                <w:szCs w:val="11"/>
                <w:color w:val="auto"/>
              </w:rPr>
            </w:pPr>
          </w:p>
        </w:tc>
        <w:tc>
          <w:tcPr>
            <w:tcW w:w="1120" w:type="dxa"/>
            <w:vAlign w:val="bottom"/>
            <w:tcBorders>
              <w:top w:val="single" w:sz="8" w:color="auto"/>
            </w:tcBorders>
            <w:gridSpan w:val="4"/>
            <w:vMerge w:val="restart"/>
          </w:tcPr>
          <w:p>
            <w:pPr>
              <w:spacing w:after="0"/>
              <w:rPr>
                <w:sz w:val="20"/>
                <w:szCs w:val="20"/>
                <w:color w:val="auto"/>
              </w:rPr>
            </w:pPr>
            <w:r>
              <w:rPr>
                <w:rFonts w:ascii="Times New Roman" w:cs="Times New Roman" w:eastAsia="Times New Roman" w:hAnsi="Times New Roman"/>
                <w:sz w:val="14"/>
                <w:szCs w:val="14"/>
                <w:color w:val="auto"/>
              </w:rPr>
              <w:t>Share units</w:t>
            </w:r>
          </w:p>
        </w:tc>
        <w:tc>
          <w:tcPr>
            <w:tcW w:w="2440" w:type="dxa"/>
            <w:vAlign w:val="bottom"/>
            <w:tcBorders>
              <w:top w:val="single" w:sz="8" w:color="CCEEFF"/>
            </w:tcBorders>
            <w:gridSpan w:val="14"/>
            <w:vMerge w:val="restart"/>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2080" w:type="dxa"/>
            <w:vAlign w:val="bottom"/>
            <w:tcBorders>
              <w:top w:val="single" w:sz="8" w:color="CCEEFF"/>
            </w:tcBorders>
            <w:gridSpan w:val="2"/>
          </w:tcPr>
          <w:p>
            <w:pPr>
              <w:jc w:val="center"/>
              <w:ind w:right="120"/>
              <w:spacing w:after="0" w:line="129" w:lineRule="exact"/>
              <w:rPr>
                <w:sz w:val="20"/>
                <w:szCs w:val="20"/>
                <w:color w:val="auto"/>
              </w:rPr>
            </w:pPr>
            <w:r>
              <w:rPr>
                <w:rFonts w:ascii="Times New Roman" w:cs="Times New Roman" w:eastAsia="Times New Roman" w:hAnsi="Times New Roman"/>
                <w:sz w:val="14"/>
                <w:szCs w:val="14"/>
                <w:color w:val="auto"/>
                <w:w w:val="98"/>
              </w:rPr>
              <w:t>Special Purpose Acquisition</w:t>
            </w:r>
          </w:p>
        </w:tc>
        <w:tc>
          <w:tcPr>
            <w:tcW w:w="980" w:type="dxa"/>
            <w:vAlign w:val="bottom"/>
            <w:tcBorders>
              <w:top w:val="single" w:sz="8" w:color="CCEEFF"/>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8"/>
              </w:rPr>
              <w:t>7/21/2021</w:t>
            </w:r>
          </w:p>
        </w:tc>
        <w:tc>
          <w:tcPr>
            <w:tcW w:w="100" w:type="dxa"/>
            <w:vAlign w:val="bottom"/>
            <w:tcBorders>
              <w:top w:val="single" w:sz="8" w:color="CCEEFF"/>
            </w:tcBorders>
          </w:tcPr>
          <w:p>
            <w:pPr>
              <w:spacing w:after="0"/>
              <w:rPr>
                <w:sz w:val="11"/>
                <w:szCs w:val="11"/>
                <w:color w:val="auto"/>
              </w:rPr>
            </w:pPr>
          </w:p>
        </w:tc>
        <w:tc>
          <w:tcPr>
            <w:tcW w:w="140" w:type="dxa"/>
            <w:vAlign w:val="bottom"/>
            <w:tcBorders>
              <w:top w:val="single" w:sz="8" w:color="CCEEFF"/>
            </w:tcBorders>
          </w:tcPr>
          <w:p>
            <w:pPr>
              <w:spacing w:after="0"/>
              <w:rPr>
                <w:sz w:val="11"/>
                <w:szCs w:val="11"/>
                <w:color w:val="auto"/>
              </w:rPr>
            </w:pPr>
          </w:p>
        </w:tc>
        <w:tc>
          <w:tcPr>
            <w:tcW w:w="820" w:type="dxa"/>
            <w:vAlign w:val="bottom"/>
            <w:tcBorders>
              <w:top w:val="single" w:sz="8" w:color="CCEEFF"/>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239,300</w:t>
            </w:r>
          </w:p>
        </w:tc>
        <w:tc>
          <w:tcPr>
            <w:tcW w:w="120" w:type="dxa"/>
            <w:vAlign w:val="bottom"/>
            <w:tcBorders>
              <w:top w:val="single" w:sz="8" w:color="CCEEFF"/>
            </w:tcBorders>
          </w:tcPr>
          <w:p>
            <w:pPr>
              <w:spacing w:after="0"/>
              <w:rPr>
                <w:sz w:val="11"/>
                <w:szCs w:val="11"/>
                <w:color w:val="auto"/>
              </w:rPr>
            </w:pPr>
          </w:p>
        </w:tc>
        <w:tc>
          <w:tcPr>
            <w:tcW w:w="200" w:type="dxa"/>
            <w:vAlign w:val="bottom"/>
            <w:tcBorders>
              <w:top w:val="single" w:sz="8" w:color="CCEEFF"/>
            </w:tcBorders>
          </w:tcPr>
          <w:p>
            <w:pPr>
              <w:spacing w:after="0"/>
              <w:rPr>
                <w:sz w:val="11"/>
                <w:szCs w:val="11"/>
                <w:color w:val="auto"/>
              </w:rPr>
            </w:pPr>
          </w:p>
        </w:tc>
        <w:tc>
          <w:tcPr>
            <w:tcW w:w="880" w:type="dxa"/>
            <w:vAlign w:val="bottom"/>
            <w:tcBorders>
              <w:top w:val="single" w:sz="8" w:color="CCEEFF"/>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250,855</w:t>
            </w:r>
          </w:p>
        </w:tc>
        <w:tc>
          <w:tcPr>
            <w:tcW w:w="100" w:type="dxa"/>
            <w:vAlign w:val="bottom"/>
            <w:tcBorders>
              <w:top w:val="single" w:sz="8" w:color="CCEEFF"/>
            </w:tcBorders>
          </w:tcPr>
          <w:p>
            <w:pPr>
              <w:spacing w:after="0"/>
              <w:rPr>
                <w:sz w:val="11"/>
                <w:szCs w:val="11"/>
                <w:color w:val="auto"/>
              </w:rPr>
            </w:pPr>
          </w:p>
        </w:tc>
        <w:tc>
          <w:tcPr>
            <w:tcW w:w="160" w:type="dxa"/>
            <w:vAlign w:val="bottom"/>
            <w:tcBorders>
              <w:top w:val="single" w:sz="8" w:color="CCEEFF"/>
            </w:tcBorders>
          </w:tcPr>
          <w:p>
            <w:pPr>
              <w:spacing w:after="0"/>
              <w:rPr>
                <w:sz w:val="11"/>
                <w:szCs w:val="11"/>
                <w:color w:val="auto"/>
              </w:rPr>
            </w:pPr>
          </w:p>
        </w:tc>
        <w:tc>
          <w:tcPr>
            <w:tcW w:w="920" w:type="dxa"/>
            <w:vAlign w:val="bottom"/>
            <w:tcBorders>
              <w:top w:val="single" w:sz="8" w:color="CCEEFF"/>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250,000</w:t>
            </w:r>
          </w:p>
        </w:tc>
        <w:tc>
          <w:tcPr>
            <w:tcW w:w="120" w:type="dxa"/>
            <w:vAlign w:val="bottom"/>
            <w:tcBorders>
              <w:top w:val="single" w:sz="8" w:color="CCEEFF"/>
            </w:tcBorders>
          </w:tcPr>
          <w:p>
            <w:pPr>
              <w:spacing w:after="0"/>
              <w:rPr>
                <w:sz w:val="11"/>
                <w:szCs w:val="11"/>
                <w:color w:val="auto"/>
              </w:rPr>
            </w:pPr>
          </w:p>
        </w:tc>
        <w:tc>
          <w:tcPr>
            <w:tcW w:w="740" w:type="dxa"/>
            <w:vAlign w:val="bottom"/>
            <w:tcBorders>
              <w:top w:val="single" w:sz="8" w:color="CCEEFF"/>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0.07</w:t>
            </w:r>
          </w:p>
        </w:tc>
        <w:tc>
          <w:tcPr>
            <w:tcW w:w="180" w:type="dxa"/>
            <w:vAlign w:val="bottom"/>
            <w:tcBorders>
              <w:top w:val="single" w:sz="8" w:color="CCEEFF"/>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6"/>
        </w:trPr>
        <w:tc>
          <w:tcPr>
            <w:tcW w:w="20" w:type="dxa"/>
            <w:vAlign w:val="bottom"/>
            <w:vMerge w:val="continue"/>
          </w:tcPr>
          <w:p>
            <w:pPr>
              <w:spacing w:after="0"/>
              <w:rPr>
                <w:sz w:val="16"/>
                <w:szCs w:val="16"/>
                <w:color w:val="auto"/>
              </w:rPr>
            </w:pPr>
          </w:p>
        </w:tc>
        <w:tc>
          <w:tcPr>
            <w:tcW w:w="1120" w:type="dxa"/>
            <w:vAlign w:val="bottom"/>
            <w:gridSpan w:val="4"/>
            <w:vMerge w:val="continue"/>
          </w:tcPr>
          <w:p>
            <w:pPr>
              <w:spacing w:after="0"/>
              <w:rPr>
                <w:sz w:val="16"/>
                <w:szCs w:val="16"/>
                <w:color w:val="auto"/>
              </w:rPr>
            </w:pPr>
          </w:p>
        </w:tc>
        <w:tc>
          <w:tcPr>
            <w:tcW w:w="2440" w:type="dxa"/>
            <w:vAlign w:val="bottom"/>
            <w:gridSpan w:val="14"/>
            <w:vMerge w:val="continue"/>
          </w:tcPr>
          <w:p>
            <w:pPr>
              <w:spacing w:after="0"/>
              <w:rPr>
                <w:sz w:val="16"/>
                <w:szCs w:val="16"/>
                <w:color w:val="auto"/>
              </w:rPr>
            </w:pPr>
          </w:p>
        </w:tc>
        <w:tc>
          <w:tcPr>
            <w:tcW w:w="100" w:type="dxa"/>
            <w:vAlign w:val="bottom"/>
          </w:tcPr>
          <w:p>
            <w:pPr>
              <w:spacing w:after="0"/>
              <w:rPr>
                <w:sz w:val="16"/>
                <w:szCs w:val="16"/>
                <w:color w:val="auto"/>
              </w:rPr>
            </w:pPr>
          </w:p>
        </w:tc>
        <w:tc>
          <w:tcPr>
            <w:tcW w:w="20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Company</w:t>
            </w: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0" w:type="dxa"/>
            <w:vAlign w:val="bottom"/>
            <w:shd w:val="clear" w:color="auto" w:fill="CCEEFF"/>
          </w:tcPr>
          <w:p>
            <w:pPr>
              <w:spacing w:after="0"/>
              <w:rPr>
                <w:sz w:val="15"/>
                <w:szCs w:val="15"/>
                <w:color w:val="auto"/>
              </w:rPr>
            </w:pPr>
          </w:p>
        </w:tc>
        <w:tc>
          <w:tcPr>
            <w:tcW w:w="3560" w:type="dxa"/>
            <w:vAlign w:val="bottom"/>
            <w:gridSpan w:val="18"/>
            <w:shd w:val="clear" w:color="auto" w:fill="CCEEFF"/>
          </w:tcPr>
          <w:p>
            <w:pPr>
              <w:spacing w:after="0" w:line="150" w:lineRule="exact"/>
              <w:rPr>
                <w:sz w:val="20"/>
                <w:szCs w:val="20"/>
                <w:color w:val="auto"/>
              </w:rPr>
            </w:pPr>
            <w:r>
              <w:rPr>
                <w:rFonts w:ascii="Times New Roman" w:cs="Times New Roman" w:eastAsia="Times New Roman" w:hAnsi="Times New Roman"/>
                <w:sz w:val="14"/>
                <w:szCs w:val="14"/>
                <w:b w:val="1"/>
                <w:bCs w:val="1"/>
                <w:color w:val="auto"/>
              </w:rPr>
              <w:t>Churchill Sponsor VI LLC**</w:t>
            </w:r>
            <w:r>
              <w:rPr>
                <w:rFonts w:ascii="Times New Roman" w:cs="Times New Roman" w:eastAsia="Times New Roman" w:hAnsi="Times New Roman"/>
                <w:sz w:val="17"/>
                <w:szCs w:val="17"/>
                <w:b w:val="1"/>
                <w:bCs w:val="1"/>
                <w:color w:val="auto"/>
                <w:vertAlign w:val="superscript"/>
              </w:rPr>
              <w:t>(17)</w:t>
            </w:r>
          </w:p>
        </w:tc>
        <w:tc>
          <w:tcPr>
            <w:tcW w:w="100" w:type="dxa"/>
            <w:vAlign w:val="bottom"/>
            <w:shd w:val="clear" w:color="auto" w:fill="CCEEFF"/>
          </w:tcPr>
          <w:p>
            <w:pPr>
              <w:spacing w:after="0"/>
              <w:rPr>
                <w:sz w:val="15"/>
                <w:szCs w:val="15"/>
                <w:color w:val="auto"/>
              </w:rPr>
            </w:pPr>
          </w:p>
        </w:tc>
        <w:tc>
          <w:tcPr>
            <w:tcW w:w="2080" w:type="dxa"/>
            <w:vAlign w:val="bottom"/>
            <w:gridSpan w:val="2"/>
            <w:shd w:val="clear" w:color="auto" w:fill="CCEEFF"/>
          </w:tcPr>
          <w:p>
            <w:pPr>
              <w:jc w:val="center"/>
              <w:ind w:right="100"/>
              <w:spacing w:after="0" w:line="150" w:lineRule="exact"/>
              <w:rPr>
                <w:sz w:val="20"/>
                <w:szCs w:val="20"/>
                <w:color w:val="auto"/>
              </w:rPr>
            </w:pPr>
            <w:r>
              <w:rPr>
                <w:rFonts w:ascii="Times New Roman" w:cs="Times New Roman" w:eastAsia="Times New Roman" w:hAnsi="Times New Roman"/>
                <w:sz w:val="14"/>
                <w:szCs w:val="14"/>
                <w:color w:val="auto"/>
                <w:w w:val="95"/>
              </w:rPr>
              <w:t>New York, NY</w:t>
            </w: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Borders>
              <w:top w:val="single" w:sz="8" w:color="CCEEFF"/>
            </w:tcBorders>
            <w:vMerge w:val="restart"/>
          </w:tcPr>
          <w:p>
            <w:pPr>
              <w:spacing w:after="0"/>
              <w:rPr>
                <w:sz w:val="11"/>
                <w:szCs w:val="11"/>
                <w:color w:val="auto"/>
              </w:rPr>
            </w:pPr>
          </w:p>
        </w:tc>
        <w:tc>
          <w:tcPr>
            <w:tcW w:w="1580" w:type="dxa"/>
            <w:vAlign w:val="bottom"/>
            <w:tcBorders>
              <w:top w:val="single" w:sz="8" w:color="auto"/>
            </w:tcBorders>
            <w:gridSpan w:val="7"/>
            <w:vMerge w:val="restart"/>
          </w:tcPr>
          <w:p>
            <w:pPr>
              <w:spacing w:after="0"/>
              <w:rPr>
                <w:sz w:val="20"/>
                <w:szCs w:val="20"/>
                <w:color w:val="auto"/>
              </w:rPr>
            </w:pPr>
            <w:r>
              <w:rPr>
                <w:rFonts w:ascii="Times New Roman" w:cs="Times New Roman" w:eastAsia="Times New Roman" w:hAnsi="Times New Roman"/>
                <w:sz w:val="14"/>
                <w:szCs w:val="14"/>
                <w:color w:val="auto"/>
              </w:rPr>
              <w:t>Common share units</w:t>
            </w:r>
          </w:p>
        </w:tc>
        <w:tc>
          <w:tcPr>
            <w:tcW w:w="1980" w:type="dxa"/>
            <w:vAlign w:val="bottom"/>
            <w:tcBorders>
              <w:top w:val="single" w:sz="8" w:color="CCEEFF"/>
            </w:tcBorders>
            <w:gridSpan w:val="11"/>
            <w:vMerge w:val="restart"/>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2080" w:type="dxa"/>
            <w:vAlign w:val="bottom"/>
            <w:tcBorders>
              <w:top w:val="single" w:sz="8" w:color="CCEEFF"/>
            </w:tcBorders>
            <w:gridSpan w:val="2"/>
          </w:tcPr>
          <w:p>
            <w:pPr>
              <w:jc w:val="center"/>
              <w:ind w:right="120"/>
              <w:spacing w:after="0" w:line="129" w:lineRule="exact"/>
              <w:rPr>
                <w:sz w:val="20"/>
                <w:szCs w:val="20"/>
                <w:color w:val="auto"/>
              </w:rPr>
            </w:pPr>
            <w:r>
              <w:rPr>
                <w:rFonts w:ascii="Times New Roman" w:cs="Times New Roman" w:eastAsia="Times New Roman" w:hAnsi="Times New Roman"/>
                <w:sz w:val="14"/>
                <w:szCs w:val="14"/>
                <w:color w:val="auto"/>
                <w:w w:val="98"/>
              </w:rPr>
              <w:t>Special Purpose Acquisition</w:t>
            </w:r>
          </w:p>
        </w:tc>
        <w:tc>
          <w:tcPr>
            <w:tcW w:w="980" w:type="dxa"/>
            <w:vAlign w:val="bottom"/>
            <w:tcBorders>
              <w:top w:val="single" w:sz="8" w:color="CCEEFF"/>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8"/>
              </w:rPr>
              <w:t>2/25/2021</w:t>
            </w:r>
          </w:p>
        </w:tc>
        <w:tc>
          <w:tcPr>
            <w:tcW w:w="100" w:type="dxa"/>
            <w:vAlign w:val="bottom"/>
            <w:tcBorders>
              <w:top w:val="single" w:sz="8" w:color="CCEEFF"/>
            </w:tcBorders>
          </w:tcPr>
          <w:p>
            <w:pPr>
              <w:spacing w:after="0"/>
              <w:rPr>
                <w:sz w:val="11"/>
                <w:szCs w:val="11"/>
                <w:color w:val="auto"/>
              </w:rPr>
            </w:pPr>
          </w:p>
        </w:tc>
        <w:tc>
          <w:tcPr>
            <w:tcW w:w="140" w:type="dxa"/>
            <w:vAlign w:val="bottom"/>
            <w:tcBorders>
              <w:top w:val="single" w:sz="8" w:color="CCEEFF"/>
            </w:tcBorders>
          </w:tcPr>
          <w:p>
            <w:pPr>
              <w:spacing w:after="0"/>
              <w:rPr>
                <w:sz w:val="11"/>
                <w:szCs w:val="11"/>
                <w:color w:val="auto"/>
              </w:rPr>
            </w:pPr>
          </w:p>
        </w:tc>
        <w:tc>
          <w:tcPr>
            <w:tcW w:w="820" w:type="dxa"/>
            <w:vAlign w:val="bottom"/>
            <w:tcBorders>
              <w:top w:val="single" w:sz="8" w:color="CCEEFF"/>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195,000</w:t>
            </w:r>
          </w:p>
        </w:tc>
        <w:tc>
          <w:tcPr>
            <w:tcW w:w="120" w:type="dxa"/>
            <w:vAlign w:val="bottom"/>
            <w:tcBorders>
              <w:top w:val="single" w:sz="8" w:color="CCEEFF"/>
            </w:tcBorders>
          </w:tcPr>
          <w:p>
            <w:pPr>
              <w:spacing w:after="0"/>
              <w:rPr>
                <w:sz w:val="11"/>
                <w:szCs w:val="11"/>
                <w:color w:val="auto"/>
              </w:rPr>
            </w:pPr>
          </w:p>
        </w:tc>
        <w:tc>
          <w:tcPr>
            <w:tcW w:w="200" w:type="dxa"/>
            <w:vAlign w:val="bottom"/>
            <w:tcBorders>
              <w:top w:val="single" w:sz="8" w:color="CCEEFF"/>
            </w:tcBorders>
          </w:tcPr>
          <w:p>
            <w:pPr>
              <w:spacing w:after="0"/>
              <w:rPr>
                <w:sz w:val="11"/>
                <w:szCs w:val="11"/>
                <w:color w:val="auto"/>
              </w:rPr>
            </w:pPr>
          </w:p>
        </w:tc>
        <w:tc>
          <w:tcPr>
            <w:tcW w:w="880" w:type="dxa"/>
            <w:vAlign w:val="bottom"/>
            <w:tcBorders>
              <w:top w:val="single" w:sz="8" w:color="CCEEFF"/>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134,297</w:t>
            </w:r>
          </w:p>
        </w:tc>
        <w:tc>
          <w:tcPr>
            <w:tcW w:w="100" w:type="dxa"/>
            <w:vAlign w:val="bottom"/>
            <w:tcBorders>
              <w:top w:val="single" w:sz="8" w:color="CCEEFF"/>
            </w:tcBorders>
          </w:tcPr>
          <w:p>
            <w:pPr>
              <w:spacing w:after="0"/>
              <w:rPr>
                <w:sz w:val="11"/>
                <w:szCs w:val="11"/>
                <w:color w:val="auto"/>
              </w:rPr>
            </w:pPr>
          </w:p>
        </w:tc>
        <w:tc>
          <w:tcPr>
            <w:tcW w:w="160" w:type="dxa"/>
            <w:vAlign w:val="bottom"/>
            <w:tcBorders>
              <w:top w:val="single" w:sz="8" w:color="CCEEFF"/>
            </w:tcBorders>
          </w:tcPr>
          <w:p>
            <w:pPr>
              <w:spacing w:after="0"/>
              <w:rPr>
                <w:sz w:val="11"/>
                <w:szCs w:val="11"/>
                <w:color w:val="auto"/>
              </w:rPr>
            </w:pPr>
          </w:p>
        </w:tc>
        <w:tc>
          <w:tcPr>
            <w:tcW w:w="920" w:type="dxa"/>
            <w:vAlign w:val="bottom"/>
            <w:tcBorders>
              <w:top w:val="single" w:sz="8" w:color="CCEEFF"/>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134,297</w:t>
            </w:r>
          </w:p>
        </w:tc>
        <w:tc>
          <w:tcPr>
            <w:tcW w:w="120" w:type="dxa"/>
            <w:vAlign w:val="bottom"/>
            <w:tcBorders>
              <w:top w:val="single" w:sz="8" w:color="CCEEFF"/>
            </w:tcBorders>
          </w:tcPr>
          <w:p>
            <w:pPr>
              <w:spacing w:after="0"/>
              <w:rPr>
                <w:sz w:val="11"/>
                <w:szCs w:val="11"/>
                <w:color w:val="auto"/>
              </w:rPr>
            </w:pPr>
          </w:p>
        </w:tc>
        <w:tc>
          <w:tcPr>
            <w:tcW w:w="740" w:type="dxa"/>
            <w:vAlign w:val="bottom"/>
            <w:tcBorders>
              <w:top w:val="single" w:sz="8" w:color="CCEEFF"/>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0.04</w:t>
            </w:r>
          </w:p>
        </w:tc>
        <w:tc>
          <w:tcPr>
            <w:tcW w:w="180" w:type="dxa"/>
            <w:vAlign w:val="bottom"/>
            <w:tcBorders>
              <w:top w:val="single" w:sz="8" w:color="CCEEFF"/>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6"/>
        </w:trPr>
        <w:tc>
          <w:tcPr>
            <w:tcW w:w="20" w:type="dxa"/>
            <w:vAlign w:val="bottom"/>
            <w:vMerge w:val="continue"/>
          </w:tcPr>
          <w:p>
            <w:pPr>
              <w:spacing w:after="0"/>
              <w:rPr>
                <w:sz w:val="16"/>
                <w:szCs w:val="16"/>
                <w:color w:val="auto"/>
              </w:rPr>
            </w:pPr>
          </w:p>
        </w:tc>
        <w:tc>
          <w:tcPr>
            <w:tcW w:w="1580" w:type="dxa"/>
            <w:vAlign w:val="bottom"/>
            <w:gridSpan w:val="7"/>
            <w:vMerge w:val="continue"/>
          </w:tcPr>
          <w:p>
            <w:pPr>
              <w:spacing w:after="0"/>
              <w:rPr>
                <w:sz w:val="16"/>
                <w:szCs w:val="16"/>
                <w:color w:val="auto"/>
              </w:rPr>
            </w:pPr>
          </w:p>
        </w:tc>
        <w:tc>
          <w:tcPr>
            <w:tcW w:w="1980" w:type="dxa"/>
            <w:vAlign w:val="bottom"/>
            <w:gridSpan w:val="11"/>
            <w:vMerge w:val="continue"/>
          </w:tcPr>
          <w:p>
            <w:pPr>
              <w:spacing w:after="0"/>
              <w:rPr>
                <w:sz w:val="16"/>
                <w:szCs w:val="16"/>
                <w:color w:val="auto"/>
              </w:rPr>
            </w:pPr>
          </w:p>
        </w:tc>
        <w:tc>
          <w:tcPr>
            <w:tcW w:w="100" w:type="dxa"/>
            <w:vAlign w:val="bottom"/>
          </w:tcPr>
          <w:p>
            <w:pPr>
              <w:spacing w:after="0"/>
              <w:rPr>
                <w:sz w:val="16"/>
                <w:szCs w:val="16"/>
                <w:color w:val="auto"/>
              </w:rPr>
            </w:pPr>
          </w:p>
        </w:tc>
        <w:tc>
          <w:tcPr>
            <w:tcW w:w="20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Company</w:t>
            </w: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3580" w:type="dxa"/>
            <w:vAlign w:val="bottom"/>
            <w:gridSpan w:val="19"/>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Warrant units</w:t>
            </w:r>
          </w:p>
        </w:tc>
        <w:tc>
          <w:tcPr>
            <w:tcW w:w="100" w:type="dxa"/>
            <w:vAlign w:val="bottom"/>
            <w:shd w:val="clear" w:color="auto" w:fill="CCEEFF"/>
          </w:tcPr>
          <w:p>
            <w:pPr>
              <w:spacing w:after="0"/>
              <w:rPr>
                <w:sz w:val="17"/>
                <w:szCs w:val="17"/>
                <w:color w:val="auto"/>
              </w:rPr>
            </w:pPr>
          </w:p>
        </w:tc>
        <w:tc>
          <w:tcPr>
            <w:tcW w:w="1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2/25/2021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199,100</w:t>
            </w: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65,703</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65,703</w:t>
            </w:r>
          </w:p>
        </w:tc>
        <w:tc>
          <w:tcPr>
            <w:tcW w:w="120" w:type="dxa"/>
            <w:vAlign w:val="bottom"/>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0.02</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20" w:type="dxa"/>
            <w:vAlign w:val="bottom"/>
            <w:tcBorders>
              <w:bottom w:val="single" w:sz="8" w:color="CCEEFF"/>
            </w:tcBorders>
          </w:tcPr>
          <w:p>
            <w:pPr>
              <w:spacing w:after="0"/>
              <w:rPr>
                <w:sz w:val="15"/>
                <w:szCs w:val="15"/>
                <w:color w:val="auto"/>
              </w:rPr>
            </w:pPr>
          </w:p>
        </w:tc>
        <w:tc>
          <w:tcPr>
            <w:tcW w:w="3560" w:type="dxa"/>
            <w:vAlign w:val="bottom"/>
            <w:tcBorders>
              <w:bottom w:val="single" w:sz="8" w:color="CCEEFF"/>
            </w:tcBorders>
            <w:gridSpan w:val="18"/>
          </w:tcPr>
          <w:p>
            <w:pPr>
              <w:ind w:left="100"/>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tcBorders>
              <w:bottom w:val="single" w:sz="8" w:color="CCEEFF"/>
            </w:tcBorders>
          </w:tcPr>
          <w:p>
            <w:pPr>
              <w:spacing w:after="0"/>
              <w:rPr>
                <w:sz w:val="15"/>
                <w:szCs w:val="15"/>
                <w:color w:val="auto"/>
              </w:rPr>
            </w:pPr>
          </w:p>
        </w:tc>
        <w:tc>
          <w:tcPr>
            <w:tcW w:w="19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9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8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200,000</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200,000</w:t>
            </w:r>
          </w:p>
        </w:tc>
        <w:tc>
          <w:tcPr>
            <w:tcW w:w="120" w:type="dxa"/>
            <w:vAlign w:val="bottom"/>
            <w:tcBorders>
              <w:bottom w:val="single" w:sz="8" w:color="CCEEFF"/>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0.06</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1"/>
        </w:trPr>
        <w:tc>
          <w:tcPr>
            <w:tcW w:w="2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auto"/>
            </w:tcBorders>
            <w:gridSpan w:val="3"/>
            <w:shd w:val="clear" w:color="auto" w:fill="CCEEFF"/>
          </w:tcPr>
          <w:p>
            <w:pPr>
              <w:spacing w:after="0" w:line="129" w:lineRule="exact"/>
              <w:rPr>
                <w:sz w:val="20"/>
                <w:szCs w:val="20"/>
                <w:color w:val="auto"/>
              </w:rPr>
            </w:pPr>
            <w:r>
              <w:rPr>
                <w:rFonts w:ascii="Times New Roman" w:cs="Times New Roman" w:eastAsia="Times New Roman" w:hAnsi="Times New Roman"/>
                <w:sz w:val="14"/>
                <w:szCs w:val="14"/>
                <w:b w:val="1"/>
                <w:bCs w:val="1"/>
                <w:color w:val="auto"/>
                <w:w w:val="96"/>
              </w:rPr>
              <w:t>Fullbridge, Inc.</w:t>
            </w:r>
          </w:p>
        </w:tc>
        <w:tc>
          <w:tcPr>
            <w:tcW w:w="2640" w:type="dxa"/>
            <w:vAlign w:val="bottom"/>
            <w:tcBorders>
              <w:bottom w:val="single" w:sz="8" w:color="CCEEFF"/>
            </w:tcBorders>
            <w:gridSpan w:val="15"/>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080" w:type="dxa"/>
            <w:vAlign w:val="bottom"/>
            <w:tcBorders>
              <w:bottom w:val="single" w:sz="8" w:color="CCEEFF"/>
            </w:tcBorders>
            <w:gridSpan w:val="2"/>
            <w:shd w:val="clear" w:color="auto" w:fill="CCEEFF"/>
          </w:tcPr>
          <w:p>
            <w:pPr>
              <w:jc w:val="center"/>
              <w:ind w:right="100"/>
              <w:spacing w:after="0" w:line="129" w:lineRule="exact"/>
              <w:rPr>
                <w:sz w:val="20"/>
                <w:szCs w:val="20"/>
                <w:color w:val="auto"/>
              </w:rPr>
            </w:pPr>
            <w:r>
              <w:rPr>
                <w:rFonts w:ascii="Times New Roman" w:cs="Times New Roman" w:eastAsia="Times New Roman" w:hAnsi="Times New Roman"/>
                <w:sz w:val="14"/>
                <w:szCs w:val="14"/>
                <w:color w:val="auto"/>
                <w:w w:val="98"/>
              </w:rPr>
              <w:t>Cambridge, MA</w:t>
            </w:r>
          </w:p>
        </w:tc>
        <w:tc>
          <w:tcPr>
            <w:tcW w:w="9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3580" w:type="dxa"/>
            <w:vAlign w:val="bottom"/>
            <w:gridSpan w:val="19"/>
          </w:tcPr>
          <w:p>
            <w:pPr>
              <w:ind w:left="20"/>
              <w:spacing w:after="0"/>
              <w:rPr>
                <w:sz w:val="20"/>
                <w:szCs w:val="20"/>
                <w:color w:val="auto"/>
              </w:rPr>
            </w:pPr>
            <w:r>
              <w:rPr>
                <w:rFonts w:ascii="Times New Roman" w:cs="Times New Roman" w:eastAsia="Times New Roman" w:hAnsi="Times New Roman"/>
                <w:sz w:val="14"/>
                <w:szCs w:val="14"/>
                <w:color w:val="auto"/>
              </w:rPr>
              <w:t>Common shares</w:t>
            </w:r>
          </w:p>
        </w:tc>
        <w:tc>
          <w:tcPr>
            <w:tcW w:w="100" w:type="dxa"/>
            <w:vAlign w:val="bottom"/>
          </w:tcPr>
          <w:p>
            <w:pPr>
              <w:spacing w:after="0"/>
              <w:rPr>
                <w:sz w:val="16"/>
                <w:szCs w:val="16"/>
                <w:color w:val="auto"/>
              </w:rPr>
            </w:pPr>
          </w:p>
        </w:tc>
        <w:tc>
          <w:tcPr>
            <w:tcW w:w="20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w w:val="98"/>
              </w:rPr>
              <w:t>Business Education</w:t>
            </w: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5/13/2012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517,917</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6,150,506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202"/>
        </w:trPr>
        <w:tc>
          <w:tcPr>
            <w:tcW w:w="3580" w:type="dxa"/>
            <w:vAlign w:val="bottom"/>
            <w:gridSpan w:val="19"/>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Promissory Note 1.47%, Due 11/9/2021</w:t>
            </w:r>
            <w:r>
              <w:rPr>
                <w:rFonts w:ascii="Times New Roman" w:cs="Times New Roman" w:eastAsia="Times New Roman" w:hAnsi="Times New Roman"/>
                <w:sz w:val="17"/>
                <w:szCs w:val="17"/>
                <w:color w:val="auto"/>
                <w:vertAlign w:val="superscript"/>
              </w:rPr>
              <w:t>(4)(20)</w:t>
            </w:r>
          </w:p>
        </w:tc>
        <w:tc>
          <w:tcPr>
            <w:tcW w:w="100" w:type="dxa"/>
            <w:vAlign w:val="bottom"/>
            <w:shd w:val="clear" w:color="auto" w:fill="CCEEFF"/>
          </w:tcPr>
          <w:p>
            <w:pPr>
              <w:spacing w:after="0"/>
              <w:rPr>
                <w:sz w:val="17"/>
                <w:szCs w:val="17"/>
                <w:color w:val="auto"/>
              </w:rPr>
            </w:pPr>
          </w:p>
        </w:tc>
        <w:tc>
          <w:tcPr>
            <w:tcW w:w="1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3/3/2016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2,270,458</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2,270,858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80"/>
        </w:trPr>
        <w:tc>
          <w:tcPr>
            <w:tcW w:w="20" w:type="dxa"/>
            <w:vAlign w:val="bottom"/>
            <w:tcBorders>
              <w:bottom w:val="single" w:sz="8" w:color="CCEEFF"/>
            </w:tcBorders>
          </w:tcPr>
          <w:p>
            <w:pPr>
              <w:spacing w:after="0"/>
              <w:rPr>
                <w:sz w:val="15"/>
                <w:szCs w:val="15"/>
                <w:color w:val="auto"/>
              </w:rPr>
            </w:pPr>
          </w:p>
        </w:tc>
        <w:tc>
          <w:tcPr>
            <w:tcW w:w="3560" w:type="dxa"/>
            <w:vAlign w:val="bottom"/>
            <w:tcBorders>
              <w:bottom w:val="single" w:sz="8" w:color="CCEEFF"/>
            </w:tcBorders>
            <w:gridSpan w:val="18"/>
          </w:tcPr>
          <w:p>
            <w:pPr>
              <w:ind w:left="120"/>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tcBorders>
              <w:bottom w:val="single" w:sz="8" w:color="CCEEFF"/>
            </w:tcBorders>
          </w:tcPr>
          <w:p>
            <w:pPr>
              <w:spacing w:after="0"/>
              <w:rPr>
                <w:sz w:val="15"/>
                <w:szCs w:val="15"/>
                <w:color w:val="auto"/>
              </w:rPr>
            </w:pPr>
          </w:p>
        </w:tc>
        <w:tc>
          <w:tcPr>
            <w:tcW w:w="19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9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8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8,421,364</w:t>
            </w:r>
          </w:p>
        </w:tc>
        <w:tc>
          <w:tcPr>
            <w:tcW w:w="10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15"/>
                <w:szCs w:val="15"/>
                <w:color w:val="auto"/>
              </w:rPr>
            </w:pPr>
          </w:p>
        </w:tc>
        <w:tc>
          <w:tcPr>
            <w:tcW w:w="9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74"/>
        </w:trPr>
        <w:tc>
          <w:tcPr>
            <w:tcW w:w="20" w:type="dxa"/>
            <w:vAlign w:val="bottom"/>
            <w:shd w:val="clear" w:color="auto" w:fill="CCEEFF"/>
          </w:tcPr>
          <w:p>
            <w:pPr>
              <w:spacing w:after="0"/>
              <w:rPr>
                <w:sz w:val="15"/>
                <w:szCs w:val="15"/>
                <w:color w:val="auto"/>
              </w:rPr>
            </w:pPr>
          </w:p>
        </w:tc>
        <w:tc>
          <w:tcPr>
            <w:tcW w:w="3560" w:type="dxa"/>
            <w:vAlign w:val="bottom"/>
            <w:gridSpan w:val="18"/>
            <w:shd w:val="clear" w:color="auto" w:fill="CCEEFF"/>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Treehouse Real Estate Investment Trust, Inc.</w:t>
            </w:r>
            <w:r>
              <w:rPr>
                <w:rFonts w:ascii="Times New Roman" w:cs="Times New Roman" w:eastAsia="Times New Roman" w:hAnsi="Times New Roman"/>
                <w:sz w:val="16"/>
                <w:szCs w:val="16"/>
                <w:b w:val="1"/>
                <w:bCs w:val="1"/>
                <w:color w:val="auto"/>
                <w:vertAlign w:val="superscript"/>
              </w:rPr>
              <w:t>(12)</w:t>
            </w:r>
          </w:p>
        </w:tc>
        <w:tc>
          <w:tcPr>
            <w:tcW w:w="100" w:type="dxa"/>
            <w:vAlign w:val="bottom"/>
            <w:shd w:val="clear" w:color="auto" w:fill="CCEEFF"/>
          </w:tcPr>
          <w:p>
            <w:pPr>
              <w:spacing w:after="0"/>
              <w:rPr>
                <w:sz w:val="15"/>
                <w:szCs w:val="15"/>
                <w:color w:val="auto"/>
              </w:rPr>
            </w:pPr>
          </w:p>
        </w:tc>
        <w:tc>
          <w:tcPr>
            <w:tcW w:w="2080" w:type="dxa"/>
            <w:vAlign w:val="bottom"/>
            <w:gridSpan w:val="2"/>
            <w:shd w:val="clear" w:color="auto" w:fill="CCEEFF"/>
          </w:tcPr>
          <w:p>
            <w:pPr>
              <w:jc w:val="center"/>
              <w:ind w:right="100"/>
              <w:spacing w:after="0" w:line="143" w:lineRule="exact"/>
              <w:rPr>
                <w:sz w:val="20"/>
                <w:szCs w:val="20"/>
                <w:color w:val="auto"/>
              </w:rPr>
            </w:pPr>
            <w:r>
              <w:rPr>
                <w:rFonts w:ascii="Times New Roman" w:cs="Times New Roman" w:eastAsia="Times New Roman" w:hAnsi="Times New Roman"/>
                <w:sz w:val="14"/>
                <w:szCs w:val="14"/>
                <w:color w:val="auto"/>
                <w:w w:val="98"/>
              </w:rPr>
              <w:t>Chicago, IL</w:t>
            </w: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0" w:type="dxa"/>
            <w:vAlign w:val="bottom"/>
            <w:tcBorders>
              <w:top w:val="single" w:sz="8" w:color="CCEEFF"/>
            </w:tcBorders>
          </w:tcPr>
          <w:p>
            <w:pPr>
              <w:spacing w:after="0"/>
              <w:rPr>
                <w:sz w:val="16"/>
                <w:szCs w:val="16"/>
                <w:color w:val="auto"/>
              </w:rPr>
            </w:pPr>
          </w:p>
        </w:tc>
        <w:tc>
          <w:tcPr>
            <w:tcW w:w="2640" w:type="dxa"/>
            <w:vAlign w:val="bottom"/>
            <w:tcBorders>
              <w:top w:val="single" w:sz="8" w:color="auto"/>
            </w:tcBorders>
            <w:gridSpan w:val="14"/>
          </w:tcPr>
          <w:p>
            <w:pPr>
              <w:spacing w:after="0"/>
              <w:rPr>
                <w:sz w:val="20"/>
                <w:szCs w:val="20"/>
                <w:color w:val="auto"/>
              </w:rPr>
            </w:pPr>
            <w:r>
              <w:rPr>
                <w:rFonts w:ascii="Times New Roman" w:cs="Times New Roman" w:eastAsia="Times New Roman" w:hAnsi="Times New Roman"/>
                <w:sz w:val="14"/>
                <w:szCs w:val="14"/>
                <w:color w:val="auto"/>
              </w:rPr>
              <w:t>Common shares***</w:t>
            </w:r>
          </w:p>
        </w:tc>
        <w:tc>
          <w:tcPr>
            <w:tcW w:w="920" w:type="dxa"/>
            <w:vAlign w:val="bottom"/>
            <w:tcBorders>
              <w:top w:val="single" w:sz="8" w:color="CCEEFF"/>
            </w:tcBorders>
            <w:gridSpan w:val="4"/>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2080" w:type="dxa"/>
            <w:vAlign w:val="bottom"/>
            <w:tcBorders>
              <w:top w:val="single" w:sz="8" w:color="CCEEFF"/>
            </w:tcBorders>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Cannabis REIT</w:t>
            </w:r>
          </w:p>
        </w:tc>
        <w:tc>
          <w:tcPr>
            <w:tcW w:w="980" w:type="dxa"/>
            <w:vAlign w:val="bottom"/>
            <w:tcBorders>
              <w:top w:val="single" w:sz="8" w:color="CCEEFF"/>
            </w:tcBorders>
          </w:tcPr>
          <w:p>
            <w:pPr>
              <w:jc w:val="center"/>
              <w:spacing w:after="0"/>
              <w:rPr>
                <w:sz w:val="20"/>
                <w:szCs w:val="20"/>
                <w:color w:val="auto"/>
              </w:rPr>
            </w:pPr>
            <w:r>
              <w:rPr>
                <w:rFonts w:ascii="Times New Roman" w:cs="Times New Roman" w:eastAsia="Times New Roman" w:hAnsi="Times New Roman"/>
                <w:sz w:val="14"/>
                <w:szCs w:val="14"/>
                <w:color w:val="auto"/>
                <w:w w:val="98"/>
              </w:rPr>
              <w:t>9/11/2019</w:t>
            </w:r>
          </w:p>
        </w:tc>
        <w:tc>
          <w:tcPr>
            <w:tcW w:w="10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8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312,500</w:t>
            </w:r>
          </w:p>
        </w:tc>
        <w:tc>
          <w:tcPr>
            <w:tcW w:w="12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8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4,919,250</w:t>
            </w:r>
          </w:p>
        </w:tc>
        <w:tc>
          <w:tcPr>
            <w:tcW w:w="10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040" w:type="dxa"/>
            <w:vAlign w:val="bottom"/>
            <w:tcBorders>
              <w:top w:val="single" w:sz="8" w:color="CCEEFF"/>
            </w:tcBorders>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82"/>
        </w:trPr>
        <w:tc>
          <w:tcPr>
            <w:tcW w:w="2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auto"/>
            </w:tcBorders>
            <w:gridSpan w:val="6"/>
            <w:shd w:val="clear" w:color="auto" w:fill="CCEEFF"/>
          </w:tcPr>
          <w:p>
            <w:pPr>
              <w:spacing w:after="0" w:line="150" w:lineRule="exact"/>
              <w:rPr>
                <w:sz w:val="20"/>
                <w:szCs w:val="20"/>
                <w:color w:val="auto"/>
              </w:rPr>
            </w:pPr>
            <w:r>
              <w:rPr>
                <w:rFonts w:ascii="Times New Roman" w:cs="Times New Roman" w:eastAsia="Times New Roman" w:hAnsi="Times New Roman"/>
                <w:sz w:val="14"/>
                <w:szCs w:val="14"/>
                <w:b w:val="1"/>
                <w:bCs w:val="1"/>
                <w:color w:val="auto"/>
                <w:w w:val="96"/>
              </w:rPr>
              <w:t>Kinetiq Holdings, LLC</w:t>
            </w:r>
          </w:p>
        </w:tc>
        <w:tc>
          <w:tcPr>
            <w:tcW w:w="2200" w:type="dxa"/>
            <w:vAlign w:val="bottom"/>
            <w:tcBorders>
              <w:bottom w:val="single" w:sz="8" w:color="CCEEFF"/>
            </w:tcBorders>
            <w:gridSpan w:val="12"/>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80" w:type="dxa"/>
            <w:vAlign w:val="bottom"/>
            <w:tcBorders>
              <w:bottom w:val="single" w:sz="8" w:color="CCEEFF"/>
            </w:tcBorders>
            <w:gridSpan w:val="2"/>
            <w:shd w:val="clear" w:color="auto" w:fill="CCEEFF"/>
          </w:tcPr>
          <w:p>
            <w:pPr>
              <w:jc w:val="center"/>
              <w:ind w:right="120"/>
              <w:spacing w:after="0" w:line="150" w:lineRule="exact"/>
              <w:rPr>
                <w:sz w:val="20"/>
                <w:szCs w:val="20"/>
                <w:color w:val="auto"/>
              </w:rPr>
            </w:pPr>
            <w:r>
              <w:rPr>
                <w:rFonts w:ascii="Times New Roman" w:cs="Times New Roman" w:eastAsia="Times New Roman" w:hAnsi="Times New Roman"/>
                <w:sz w:val="14"/>
                <w:szCs w:val="14"/>
                <w:color w:val="auto"/>
                <w:w w:val="96"/>
              </w:rPr>
              <w:t>Philadelphia, PA</w:t>
            </w:r>
          </w:p>
        </w:tc>
        <w:tc>
          <w:tcPr>
            <w:tcW w:w="9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3580" w:type="dxa"/>
            <w:vAlign w:val="bottom"/>
            <w:gridSpan w:val="19"/>
          </w:tcPr>
          <w:p>
            <w:pPr>
              <w:ind w:left="20"/>
              <w:spacing w:after="0"/>
              <w:rPr>
                <w:sz w:val="20"/>
                <w:szCs w:val="20"/>
                <w:color w:val="auto"/>
              </w:rPr>
            </w:pPr>
            <w:r>
              <w:rPr>
                <w:rFonts w:ascii="Times New Roman" w:cs="Times New Roman" w:eastAsia="Times New Roman" w:hAnsi="Times New Roman"/>
                <w:sz w:val="14"/>
                <w:szCs w:val="14"/>
                <w:color w:val="auto"/>
              </w:rPr>
              <w:t>Common shares, Class A</w:t>
            </w:r>
          </w:p>
        </w:tc>
        <w:tc>
          <w:tcPr>
            <w:tcW w:w="100" w:type="dxa"/>
            <w:vAlign w:val="bottom"/>
          </w:tcPr>
          <w:p>
            <w:pPr>
              <w:spacing w:after="0"/>
              <w:rPr>
                <w:sz w:val="16"/>
                <w:szCs w:val="16"/>
                <w:color w:val="auto"/>
              </w:rPr>
            </w:pPr>
          </w:p>
        </w:tc>
        <w:tc>
          <w:tcPr>
            <w:tcW w:w="20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w w:val="98"/>
              </w:rPr>
              <w:t>Social Data Platform</w:t>
            </w: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3/30/2012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112,374</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215"/>
        </w:trPr>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560" w:type="dxa"/>
            <w:vAlign w:val="bottom"/>
            <w:gridSpan w:val="18"/>
          </w:tcPr>
          <w:p>
            <w:pPr>
              <w:ind w:left="120"/>
              <w:spacing w:after="0"/>
              <w:rPr>
                <w:sz w:val="20"/>
                <w:szCs w:val="20"/>
                <w:color w:val="auto"/>
              </w:rPr>
            </w:pPr>
            <w:r>
              <w:rPr>
                <w:rFonts w:ascii="Times New Roman" w:cs="Times New Roman" w:eastAsia="Times New Roman" w:hAnsi="Times New Roman"/>
                <w:sz w:val="14"/>
                <w:szCs w:val="14"/>
                <w:b w:val="1"/>
                <w:bCs w:val="1"/>
                <w:color w:val="auto"/>
              </w:rPr>
              <w:t>Total Non-controlled/Non-affiliate</w:t>
            </w:r>
          </w:p>
        </w:tc>
        <w:tc>
          <w:tcPr>
            <w:tcW w:w="10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146,360,300</w:t>
            </w:r>
          </w:p>
        </w:tc>
        <w:tc>
          <w:tcPr>
            <w:tcW w:w="100" w:type="dxa"/>
            <w:vAlign w:val="bottom"/>
          </w:tcPr>
          <w:p>
            <w:pPr>
              <w:spacing w:after="0"/>
              <w:rPr>
                <w:sz w:val="15"/>
                <w:szCs w:val="15"/>
                <w:color w:val="auto"/>
              </w:rPr>
            </w:pPr>
          </w:p>
        </w:tc>
        <w:tc>
          <w:tcPr>
            <w:tcW w:w="160" w:type="dxa"/>
            <w:vAlign w:val="bottom"/>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231,768,290</w:t>
            </w:r>
          </w:p>
        </w:tc>
        <w:tc>
          <w:tcPr>
            <w:tcW w:w="120" w:type="dxa"/>
            <w:vAlign w:val="bottom"/>
          </w:tcPr>
          <w:p>
            <w:pPr>
              <w:spacing w:after="0"/>
              <w:rPr>
                <w:sz w:val="15"/>
                <w:szCs w:val="15"/>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63.53 %</w:t>
            </w: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See accompanying notes to condensed consolidated financial statements.</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ectPr>
          <w:pgSz w:w="11900" w:h="16838" w:orient="portrait"/>
          <w:cols w:equalWidth="0" w:num="1">
            <w:col w:w="11240"/>
          </w:cols>
          <w:pgMar w:left="320" w:top="118"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color w:val="0000FF"/>
        </w:rPr>
        <w:t>TABLE OF CONTENTS</w:t>
      </w:r>
    </w:p>
    <w:p>
      <w:pPr>
        <w:spacing w:after="0" w:line="200" w:lineRule="exact"/>
        <w:rPr>
          <w:sz w:val="20"/>
          <w:szCs w:val="20"/>
          <w:color w:val="auto"/>
        </w:rPr>
      </w:pPr>
    </w:p>
    <w:p>
      <w:pPr>
        <w:spacing w:after="0" w:line="378" w:lineRule="exact"/>
        <w:rPr>
          <w:sz w:val="20"/>
          <w:szCs w:val="20"/>
          <w:color w:val="auto"/>
        </w:rPr>
      </w:pPr>
    </w:p>
    <w:p>
      <w:pPr>
        <w:jc w:val="center"/>
        <w:spacing w:after="0" w:line="273" w:lineRule="auto"/>
        <w:rPr>
          <w:sz w:val="20"/>
          <w:szCs w:val="20"/>
          <w:color w:val="auto"/>
        </w:rPr>
      </w:pPr>
      <w:r>
        <w:rPr>
          <w:rFonts w:ascii="Times New Roman" w:cs="Times New Roman" w:eastAsia="Times New Roman" w:hAnsi="Times New Roman"/>
          <w:sz w:val="17"/>
          <w:szCs w:val="17"/>
          <w:b w:val="1"/>
          <w:bCs w:val="1"/>
          <w:color w:val="auto"/>
        </w:rPr>
        <w:t>SURO CAPITAL CORP. AND SUBSIDIARIES CONDENSED CONSOLIDATED SCHEDULE OF INVESTMENTS - continued December 31, 2021</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0" w:type="dxa"/>
            <w:vAlign w:val="bottom"/>
            <w:gridSpan w:val="6"/>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Portfolio Investments*</w:t>
            </w:r>
          </w:p>
        </w:tc>
        <w:tc>
          <w:tcPr>
            <w:tcW w:w="100" w:type="dxa"/>
            <w:vAlign w:val="bottom"/>
          </w:tcPr>
          <w:p>
            <w:pPr>
              <w:spacing w:after="0"/>
              <w:rPr>
                <w:sz w:val="13"/>
                <w:szCs w:val="13"/>
                <w:color w:val="auto"/>
              </w:rPr>
            </w:pPr>
          </w:p>
        </w:tc>
        <w:tc>
          <w:tcPr>
            <w:tcW w:w="19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Headquarters/</w:t>
            </w:r>
          </w:p>
        </w:tc>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Date of Initial</w:t>
            </w:r>
          </w:p>
        </w:tc>
        <w:tc>
          <w:tcPr>
            <w:tcW w:w="200" w:type="dxa"/>
            <w:vAlign w:val="bottom"/>
          </w:tcPr>
          <w:p>
            <w:pPr>
              <w:spacing w:after="0"/>
              <w:rPr>
                <w:sz w:val="13"/>
                <w:szCs w:val="13"/>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Shares/</w:t>
            </w:r>
          </w:p>
        </w:tc>
        <w:tc>
          <w:tcPr>
            <w:tcW w:w="260" w:type="dxa"/>
            <w:vAlign w:val="bottom"/>
          </w:tcPr>
          <w:p>
            <w:pPr>
              <w:spacing w:after="0"/>
              <w:rPr>
                <w:sz w:val="13"/>
                <w:szCs w:val="13"/>
                <w:color w:val="auto"/>
              </w:rPr>
            </w:pPr>
          </w:p>
        </w:tc>
        <w:tc>
          <w:tcPr>
            <w:tcW w:w="9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60" w:type="dxa"/>
            <w:vAlign w:val="bottom"/>
          </w:tcPr>
          <w:p>
            <w:pPr>
              <w:spacing w:after="0"/>
              <w:rPr>
                <w:sz w:val="13"/>
                <w:szCs w:val="13"/>
                <w:color w:val="auto"/>
              </w:rPr>
            </w:pPr>
          </w:p>
        </w:tc>
        <w:tc>
          <w:tcPr>
            <w:tcW w:w="10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of Net</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600" w:type="dxa"/>
            <w:vAlign w:val="bottom"/>
            <w:gridSpan w:val="6"/>
            <w:vMerge w:val="continue"/>
          </w:tcPr>
          <w:p>
            <w:pPr>
              <w:spacing w:after="0"/>
              <w:rPr>
                <w:sz w:val="16"/>
                <w:szCs w:val="16"/>
                <w:color w:val="auto"/>
              </w:rPr>
            </w:pPr>
          </w:p>
        </w:tc>
        <w:tc>
          <w:tcPr>
            <w:tcW w:w="100" w:type="dxa"/>
            <w:vAlign w:val="bottom"/>
          </w:tcPr>
          <w:p>
            <w:pPr>
              <w:spacing w:after="0"/>
              <w:rPr>
                <w:sz w:val="16"/>
                <w:szCs w:val="16"/>
                <w:color w:val="auto"/>
              </w:rPr>
            </w:pPr>
          </w:p>
        </w:tc>
        <w:tc>
          <w:tcPr>
            <w:tcW w:w="19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5"/>
              </w:rPr>
              <w:t>Industry</w:t>
            </w:r>
          </w:p>
        </w:tc>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Investment</w:t>
            </w:r>
          </w:p>
        </w:tc>
        <w:tc>
          <w:tcPr>
            <w:tcW w:w="200" w:type="dxa"/>
            <w:vAlign w:val="bottom"/>
          </w:tcPr>
          <w:p>
            <w:pPr>
              <w:spacing w:after="0"/>
              <w:rPr>
                <w:sz w:val="16"/>
                <w:szCs w:val="16"/>
                <w:color w:val="auto"/>
              </w:rPr>
            </w:pPr>
          </w:p>
        </w:tc>
        <w:tc>
          <w:tcPr>
            <w:tcW w:w="10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7"/>
              </w:rPr>
              <w:t>Principal</w:t>
            </w:r>
          </w:p>
        </w:tc>
        <w:tc>
          <w:tcPr>
            <w:tcW w:w="26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760" w:type="dxa"/>
            <w:vAlign w:val="bottom"/>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600" w:type="dxa"/>
            <w:vAlign w:val="bottom"/>
            <w:tcBorders>
              <w:top w:val="single" w:sz="8" w:color="auto"/>
            </w:tcBorders>
            <w:gridSpan w:val="6"/>
            <w:shd w:val="clear" w:color="auto" w:fill="CCEEFF"/>
          </w:tcPr>
          <w:p>
            <w:pPr>
              <w:ind w:left="20"/>
              <w:spacing w:after="0" w:line="193" w:lineRule="exact"/>
              <w:rPr>
                <w:sz w:val="20"/>
                <w:szCs w:val="20"/>
                <w:color w:val="auto"/>
              </w:rPr>
            </w:pPr>
            <w:r>
              <w:rPr>
                <w:rFonts w:ascii="Times New Roman" w:cs="Times New Roman" w:eastAsia="Times New Roman" w:hAnsi="Times New Roman"/>
                <w:sz w:val="14"/>
                <w:szCs w:val="14"/>
                <w:b w:val="1"/>
                <w:bCs w:val="1"/>
                <w:color w:val="auto"/>
              </w:rPr>
              <w:t>NON-CONTROLLED/AFFILIATE</w:t>
            </w:r>
            <w:r>
              <w:rPr>
                <w:rFonts w:ascii="Times New Roman" w:cs="Times New Roman" w:eastAsia="Times New Roman" w:hAnsi="Times New Roman"/>
                <w:sz w:val="17"/>
                <w:szCs w:val="17"/>
                <w:color w:val="auto"/>
                <w:vertAlign w:val="superscript"/>
              </w:rPr>
              <w:t>(1)</w:t>
            </w:r>
          </w:p>
        </w:tc>
        <w:tc>
          <w:tcPr>
            <w:tcW w:w="100" w:type="dxa"/>
            <w:vAlign w:val="bottom"/>
            <w:tcBorders>
              <w:top w:val="single" w:sz="8" w:color="CCEEFF"/>
            </w:tcBorders>
            <w:shd w:val="clear" w:color="auto" w:fill="CCEEFF"/>
          </w:tcPr>
          <w:p>
            <w:pPr>
              <w:spacing w:after="0"/>
              <w:rPr>
                <w:sz w:val="16"/>
                <w:szCs w:val="16"/>
                <w:color w:val="auto"/>
              </w:rPr>
            </w:pPr>
          </w:p>
        </w:tc>
        <w:tc>
          <w:tcPr>
            <w:tcW w:w="18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3600" w:type="dxa"/>
            <w:vAlign w:val="bottom"/>
            <w:gridSpan w:val="6"/>
          </w:tcPr>
          <w:p>
            <w:pPr>
              <w:ind w:left="20"/>
              <w:spacing w:after="0" w:line="142" w:lineRule="exact"/>
              <w:rPr>
                <w:sz w:val="20"/>
                <w:szCs w:val="20"/>
                <w:color w:val="auto"/>
              </w:rPr>
            </w:pPr>
            <w:r>
              <w:rPr>
                <w:rFonts w:ascii="Times New Roman" w:cs="Times New Roman" w:eastAsia="Times New Roman" w:hAnsi="Times New Roman"/>
                <w:sz w:val="13"/>
                <w:szCs w:val="13"/>
                <w:b w:val="1"/>
                <w:bCs w:val="1"/>
                <w:color w:val="auto"/>
              </w:rPr>
              <w:t>StormWind, LLC</w:t>
            </w:r>
            <w:r>
              <w:rPr>
                <w:rFonts w:ascii="Times New Roman" w:cs="Times New Roman" w:eastAsia="Times New Roman" w:hAnsi="Times New Roman"/>
                <w:sz w:val="16"/>
                <w:szCs w:val="16"/>
                <w:color w:val="auto"/>
                <w:vertAlign w:val="superscript"/>
              </w:rPr>
              <w:t>(5)</w:t>
            </w:r>
          </w:p>
        </w:tc>
        <w:tc>
          <w:tcPr>
            <w:tcW w:w="100" w:type="dxa"/>
            <w:vAlign w:val="bottom"/>
          </w:tcPr>
          <w:p>
            <w:pPr>
              <w:spacing w:after="0"/>
              <w:rPr>
                <w:sz w:val="12"/>
                <w:szCs w:val="12"/>
                <w:color w:val="auto"/>
              </w:rPr>
            </w:pPr>
          </w:p>
        </w:tc>
        <w:tc>
          <w:tcPr>
            <w:tcW w:w="1960" w:type="dxa"/>
            <w:vAlign w:val="bottom"/>
            <w:gridSpan w:val="2"/>
          </w:tcPr>
          <w:p>
            <w:pPr>
              <w:jc w:val="center"/>
              <w:ind w:right="100"/>
              <w:spacing w:after="0" w:line="143" w:lineRule="exact"/>
              <w:rPr>
                <w:sz w:val="20"/>
                <w:szCs w:val="20"/>
                <w:color w:val="auto"/>
              </w:rPr>
            </w:pPr>
            <w:r>
              <w:rPr>
                <w:rFonts w:ascii="Times New Roman" w:cs="Times New Roman" w:eastAsia="Times New Roman" w:hAnsi="Times New Roman"/>
                <w:sz w:val="14"/>
                <w:szCs w:val="14"/>
                <w:color w:val="auto"/>
                <w:w w:val="98"/>
              </w:rPr>
              <w:t>Scottsdale, AZ</w:t>
            </w: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94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3600" w:type="dxa"/>
            <w:vAlign w:val="bottom"/>
            <w:gridSpan w:val="6"/>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Preferred shares, Series D 8%</w:t>
            </w:r>
          </w:p>
        </w:tc>
        <w:tc>
          <w:tcPr>
            <w:tcW w:w="100" w:type="dxa"/>
            <w:vAlign w:val="bottom"/>
            <w:shd w:val="clear" w:color="auto" w:fill="CCEEFF"/>
          </w:tcPr>
          <w:p>
            <w:pPr>
              <w:spacing w:after="0"/>
              <w:rPr>
                <w:sz w:val="16"/>
                <w:szCs w:val="16"/>
                <w:color w:val="auto"/>
              </w:rPr>
            </w:pPr>
          </w:p>
        </w:tc>
        <w:tc>
          <w:tcPr>
            <w:tcW w:w="19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w w:val="98"/>
              </w:rPr>
              <w:t>Interactive Learning</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11/26/2019</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329,337</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257,267</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621,093</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6"/>
        </w:trPr>
        <w:tc>
          <w:tcPr>
            <w:tcW w:w="3600" w:type="dxa"/>
            <w:vAlign w:val="bottom"/>
            <w:gridSpan w:val="6"/>
          </w:tcPr>
          <w:p>
            <w:pPr>
              <w:ind w:left="20"/>
              <w:spacing w:after="0"/>
              <w:rPr>
                <w:sz w:val="20"/>
                <w:szCs w:val="20"/>
                <w:color w:val="auto"/>
              </w:rPr>
            </w:pPr>
            <w:r>
              <w:rPr>
                <w:rFonts w:ascii="Times New Roman" w:cs="Times New Roman" w:eastAsia="Times New Roman" w:hAnsi="Times New Roman"/>
                <w:sz w:val="14"/>
                <w:szCs w:val="14"/>
                <w:color w:val="auto"/>
              </w:rPr>
              <w:t>Preferred shares, Series C 8%</w:t>
            </w:r>
          </w:p>
        </w:tc>
        <w:tc>
          <w:tcPr>
            <w:tcW w:w="10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1/7/2014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2,779,134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4,000,787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6,496,729</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2"/>
        </w:trPr>
        <w:tc>
          <w:tcPr>
            <w:tcW w:w="3600" w:type="dxa"/>
            <w:vAlign w:val="bottom"/>
            <w:gridSpan w:val="6"/>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Preferred shares, Series B 8%</w:t>
            </w:r>
          </w:p>
        </w:tc>
        <w:tc>
          <w:tcPr>
            <w:tcW w:w="10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12/16/2011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3,279,629</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2,019,687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4,423,607</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7"/>
        </w:trPr>
        <w:tc>
          <w:tcPr>
            <w:tcW w:w="3600" w:type="dxa"/>
            <w:vAlign w:val="bottom"/>
            <w:tcBorders>
              <w:bottom w:val="single" w:sz="8" w:color="CCEEFF"/>
            </w:tcBorders>
            <w:gridSpan w:val="6"/>
          </w:tcPr>
          <w:p>
            <w:pPr>
              <w:ind w:left="20"/>
              <w:spacing w:after="0"/>
              <w:rPr>
                <w:sz w:val="20"/>
                <w:szCs w:val="20"/>
                <w:color w:val="auto"/>
              </w:rPr>
            </w:pPr>
            <w:r>
              <w:rPr>
                <w:rFonts w:ascii="Times New Roman" w:cs="Times New Roman" w:eastAsia="Times New Roman" w:hAnsi="Times New Roman"/>
                <w:sz w:val="14"/>
                <w:szCs w:val="14"/>
                <w:color w:val="auto"/>
              </w:rPr>
              <w:t>Preferred shares, Series A 8%</w:t>
            </w:r>
          </w:p>
        </w:tc>
        <w:tc>
          <w:tcPr>
            <w:tcW w:w="100" w:type="dxa"/>
            <w:vAlign w:val="bottom"/>
            <w:tcBorders>
              <w:bottom w:val="single" w:sz="8" w:color="CCEEFF"/>
            </w:tcBorders>
          </w:tcPr>
          <w:p>
            <w:pPr>
              <w:spacing w:after="0"/>
              <w:rPr>
                <w:sz w:val="16"/>
                <w:szCs w:val="16"/>
                <w:color w:val="auto"/>
              </w:rPr>
            </w:pPr>
          </w:p>
        </w:tc>
        <w:tc>
          <w:tcPr>
            <w:tcW w:w="18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6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4"/>
                <w:szCs w:val="14"/>
                <w:color w:val="auto"/>
                <w:w w:val="98"/>
              </w:rPr>
              <w:t>2/25/2014</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9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366,666</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110,000</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289,293</w:t>
            </w:r>
          </w:p>
        </w:tc>
        <w:tc>
          <w:tcPr>
            <w:tcW w:w="10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0.08</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4"/>
        </w:trPr>
        <w:tc>
          <w:tcPr>
            <w:tcW w:w="20" w:type="dxa"/>
            <w:vAlign w:val="bottom"/>
            <w:shd w:val="clear" w:color="auto" w:fill="CCEEFF"/>
          </w:tcPr>
          <w:p>
            <w:pPr>
              <w:spacing w:after="0"/>
              <w:rPr>
                <w:sz w:val="16"/>
                <w:szCs w:val="16"/>
                <w:color w:val="auto"/>
              </w:rPr>
            </w:pPr>
          </w:p>
        </w:tc>
        <w:tc>
          <w:tcPr>
            <w:tcW w:w="3580" w:type="dxa"/>
            <w:vAlign w:val="bottom"/>
            <w:gridSpan w:val="5"/>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shd w:val="clear" w:color="auto" w:fill="CCEEFF"/>
          </w:tcPr>
          <w:p>
            <w:pPr>
              <w:spacing w:after="0"/>
              <w:rPr>
                <w:sz w:val="16"/>
                <w:szCs w:val="16"/>
                <w:color w:val="auto"/>
              </w:rPr>
            </w:pPr>
          </w:p>
        </w:tc>
        <w:tc>
          <w:tcPr>
            <w:tcW w:w="1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6,387,741</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11,830,722</w:t>
            </w:r>
          </w:p>
        </w:tc>
        <w:tc>
          <w:tcPr>
            <w:tcW w:w="100" w:type="dxa"/>
            <w:vAlign w:val="bottom"/>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2"/>
        </w:trPr>
        <w:tc>
          <w:tcPr>
            <w:tcW w:w="3600" w:type="dxa"/>
            <w:vAlign w:val="bottom"/>
            <w:gridSpan w:val="6"/>
          </w:tcPr>
          <w:p>
            <w:pPr>
              <w:ind w:left="20"/>
              <w:spacing w:after="0" w:line="123" w:lineRule="exact"/>
              <w:rPr>
                <w:sz w:val="20"/>
                <w:szCs w:val="20"/>
                <w:color w:val="auto"/>
              </w:rPr>
            </w:pPr>
            <w:r>
              <w:rPr>
                <w:rFonts w:ascii="Times New Roman" w:cs="Times New Roman" w:eastAsia="Times New Roman" w:hAnsi="Times New Roman"/>
                <w:sz w:val="14"/>
                <w:szCs w:val="14"/>
                <w:b w:val="1"/>
                <w:bCs w:val="1"/>
                <w:color w:val="auto"/>
              </w:rPr>
              <w:t>OneValley, Inc. (f/k/a NestGSV, Inc.)</w:t>
            </w:r>
          </w:p>
        </w:tc>
        <w:tc>
          <w:tcPr>
            <w:tcW w:w="100" w:type="dxa"/>
            <w:vAlign w:val="bottom"/>
          </w:tcPr>
          <w:p>
            <w:pPr>
              <w:spacing w:after="0"/>
              <w:rPr>
                <w:sz w:val="10"/>
                <w:szCs w:val="10"/>
                <w:color w:val="auto"/>
              </w:rPr>
            </w:pPr>
          </w:p>
        </w:tc>
        <w:tc>
          <w:tcPr>
            <w:tcW w:w="1960" w:type="dxa"/>
            <w:vAlign w:val="bottom"/>
            <w:gridSpan w:val="2"/>
          </w:tcPr>
          <w:p>
            <w:pPr>
              <w:jc w:val="center"/>
              <w:ind w:right="100"/>
              <w:spacing w:after="0" w:line="123" w:lineRule="exact"/>
              <w:rPr>
                <w:sz w:val="20"/>
                <w:szCs w:val="20"/>
                <w:color w:val="auto"/>
              </w:rPr>
            </w:pPr>
            <w:r>
              <w:rPr>
                <w:rFonts w:ascii="Times New Roman" w:cs="Times New Roman" w:eastAsia="Times New Roman" w:hAnsi="Times New Roman"/>
                <w:sz w:val="14"/>
                <w:szCs w:val="14"/>
                <w:color w:val="auto"/>
                <w:w w:val="99"/>
              </w:rPr>
              <w:t>San Mateo, CA</w:t>
            </w: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94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860" w:type="dxa"/>
            <w:vAlign w:val="bottom"/>
            <w:tcBorders>
              <w:top w:val="single" w:sz="8" w:color="auto"/>
            </w:tcBorders>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3600" w:type="dxa"/>
            <w:vAlign w:val="bottom"/>
            <w:gridSpan w:val="6"/>
            <w:shd w:val="clear" w:color="auto" w:fill="CCEEFF"/>
          </w:tcPr>
          <w:p>
            <w:pPr>
              <w:ind w:left="20"/>
              <w:spacing w:after="0" w:line="194" w:lineRule="exact"/>
              <w:rPr>
                <w:sz w:val="20"/>
                <w:szCs w:val="20"/>
                <w:color w:val="auto"/>
              </w:rPr>
            </w:pPr>
            <w:r>
              <w:rPr>
                <w:rFonts w:ascii="Times New Roman" w:cs="Times New Roman" w:eastAsia="Times New Roman" w:hAnsi="Times New Roman"/>
                <w:sz w:val="14"/>
                <w:szCs w:val="14"/>
                <w:color w:val="auto"/>
              </w:rPr>
              <w:t>Derivative Security, Expiration Date 8/23/2024</w:t>
            </w:r>
            <w:r>
              <w:rPr>
                <w:rFonts w:ascii="Times New Roman" w:cs="Times New Roman" w:eastAsia="Times New Roman" w:hAnsi="Times New Roman"/>
                <w:sz w:val="17"/>
                <w:szCs w:val="17"/>
                <w:color w:val="auto"/>
                <w:vertAlign w:val="superscript"/>
              </w:rPr>
              <w:t>(10)</w:t>
            </w:r>
          </w:p>
        </w:tc>
        <w:tc>
          <w:tcPr>
            <w:tcW w:w="100" w:type="dxa"/>
            <w:vAlign w:val="bottom"/>
            <w:shd w:val="clear" w:color="auto" w:fill="CCEEFF"/>
          </w:tcPr>
          <w:p>
            <w:pPr>
              <w:spacing w:after="0"/>
              <w:rPr>
                <w:sz w:val="16"/>
                <w:szCs w:val="16"/>
                <w:color w:val="auto"/>
              </w:rPr>
            </w:pPr>
          </w:p>
        </w:tc>
        <w:tc>
          <w:tcPr>
            <w:tcW w:w="19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9"/>
              </w:rPr>
              <w:t>Global Innovation Platform</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8/23/2019</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8,555,124</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2,268,268</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4"/>
        </w:trPr>
        <w:tc>
          <w:tcPr>
            <w:tcW w:w="3600" w:type="dxa"/>
            <w:vAlign w:val="bottom"/>
            <w:gridSpan w:val="6"/>
          </w:tcPr>
          <w:p>
            <w:pPr>
              <w:ind w:left="20"/>
              <w:spacing w:after="0" w:line="194" w:lineRule="exact"/>
              <w:rPr>
                <w:sz w:val="20"/>
                <w:szCs w:val="20"/>
                <w:color w:val="auto"/>
              </w:rPr>
            </w:pPr>
            <w:r>
              <w:rPr>
                <w:rFonts w:ascii="Times New Roman" w:cs="Times New Roman" w:eastAsia="Times New Roman" w:hAnsi="Times New Roman"/>
                <w:sz w:val="14"/>
                <w:szCs w:val="14"/>
                <w:color w:val="auto"/>
              </w:rPr>
              <w:t>Convertible Promissory Note 8% Due 8/23/2024</w:t>
            </w:r>
            <w:r>
              <w:rPr>
                <w:rFonts w:ascii="Times New Roman" w:cs="Times New Roman" w:eastAsia="Times New Roman" w:hAnsi="Times New Roman"/>
                <w:sz w:val="17"/>
                <w:szCs w:val="17"/>
                <w:color w:val="auto"/>
                <w:vertAlign w:val="superscript"/>
              </w:rPr>
              <w:t>(4)(10)</w:t>
            </w:r>
          </w:p>
        </w:tc>
        <w:tc>
          <w:tcPr>
            <w:tcW w:w="10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2/17/2016</w:t>
            </w:r>
          </w:p>
        </w:tc>
        <w:tc>
          <w:tcPr>
            <w:tcW w:w="100" w:type="dxa"/>
            <w:vAlign w:val="bottom"/>
          </w:tcPr>
          <w:p>
            <w:pPr>
              <w:spacing w:after="0"/>
              <w:rPr>
                <w:sz w:val="16"/>
                <w:szCs w:val="16"/>
                <w:color w:val="auto"/>
              </w:rPr>
            </w:pPr>
          </w:p>
        </w:tc>
        <w:tc>
          <w:tcPr>
            <w:tcW w:w="20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1,010,198</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1,030,176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505,099</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0.14</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9"/>
        </w:trPr>
        <w:tc>
          <w:tcPr>
            <w:tcW w:w="3600" w:type="dxa"/>
            <w:vAlign w:val="bottom"/>
            <w:gridSpan w:val="6"/>
            <w:shd w:val="clear" w:color="auto" w:fill="CCEEFF"/>
          </w:tcPr>
          <w:p>
            <w:pPr>
              <w:ind w:left="20"/>
              <w:spacing w:after="0" w:line="129" w:lineRule="exact"/>
              <w:rPr>
                <w:sz w:val="20"/>
                <w:szCs w:val="20"/>
                <w:color w:val="auto"/>
              </w:rPr>
            </w:pPr>
            <w:r>
              <w:rPr>
                <w:rFonts w:ascii="Times New Roman" w:cs="Times New Roman" w:eastAsia="Times New Roman" w:hAnsi="Times New Roman"/>
                <w:sz w:val="14"/>
                <w:szCs w:val="14"/>
                <w:color w:val="auto"/>
              </w:rPr>
              <w:t>Preferred Warrant Series B, Strike Price $2.31, Expiration Date</w:t>
            </w:r>
          </w:p>
        </w:tc>
        <w:tc>
          <w:tcPr>
            <w:tcW w:w="100" w:type="dxa"/>
            <w:vAlign w:val="bottom"/>
            <w:shd w:val="clear" w:color="auto" w:fill="CCEEFF"/>
          </w:tcPr>
          <w:p>
            <w:pPr>
              <w:spacing w:after="0"/>
              <w:rPr>
                <w:sz w:val="11"/>
                <w:szCs w:val="11"/>
                <w:color w:val="auto"/>
              </w:rPr>
            </w:pPr>
          </w:p>
        </w:tc>
        <w:tc>
          <w:tcPr>
            <w:tcW w:w="1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5/29/2017</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125,000</w:t>
            </w: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70,379</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94"/>
        </w:trPr>
        <w:tc>
          <w:tcPr>
            <w:tcW w:w="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5/29/2022</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20" w:type="dxa"/>
            <w:vAlign w:val="bottom"/>
            <w:gridSpan w:val="2"/>
            <w:vMerge w:val="continue"/>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3600" w:type="dxa"/>
            <w:vAlign w:val="bottom"/>
            <w:gridSpan w:val="6"/>
          </w:tcPr>
          <w:p>
            <w:pPr>
              <w:ind w:left="20"/>
              <w:spacing w:after="0" w:line="129" w:lineRule="exact"/>
              <w:rPr>
                <w:sz w:val="20"/>
                <w:szCs w:val="20"/>
                <w:color w:val="auto"/>
              </w:rPr>
            </w:pPr>
            <w:r>
              <w:rPr>
                <w:rFonts w:ascii="Times New Roman" w:cs="Times New Roman" w:eastAsia="Times New Roman" w:hAnsi="Times New Roman"/>
                <w:sz w:val="14"/>
                <w:szCs w:val="14"/>
                <w:color w:val="auto"/>
              </w:rPr>
              <w:t>Preferred Warrant Series B, Strike Price $2.31, Expiration Date</w:t>
            </w:r>
          </w:p>
        </w:tc>
        <w:tc>
          <w:tcPr>
            <w:tcW w:w="1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12/31/2018</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250,000</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5,080</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5,000</w:t>
            </w:r>
          </w:p>
        </w:tc>
        <w:tc>
          <w:tcPr>
            <w:tcW w:w="10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0.01</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7"/>
        </w:trPr>
        <w:tc>
          <w:tcPr>
            <w:tcW w:w="9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12/31/2023</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860" w:type="dxa"/>
            <w:vAlign w:val="bottom"/>
            <w:tcBorders>
              <w:bottom w:val="single" w:sz="8" w:color="CCEEFF"/>
            </w:tcBorders>
          </w:tcPr>
          <w:p>
            <w:pPr>
              <w:spacing w:after="0"/>
              <w:rPr>
                <w:sz w:val="16"/>
                <w:szCs w:val="16"/>
                <w:color w:val="auto"/>
              </w:rPr>
            </w:pPr>
          </w:p>
        </w:tc>
        <w:tc>
          <w:tcPr>
            <w:tcW w:w="14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6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92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Borders>
              <w:bottom w:val="single" w:sz="8" w:color="CCEEFF"/>
            </w:tcBorders>
            <w:shd w:val="clear" w:color="auto" w:fill="CCEEFF"/>
          </w:tcPr>
          <w:p>
            <w:pPr>
              <w:spacing w:after="0"/>
              <w:rPr>
                <w:sz w:val="16"/>
                <w:szCs w:val="16"/>
                <w:color w:val="auto"/>
              </w:rPr>
            </w:pPr>
          </w:p>
        </w:tc>
        <w:tc>
          <w:tcPr>
            <w:tcW w:w="3580" w:type="dxa"/>
            <w:vAlign w:val="bottom"/>
            <w:tcBorders>
              <w:bottom w:val="single" w:sz="8" w:color="CCEEFF"/>
            </w:tcBorders>
            <w:gridSpan w:val="5"/>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tcBorders>
              <w:bottom w:val="single" w:sz="8" w:color="CCEEFF"/>
            </w:tcBorders>
            <w:shd w:val="clear" w:color="auto" w:fill="CCEEFF"/>
          </w:tcPr>
          <w:p>
            <w:pPr>
              <w:spacing w:after="0"/>
              <w:rPr>
                <w:sz w:val="16"/>
                <w:szCs w:val="16"/>
                <w:color w:val="auto"/>
              </w:rPr>
            </w:pPr>
          </w:p>
        </w:tc>
        <w:tc>
          <w:tcPr>
            <w:tcW w:w="1860" w:type="dxa"/>
            <w:vAlign w:val="bottom"/>
            <w:tcBorders>
              <w:bottom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9,660,759</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2,778,367</w:t>
            </w:r>
          </w:p>
        </w:tc>
        <w:tc>
          <w:tcPr>
            <w:tcW w:w="100" w:type="dxa"/>
            <w:vAlign w:val="bottom"/>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0.77</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5"/>
        </w:trPr>
        <w:tc>
          <w:tcPr>
            <w:tcW w:w="3600" w:type="dxa"/>
            <w:vAlign w:val="bottom"/>
            <w:gridSpan w:val="6"/>
          </w:tcPr>
          <w:p>
            <w:pPr>
              <w:ind w:left="20"/>
              <w:spacing w:after="0" w:line="135" w:lineRule="exact"/>
              <w:rPr>
                <w:sz w:val="20"/>
                <w:szCs w:val="20"/>
                <w:color w:val="auto"/>
              </w:rPr>
            </w:pPr>
            <w:r>
              <w:rPr>
                <w:rFonts w:ascii="Times New Roman" w:cs="Times New Roman" w:eastAsia="Times New Roman" w:hAnsi="Times New Roman"/>
                <w:sz w:val="14"/>
                <w:szCs w:val="14"/>
                <w:b w:val="1"/>
                <w:bCs w:val="1"/>
                <w:color w:val="auto"/>
              </w:rPr>
              <w:t>Ozy Media, Inc.</w:t>
            </w:r>
          </w:p>
        </w:tc>
        <w:tc>
          <w:tcPr>
            <w:tcW w:w="100" w:type="dxa"/>
            <w:vAlign w:val="bottom"/>
          </w:tcPr>
          <w:p>
            <w:pPr>
              <w:spacing w:after="0"/>
              <w:rPr>
                <w:sz w:val="11"/>
                <w:szCs w:val="11"/>
                <w:color w:val="auto"/>
              </w:rPr>
            </w:pPr>
          </w:p>
        </w:tc>
        <w:tc>
          <w:tcPr>
            <w:tcW w:w="186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color w:val="auto"/>
                <w:w w:val="95"/>
              </w:rPr>
              <w:t>Mountain View, CA</w:t>
            </w: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9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3600" w:type="dxa"/>
            <w:vAlign w:val="bottom"/>
            <w:gridSpan w:val="6"/>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Preferred shares, Series C-2 6%</w:t>
            </w:r>
          </w:p>
        </w:tc>
        <w:tc>
          <w:tcPr>
            <w:tcW w:w="100" w:type="dxa"/>
            <w:vAlign w:val="bottom"/>
            <w:shd w:val="clear" w:color="auto" w:fill="CCEEFF"/>
          </w:tcPr>
          <w:p>
            <w:pPr>
              <w:spacing w:after="0"/>
              <w:rPr>
                <w:sz w:val="16"/>
                <w:szCs w:val="16"/>
                <w:color w:val="auto"/>
              </w:rPr>
            </w:pPr>
          </w:p>
        </w:tc>
        <w:tc>
          <w:tcPr>
            <w:tcW w:w="19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9"/>
              </w:rPr>
              <w:t>Digital Media Platform</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8/31/2016</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683,482</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2,414,178</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29"/>
        </w:trPr>
        <w:tc>
          <w:tcPr>
            <w:tcW w:w="3600" w:type="dxa"/>
            <w:vAlign w:val="bottom"/>
            <w:gridSpan w:val="6"/>
          </w:tcPr>
          <w:p>
            <w:pPr>
              <w:ind w:left="20"/>
              <w:spacing w:after="0" w:line="129" w:lineRule="exact"/>
              <w:rPr>
                <w:sz w:val="20"/>
                <w:szCs w:val="20"/>
                <w:color w:val="auto"/>
              </w:rPr>
            </w:pPr>
            <w:r>
              <w:rPr>
                <w:rFonts w:ascii="Times New Roman" w:cs="Times New Roman" w:eastAsia="Times New Roman" w:hAnsi="Times New Roman"/>
                <w:sz w:val="14"/>
                <w:szCs w:val="14"/>
                <w:color w:val="auto"/>
              </w:rPr>
              <w:t>Common Warrants, Strike Price $0.01, Expiration Date</w:t>
            </w:r>
          </w:p>
        </w:tc>
        <w:tc>
          <w:tcPr>
            <w:tcW w:w="1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6"/>
              </w:rPr>
              <w:t>4/9/2018</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295,565</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30,647</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86"/>
        </w:trPr>
        <w:tc>
          <w:tcPr>
            <w:tcW w:w="9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4/9/2028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3600" w:type="dxa"/>
            <w:vAlign w:val="bottom"/>
            <w:gridSpan w:val="6"/>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Preferred shares, Series B 6%</w:t>
            </w:r>
          </w:p>
        </w:tc>
        <w:tc>
          <w:tcPr>
            <w:tcW w:w="10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10/3/2014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922,509</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4,999,999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86"/>
        </w:trPr>
        <w:tc>
          <w:tcPr>
            <w:tcW w:w="3600" w:type="dxa"/>
            <w:vAlign w:val="bottom"/>
            <w:gridSpan w:val="6"/>
          </w:tcPr>
          <w:p>
            <w:pPr>
              <w:ind w:left="20"/>
              <w:spacing w:after="0"/>
              <w:rPr>
                <w:sz w:val="20"/>
                <w:szCs w:val="20"/>
                <w:color w:val="auto"/>
              </w:rPr>
            </w:pPr>
            <w:r>
              <w:rPr>
                <w:rFonts w:ascii="Times New Roman" w:cs="Times New Roman" w:eastAsia="Times New Roman" w:hAnsi="Times New Roman"/>
                <w:sz w:val="14"/>
                <w:szCs w:val="14"/>
                <w:color w:val="auto"/>
              </w:rPr>
              <w:t>Preferred shares, Series A 6%</w:t>
            </w:r>
          </w:p>
        </w:tc>
        <w:tc>
          <w:tcPr>
            <w:tcW w:w="10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12/11/2013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1,090,909</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3,000,200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215"/>
        </w:trPr>
        <w:tc>
          <w:tcPr>
            <w:tcW w:w="3600" w:type="dxa"/>
            <w:vAlign w:val="bottom"/>
            <w:tcBorders>
              <w:bottom w:val="single" w:sz="8" w:color="CCEEFF"/>
            </w:tcBorders>
            <w:gridSpan w:val="6"/>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Preferred shares, Series Seed 6%</w:t>
            </w:r>
          </w:p>
        </w:tc>
        <w:tc>
          <w:tcPr>
            <w:tcW w:w="100" w:type="dxa"/>
            <w:vAlign w:val="bottom"/>
            <w:tcBorders>
              <w:bottom w:val="single" w:sz="8" w:color="CCEEFF"/>
            </w:tcBorders>
            <w:shd w:val="clear" w:color="auto" w:fill="CCEEFF"/>
          </w:tcPr>
          <w:p>
            <w:pPr>
              <w:spacing w:after="0"/>
              <w:rPr>
                <w:sz w:val="18"/>
                <w:szCs w:val="18"/>
                <w:color w:val="auto"/>
              </w:rPr>
            </w:pPr>
          </w:p>
        </w:tc>
        <w:tc>
          <w:tcPr>
            <w:tcW w:w="18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11/2/2012</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500,000</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500,000</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80"/>
        </w:trPr>
        <w:tc>
          <w:tcPr>
            <w:tcW w:w="20" w:type="dxa"/>
            <w:vAlign w:val="bottom"/>
            <w:tcBorders>
              <w:bottom w:val="single" w:sz="8" w:color="CCEEFF"/>
            </w:tcBorders>
          </w:tcPr>
          <w:p>
            <w:pPr>
              <w:spacing w:after="0"/>
              <w:rPr>
                <w:sz w:val="15"/>
                <w:szCs w:val="15"/>
                <w:color w:val="auto"/>
              </w:rPr>
            </w:pPr>
          </w:p>
        </w:tc>
        <w:tc>
          <w:tcPr>
            <w:tcW w:w="3580" w:type="dxa"/>
            <w:vAlign w:val="bottom"/>
            <w:tcBorders>
              <w:bottom w:val="single" w:sz="8" w:color="CCEEFF"/>
            </w:tcBorders>
            <w:gridSpan w:val="5"/>
          </w:tcPr>
          <w:p>
            <w:pPr>
              <w:ind w:left="120"/>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tcBorders>
              <w:bottom w:val="single" w:sz="8" w:color="CCEEFF"/>
            </w:tcBorders>
          </w:tcPr>
          <w:p>
            <w:pPr>
              <w:spacing w:after="0"/>
              <w:rPr>
                <w:sz w:val="15"/>
                <w:szCs w:val="15"/>
                <w:color w:val="auto"/>
              </w:rPr>
            </w:pPr>
          </w:p>
        </w:tc>
        <w:tc>
          <w:tcPr>
            <w:tcW w:w="18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9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9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10,945,024</w:t>
            </w:r>
          </w:p>
        </w:tc>
        <w:tc>
          <w:tcPr>
            <w:tcW w:w="10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5"/>
                <w:szCs w:val="15"/>
                <w:color w:val="auto"/>
              </w:rPr>
            </w:pPr>
          </w:p>
        </w:tc>
        <w:tc>
          <w:tcPr>
            <w:tcW w:w="9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1"/>
        </w:trPr>
        <w:tc>
          <w:tcPr>
            <w:tcW w:w="20" w:type="dxa"/>
            <w:vAlign w:val="bottom"/>
            <w:tcBorders>
              <w:bottom w:val="single" w:sz="8" w:color="CCEEFF"/>
            </w:tcBorders>
            <w:shd w:val="clear" w:color="auto" w:fill="CCEEFF"/>
          </w:tcPr>
          <w:p>
            <w:pPr>
              <w:spacing w:after="0"/>
              <w:rPr>
                <w:sz w:val="14"/>
                <w:szCs w:val="14"/>
                <w:color w:val="auto"/>
              </w:rPr>
            </w:pPr>
          </w:p>
        </w:tc>
        <w:tc>
          <w:tcPr>
            <w:tcW w:w="1280" w:type="dxa"/>
            <w:vAlign w:val="bottom"/>
            <w:tcBorders>
              <w:bottom w:val="single" w:sz="8" w:color="auto"/>
            </w:tcBorders>
            <w:gridSpan w:val="3"/>
            <w:shd w:val="clear" w:color="auto" w:fill="CCEEFF"/>
          </w:tcPr>
          <w:p>
            <w:pPr>
              <w:spacing w:after="0" w:line="129" w:lineRule="exact"/>
              <w:rPr>
                <w:sz w:val="20"/>
                <w:szCs w:val="20"/>
                <w:color w:val="auto"/>
              </w:rPr>
            </w:pPr>
            <w:r>
              <w:rPr>
                <w:rFonts w:ascii="Times New Roman" w:cs="Times New Roman" w:eastAsia="Times New Roman" w:hAnsi="Times New Roman"/>
                <w:sz w:val="14"/>
                <w:szCs w:val="14"/>
                <w:b w:val="1"/>
                <w:bCs w:val="1"/>
                <w:color w:val="auto"/>
                <w:w w:val="96"/>
              </w:rPr>
              <w:t>Maven Research, Inc.</w:t>
            </w:r>
          </w:p>
        </w:tc>
        <w:tc>
          <w:tcPr>
            <w:tcW w:w="2300" w:type="dxa"/>
            <w:vAlign w:val="bottom"/>
            <w:tcBorders>
              <w:bottom w:val="single" w:sz="8" w:color="CCEEFF"/>
            </w:tcBorders>
            <w:gridSpan w:val="2"/>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960" w:type="dxa"/>
            <w:vAlign w:val="bottom"/>
            <w:tcBorders>
              <w:bottom w:val="single" w:sz="8" w:color="CCEEFF"/>
            </w:tcBorders>
            <w:gridSpan w:val="2"/>
            <w:shd w:val="clear" w:color="auto" w:fill="CCEEFF"/>
          </w:tcPr>
          <w:p>
            <w:pPr>
              <w:jc w:val="center"/>
              <w:ind w:right="120"/>
              <w:spacing w:after="0" w:line="129" w:lineRule="exact"/>
              <w:rPr>
                <w:sz w:val="20"/>
                <w:szCs w:val="20"/>
                <w:color w:val="auto"/>
              </w:rPr>
            </w:pPr>
            <w:r>
              <w:rPr>
                <w:rFonts w:ascii="Times New Roman" w:cs="Times New Roman" w:eastAsia="Times New Roman" w:hAnsi="Times New Roman"/>
                <w:sz w:val="14"/>
                <w:szCs w:val="14"/>
                <w:color w:val="auto"/>
                <w:w w:val="98"/>
              </w:rPr>
              <w:t>San Francisco, CA</w:t>
            </w:r>
          </w:p>
        </w:tc>
        <w:tc>
          <w:tcPr>
            <w:tcW w:w="9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3600" w:type="dxa"/>
            <w:vAlign w:val="bottom"/>
            <w:gridSpan w:val="6"/>
          </w:tcPr>
          <w:p>
            <w:pPr>
              <w:ind w:left="20"/>
              <w:spacing w:after="0"/>
              <w:rPr>
                <w:sz w:val="20"/>
                <w:szCs w:val="20"/>
                <w:color w:val="auto"/>
              </w:rPr>
            </w:pPr>
            <w:r>
              <w:rPr>
                <w:rFonts w:ascii="Times New Roman" w:cs="Times New Roman" w:eastAsia="Times New Roman" w:hAnsi="Times New Roman"/>
                <w:sz w:val="14"/>
                <w:szCs w:val="14"/>
                <w:color w:val="auto"/>
              </w:rPr>
              <w:t>Preferred shares, Series C 8%</w:t>
            </w:r>
          </w:p>
        </w:tc>
        <w:tc>
          <w:tcPr>
            <w:tcW w:w="100" w:type="dxa"/>
            <w:vAlign w:val="bottom"/>
          </w:tcPr>
          <w:p>
            <w:pPr>
              <w:spacing w:after="0"/>
              <w:rPr>
                <w:sz w:val="16"/>
                <w:szCs w:val="16"/>
                <w:color w:val="auto"/>
              </w:rPr>
            </w:pPr>
          </w:p>
        </w:tc>
        <w:tc>
          <w:tcPr>
            <w:tcW w:w="19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Knowledge Networks</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7/2/2012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318,979</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2,000,447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202"/>
        </w:trPr>
        <w:tc>
          <w:tcPr>
            <w:tcW w:w="3600" w:type="dxa"/>
            <w:vAlign w:val="bottom"/>
            <w:gridSpan w:val="6"/>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Preferred shares, Series B 5%</w:t>
            </w:r>
          </w:p>
        </w:tc>
        <w:tc>
          <w:tcPr>
            <w:tcW w:w="10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2/28/2012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49,505</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217,206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80"/>
        </w:trPr>
        <w:tc>
          <w:tcPr>
            <w:tcW w:w="20" w:type="dxa"/>
            <w:vAlign w:val="bottom"/>
            <w:tcBorders>
              <w:top w:val="single" w:sz="8" w:color="CCEEFF"/>
              <w:bottom w:val="single" w:sz="8" w:color="CCEEFF"/>
            </w:tcBorders>
          </w:tcPr>
          <w:p>
            <w:pPr>
              <w:spacing w:after="0"/>
              <w:rPr>
                <w:sz w:val="15"/>
                <w:szCs w:val="15"/>
                <w:color w:val="auto"/>
              </w:rPr>
            </w:pPr>
          </w:p>
        </w:tc>
        <w:tc>
          <w:tcPr>
            <w:tcW w:w="3580" w:type="dxa"/>
            <w:vAlign w:val="bottom"/>
            <w:tcBorders>
              <w:top w:val="single" w:sz="8" w:color="CCEEFF"/>
              <w:bottom w:val="single" w:sz="8" w:color="CCEEFF"/>
            </w:tcBorders>
            <w:gridSpan w:val="5"/>
          </w:tcPr>
          <w:p>
            <w:pPr>
              <w:ind w:left="120"/>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tcBorders>
              <w:bottom w:val="single" w:sz="8" w:color="CCEEFF"/>
            </w:tcBorders>
          </w:tcPr>
          <w:p>
            <w:pPr>
              <w:spacing w:after="0"/>
              <w:rPr>
                <w:sz w:val="15"/>
                <w:szCs w:val="15"/>
                <w:color w:val="auto"/>
              </w:rPr>
            </w:pPr>
          </w:p>
        </w:tc>
        <w:tc>
          <w:tcPr>
            <w:tcW w:w="1860" w:type="dxa"/>
            <w:vAlign w:val="bottom"/>
            <w:tcBorders>
              <w:top w:val="single" w:sz="8" w:color="CCEEFF"/>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960" w:type="dxa"/>
            <w:vAlign w:val="bottom"/>
            <w:tcBorders>
              <w:top w:val="single" w:sz="8" w:color="CCEEFF"/>
              <w:bottom w:val="single" w:sz="8" w:color="CCEEFF"/>
            </w:tcBorders>
          </w:tcPr>
          <w:p>
            <w:pPr>
              <w:spacing w:after="0"/>
              <w:rPr>
                <w:sz w:val="15"/>
                <w:szCs w:val="15"/>
                <w:color w:val="auto"/>
              </w:rPr>
            </w:pPr>
          </w:p>
        </w:tc>
        <w:tc>
          <w:tcPr>
            <w:tcW w:w="100" w:type="dxa"/>
            <w:vAlign w:val="bottom"/>
            <w:tcBorders>
              <w:top w:val="single" w:sz="8" w:color="CCEEFF"/>
              <w:bottom w:val="single" w:sz="8" w:color="CCEEFF"/>
            </w:tcBorders>
          </w:tcPr>
          <w:p>
            <w:pPr>
              <w:spacing w:after="0"/>
              <w:rPr>
                <w:sz w:val="15"/>
                <w:szCs w:val="15"/>
                <w:color w:val="auto"/>
              </w:rPr>
            </w:pPr>
          </w:p>
        </w:tc>
        <w:tc>
          <w:tcPr>
            <w:tcW w:w="200" w:type="dxa"/>
            <w:vAlign w:val="bottom"/>
            <w:tcBorders>
              <w:top w:val="single" w:sz="8" w:color="CCEEFF"/>
              <w:bottom w:val="single" w:sz="8" w:color="CCEEFF"/>
            </w:tcBorders>
          </w:tcPr>
          <w:p>
            <w:pPr>
              <w:spacing w:after="0"/>
              <w:rPr>
                <w:sz w:val="15"/>
                <w:szCs w:val="15"/>
                <w:color w:val="auto"/>
              </w:rPr>
            </w:pPr>
          </w:p>
        </w:tc>
        <w:tc>
          <w:tcPr>
            <w:tcW w:w="920" w:type="dxa"/>
            <w:vAlign w:val="bottom"/>
            <w:tcBorders>
              <w:top w:val="single" w:sz="8" w:color="CCEEFF"/>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2,217,653</w:t>
            </w:r>
          </w:p>
        </w:tc>
        <w:tc>
          <w:tcPr>
            <w:tcW w:w="10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5"/>
                <w:szCs w:val="15"/>
                <w:color w:val="auto"/>
              </w:rPr>
            </w:pPr>
          </w:p>
        </w:tc>
        <w:tc>
          <w:tcPr>
            <w:tcW w:w="9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74"/>
        </w:trPr>
        <w:tc>
          <w:tcPr>
            <w:tcW w:w="20" w:type="dxa"/>
            <w:vAlign w:val="bottom"/>
            <w:shd w:val="clear" w:color="auto" w:fill="CCEEFF"/>
          </w:tcPr>
          <w:p>
            <w:pPr>
              <w:spacing w:after="0"/>
              <w:rPr>
                <w:sz w:val="15"/>
                <w:szCs w:val="15"/>
                <w:color w:val="auto"/>
              </w:rPr>
            </w:pPr>
          </w:p>
        </w:tc>
        <w:tc>
          <w:tcPr>
            <w:tcW w:w="3580" w:type="dxa"/>
            <w:vAlign w:val="bottom"/>
            <w:gridSpan w:val="5"/>
            <w:shd w:val="clear" w:color="auto" w:fill="CCEEFF"/>
          </w:tcPr>
          <w:p>
            <w:pPr>
              <w:spacing w:after="0" w:line="143" w:lineRule="exact"/>
              <w:rPr>
                <w:sz w:val="20"/>
                <w:szCs w:val="20"/>
                <w:color w:val="auto"/>
              </w:rPr>
            </w:pPr>
            <w:r>
              <w:rPr>
                <w:rFonts w:ascii="Times New Roman" w:cs="Times New Roman" w:eastAsia="Times New Roman" w:hAnsi="Times New Roman"/>
                <w:sz w:val="14"/>
                <w:szCs w:val="14"/>
                <w:b w:val="1"/>
                <w:bCs w:val="1"/>
                <w:color w:val="auto"/>
              </w:rPr>
              <w:t>Curious.com, Inc.</w:t>
            </w:r>
          </w:p>
        </w:tc>
        <w:tc>
          <w:tcPr>
            <w:tcW w:w="100" w:type="dxa"/>
            <w:vAlign w:val="bottom"/>
            <w:shd w:val="clear" w:color="auto" w:fill="CCEEFF"/>
          </w:tcPr>
          <w:p>
            <w:pPr>
              <w:spacing w:after="0"/>
              <w:rPr>
                <w:sz w:val="15"/>
                <w:szCs w:val="15"/>
                <w:color w:val="auto"/>
              </w:rPr>
            </w:pPr>
          </w:p>
        </w:tc>
        <w:tc>
          <w:tcPr>
            <w:tcW w:w="1860" w:type="dxa"/>
            <w:vAlign w:val="bottom"/>
            <w:shd w:val="clear" w:color="auto" w:fill="CCEEFF"/>
          </w:tcPr>
          <w:p>
            <w:pPr>
              <w:jc w:val="center"/>
              <w:spacing w:after="0" w:line="143" w:lineRule="exact"/>
              <w:rPr>
                <w:sz w:val="20"/>
                <w:szCs w:val="20"/>
                <w:color w:val="auto"/>
              </w:rPr>
            </w:pPr>
            <w:r>
              <w:rPr>
                <w:rFonts w:ascii="Times New Roman" w:cs="Times New Roman" w:eastAsia="Times New Roman" w:hAnsi="Times New Roman"/>
                <w:sz w:val="14"/>
                <w:szCs w:val="14"/>
                <w:color w:val="auto"/>
                <w:w w:val="97"/>
              </w:rPr>
              <w:t>Menlo Park, CA</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0" w:type="dxa"/>
            <w:vAlign w:val="bottom"/>
            <w:tcBorders>
              <w:top w:val="single" w:sz="8" w:color="CCEEFF"/>
            </w:tcBorders>
          </w:tcPr>
          <w:p>
            <w:pPr>
              <w:spacing w:after="0"/>
              <w:rPr>
                <w:sz w:val="16"/>
                <w:szCs w:val="16"/>
                <w:color w:val="auto"/>
              </w:rPr>
            </w:pPr>
          </w:p>
        </w:tc>
        <w:tc>
          <w:tcPr>
            <w:tcW w:w="10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Common shares</w:t>
            </w:r>
          </w:p>
        </w:tc>
        <w:tc>
          <w:tcPr>
            <w:tcW w:w="2540" w:type="dxa"/>
            <w:vAlign w:val="bottom"/>
            <w:tcBorders>
              <w:top w:val="single" w:sz="8" w:color="CCEEFF"/>
            </w:tcBorders>
            <w:gridSpan w:val="3"/>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960" w:type="dxa"/>
            <w:vAlign w:val="bottom"/>
            <w:tcBorders>
              <w:top w:val="single" w:sz="8" w:color="CCEEFF"/>
            </w:tcBorders>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Online Education</w:t>
            </w:r>
          </w:p>
        </w:tc>
        <w:tc>
          <w:tcPr>
            <w:tcW w:w="960" w:type="dxa"/>
            <w:vAlign w:val="bottom"/>
            <w:tcBorders>
              <w:top w:val="single" w:sz="8" w:color="CCEEFF"/>
            </w:tcBorders>
          </w:tcPr>
          <w:p>
            <w:pPr>
              <w:jc w:val="center"/>
              <w:spacing w:after="0"/>
              <w:rPr>
                <w:sz w:val="20"/>
                <w:szCs w:val="20"/>
                <w:color w:val="auto"/>
              </w:rPr>
            </w:pPr>
            <w:r>
              <w:rPr>
                <w:rFonts w:ascii="Times New Roman" w:cs="Times New Roman" w:eastAsia="Times New Roman" w:hAnsi="Times New Roman"/>
                <w:sz w:val="14"/>
                <w:szCs w:val="14"/>
                <w:color w:val="auto"/>
                <w:w w:val="97"/>
              </w:rPr>
              <w:t>11/22/2013</w:t>
            </w:r>
          </w:p>
        </w:tc>
        <w:tc>
          <w:tcPr>
            <w:tcW w:w="10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9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1,135,944</w:t>
            </w:r>
          </w:p>
        </w:tc>
        <w:tc>
          <w:tcPr>
            <w:tcW w:w="100" w:type="dxa"/>
            <w:vAlign w:val="bottom"/>
            <w:tcBorders>
              <w:top w:val="single" w:sz="8" w:color="CCEEFF"/>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8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12,000,006</w:t>
            </w:r>
          </w:p>
        </w:tc>
        <w:tc>
          <w:tcPr>
            <w:tcW w:w="10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020" w:type="dxa"/>
            <w:vAlign w:val="bottom"/>
            <w:tcBorders>
              <w:top w:val="single" w:sz="8" w:color="CCEEFF"/>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215"/>
        </w:trPr>
        <w:tc>
          <w:tcPr>
            <w:tcW w:w="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-1272540</wp:posOffset>
            </wp:positionV>
            <wp:extent cx="3523615" cy="1314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523615" cy="13144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-3021965</wp:posOffset>
            </wp:positionV>
            <wp:extent cx="4977765" cy="1314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977765" cy="13144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3520" w:type="dxa"/>
            <w:vAlign w:val="bottom"/>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Total Non-controlled/Affiliate</w:t>
            </w:r>
          </w:p>
        </w:tc>
        <w:tc>
          <w:tcPr>
            <w:tcW w:w="2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41,211,183</w:t>
            </w:r>
          </w:p>
        </w:tc>
        <w:tc>
          <w:tcPr>
            <w:tcW w:w="100" w:type="dxa"/>
            <w:vAlign w:val="bottom"/>
          </w:tcPr>
          <w:p>
            <w:pPr>
              <w:spacing w:after="0"/>
              <w:rPr>
                <w:sz w:val="16"/>
                <w:szCs w:val="16"/>
                <w:color w:val="auto"/>
              </w:rPr>
            </w:pP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14,609,089</w:t>
            </w:r>
          </w:p>
        </w:tc>
        <w:tc>
          <w:tcPr>
            <w:tcW w:w="100" w:type="dxa"/>
            <w:vAlign w:val="bottom"/>
          </w:tcPr>
          <w:p>
            <w:pPr>
              <w:spacing w:after="0"/>
              <w:rPr>
                <w:sz w:val="16"/>
                <w:szCs w:val="16"/>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4.01 %</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3540" w:type="dxa"/>
            <w:vAlign w:val="bottom"/>
            <w:gridSpan w:val="5"/>
          </w:tcPr>
          <w:p>
            <w:pPr>
              <w:ind w:left="20"/>
              <w:spacing w:after="0" w:line="194" w:lineRule="exact"/>
              <w:rPr>
                <w:sz w:val="20"/>
                <w:szCs w:val="20"/>
                <w:color w:val="auto"/>
              </w:rPr>
            </w:pPr>
            <w:r>
              <w:rPr>
                <w:rFonts w:ascii="Times New Roman" w:cs="Times New Roman" w:eastAsia="Times New Roman" w:hAnsi="Times New Roman"/>
                <w:sz w:val="14"/>
                <w:szCs w:val="14"/>
                <w:b w:val="1"/>
                <w:bCs w:val="1"/>
                <w:color w:val="auto"/>
              </w:rPr>
              <w:t>CONTROLLED</w:t>
            </w:r>
            <w:r>
              <w:rPr>
                <w:rFonts w:ascii="Times New Roman" w:cs="Times New Roman" w:eastAsia="Times New Roman" w:hAnsi="Times New Roman"/>
                <w:sz w:val="17"/>
                <w:szCs w:val="17"/>
                <w:b w:val="1"/>
                <w:bCs w:val="1"/>
                <w:color w:val="auto"/>
                <w:vertAlign w:val="superscript"/>
              </w:rPr>
              <w:t>(2)</w:t>
            </w:r>
          </w:p>
        </w:tc>
        <w:tc>
          <w:tcPr>
            <w:tcW w:w="2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shd w:val="clear" w:color="auto" w:fill="CCEEFF"/>
          </w:tcPr>
          <w:p>
            <w:pPr>
              <w:spacing w:after="0"/>
              <w:rPr>
                <w:sz w:val="12"/>
                <w:szCs w:val="12"/>
                <w:color w:val="auto"/>
              </w:rPr>
            </w:pPr>
          </w:p>
        </w:tc>
        <w:tc>
          <w:tcPr>
            <w:tcW w:w="3520" w:type="dxa"/>
            <w:vAlign w:val="bottom"/>
            <w:gridSpan w:val="4"/>
            <w:shd w:val="clear" w:color="auto" w:fill="CCEEFF"/>
          </w:tcPr>
          <w:p>
            <w:pPr>
              <w:spacing w:after="0" w:line="143" w:lineRule="exact"/>
              <w:rPr>
                <w:sz w:val="20"/>
                <w:szCs w:val="20"/>
                <w:color w:val="auto"/>
              </w:rPr>
            </w:pPr>
            <w:r>
              <w:rPr>
                <w:rFonts w:ascii="Times New Roman" w:cs="Times New Roman" w:eastAsia="Times New Roman" w:hAnsi="Times New Roman"/>
                <w:sz w:val="14"/>
                <w:szCs w:val="14"/>
                <w:b w:val="1"/>
                <w:bCs w:val="1"/>
                <w:color w:val="auto"/>
              </w:rPr>
              <w:t>Architect Capital PayJoy SPV, LLC**</w:t>
            </w:r>
          </w:p>
        </w:tc>
        <w:tc>
          <w:tcPr>
            <w:tcW w:w="2100" w:type="dxa"/>
            <w:vAlign w:val="bottom"/>
            <w:shd w:val="clear" w:color="auto" w:fill="CCEEFF"/>
          </w:tcPr>
          <w:p>
            <w:pPr>
              <w:jc w:val="center"/>
              <w:spacing w:after="0" w:line="143" w:lineRule="exact"/>
              <w:rPr>
                <w:sz w:val="20"/>
                <w:szCs w:val="20"/>
                <w:color w:val="auto"/>
              </w:rPr>
            </w:pPr>
            <w:r>
              <w:rPr>
                <w:rFonts w:ascii="Times New Roman" w:cs="Times New Roman" w:eastAsia="Times New Roman" w:hAnsi="Times New Roman"/>
                <w:sz w:val="14"/>
                <w:szCs w:val="14"/>
                <w:color w:val="auto"/>
                <w:w w:val="98"/>
              </w:rPr>
              <w:t>San Francisco, CA</w:t>
            </w:r>
          </w:p>
        </w:tc>
        <w:tc>
          <w:tcPr>
            <w:tcW w:w="9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20" w:type="dxa"/>
            <w:vAlign w:val="bottom"/>
            <w:tcBorders>
              <w:top w:val="single" w:sz="8" w:color="CCEEFF"/>
            </w:tcBorders>
            <w:shd w:val="clear" w:color="auto" w:fill="CCEEFF"/>
          </w:tcPr>
          <w:p>
            <w:pPr>
              <w:spacing w:after="0"/>
              <w:rPr>
                <w:sz w:val="2"/>
                <w:szCs w:val="2"/>
                <w:color w:val="auto"/>
              </w:rPr>
            </w:pPr>
          </w:p>
        </w:tc>
        <w:tc>
          <w:tcPr>
            <w:tcW w:w="1460" w:type="dxa"/>
            <w:vAlign w:val="bottom"/>
            <w:tcBorders>
              <w:top w:val="single" w:sz="8" w:color="auto"/>
            </w:tcBorders>
            <w:shd w:val="clear" w:color="auto" w:fill="CCEEFF"/>
          </w:tcPr>
          <w:p>
            <w:pPr>
              <w:spacing w:after="0"/>
              <w:rPr>
                <w:sz w:val="2"/>
                <w:szCs w:val="2"/>
                <w:color w:val="auto"/>
              </w:rPr>
            </w:pPr>
          </w:p>
        </w:tc>
        <w:tc>
          <w:tcPr>
            <w:tcW w:w="660" w:type="dxa"/>
            <w:vAlign w:val="bottom"/>
            <w:tcBorders>
              <w:top w:val="single" w:sz="8" w:color="auto"/>
            </w:tcBorders>
            <w:shd w:val="clear" w:color="auto" w:fill="CCEEFF"/>
          </w:tcPr>
          <w:p>
            <w:pPr>
              <w:spacing w:after="0"/>
              <w:rPr>
                <w:sz w:val="2"/>
                <w:szCs w:val="2"/>
                <w:color w:val="auto"/>
              </w:rPr>
            </w:pPr>
          </w:p>
        </w:tc>
        <w:tc>
          <w:tcPr>
            <w:tcW w:w="108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2100" w:type="dxa"/>
            <w:vAlign w:val="bottom"/>
            <w:tcBorders>
              <w:top w:val="single" w:sz="8" w:color="CCEEFF"/>
            </w:tcBorders>
            <w:shd w:val="clear" w:color="auto" w:fill="CCEEFF"/>
          </w:tcPr>
          <w:p>
            <w:pPr>
              <w:spacing w:after="0"/>
              <w:rPr>
                <w:sz w:val="2"/>
                <w:szCs w:val="2"/>
                <w:color w:val="auto"/>
              </w:rPr>
            </w:pPr>
          </w:p>
        </w:tc>
        <w:tc>
          <w:tcPr>
            <w:tcW w:w="94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96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8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8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3520" w:type="dxa"/>
            <w:vAlign w:val="bottom"/>
            <w:gridSpan w:val="4"/>
          </w:tcPr>
          <w:p>
            <w:pPr>
              <w:spacing w:after="0" w:line="194" w:lineRule="exact"/>
              <w:rPr>
                <w:sz w:val="20"/>
                <w:szCs w:val="20"/>
                <w:color w:val="auto"/>
              </w:rPr>
            </w:pPr>
            <w:r>
              <w:rPr>
                <w:rFonts w:ascii="Times New Roman" w:cs="Times New Roman" w:eastAsia="Times New Roman" w:hAnsi="Times New Roman"/>
                <w:sz w:val="14"/>
                <w:szCs w:val="14"/>
                <w:color w:val="auto"/>
              </w:rPr>
              <w:t>Membership Interest in Lending SPV***</w:t>
            </w:r>
            <w:r>
              <w:rPr>
                <w:rFonts w:ascii="Times New Roman" w:cs="Times New Roman" w:eastAsia="Times New Roman" w:hAnsi="Times New Roman"/>
                <w:sz w:val="17"/>
                <w:szCs w:val="17"/>
                <w:color w:val="auto"/>
                <w:vertAlign w:val="superscript"/>
              </w:rPr>
              <w:t>(15)</w:t>
            </w:r>
          </w:p>
        </w:tc>
        <w:tc>
          <w:tcPr>
            <w:tcW w:w="2100" w:type="dxa"/>
            <w:vAlign w:val="bottom"/>
          </w:tcPr>
          <w:p>
            <w:pPr>
              <w:jc w:val="center"/>
              <w:ind w:left="11"/>
              <w:spacing w:after="0"/>
              <w:rPr>
                <w:sz w:val="20"/>
                <w:szCs w:val="20"/>
                <w:color w:val="auto"/>
              </w:rPr>
            </w:pPr>
            <w:r>
              <w:rPr>
                <w:rFonts w:ascii="Times New Roman" w:cs="Times New Roman" w:eastAsia="Times New Roman" w:hAnsi="Times New Roman"/>
                <w:sz w:val="14"/>
                <w:szCs w:val="14"/>
                <w:color w:val="auto"/>
                <w:w w:val="97"/>
              </w:rPr>
              <w:t>Mobile Finance Technology</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3/24/2021</w:t>
            </w:r>
          </w:p>
        </w:tc>
        <w:tc>
          <w:tcPr>
            <w:tcW w:w="40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10,000,000</w:t>
            </w:r>
          </w:p>
        </w:tc>
        <w:tc>
          <w:tcPr>
            <w:tcW w:w="22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10,006,745</w:t>
            </w:r>
          </w:p>
        </w:tc>
        <w:tc>
          <w:tcPr>
            <w:tcW w:w="100" w:type="dxa"/>
            <w:vAlign w:val="bottom"/>
          </w:tcPr>
          <w:p>
            <w:pPr>
              <w:spacing w:after="0"/>
              <w:rPr>
                <w:sz w:val="16"/>
                <w:szCs w:val="16"/>
                <w:color w:val="auto"/>
              </w:rPr>
            </w:pP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10,000,000</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2.74</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4"/>
        </w:trPr>
        <w:tc>
          <w:tcPr>
            <w:tcW w:w="20" w:type="dxa"/>
            <w:vAlign w:val="bottom"/>
            <w:shd w:val="clear" w:color="auto" w:fill="CCEEFF"/>
          </w:tcPr>
          <w:p>
            <w:pPr>
              <w:spacing w:after="0"/>
              <w:rPr>
                <w:sz w:val="15"/>
                <w:szCs w:val="15"/>
                <w:color w:val="auto"/>
              </w:rPr>
            </w:pPr>
          </w:p>
        </w:tc>
        <w:tc>
          <w:tcPr>
            <w:tcW w:w="3520" w:type="dxa"/>
            <w:vAlign w:val="bottom"/>
            <w:gridSpan w:val="4"/>
            <w:shd w:val="clear" w:color="auto" w:fill="CCEEFF"/>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Colombier Sponsor LLC**</w:t>
            </w:r>
            <w:r>
              <w:rPr>
                <w:rFonts w:ascii="Times New Roman" w:cs="Times New Roman" w:eastAsia="Times New Roman" w:hAnsi="Times New Roman"/>
                <w:sz w:val="16"/>
                <w:szCs w:val="16"/>
                <w:b w:val="1"/>
                <w:bCs w:val="1"/>
                <w:color w:val="auto"/>
                <w:vertAlign w:val="superscript"/>
              </w:rPr>
              <w:t>(17)</w:t>
            </w:r>
          </w:p>
        </w:tc>
        <w:tc>
          <w:tcPr>
            <w:tcW w:w="2100" w:type="dxa"/>
            <w:vAlign w:val="bottom"/>
            <w:shd w:val="clear" w:color="auto" w:fill="CCEEFF"/>
          </w:tcPr>
          <w:p>
            <w:pPr>
              <w:jc w:val="center"/>
              <w:ind w:left="11"/>
              <w:spacing w:after="0" w:line="143" w:lineRule="exact"/>
              <w:rPr>
                <w:sz w:val="20"/>
                <w:szCs w:val="20"/>
                <w:color w:val="auto"/>
              </w:rPr>
            </w:pPr>
            <w:r>
              <w:rPr>
                <w:rFonts w:ascii="Times New Roman" w:cs="Times New Roman" w:eastAsia="Times New Roman" w:hAnsi="Times New Roman"/>
                <w:sz w:val="14"/>
                <w:szCs w:val="14"/>
                <w:color w:val="auto"/>
                <w:w w:val="95"/>
              </w:rPr>
              <w:t>New York, NY</w:t>
            </w:r>
          </w:p>
        </w:tc>
        <w:tc>
          <w:tcPr>
            <w:tcW w:w="9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Borders>
              <w:top w:val="single" w:sz="8" w:color="CCEEFF"/>
            </w:tcBorders>
            <w:vMerge w:val="restart"/>
          </w:tcPr>
          <w:p>
            <w:pPr>
              <w:spacing w:after="0"/>
              <w:rPr>
                <w:sz w:val="11"/>
                <w:szCs w:val="11"/>
                <w:color w:val="auto"/>
              </w:rPr>
            </w:pPr>
          </w:p>
        </w:tc>
        <w:tc>
          <w:tcPr>
            <w:tcW w:w="1460" w:type="dxa"/>
            <w:vAlign w:val="bottom"/>
            <w:tcBorders>
              <w:top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Class B Units</w:t>
            </w:r>
          </w:p>
        </w:tc>
        <w:tc>
          <w:tcPr>
            <w:tcW w:w="2060" w:type="dxa"/>
            <w:vAlign w:val="bottom"/>
            <w:tcBorders>
              <w:top w:val="single" w:sz="8" w:color="CCEEFF"/>
            </w:tcBorders>
            <w:gridSpan w:val="3"/>
            <w:vMerge w:val="restart"/>
          </w:tcPr>
          <w:p>
            <w:pPr>
              <w:spacing w:after="0"/>
              <w:rPr>
                <w:sz w:val="11"/>
                <w:szCs w:val="11"/>
                <w:color w:val="auto"/>
              </w:rPr>
            </w:pPr>
          </w:p>
        </w:tc>
        <w:tc>
          <w:tcPr>
            <w:tcW w:w="2100" w:type="dxa"/>
            <w:vAlign w:val="bottom"/>
            <w:tcBorders>
              <w:top w:val="single" w:sz="8" w:color="CCEEFF"/>
            </w:tcBorders>
          </w:tcPr>
          <w:p>
            <w:pPr>
              <w:jc w:val="center"/>
              <w:spacing w:after="0" w:line="129" w:lineRule="exact"/>
              <w:rPr>
                <w:sz w:val="20"/>
                <w:szCs w:val="20"/>
                <w:color w:val="auto"/>
              </w:rPr>
            </w:pPr>
            <w:r>
              <w:rPr>
                <w:rFonts w:ascii="Times New Roman" w:cs="Times New Roman" w:eastAsia="Times New Roman" w:hAnsi="Times New Roman"/>
                <w:sz w:val="14"/>
                <w:szCs w:val="14"/>
                <w:color w:val="auto"/>
                <w:w w:val="98"/>
              </w:rPr>
              <w:t>Special Purpose Acquisition</w:t>
            </w:r>
          </w:p>
        </w:tc>
        <w:tc>
          <w:tcPr>
            <w:tcW w:w="940" w:type="dxa"/>
            <w:vAlign w:val="bottom"/>
            <w:tcBorders>
              <w:top w:val="single" w:sz="8" w:color="CCEEFF"/>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6"/>
              </w:rPr>
              <w:t>4/1/2021</w:t>
            </w:r>
          </w:p>
        </w:tc>
        <w:tc>
          <w:tcPr>
            <w:tcW w:w="400" w:type="dxa"/>
            <w:vAlign w:val="bottom"/>
            <w:tcBorders>
              <w:top w:val="single" w:sz="8" w:color="CCEEFF"/>
            </w:tcBorders>
          </w:tcPr>
          <w:p>
            <w:pPr>
              <w:spacing w:after="0"/>
              <w:rPr>
                <w:sz w:val="11"/>
                <w:szCs w:val="11"/>
                <w:color w:val="auto"/>
              </w:rPr>
            </w:pPr>
          </w:p>
        </w:tc>
        <w:tc>
          <w:tcPr>
            <w:tcW w:w="960" w:type="dxa"/>
            <w:vAlign w:val="bottom"/>
            <w:tcBorders>
              <w:top w:val="single" w:sz="8" w:color="CCEEFF"/>
            </w:tcBorders>
            <w:vMerge w:val="restart"/>
          </w:tcPr>
          <w:p>
            <w:pPr>
              <w:jc w:val="right"/>
              <w:ind w:right="91"/>
              <w:spacing w:after="0"/>
              <w:rPr>
                <w:sz w:val="20"/>
                <w:szCs w:val="20"/>
                <w:color w:val="auto"/>
              </w:rPr>
            </w:pPr>
            <w:r>
              <w:rPr>
                <w:rFonts w:ascii="Times New Roman" w:cs="Times New Roman" w:eastAsia="Times New Roman" w:hAnsi="Times New Roman"/>
                <w:sz w:val="14"/>
                <w:szCs w:val="14"/>
                <w:color w:val="auto"/>
              </w:rPr>
              <w:t>1,976,033</w:t>
            </w:r>
          </w:p>
        </w:tc>
        <w:tc>
          <w:tcPr>
            <w:tcW w:w="220" w:type="dxa"/>
            <w:vAlign w:val="bottom"/>
            <w:tcBorders>
              <w:top w:val="single" w:sz="8" w:color="CCEEFF"/>
            </w:tcBorders>
          </w:tcPr>
          <w:p>
            <w:pPr>
              <w:spacing w:after="0"/>
              <w:rPr>
                <w:sz w:val="11"/>
                <w:szCs w:val="11"/>
                <w:color w:val="auto"/>
              </w:rPr>
            </w:pPr>
          </w:p>
        </w:tc>
        <w:tc>
          <w:tcPr>
            <w:tcW w:w="880" w:type="dxa"/>
            <w:vAlign w:val="bottom"/>
            <w:tcBorders>
              <w:top w:val="single" w:sz="8" w:color="CCEEFF"/>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1,556,587</w:t>
            </w:r>
          </w:p>
        </w:tc>
        <w:tc>
          <w:tcPr>
            <w:tcW w:w="100" w:type="dxa"/>
            <w:vAlign w:val="bottom"/>
            <w:tcBorders>
              <w:top w:val="single" w:sz="8" w:color="CCEEFF"/>
            </w:tcBorders>
          </w:tcPr>
          <w:p>
            <w:pPr>
              <w:spacing w:after="0"/>
              <w:rPr>
                <w:sz w:val="11"/>
                <w:szCs w:val="11"/>
                <w:color w:val="auto"/>
              </w:rPr>
            </w:pPr>
          </w:p>
        </w:tc>
        <w:tc>
          <w:tcPr>
            <w:tcW w:w="200" w:type="dxa"/>
            <w:vAlign w:val="bottom"/>
            <w:tcBorders>
              <w:top w:val="single" w:sz="8" w:color="CCEEFF"/>
            </w:tcBorders>
          </w:tcPr>
          <w:p>
            <w:pPr>
              <w:spacing w:after="0"/>
              <w:rPr>
                <w:sz w:val="11"/>
                <w:szCs w:val="11"/>
                <w:color w:val="auto"/>
              </w:rPr>
            </w:pPr>
          </w:p>
        </w:tc>
        <w:tc>
          <w:tcPr>
            <w:tcW w:w="880" w:type="dxa"/>
            <w:vAlign w:val="bottom"/>
            <w:tcBorders>
              <w:top w:val="single" w:sz="8" w:color="CCEEFF"/>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1,554,354</w:t>
            </w:r>
          </w:p>
        </w:tc>
        <w:tc>
          <w:tcPr>
            <w:tcW w:w="100" w:type="dxa"/>
            <w:vAlign w:val="bottom"/>
            <w:tcBorders>
              <w:top w:val="single" w:sz="8" w:color="CCEEFF"/>
            </w:tcBorders>
          </w:tcPr>
          <w:p>
            <w:pPr>
              <w:spacing w:after="0"/>
              <w:rPr>
                <w:sz w:val="11"/>
                <w:szCs w:val="11"/>
                <w:color w:val="auto"/>
              </w:rPr>
            </w:pPr>
          </w:p>
        </w:tc>
        <w:tc>
          <w:tcPr>
            <w:tcW w:w="760" w:type="dxa"/>
            <w:vAlign w:val="bottom"/>
            <w:tcBorders>
              <w:top w:val="single" w:sz="8" w:color="CCEEFF"/>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0.43</w:t>
            </w:r>
          </w:p>
        </w:tc>
        <w:tc>
          <w:tcPr>
            <w:tcW w:w="160" w:type="dxa"/>
            <w:vAlign w:val="bottom"/>
            <w:tcBorders>
              <w:top w:val="single" w:sz="8" w:color="CCEEFF"/>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6"/>
        </w:trPr>
        <w:tc>
          <w:tcPr>
            <w:tcW w:w="20" w:type="dxa"/>
            <w:vAlign w:val="bottom"/>
            <w:vMerge w:val="continue"/>
          </w:tcPr>
          <w:p>
            <w:pPr>
              <w:spacing w:after="0"/>
              <w:rPr>
                <w:sz w:val="16"/>
                <w:szCs w:val="16"/>
                <w:color w:val="auto"/>
              </w:rPr>
            </w:pPr>
          </w:p>
        </w:tc>
        <w:tc>
          <w:tcPr>
            <w:tcW w:w="1460" w:type="dxa"/>
            <w:vAlign w:val="bottom"/>
            <w:vMerge w:val="continue"/>
          </w:tcPr>
          <w:p>
            <w:pPr>
              <w:spacing w:after="0"/>
              <w:rPr>
                <w:sz w:val="16"/>
                <w:szCs w:val="16"/>
                <w:color w:val="auto"/>
              </w:rPr>
            </w:pPr>
          </w:p>
        </w:tc>
        <w:tc>
          <w:tcPr>
            <w:tcW w:w="2060" w:type="dxa"/>
            <w:vAlign w:val="bottom"/>
            <w:gridSpan w:val="3"/>
            <w:vMerge w:val="continue"/>
          </w:tcPr>
          <w:p>
            <w:pPr>
              <w:spacing w:after="0"/>
              <w:rPr>
                <w:sz w:val="16"/>
                <w:szCs w:val="16"/>
                <w:color w:val="auto"/>
              </w:rPr>
            </w:pPr>
          </w:p>
        </w:tc>
        <w:tc>
          <w:tcPr>
            <w:tcW w:w="2100" w:type="dxa"/>
            <w:vAlign w:val="bottom"/>
          </w:tcPr>
          <w:p>
            <w:pPr>
              <w:jc w:val="center"/>
              <w:ind w:left="11"/>
              <w:spacing w:after="0"/>
              <w:rPr>
                <w:sz w:val="20"/>
                <w:szCs w:val="20"/>
                <w:color w:val="auto"/>
              </w:rPr>
            </w:pPr>
            <w:r>
              <w:rPr>
                <w:rFonts w:ascii="Times New Roman" w:cs="Times New Roman" w:eastAsia="Times New Roman" w:hAnsi="Times New Roman"/>
                <w:sz w:val="14"/>
                <w:szCs w:val="14"/>
                <w:color w:val="auto"/>
                <w:w w:val="99"/>
              </w:rPr>
              <w:t>Company</w:t>
            </w:r>
          </w:p>
        </w:tc>
        <w:tc>
          <w:tcPr>
            <w:tcW w:w="940" w:type="dxa"/>
            <w:vAlign w:val="bottom"/>
            <w:vMerge w:val="continue"/>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354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Class W Units</w:t>
            </w:r>
          </w:p>
        </w:tc>
        <w:tc>
          <w:tcPr>
            <w:tcW w:w="2100" w:type="dxa"/>
            <w:vAlign w:val="bottom"/>
            <w:shd w:val="clear" w:color="auto" w:fill="CCEEFF"/>
          </w:tcPr>
          <w:p>
            <w:pPr>
              <w:spacing w:after="0"/>
              <w:rPr>
                <w:sz w:val="17"/>
                <w:szCs w:val="17"/>
                <w:color w:val="auto"/>
              </w:rPr>
            </w:pP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4/1/2021</w:t>
            </w:r>
          </w:p>
        </w:tc>
        <w:tc>
          <w:tcPr>
            <w:tcW w:w="40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2,700,000</w:t>
            </w:r>
          </w:p>
        </w:tc>
        <w:tc>
          <w:tcPr>
            <w:tcW w:w="2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1,159,150</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1,157,487</w:t>
            </w:r>
          </w:p>
        </w:tc>
        <w:tc>
          <w:tcPr>
            <w:tcW w:w="100" w:type="dxa"/>
            <w:vAlign w:val="bottom"/>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0.32</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20" w:type="dxa"/>
            <w:vAlign w:val="bottom"/>
            <w:tcBorders>
              <w:bottom w:val="single" w:sz="8" w:color="CCEEFF"/>
            </w:tcBorders>
          </w:tcPr>
          <w:p>
            <w:pPr>
              <w:spacing w:after="0"/>
              <w:rPr>
                <w:sz w:val="15"/>
                <w:szCs w:val="15"/>
                <w:color w:val="auto"/>
              </w:rPr>
            </w:pPr>
          </w:p>
        </w:tc>
        <w:tc>
          <w:tcPr>
            <w:tcW w:w="3520" w:type="dxa"/>
            <w:vAlign w:val="bottom"/>
            <w:tcBorders>
              <w:bottom w:val="single" w:sz="8" w:color="CCEEFF"/>
            </w:tcBorders>
            <w:gridSpan w:val="4"/>
          </w:tcPr>
          <w:p>
            <w:pPr>
              <w:ind w:left="120"/>
              <w:spacing w:after="0"/>
              <w:rPr>
                <w:sz w:val="20"/>
                <w:szCs w:val="20"/>
                <w:color w:val="auto"/>
              </w:rPr>
            </w:pPr>
            <w:r>
              <w:rPr>
                <w:rFonts w:ascii="Times New Roman" w:cs="Times New Roman" w:eastAsia="Times New Roman" w:hAnsi="Times New Roman"/>
                <w:sz w:val="14"/>
                <w:szCs w:val="14"/>
                <w:color w:val="auto"/>
              </w:rPr>
              <w:t>Total</w:t>
            </w:r>
          </w:p>
        </w:tc>
        <w:tc>
          <w:tcPr>
            <w:tcW w:w="2100" w:type="dxa"/>
            <w:vAlign w:val="bottom"/>
            <w:tcBorders>
              <w:bottom w:val="single" w:sz="8" w:color="CCEEFF"/>
            </w:tcBorders>
          </w:tcPr>
          <w:p>
            <w:pPr>
              <w:spacing w:after="0"/>
              <w:rPr>
                <w:sz w:val="15"/>
                <w:szCs w:val="15"/>
                <w:color w:val="auto"/>
              </w:rPr>
            </w:pPr>
          </w:p>
        </w:tc>
        <w:tc>
          <w:tcPr>
            <w:tcW w:w="940" w:type="dxa"/>
            <w:vAlign w:val="bottom"/>
            <w:tcBorders>
              <w:bottom w:val="single" w:sz="8" w:color="CCEEFF"/>
            </w:tcBorders>
          </w:tcPr>
          <w:p>
            <w:pPr>
              <w:spacing w:after="0"/>
              <w:rPr>
                <w:sz w:val="15"/>
                <w:szCs w:val="15"/>
                <w:color w:val="auto"/>
              </w:rPr>
            </w:pPr>
          </w:p>
        </w:tc>
        <w:tc>
          <w:tcPr>
            <w:tcW w:w="400" w:type="dxa"/>
            <w:vAlign w:val="bottom"/>
            <w:tcBorders>
              <w:bottom w:val="single" w:sz="8" w:color="CCEEFF"/>
            </w:tcBorders>
          </w:tcPr>
          <w:p>
            <w:pPr>
              <w:spacing w:after="0"/>
              <w:rPr>
                <w:sz w:val="15"/>
                <w:szCs w:val="15"/>
                <w:color w:val="auto"/>
              </w:rPr>
            </w:pPr>
          </w:p>
        </w:tc>
        <w:tc>
          <w:tcPr>
            <w:tcW w:w="96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2,715,737</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2,711,841</w:t>
            </w:r>
          </w:p>
        </w:tc>
        <w:tc>
          <w:tcPr>
            <w:tcW w:w="10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0.75</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1"/>
        </w:trPr>
        <w:tc>
          <w:tcPr>
            <w:tcW w:w="20" w:type="dxa"/>
            <w:vAlign w:val="bottom"/>
            <w:shd w:val="clear" w:color="auto" w:fill="CCEEFF"/>
          </w:tcPr>
          <w:p>
            <w:pPr>
              <w:spacing w:after="0"/>
              <w:rPr>
                <w:sz w:val="14"/>
                <w:szCs w:val="14"/>
                <w:color w:val="auto"/>
              </w:rPr>
            </w:pPr>
          </w:p>
        </w:tc>
        <w:tc>
          <w:tcPr>
            <w:tcW w:w="3520" w:type="dxa"/>
            <w:vAlign w:val="bottom"/>
            <w:gridSpan w:val="4"/>
            <w:shd w:val="clear" w:color="auto" w:fill="CCEEFF"/>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SPBRX, INC. (f/k/a GSV Sustainability Partners, Inc.)</w:t>
            </w:r>
          </w:p>
        </w:tc>
        <w:tc>
          <w:tcPr>
            <w:tcW w:w="2100" w:type="dxa"/>
            <w:vAlign w:val="bottom"/>
            <w:shd w:val="clear" w:color="auto" w:fill="CCEEFF"/>
          </w:tcPr>
          <w:p>
            <w:pPr>
              <w:jc w:val="center"/>
              <w:ind w:left="11"/>
              <w:spacing w:after="0" w:line="129" w:lineRule="exact"/>
              <w:rPr>
                <w:sz w:val="20"/>
                <w:szCs w:val="20"/>
                <w:color w:val="auto"/>
              </w:rPr>
            </w:pPr>
            <w:r>
              <w:rPr>
                <w:rFonts w:ascii="Times New Roman" w:cs="Times New Roman" w:eastAsia="Times New Roman" w:hAnsi="Times New Roman"/>
                <w:sz w:val="14"/>
                <w:szCs w:val="14"/>
                <w:color w:val="auto"/>
                <w:w w:val="99"/>
              </w:rPr>
              <w:t>Cupertino, CA</w:t>
            </w:r>
          </w:p>
        </w:tc>
        <w:tc>
          <w:tcPr>
            <w:tcW w:w="9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0" w:type="dxa"/>
            <w:vAlign w:val="bottom"/>
            <w:tcBorders>
              <w:top w:val="single" w:sz="8" w:color="CCEEFF"/>
            </w:tcBorders>
          </w:tcPr>
          <w:p>
            <w:pPr>
              <w:spacing w:after="0"/>
              <w:rPr>
                <w:sz w:val="16"/>
                <w:szCs w:val="16"/>
                <w:color w:val="auto"/>
              </w:rPr>
            </w:pPr>
          </w:p>
        </w:tc>
        <w:tc>
          <w:tcPr>
            <w:tcW w:w="3200" w:type="dxa"/>
            <w:vAlign w:val="bottom"/>
            <w:tcBorders>
              <w:top w:val="single" w:sz="8" w:color="auto"/>
            </w:tcBorders>
            <w:gridSpan w:val="3"/>
          </w:tcPr>
          <w:p>
            <w:pPr>
              <w:spacing w:after="0" w:line="194" w:lineRule="exact"/>
              <w:rPr>
                <w:sz w:val="20"/>
                <w:szCs w:val="20"/>
                <w:color w:val="auto"/>
              </w:rPr>
            </w:pPr>
            <w:r>
              <w:rPr>
                <w:rFonts w:ascii="Times New Roman" w:cs="Times New Roman" w:eastAsia="Times New Roman" w:hAnsi="Times New Roman"/>
                <w:sz w:val="14"/>
                <w:szCs w:val="14"/>
                <w:color w:val="auto"/>
              </w:rPr>
              <w:t>Preferred shares, Class A</w:t>
            </w:r>
            <w:r>
              <w:rPr>
                <w:rFonts w:ascii="Times New Roman" w:cs="Times New Roman" w:eastAsia="Times New Roman" w:hAnsi="Times New Roman"/>
                <w:sz w:val="17"/>
                <w:szCs w:val="17"/>
                <w:color w:val="auto"/>
                <w:vertAlign w:val="superscript"/>
              </w:rPr>
              <w:t>(9)</w:t>
            </w:r>
          </w:p>
        </w:tc>
        <w:tc>
          <w:tcPr>
            <w:tcW w:w="320" w:type="dxa"/>
            <w:vAlign w:val="bottom"/>
            <w:tcBorders>
              <w:top w:val="single" w:sz="8" w:color="CCEEFF"/>
            </w:tcBorders>
          </w:tcPr>
          <w:p>
            <w:pPr>
              <w:spacing w:after="0"/>
              <w:rPr>
                <w:sz w:val="16"/>
                <w:szCs w:val="16"/>
                <w:color w:val="auto"/>
              </w:rPr>
            </w:pPr>
          </w:p>
        </w:tc>
        <w:tc>
          <w:tcPr>
            <w:tcW w:w="2100" w:type="dxa"/>
            <w:vAlign w:val="bottom"/>
            <w:tcBorders>
              <w:top w:val="single" w:sz="8" w:color="CCEEFF"/>
            </w:tcBorders>
          </w:tcPr>
          <w:p>
            <w:pPr>
              <w:jc w:val="center"/>
              <w:ind w:left="11"/>
              <w:spacing w:after="0"/>
              <w:rPr>
                <w:sz w:val="20"/>
                <w:szCs w:val="20"/>
                <w:color w:val="auto"/>
              </w:rPr>
            </w:pPr>
            <w:r>
              <w:rPr>
                <w:rFonts w:ascii="Times New Roman" w:cs="Times New Roman" w:eastAsia="Times New Roman" w:hAnsi="Times New Roman"/>
                <w:sz w:val="14"/>
                <w:szCs w:val="14"/>
                <w:color w:val="auto"/>
                <w:w w:val="98"/>
              </w:rPr>
              <w:t>Clean Technology</w:t>
            </w:r>
          </w:p>
        </w:tc>
        <w:tc>
          <w:tcPr>
            <w:tcW w:w="940" w:type="dxa"/>
            <w:vAlign w:val="bottom"/>
            <w:tcBorders>
              <w:top w:val="single" w:sz="8" w:color="CCEEFF"/>
            </w:tcBorders>
          </w:tcPr>
          <w:p>
            <w:pPr>
              <w:jc w:val="center"/>
              <w:spacing w:after="0"/>
              <w:rPr>
                <w:sz w:val="20"/>
                <w:szCs w:val="20"/>
                <w:color w:val="auto"/>
              </w:rPr>
            </w:pPr>
            <w:r>
              <w:rPr>
                <w:rFonts w:ascii="Times New Roman" w:cs="Times New Roman" w:eastAsia="Times New Roman" w:hAnsi="Times New Roman"/>
                <w:sz w:val="14"/>
                <w:szCs w:val="14"/>
                <w:color w:val="auto"/>
                <w:w w:val="98"/>
              </w:rPr>
              <w:t>4/15/2014</w:t>
            </w:r>
          </w:p>
        </w:tc>
        <w:tc>
          <w:tcPr>
            <w:tcW w:w="400" w:type="dxa"/>
            <w:vAlign w:val="bottom"/>
            <w:tcBorders>
              <w:top w:val="single" w:sz="8" w:color="CCEEFF"/>
            </w:tcBorders>
          </w:tcPr>
          <w:p>
            <w:pPr>
              <w:spacing w:after="0"/>
              <w:rPr>
                <w:sz w:val="16"/>
                <w:szCs w:val="16"/>
                <w:color w:val="auto"/>
              </w:rPr>
            </w:pPr>
          </w:p>
        </w:tc>
        <w:tc>
          <w:tcPr>
            <w:tcW w:w="960" w:type="dxa"/>
            <w:vAlign w:val="bottom"/>
            <w:tcBorders>
              <w:top w:val="single" w:sz="8" w:color="CCEEFF"/>
            </w:tcBorders>
          </w:tcPr>
          <w:p>
            <w:pPr>
              <w:jc w:val="right"/>
              <w:ind w:right="91"/>
              <w:spacing w:after="0"/>
              <w:rPr>
                <w:sz w:val="20"/>
                <w:szCs w:val="20"/>
                <w:color w:val="auto"/>
              </w:rPr>
            </w:pPr>
            <w:r>
              <w:rPr>
                <w:rFonts w:ascii="Times New Roman" w:cs="Times New Roman" w:eastAsia="Times New Roman" w:hAnsi="Times New Roman"/>
                <w:sz w:val="14"/>
                <w:szCs w:val="14"/>
                <w:color w:val="auto"/>
              </w:rPr>
              <w:t>14,300,000</w:t>
            </w:r>
          </w:p>
        </w:tc>
        <w:tc>
          <w:tcPr>
            <w:tcW w:w="220" w:type="dxa"/>
            <w:vAlign w:val="bottom"/>
            <w:tcBorders>
              <w:top w:val="single" w:sz="8" w:color="CCEEFF"/>
            </w:tcBorders>
          </w:tcPr>
          <w:p>
            <w:pPr>
              <w:spacing w:after="0"/>
              <w:rPr>
                <w:sz w:val="16"/>
                <w:szCs w:val="16"/>
                <w:color w:val="auto"/>
              </w:rPr>
            </w:pPr>
          </w:p>
        </w:tc>
        <w:tc>
          <w:tcPr>
            <w:tcW w:w="8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7,151,412</w:t>
            </w:r>
          </w:p>
        </w:tc>
        <w:tc>
          <w:tcPr>
            <w:tcW w:w="10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8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1,047,033</w:t>
            </w:r>
          </w:p>
        </w:tc>
        <w:tc>
          <w:tcPr>
            <w:tcW w:w="100" w:type="dxa"/>
            <w:vAlign w:val="bottom"/>
            <w:tcBorders>
              <w:top w:val="single" w:sz="8" w:color="CCEEFF"/>
            </w:tcBorders>
          </w:tcPr>
          <w:p>
            <w:pPr>
              <w:spacing w:after="0"/>
              <w:rPr>
                <w:sz w:val="16"/>
                <w:szCs w:val="16"/>
                <w:color w:val="auto"/>
              </w:rPr>
            </w:pPr>
          </w:p>
        </w:tc>
        <w:tc>
          <w:tcPr>
            <w:tcW w:w="7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0.29</w:t>
            </w:r>
          </w:p>
        </w:tc>
        <w:tc>
          <w:tcPr>
            <w:tcW w:w="1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4"/>
        </w:trPr>
        <w:tc>
          <w:tcPr>
            <w:tcW w:w="354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Common shares</w:t>
            </w:r>
          </w:p>
        </w:tc>
        <w:tc>
          <w:tcPr>
            <w:tcW w:w="2100" w:type="dxa"/>
            <w:vAlign w:val="bottom"/>
            <w:shd w:val="clear" w:color="auto" w:fill="CCEEFF"/>
          </w:tcPr>
          <w:p>
            <w:pPr>
              <w:spacing w:after="0"/>
              <w:rPr>
                <w:sz w:val="16"/>
                <w:szCs w:val="16"/>
                <w:color w:val="auto"/>
              </w:rPr>
            </w:pP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4/15/2014</w:t>
            </w:r>
          </w:p>
        </w:tc>
        <w:tc>
          <w:tcPr>
            <w:tcW w:w="40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100,000</w:t>
            </w: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80"/>
        </w:trPr>
        <w:tc>
          <w:tcPr>
            <w:tcW w:w="20" w:type="dxa"/>
            <w:vAlign w:val="bottom"/>
            <w:tcBorders>
              <w:bottom w:val="single" w:sz="8" w:color="CCEEFF"/>
            </w:tcBorders>
          </w:tcPr>
          <w:p>
            <w:pPr>
              <w:spacing w:after="0"/>
              <w:rPr>
                <w:sz w:val="15"/>
                <w:szCs w:val="15"/>
                <w:color w:val="auto"/>
              </w:rPr>
            </w:pPr>
          </w:p>
        </w:tc>
        <w:tc>
          <w:tcPr>
            <w:tcW w:w="3520" w:type="dxa"/>
            <w:vAlign w:val="bottom"/>
            <w:tcBorders>
              <w:bottom w:val="single" w:sz="8" w:color="CCEEFF"/>
            </w:tcBorders>
            <w:gridSpan w:val="4"/>
          </w:tcPr>
          <w:p>
            <w:pPr>
              <w:ind w:left="120"/>
              <w:spacing w:after="0"/>
              <w:rPr>
                <w:sz w:val="20"/>
                <w:szCs w:val="20"/>
                <w:color w:val="auto"/>
              </w:rPr>
            </w:pPr>
            <w:r>
              <w:rPr>
                <w:rFonts w:ascii="Times New Roman" w:cs="Times New Roman" w:eastAsia="Times New Roman" w:hAnsi="Times New Roman"/>
                <w:sz w:val="14"/>
                <w:szCs w:val="14"/>
                <w:color w:val="auto"/>
              </w:rPr>
              <w:t>Total</w:t>
            </w:r>
          </w:p>
        </w:tc>
        <w:tc>
          <w:tcPr>
            <w:tcW w:w="2100" w:type="dxa"/>
            <w:vAlign w:val="bottom"/>
            <w:tcBorders>
              <w:bottom w:val="single" w:sz="8" w:color="CCEEFF"/>
            </w:tcBorders>
          </w:tcPr>
          <w:p>
            <w:pPr>
              <w:spacing w:after="0"/>
              <w:rPr>
                <w:sz w:val="15"/>
                <w:szCs w:val="15"/>
                <w:color w:val="auto"/>
              </w:rPr>
            </w:pPr>
          </w:p>
        </w:tc>
        <w:tc>
          <w:tcPr>
            <w:tcW w:w="940" w:type="dxa"/>
            <w:vAlign w:val="bottom"/>
            <w:tcBorders>
              <w:bottom w:val="single" w:sz="8" w:color="CCEEFF"/>
            </w:tcBorders>
          </w:tcPr>
          <w:p>
            <w:pPr>
              <w:spacing w:after="0"/>
              <w:rPr>
                <w:sz w:val="15"/>
                <w:szCs w:val="15"/>
                <w:color w:val="auto"/>
              </w:rPr>
            </w:pPr>
          </w:p>
        </w:tc>
        <w:tc>
          <w:tcPr>
            <w:tcW w:w="400" w:type="dxa"/>
            <w:vAlign w:val="bottom"/>
            <w:tcBorders>
              <w:bottom w:val="single" w:sz="8" w:color="CCEEFF"/>
            </w:tcBorders>
          </w:tcPr>
          <w:p>
            <w:pPr>
              <w:spacing w:after="0"/>
              <w:rPr>
                <w:sz w:val="15"/>
                <w:szCs w:val="15"/>
                <w:color w:val="auto"/>
              </w:rPr>
            </w:pPr>
          </w:p>
        </w:tc>
        <w:tc>
          <w:tcPr>
            <w:tcW w:w="960" w:type="dxa"/>
            <w:vAlign w:val="bottom"/>
            <w:tcBorders>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7,161,412</w:t>
            </w:r>
          </w:p>
        </w:tc>
        <w:tc>
          <w:tcPr>
            <w:tcW w:w="10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1,047,033</w:t>
            </w:r>
          </w:p>
        </w:tc>
        <w:tc>
          <w:tcPr>
            <w:tcW w:w="100" w:type="dxa"/>
            <w:vAlign w:val="bottom"/>
            <w:tcBorders>
              <w:bottom w:val="single" w:sz="8" w:color="CCEEFF"/>
            </w:tcBorders>
          </w:tcPr>
          <w:p>
            <w:pPr>
              <w:spacing w:after="0"/>
              <w:rPr>
                <w:sz w:val="15"/>
                <w:szCs w:val="15"/>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0.29</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4"/>
        </w:trPr>
        <w:tc>
          <w:tcPr>
            <w:tcW w:w="2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520" w:type="dxa"/>
            <w:vAlign w:val="bottom"/>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Total Controlled</w:t>
            </w:r>
          </w:p>
        </w:tc>
        <w:tc>
          <w:tcPr>
            <w:tcW w:w="2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19,883,894</w:t>
            </w:r>
          </w:p>
        </w:tc>
        <w:tc>
          <w:tcPr>
            <w:tcW w:w="100" w:type="dxa"/>
            <w:vAlign w:val="bottom"/>
          </w:tcPr>
          <w:p>
            <w:pPr>
              <w:spacing w:after="0"/>
              <w:rPr>
                <w:sz w:val="16"/>
                <w:szCs w:val="16"/>
                <w:color w:val="auto"/>
              </w:rPr>
            </w:pP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13,758,874</w:t>
            </w:r>
          </w:p>
        </w:tc>
        <w:tc>
          <w:tcPr>
            <w:tcW w:w="100" w:type="dxa"/>
            <w:vAlign w:val="bottom"/>
          </w:tcPr>
          <w:p>
            <w:pPr>
              <w:spacing w:after="0"/>
              <w:rPr>
                <w:sz w:val="16"/>
                <w:szCs w:val="16"/>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3.78 %</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tcBorders>
              <w:bottom w:val="single" w:sz="8" w:color="auto"/>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520" w:type="dxa"/>
            <w:vAlign w:val="bottom"/>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Total Portfolio Investments</w:t>
            </w:r>
          </w:p>
        </w:tc>
        <w:tc>
          <w:tcPr>
            <w:tcW w:w="2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207,455,377</w:t>
            </w:r>
          </w:p>
        </w:tc>
        <w:tc>
          <w:tcPr>
            <w:tcW w:w="100" w:type="dxa"/>
            <w:vAlign w:val="bottom"/>
          </w:tcPr>
          <w:p>
            <w:pPr>
              <w:spacing w:after="0"/>
              <w:rPr>
                <w:sz w:val="16"/>
                <w:szCs w:val="16"/>
                <w:color w:val="auto"/>
              </w:rPr>
            </w:pPr>
          </w:p>
        </w:tc>
        <w:tc>
          <w:tcPr>
            <w:tcW w:w="2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260,136,253</w:t>
            </w:r>
          </w:p>
        </w:tc>
        <w:tc>
          <w:tcPr>
            <w:tcW w:w="100" w:type="dxa"/>
            <w:vAlign w:val="bottom"/>
          </w:tcPr>
          <w:p>
            <w:pPr>
              <w:spacing w:after="0"/>
              <w:rPr>
                <w:sz w:val="16"/>
                <w:szCs w:val="16"/>
                <w:color w:val="auto"/>
              </w:rPr>
            </w:pPr>
          </w:p>
        </w:tc>
        <w:tc>
          <w:tcPr>
            <w:tcW w:w="9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71.32 %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-418465</wp:posOffset>
            </wp:positionV>
            <wp:extent cx="2283460" cy="1314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283460" cy="131445"/>
                    </a:xfrm>
                    <a:prstGeom prst="rect">
                      <a:avLst/>
                    </a:prstGeom>
                    <a:noFill/>
                  </pic:spPr>
                </pic:pic>
              </a:graphicData>
            </a:graphic>
          </wp:anchor>
        </w:drawing>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ectPr>
          <w:pgSz w:w="11900" w:h="16838" w:orient="portrait"/>
          <w:cols w:equalWidth="0" w:num="1">
            <w:col w:w="11240"/>
          </w:cols>
          <w:pgMar w:left="320" w:top="118"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color w:val="0000FF"/>
        </w:rPr>
        <w:t>TABLE OF CONTENTS</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__________________________________________</w:t>
      </w:r>
    </w:p>
    <w:p>
      <w:pPr>
        <w:spacing w:after="0" w:line="27" w:lineRule="exact"/>
        <w:rPr>
          <w:sz w:val="20"/>
          <w:szCs w:val="20"/>
          <w:color w:val="auto"/>
        </w:rPr>
      </w:pPr>
    </w:p>
    <w:p>
      <w:pPr>
        <w:jc w:val="right"/>
        <w:ind w:left="460" w:hanging="457"/>
        <w:spacing w:after="0" w:line="259" w:lineRule="auto"/>
        <w:tabs>
          <w:tab w:leader="none" w:pos="253"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5"/>
          <w:szCs w:val="15"/>
          <w:color w:val="auto"/>
        </w:rPr>
        <w:t>All portfolio investments are non-control/non-affiliated and non-income-producing, unless otherwise identified. Equity investments are subject to lock-up restrictions upon their initial public offering (“IPO”). Preferred dividends are generally only payable when declared and paid by the portfolio company's board of directors. The Company’s directors, officers, employees and staff, as applicable, may serve on the board of directors of the Company’s portfolio investments. (Refer to “Note 3—Related-Party Arrangements”). All portfolio investments are considered Level 3 and valued using significant unobservable inputs, unless otherwise noted. (Refer to “Note 4—Investments</w:t>
      </w:r>
    </w:p>
    <w:p>
      <w:pPr>
        <w:spacing w:after="0" w:line="2" w:lineRule="exact"/>
        <w:rPr>
          <w:sz w:val="20"/>
          <w:szCs w:val="20"/>
          <w:color w:val="auto"/>
        </w:rPr>
      </w:pPr>
    </w:p>
    <w:p>
      <w:pPr>
        <w:ind w:left="460"/>
        <w:spacing w:after="0" w:line="244" w:lineRule="auto"/>
        <w:rPr>
          <w:sz w:val="20"/>
          <w:szCs w:val="20"/>
          <w:color w:val="auto"/>
        </w:rPr>
      </w:pPr>
      <w:r>
        <w:rPr>
          <w:rFonts w:ascii="Times New Roman" w:cs="Times New Roman" w:eastAsia="Times New Roman" w:hAnsi="Times New Roman"/>
          <w:sz w:val="16"/>
          <w:szCs w:val="16"/>
          <w:color w:val="auto"/>
        </w:rPr>
        <w:t>at Fair Value”). All of the Company's portfolio investments are restricted as to resale, unless otherwise noted, and were valued at fair value as determined in good faith by the Company’s Board of Directors. (Refer to "Note 2—Significant Accounting Policies—</w:t>
      </w:r>
      <w:r>
        <w:rPr>
          <w:rFonts w:ascii="Times New Roman" w:cs="Times New Roman" w:eastAsia="Times New Roman" w:hAnsi="Times New Roman"/>
          <w:sz w:val="16"/>
          <w:szCs w:val="16"/>
          <w:i w:val="1"/>
          <w:iCs w:val="1"/>
          <w:color w:val="auto"/>
        </w:rPr>
        <w:t>Investments at Fair Value</w:t>
      </w:r>
      <w:r>
        <w:rPr>
          <w:rFonts w:ascii="Times New Roman" w:cs="Times New Roman" w:eastAsia="Times New Roman" w:hAnsi="Times New Roman"/>
          <w:sz w:val="16"/>
          <w:szCs w:val="16"/>
          <w:color w:val="auto"/>
        </w:rPr>
        <w:t>").</w:t>
      </w:r>
    </w:p>
    <w:p>
      <w:pPr>
        <w:spacing w:after="0" w:line="1" w:lineRule="exact"/>
        <w:rPr>
          <w:sz w:val="20"/>
          <w:szCs w:val="20"/>
          <w:color w:val="auto"/>
        </w:rPr>
      </w:pPr>
    </w:p>
    <w:p>
      <w:pPr>
        <w:ind w:left="460" w:hanging="457"/>
        <w:spacing w:after="0" w:line="242" w:lineRule="auto"/>
        <w:tabs>
          <w:tab w:leader="none" w:pos="348"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Indicates assets that SuRo Capital Corp. believes do not represent “qualifying assets” under Section 55(a) of the Investment Company Act of 1940, as amended (the “1940 Act”). Of the Company’s total investments as of December 31, 2021, 26.91% of its total investments are non-qualifying assets.</w:t>
      </w:r>
    </w:p>
    <w:p>
      <w:pPr>
        <w:ind w:left="400" w:hanging="397"/>
        <w:spacing w:after="0"/>
        <w:tabs>
          <w:tab w:leader="none" w:pos="40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Investment is income-producing.</w:t>
      </w:r>
    </w:p>
    <w:p>
      <w:pPr>
        <w:spacing w:after="0" w:line="225" w:lineRule="exact"/>
        <w:rPr>
          <w:sz w:val="20"/>
          <w:szCs w:val="20"/>
          <w:color w:val="auto"/>
        </w:rPr>
      </w:pPr>
    </w:p>
    <w:p>
      <w:pPr>
        <w:jc w:val="both"/>
        <w:ind w:left="460" w:hanging="457"/>
        <w:spacing w:after="0" w:line="310" w:lineRule="auto"/>
        <w:tabs>
          <w:tab w:leader="none" w:pos="4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“Affiliate Investments” are investments in those companies that are “Affiliated Companies” of SuRo Capital Corp., as defined in the 1940 Act. In general, a company is deemed to be an “Affiliate” of SuRo Capital Corp. if SuRo Capital Corp. owns 5% or more of the voting securities (</w:t>
      </w:r>
      <w:r>
        <w:rPr>
          <w:rFonts w:ascii="Times New Roman" w:cs="Times New Roman" w:eastAsia="Times New Roman" w:hAnsi="Times New Roman"/>
          <w:sz w:val="14"/>
          <w:szCs w:val="14"/>
          <w:i w:val="1"/>
          <w:iCs w:val="1"/>
          <w:color w:val="auto"/>
        </w:rPr>
        <w:t>i.e.</w:t>
      </w:r>
      <w:r>
        <w:rPr>
          <w:rFonts w:ascii="Times New Roman" w:cs="Times New Roman" w:eastAsia="Times New Roman" w:hAnsi="Times New Roman"/>
          <w:sz w:val="14"/>
          <w:szCs w:val="14"/>
          <w:color w:val="auto"/>
        </w:rPr>
        <w:t>, securities with the right to elect directors) of such company. For the Schedule of Investments In, and Advances To, Affiliates, as required by SEC Regulation S-X, Rule 12-14, refer to “Note 4—Investments at Fair Value”.</w:t>
      </w:r>
    </w:p>
    <w:p>
      <w:pPr>
        <w:spacing w:after="0" w:line="165" w:lineRule="exact"/>
        <w:rPr>
          <w:rFonts w:ascii="Times New Roman" w:cs="Times New Roman" w:eastAsia="Times New Roman" w:hAnsi="Times New Roman"/>
          <w:sz w:val="14"/>
          <w:szCs w:val="14"/>
          <w:color w:val="auto"/>
        </w:rPr>
      </w:pPr>
    </w:p>
    <w:p>
      <w:pPr>
        <w:jc w:val="both"/>
        <w:ind w:left="460" w:hanging="457"/>
        <w:spacing w:after="0" w:line="249" w:lineRule="auto"/>
        <w:tabs>
          <w:tab w:leader="none" w:pos="46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“Control Investments” are investments in those companies that are “Controlled Companies” of SuRo Capital Corp., as defined in the 1940 Act. In general, under the 1940 Act, the Company would “Control” a portfolio company if the Company owned more than 25% of its outstanding voting securities (i.e., securities with the right to elect directors) and/or had the power to exercise control over the management or policies of such portfolio company. For the Schedule of Investments In, and Advances To, Affiliates, as required by SEC Regulation S-X, Rule 12-14, refer to “Note 4—Investments at Fair Value”.</w:t>
      </w:r>
    </w:p>
    <w:p>
      <w:pPr>
        <w:spacing w:after="0" w:line="206" w:lineRule="exact"/>
        <w:rPr>
          <w:rFonts w:ascii="Times New Roman" w:cs="Times New Roman" w:eastAsia="Times New Roman" w:hAnsi="Times New Roman"/>
          <w:sz w:val="16"/>
          <w:szCs w:val="16"/>
          <w:color w:val="auto"/>
        </w:rPr>
      </w:pPr>
    </w:p>
    <w:p>
      <w:pPr>
        <w:ind w:left="460" w:hanging="457"/>
        <w:spacing w:after="0"/>
        <w:tabs>
          <w:tab w:leader="none" w:pos="46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Denotes an investment considered Level 1 or Level 2 and valued using observable inputs. Refer to “Note 4—Investments at Fair Value”.</w:t>
      </w:r>
    </w:p>
    <w:p>
      <w:pPr>
        <w:spacing w:after="0" w:line="242" w:lineRule="exact"/>
        <w:rPr>
          <w:rFonts w:ascii="Times New Roman" w:cs="Times New Roman" w:eastAsia="Times New Roman" w:hAnsi="Times New Roman"/>
          <w:sz w:val="16"/>
          <w:szCs w:val="16"/>
          <w:color w:val="auto"/>
        </w:rPr>
      </w:pPr>
    </w:p>
    <w:p>
      <w:pPr>
        <w:ind w:left="460" w:hanging="457"/>
        <w:spacing w:after="0"/>
        <w:tabs>
          <w:tab w:leader="none" w:pos="46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December 31, 2021, the investments noted had been placed on non-accrual status.</w:t>
      </w:r>
    </w:p>
    <w:p>
      <w:pPr>
        <w:spacing w:after="0" w:line="229" w:lineRule="exact"/>
        <w:rPr>
          <w:rFonts w:ascii="Times New Roman" w:cs="Times New Roman" w:eastAsia="Times New Roman" w:hAnsi="Times New Roman"/>
          <w:sz w:val="16"/>
          <w:szCs w:val="16"/>
          <w:color w:val="auto"/>
        </w:rPr>
      </w:pPr>
    </w:p>
    <w:p>
      <w:pPr>
        <w:ind w:left="460" w:hanging="457"/>
        <w:spacing w:after="0"/>
        <w:tabs>
          <w:tab w:leader="none" w:pos="46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SuRo Capital Corp.’s investments in StormWind, LLC are held through SuRo Capital Corp.'s wholly owned subsidiary, GSVC SW Holdings, Inc.</w:t>
      </w:r>
    </w:p>
    <w:p>
      <w:pPr>
        <w:spacing w:after="0" w:line="242" w:lineRule="exact"/>
        <w:rPr>
          <w:rFonts w:ascii="Times New Roman" w:cs="Times New Roman" w:eastAsia="Times New Roman" w:hAnsi="Times New Roman"/>
          <w:sz w:val="16"/>
          <w:szCs w:val="16"/>
          <w:color w:val="auto"/>
        </w:rPr>
      </w:pPr>
    </w:p>
    <w:p>
      <w:pPr>
        <w:ind w:left="460" w:hanging="457"/>
        <w:spacing w:after="0" w:line="260" w:lineRule="auto"/>
        <w:tabs>
          <w:tab w:leader="none" w:pos="46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SuRo Capital Corp.’s investments in preferred shares in Residential Homes for Rent, LLC (d/b/a Second Avenue) are held through SuRo Capital Corp.'s wholly owned subsidiary, GSVC AV Holdings, Inc.</w:t>
      </w:r>
    </w:p>
    <w:p>
      <w:pPr>
        <w:spacing w:after="0" w:line="196" w:lineRule="exact"/>
        <w:rPr>
          <w:rFonts w:ascii="Times New Roman" w:cs="Times New Roman" w:eastAsia="Times New Roman" w:hAnsi="Times New Roman"/>
          <w:sz w:val="16"/>
          <w:szCs w:val="16"/>
          <w:color w:val="auto"/>
        </w:rPr>
      </w:pPr>
    </w:p>
    <w:p>
      <w:pPr>
        <w:ind w:left="460" w:hanging="457"/>
        <w:spacing w:after="0" w:line="277" w:lineRule="auto"/>
        <w:tabs>
          <w:tab w:leader="none" w:pos="46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SuRo Capital Corp.’s investments in Commercial Streaming Solutions Inc. (d/b/a BettorView), YouBet Technology, Inc. (d/b/a PickUp), and Rebric Inc. (d/b/a Compliable) are held through SuRo Capital Corp.'s wholly owned subsidiary, SuRo Capital Sports, LLC ("SuRo Sports").</w:t>
      </w:r>
    </w:p>
    <w:p>
      <w:pPr>
        <w:spacing w:after="0" w:line="183" w:lineRule="exact"/>
        <w:rPr>
          <w:rFonts w:ascii="Times New Roman" w:cs="Times New Roman" w:eastAsia="Times New Roman" w:hAnsi="Times New Roman"/>
          <w:sz w:val="16"/>
          <w:szCs w:val="16"/>
          <w:color w:val="auto"/>
        </w:rPr>
      </w:pPr>
    </w:p>
    <w:p>
      <w:pPr>
        <w:ind w:left="460" w:hanging="457"/>
        <w:spacing w:after="0" w:line="277" w:lineRule="auto"/>
        <w:tabs>
          <w:tab w:leader="none" w:pos="46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SuRo Capital Corp.’s investments in True Global Ventures 4 Plus Pte Ltd are held through SuRo Capital Corp.'s wholly owned subsidiary, GSVC SVDS Holdings, Inc. As of December 31, 2021, $0.7 million of a $2.0 million capital commitment to True Global Ventures 4 Plus Fund LP had been called and funded.</w:t>
      </w:r>
    </w:p>
    <w:p>
      <w:pPr>
        <w:spacing w:after="0" w:line="183" w:lineRule="exact"/>
        <w:rPr>
          <w:rFonts w:ascii="Times New Roman" w:cs="Times New Roman" w:eastAsia="Times New Roman" w:hAnsi="Times New Roman"/>
          <w:sz w:val="16"/>
          <w:szCs w:val="16"/>
          <w:color w:val="auto"/>
        </w:rPr>
      </w:pPr>
    </w:p>
    <w:p>
      <w:pPr>
        <w:ind w:left="460" w:hanging="457"/>
        <w:spacing w:after="0" w:line="260" w:lineRule="auto"/>
        <w:tabs>
          <w:tab w:leader="none" w:pos="46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SPBRX, INC. (f/k/a GSV Sustainability Partners, Inc.) preferred shares held by SuRo Capital Corp. do not entitle SuRo Capital Corp. to a preferred dividend. SuRo Capital Corp. does not anticipate that SPBRX, INC. will pay distributions on a quarterly or regular basis or become a predictable distributor of distributions.</w:t>
      </w:r>
    </w:p>
    <w:p>
      <w:pPr>
        <w:spacing w:after="0" w:line="209" w:lineRule="exact"/>
        <w:rPr>
          <w:rFonts w:ascii="Times New Roman" w:cs="Times New Roman" w:eastAsia="Times New Roman" w:hAnsi="Times New Roman"/>
          <w:sz w:val="16"/>
          <w:szCs w:val="16"/>
          <w:color w:val="auto"/>
        </w:rPr>
      </w:pPr>
    </w:p>
    <w:p>
      <w:pPr>
        <w:jc w:val="both"/>
        <w:ind w:left="460" w:hanging="457"/>
        <w:spacing w:after="0" w:line="256" w:lineRule="auto"/>
        <w:tabs>
          <w:tab w:leader="none" w:pos="46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August 23, 2019, SuRo Capital Corp. amended the structure of its investment in OneValley, Inc. (f/k/a NestGSV, Inc.). As part of the agreement, SuRo Capital Corp.’s equity holdings (warrants notwithstanding) were restructured into a derivative security. OneValley, Inc. (f/k/a NestGSV, Inc.) has the right to call the position at any time over a five year period, while SuRo Capital Corp. can put the shares to OneValley, Inc. (f/k/a NestGSV, Inc.) at the end of the five year period.</w:t>
      </w:r>
    </w:p>
    <w:p>
      <w:pPr>
        <w:spacing w:after="0" w:line="200" w:lineRule="exact"/>
        <w:rPr>
          <w:rFonts w:ascii="Times New Roman" w:cs="Times New Roman" w:eastAsia="Times New Roman" w:hAnsi="Times New Roman"/>
          <w:sz w:val="16"/>
          <w:szCs w:val="16"/>
          <w:color w:val="auto"/>
        </w:rPr>
      </w:pPr>
    </w:p>
    <w:p>
      <w:pPr>
        <w:ind w:left="460" w:hanging="457"/>
        <w:spacing w:after="0"/>
        <w:tabs>
          <w:tab w:leader="none" w:pos="46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December 31, 2021, 512,290 Class A common shares remain in Palantir Lending Trust SPV I, none of which are subject to lock-up restrictions.</w:t>
      </w:r>
    </w:p>
    <w:p>
      <w:pPr>
        <w:spacing w:after="0" w:line="229" w:lineRule="exact"/>
        <w:rPr>
          <w:rFonts w:ascii="Times New Roman" w:cs="Times New Roman" w:eastAsia="Times New Roman" w:hAnsi="Times New Roman"/>
          <w:sz w:val="16"/>
          <w:szCs w:val="16"/>
          <w:color w:val="auto"/>
        </w:rPr>
      </w:pPr>
    </w:p>
    <w:p>
      <w:pPr>
        <w:jc w:val="both"/>
        <w:ind w:left="460" w:hanging="457"/>
        <w:spacing w:after="0" w:line="256" w:lineRule="auto"/>
        <w:tabs>
          <w:tab w:leader="none" w:pos="46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January 1, 2021, Treehouse Real Estate Investment Trust, Inc. completed its spin off of 34.4% of its assets into Aventine Property Group, Inc. During the year ended December 31, 2021, Aventine Property Group, Inc. declared an aggregate of $0.1 million in dividend distributions. During the year ended December 31, 2021, Treehouse Real Estate Investment Trust, Inc. declared an aggregate of $0.2 million in dividend distributions.</w:t>
      </w:r>
    </w:p>
    <w:p>
      <w:pPr>
        <w:spacing w:after="0" w:line="200" w:lineRule="exact"/>
        <w:rPr>
          <w:rFonts w:ascii="Times New Roman" w:cs="Times New Roman" w:eastAsia="Times New Roman" w:hAnsi="Times New Roman"/>
          <w:sz w:val="16"/>
          <w:szCs w:val="16"/>
          <w:color w:val="auto"/>
        </w:rPr>
      </w:pPr>
    </w:p>
    <w:p>
      <w:pPr>
        <w:jc w:val="both"/>
        <w:ind w:left="460" w:hanging="457"/>
        <w:spacing w:after="0" w:line="310" w:lineRule="auto"/>
        <w:tabs>
          <w:tab w:leader="none" w:pos="4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July 30, 2021, A Place for Rover, Inc. executed a business combination, through Nebula Caravel Acquisition Corp., a special purpose acquisition company. Following the merger, A Place for Rover, Inc. changed its name to Rover Group, Inc. and SuRo Capital Corp. received 130,390 additional common shares as a result of the exchange ratio prescribed in the transaction. As of December 31, 2021, SuRo Capital Corp.'s common shares in Rover Group, Inc. were subject to certain lock-up restrictions.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ectPr>
          <w:pgSz w:w="11900" w:h="16838" w:orient="portrait"/>
          <w:cols w:equalWidth="0" w:num="1">
            <w:col w:w="11240"/>
          </w:cols>
          <w:pgMar w:left="320" w:top="118"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color w:val="0000FF"/>
        </w:rPr>
        <w:t>TABLE OF CONTENTS</w:t>
      </w:r>
    </w:p>
    <w:p>
      <w:pPr>
        <w:spacing w:after="0" w:line="200" w:lineRule="exact"/>
        <w:rPr>
          <w:sz w:val="20"/>
          <w:szCs w:val="20"/>
          <w:color w:val="auto"/>
        </w:rPr>
      </w:pPr>
    </w:p>
    <w:p>
      <w:pPr>
        <w:spacing w:after="0" w:line="378"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7"/>
          <w:szCs w:val="17"/>
          <w:b w:val="1"/>
          <w:bCs w:val="1"/>
          <w:color w:val="auto"/>
        </w:rPr>
        <w:t>SURO CAPITAL CORP. AND SUBSIDIARIES</w:t>
      </w:r>
    </w:p>
    <w:p>
      <w:pPr>
        <w:spacing w:after="0" w:line="32"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7"/>
          <w:szCs w:val="17"/>
          <w:b w:val="1"/>
          <w:bCs w:val="1"/>
          <w:color w:val="auto"/>
        </w:rPr>
        <w:t>CONDENSED CONSOLIDATED SCHEDULE OF INVESTMENTS - continued</w:t>
      </w:r>
    </w:p>
    <w:p>
      <w:pPr>
        <w:spacing w:after="0" w:line="11"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7"/>
          <w:szCs w:val="17"/>
          <w:b w:val="1"/>
          <w:bCs w:val="1"/>
          <w:color w:val="auto"/>
        </w:rPr>
        <w:t>December 31, 2021</w:t>
      </w:r>
    </w:p>
    <w:p>
      <w:pPr>
        <w:spacing w:after="0" w:line="200" w:lineRule="exact"/>
        <w:rPr>
          <w:sz w:val="20"/>
          <w:szCs w:val="20"/>
          <w:color w:val="auto"/>
        </w:rPr>
      </w:pPr>
    </w:p>
    <w:p>
      <w:pPr>
        <w:spacing w:after="0" w:line="263" w:lineRule="exact"/>
        <w:rPr>
          <w:sz w:val="20"/>
          <w:szCs w:val="20"/>
          <w:color w:val="auto"/>
        </w:rPr>
      </w:pPr>
    </w:p>
    <w:p>
      <w:pPr>
        <w:jc w:val="both"/>
        <w:ind w:left="460" w:hanging="457"/>
        <w:spacing w:after="0" w:line="256" w:lineRule="auto"/>
        <w:tabs>
          <w:tab w:leader="none" w:pos="46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During the year ended December 31, 2021, approximately $1.4 million has been received from Residential Homes for Rent, LLC (d/b/a Second Avenue) related to the 15% term loan due December 23, 2023. Of the proceeds received, approximately $1.0 million repaid a portion of the outstanding principal and approximately $0.4 million was attributed to interest.</w:t>
      </w:r>
    </w:p>
    <w:p>
      <w:pPr>
        <w:spacing w:after="0" w:line="200" w:lineRule="exact"/>
        <w:rPr>
          <w:rFonts w:ascii="Times New Roman" w:cs="Times New Roman" w:eastAsia="Times New Roman" w:hAnsi="Times New Roman"/>
          <w:sz w:val="16"/>
          <w:szCs w:val="16"/>
          <w:color w:val="auto"/>
        </w:rPr>
      </w:pPr>
    </w:p>
    <w:p>
      <w:pPr>
        <w:ind w:left="460" w:hanging="457"/>
        <w:spacing w:after="0" w:line="277" w:lineRule="auto"/>
        <w:tabs>
          <w:tab w:leader="none" w:pos="46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December 31, 2021, the total $10.0 million capital commitment representing SuRo Capital Corp.'s Membership Interest in Architect Capital PayJoy SPV, LLC had been called and funded.</w:t>
      </w:r>
    </w:p>
    <w:p>
      <w:pPr>
        <w:spacing w:after="0" w:line="183" w:lineRule="exact"/>
        <w:rPr>
          <w:rFonts w:ascii="Times New Roman" w:cs="Times New Roman" w:eastAsia="Times New Roman" w:hAnsi="Times New Roman"/>
          <w:sz w:val="16"/>
          <w:szCs w:val="16"/>
          <w:color w:val="auto"/>
        </w:rPr>
      </w:pPr>
    </w:p>
    <w:p>
      <w:pPr>
        <w:jc w:val="both"/>
        <w:ind w:left="460" w:hanging="457"/>
        <w:spacing w:after="0" w:line="250" w:lineRule="auto"/>
        <w:tabs>
          <w:tab w:leader="none" w:pos="46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During the year ended December 31, 2021, NewLake Capital Partners, Inc. (f/k/a GreenAcreage Real Estate Corp.) declared an aggregate of approximately $0.3 million in dividend distributions. SuRo Capital Corp. does not anticipate that NewLake Capital Partners, Inc. (f/k/a GreenAcreage Real Estate Corp.) will pay distributions on a recurring or regular basis or become a predictable distributor of distributions. On August 20, 2021, NewLake Capital Partners, Inc.(f/k/a GreenAcreage Real Estate Corp.) went public via an initial public offering on the OTCQX. As of December 31, 2021, none of SuRo Capital Corp.'s common shares in NewLake Capital Partners, Inc. (f/k/a GreenAcreage Real Estate Corp.) were subject to lock-up restrictions.</w:t>
      </w:r>
    </w:p>
    <w:p>
      <w:pPr>
        <w:spacing w:after="0" w:line="205" w:lineRule="exact"/>
        <w:rPr>
          <w:rFonts w:ascii="Times New Roman" w:cs="Times New Roman" w:eastAsia="Times New Roman" w:hAnsi="Times New Roman"/>
          <w:sz w:val="16"/>
          <w:szCs w:val="16"/>
          <w:color w:val="auto"/>
        </w:rPr>
      </w:pPr>
    </w:p>
    <w:p>
      <w:pPr>
        <w:ind w:left="460" w:hanging="457"/>
        <w:spacing w:after="0" w:line="260" w:lineRule="auto"/>
        <w:tabs>
          <w:tab w:leader="none" w:pos="46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Denotes an investment that is the sponsor of a special purpose acquisition company formed for the purpose of effecting a merger, capital stock exchange, asset acquisition, stock purchase, reorganization or similar business combination with one or more businesses.</w:t>
      </w:r>
    </w:p>
    <w:p>
      <w:pPr>
        <w:spacing w:after="0" w:line="209" w:lineRule="exact"/>
        <w:rPr>
          <w:rFonts w:ascii="Times New Roman" w:cs="Times New Roman" w:eastAsia="Times New Roman" w:hAnsi="Times New Roman"/>
          <w:sz w:val="16"/>
          <w:szCs w:val="16"/>
          <w:color w:val="auto"/>
        </w:rPr>
      </w:pPr>
    </w:p>
    <w:p>
      <w:pPr>
        <w:jc w:val="both"/>
        <w:ind w:left="460" w:hanging="457"/>
        <w:spacing w:after="0" w:line="249" w:lineRule="auto"/>
        <w:tabs>
          <w:tab w:leader="none" w:pos="46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June 11, 2021, Churchill Capital Corp. II, a special purpose acquisition company, executed a private investment in public equity transaction in order to acquire shares of Software Luxembourg Holding S.A. alongside the merger of Software Luxembourg Holding S.A. and Churchill Capital Corp. II. Following the merger, Software Luxembourg Holding S.A. changed its name to Skillsoft Corp. As of December 31, 2021, none of SuRo Capital Corp.'s common shares in Skillsoft Corp. were subject to lock-up restrictions.</w:t>
      </w:r>
    </w:p>
    <w:p>
      <w:pPr>
        <w:spacing w:after="0" w:line="193" w:lineRule="exact"/>
        <w:rPr>
          <w:rFonts w:ascii="Times New Roman" w:cs="Times New Roman" w:eastAsia="Times New Roman" w:hAnsi="Times New Roman"/>
          <w:sz w:val="16"/>
          <w:szCs w:val="16"/>
          <w:color w:val="auto"/>
        </w:rPr>
      </w:pPr>
    </w:p>
    <w:p>
      <w:pPr>
        <w:jc w:val="both"/>
        <w:ind w:left="460" w:hanging="457"/>
        <w:spacing w:after="0" w:line="291" w:lineRule="auto"/>
        <w:tabs>
          <w:tab w:leader="none" w:pos="4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September 3, 2021, Clever, Inc. completed its sale to Kahoot! ASA. In connection with this transaction, SuRo Capital Corp. received 86,800 common shares in Kahoot! ASA in addition to cash proceeds and amounts currently held in escrow. SuRo Capital Corp. is also eligible to receive cash and Kahoot! ASA common shares subject to certain earn-out provisions and contingencies. As of December 31, 2021, SuRo Capital Corp.'s common shares in Kahoot! ASA were subject to certain lock-up restrictions.</w:t>
      </w:r>
    </w:p>
    <w:p>
      <w:pPr>
        <w:spacing w:after="0" w:line="190" w:lineRule="exact"/>
        <w:rPr>
          <w:rFonts w:ascii="Times New Roman" w:cs="Times New Roman" w:eastAsia="Times New Roman" w:hAnsi="Times New Roman"/>
          <w:sz w:val="14"/>
          <w:szCs w:val="14"/>
          <w:color w:val="auto"/>
        </w:rPr>
      </w:pPr>
    </w:p>
    <w:p>
      <w:pPr>
        <w:ind w:left="460" w:hanging="457"/>
        <w:spacing w:after="0"/>
        <w:tabs>
          <w:tab w:leader="none" w:pos="46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During the year ended December 31, 2021, Fullbridge, Inc.'s obligations under its financing arrangements with the Company became past due.</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ectPr>
          <w:pgSz w:w="11900" w:h="16838" w:orient="portrait"/>
          <w:cols w:equalWidth="0" w:num="1">
            <w:col w:w="11240"/>
          </w:cols>
          <w:pgMar w:left="320" w:top="118"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SURO CAPITAL CORP. AND SUBSIDIARIES</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June 30, 2022</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1—NATURE OF OPERATIONS</w:t>
      </w:r>
    </w:p>
    <w:p>
      <w:pPr>
        <w:spacing w:after="0" w:line="246" w:lineRule="exact"/>
        <w:rPr>
          <w:sz w:val="20"/>
          <w:szCs w:val="20"/>
          <w:color w:val="auto"/>
        </w:rPr>
      </w:pPr>
    </w:p>
    <w:p>
      <w:pPr>
        <w:jc w:val="both"/>
        <w:ind w:firstLine="349"/>
        <w:spacing w:after="0" w:line="264" w:lineRule="auto"/>
        <w:rPr>
          <w:sz w:val="20"/>
          <w:szCs w:val="20"/>
          <w:color w:val="auto"/>
        </w:rPr>
      </w:pPr>
      <w:r>
        <w:rPr>
          <w:rFonts w:ascii="Times New Roman" w:cs="Times New Roman" w:eastAsia="Times New Roman" w:hAnsi="Times New Roman"/>
          <w:sz w:val="17"/>
          <w:szCs w:val="17"/>
          <w:color w:val="auto"/>
        </w:rPr>
        <w:t>SuRo Capital Corp. ("we", "us", "our", “Company” or “SuRo Capital”), formerly known as Sutter Rock Capital Corp. and as GSV Capital Corp. and formed in September 2010 as a Maryland corporation, is an internally-managed, non-diversified closed-end management investment company. The Company has elected to be regulated as a business development company ("BDC") under the Investment Company Act of 1940, as amended (the “1940 Act”), and has elected to be treated, and intends to qualify annually, as a regulated investment company (“RIC”) under Subchapter M of the Internal Revenue Code of 1986, as amended (the “Code”).</w:t>
      </w:r>
    </w:p>
    <w:p>
      <w:pPr>
        <w:spacing w:after="0" w:line="200" w:lineRule="exact"/>
        <w:rPr>
          <w:sz w:val="20"/>
          <w:szCs w:val="20"/>
          <w:color w:val="auto"/>
        </w:rPr>
      </w:pPr>
    </w:p>
    <w:p>
      <w:pPr>
        <w:spacing w:after="0" w:line="208" w:lineRule="exact"/>
        <w:rPr>
          <w:sz w:val="20"/>
          <w:szCs w:val="20"/>
          <w:color w:val="auto"/>
        </w:rPr>
      </w:pPr>
    </w:p>
    <w:p>
      <w:pPr>
        <w:jc w:val="both"/>
        <w:ind w:firstLine="349"/>
        <w:spacing w:after="0" w:line="263" w:lineRule="auto"/>
        <w:rPr>
          <w:sz w:val="20"/>
          <w:szCs w:val="20"/>
          <w:color w:val="auto"/>
        </w:rPr>
      </w:pPr>
      <w:r>
        <w:rPr>
          <w:rFonts w:ascii="Times New Roman" w:cs="Times New Roman" w:eastAsia="Times New Roman" w:hAnsi="Times New Roman"/>
          <w:sz w:val="17"/>
          <w:szCs w:val="17"/>
          <w:color w:val="auto"/>
        </w:rPr>
        <w:t>On and effective March 12, 2019, our Board of Directors approved internalizing our operating structure ("Internalization") and we began operating as an internally-managed, non-diversified closed-end management investment company that has elected to be regulated as a BDC under the 1940 Act. Prior to March 12, 2019, we were externally managed by our former investment adviser, GSV Asset Management, LLC (“GSV Asset Management”), pursuant to an investment advisory agreement (the “Investment Advisory Agreement”), and our former administrator, GSV Capital Service Company, LLC (“GSV Capital Service Company”), provided the administrative services necessary for our operations pursuant to an administration agreement (the “Administration Agreement”).</w:t>
      </w:r>
    </w:p>
    <w:p>
      <w:pPr>
        <w:spacing w:after="0" w:line="197" w:lineRule="exact"/>
        <w:rPr>
          <w:sz w:val="20"/>
          <w:szCs w:val="20"/>
          <w:color w:val="auto"/>
        </w:rPr>
      </w:pPr>
    </w:p>
    <w:p>
      <w:pPr>
        <w:jc w:val="both"/>
        <w:ind w:firstLine="349"/>
        <w:spacing w:after="0" w:line="272" w:lineRule="auto"/>
        <w:rPr>
          <w:sz w:val="20"/>
          <w:szCs w:val="20"/>
          <w:color w:val="auto"/>
        </w:rPr>
      </w:pPr>
      <w:r>
        <w:rPr>
          <w:rFonts w:ascii="Times New Roman" w:cs="Times New Roman" w:eastAsia="Times New Roman" w:hAnsi="Times New Roman"/>
          <w:sz w:val="17"/>
          <w:szCs w:val="17"/>
          <w:color w:val="auto"/>
        </w:rPr>
        <w:t>The Company’s date of inception was January 6, 2011, which is the date we commenced development stage activities. The Company’s common stock is currently listed on the Nasdaq Global Select Market under the symbol “SSSS” (formerly "GSVC"). Prior to November 24, 2021, our common stock traded on the Nasdaq Capital Market under the same symbol ("SSSS"). The Company began its investment operations during the second quarter of 2011.</w:t>
      </w:r>
    </w:p>
    <w:p>
      <w:pPr>
        <w:spacing w:after="0" w:line="189" w:lineRule="exact"/>
        <w:rPr>
          <w:sz w:val="20"/>
          <w:szCs w:val="20"/>
          <w:color w:val="auto"/>
        </w:rPr>
      </w:pPr>
    </w:p>
    <w:p>
      <w:pPr>
        <w:jc w:val="both"/>
        <w:ind w:firstLine="349"/>
        <w:spacing w:after="0" w:line="262" w:lineRule="auto"/>
        <w:rPr>
          <w:sz w:val="20"/>
          <w:szCs w:val="20"/>
          <w:color w:val="auto"/>
        </w:rPr>
      </w:pPr>
      <w:r>
        <w:rPr>
          <w:rFonts w:ascii="Times New Roman" w:cs="Times New Roman" w:eastAsia="Times New Roman" w:hAnsi="Times New Roman"/>
          <w:sz w:val="17"/>
          <w:szCs w:val="17"/>
          <w:color w:val="auto"/>
        </w:rPr>
        <w:t>The table below displays the Company’s subsidiaries as of June 30, 2022, which, other than GSV Capital Lending, LLC (“GCL”) and SuRo Capital Sports, LLC, are collectively referred to as the “Taxable Subsidiaries.” The Taxable Subsidiaries were formed to hold certain portfolio investments. The Taxable Subsidiaries, including their associated portfolio investments, are consolidated with the Company for accounting purposes, but have elected to be treated as separate entities for U.S. federal income tax purposes. GCL was formed to originate portfolio loan investments within the state of California and is consolidated with the Company for accounting purposes. Refer to “Note 2—Significant Accounting Policies—</w:t>
      </w:r>
      <w:r>
        <w:rPr>
          <w:rFonts w:ascii="Times New Roman" w:cs="Times New Roman" w:eastAsia="Times New Roman" w:hAnsi="Times New Roman"/>
          <w:sz w:val="17"/>
          <w:szCs w:val="17"/>
          <w:i w:val="1"/>
          <w:iCs w:val="1"/>
          <w:color w:val="auto"/>
        </w:rPr>
        <w:t>Basis of Consolidation</w:t>
      </w:r>
      <w:r>
        <w:rPr>
          <w:rFonts w:ascii="Times New Roman" w:cs="Times New Roman" w:eastAsia="Times New Roman" w:hAnsi="Times New Roman"/>
          <w:sz w:val="17"/>
          <w:szCs w:val="17"/>
          <w:color w:val="auto"/>
        </w:rPr>
        <w:t>” below for further detail.</w:t>
      </w:r>
    </w:p>
    <w:tbl>
      <w:tblPr>
        <w:tblLayout w:type="fixed"/>
        <w:tblInd w:w="20" w:type="dxa"/>
        <w:tblCellMar>
          <w:top w:w="0" w:type="dxa"/>
          <w:left w:w="0" w:type="dxa"/>
          <w:bottom w:w="0" w:type="dxa"/>
          <w:right w:w="0" w:type="dxa"/>
        </w:tblCellMar>
      </w:tblPr>
      <w:tr>
        <w:trPr>
          <w:trHeight w:val="143"/>
        </w:trPr>
        <w:tc>
          <w:tcPr>
            <w:tcW w:w="37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Subsidiary</w:t>
            </w:r>
          </w:p>
        </w:tc>
        <w:tc>
          <w:tcPr>
            <w:tcW w:w="4500" w:type="dxa"/>
            <w:vAlign w:val="bottom"/>
          </w:tcPr>
          <w:p>
            <w:pPr>
              <w:ind w:left="3120"/>
              <w:spacing w:after="0" w:line="143" w:lineRule="exact"/>
              <w:rPr>
                <w:sz w:val="20"/>
                <w:szCs w:val="20"/>
                <w:color w:val="auto"/>
              </w:rPr>
            </w:pPr>
            <w:r>
              <w:rPr>
                <w:rFonts w:ascii="Times New Roman" w:cs="Times New Roman" w:eastAsia="Times New Roman" w:hAnsi="Times New Roman"/>
                <w:sz w:val="14"/>
                <w:szCs w:val="14"/>
                <w:b w:val="1"/>
                <w:bCs w:val="1"/>
                <w:color w:val="auto"/>
              </w:rPr>
              <w:t>Jurisdiction of</w:t>
            </w:r>
          </w:p>
        </w:tc>
        <w:tc>
          <w:tcPr>
            <w:tcW w:w="162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w w:val="97"/>
              </w:rPr>
              <w:t>Formation</w:t>
            </w:r>
          </w:p>
        </w:tc>
        <w:tc>
          <w:tcPr>
            <w:tcW w:w="1140" w:type="dxa"/>
            <w:vAlign w:val="bottom"/>
          </w:tcPr>
          <w:p>
            <w:pPr>
              <w:jc w:val="center"/>
              <w:ind w:left="431"/>
              <w:spacing w:after="0" w:line="143" w:lineRule="exact"/>
              <w:rPr>
                <w:sz w:val="20"/>
                <w:szCs w:val="20"/>
                <w:color w:val="auto"/>
              </w:rPr>
            </w:pPr>
            <w:r>
              <w:rPr>
                <w:rFonts w:ascii="Times New Roman" w:cs="Times New Roman" w:eastAsia="Times New Roman" w:hAnsi="Times New Roman"/>
                <w:sz w:val="14"/>
                <w:szCs w:val="14"/>
                <w:b w:val="1"/>
                <w:bCs w:val="1"/>
                <w:color w:val="auto"/>
                <w:w w:val="96"/>
              </w:rPr>
              <w:t>Percentage</w:t>
            </w:r>
          </w:p>
        </w:tc>
        <w:tc>
          <w:tcPr>
            <w:tcW w:w="0" w:type="dxa"/>
            <w:vAlign w:val="bottom"/>
          </w:tcPr>
          <w:p>
            <w:pPr>
              <w:spacing w:after="0"/>
              <w:rPr>
                <w:sz w:val="1"/>
                <w:szCs w:val="1"/>
                <w:color w:val="auto"/>
              </w:rPr>
            </w:pPr>
          </w:p>
        </w:tc>
      </w:tr>
      <w:tr>
        <w:trPr>
          <w:trHeight w:val="183"/>
        </w:trPr>
        <w:tc>
          <w:tcPr>
            <w:tcW w:w="3740" w:type="dxa"/>
            <w:vAlign w:val="bottom"/>
            <w:vMerge w:val="continue"/>
          </w:tcPr>
          <w:p>
            <w:pPr>
              <w:spacing w:after="0"/>
              <w:rPr>
                <w:sz w:val="15"/>
                <w:szCs w:val="15"/>
                <w:color w:val="auto"/>
              </w:rPr>
            </w:pPr>
          </w:p>
        </w:tc>
        <w:tc>
          <w:tcPr>
            <w:tcW w:w="4500" w:type="dxa"/>
            <w:vAlign w:val="bottom"/>
          </w:tcPr>
          <w:p>
            <w:pPr>
              <w:ind w:left="3140"/>
              <w:spacing w:after="0"/>
              <w:rPr>
                <w:sz w:val="20"/>
                <w:szCs w:val="20"/>
                <w:color w:val="auto"/>
              </w:rPr>
            </w:pPr>
            <w:r>
              <w:rPr>
                <w:rFonts w:ascii="Times New Roman" w:cs="Times New Roman" w:eastAsia="Times New Roman" w:hAnsi="Times New Roman"/>
                <w:sz w:val="14"/>
                <w:szCs w:val="14"/>
                <w:b w:val="1"/>
                <w:bCs w:val="1"/>
                <w:color w:val="auto"/>
              </w:rPr>
              <w:t>Incorporation</w:t>
            </w:r>
          </w:p>
        </w:tc>
        <w:tc>
          <w:tcPr>
            <w:tcW w:w="1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140" w:type="dxa"/>
            <w:vAlign w:val="bottom"/>
          </w:tcPr>
          <w:p>
            <w:pPr>
              <w:jc w:val="center"/>
              <w:ind w:left="411"/>
              <w:spacing w:after="0"/>
              <w:rPr>
                <w:sz w:val="20"/>
                <w:szCs w:val="20"/>
                <w:color w:val="auto"/>
              </w:rPr>
            </w:pPr>
            <w:r>
              <w:rPr>
                <w:rFonts w:ascii="Times New Roman" w:cs="Times New Roman" w:eastAsia="Times New Roman" w:hAnsi="Times New Roman"/>
                <w:sz w:val="14"/>
                <w:szCs w:val="14"/>
                <w:b w:val="1"/>
                <w:bCs w:val="1"/>
                <w:color w:val="auto"/>
                <w:w w:val="98"/>
              </w:rPr>
              <w:t>Owned</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5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GCL</w:t>
            </w:r>
          </w:p>
        </w:tc>
        <w:tc>
          <w:tcPr>
            <w:tcW w:w="10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Delaware</w:t>
            </w:r>
          </w:p>
        </w:tc>
        <w:tc>
          <w:tcPr>
            <w:tcW w:w="100" w:type="dxa"/>
            <w:vAlign w:val="bottom"/>
            <w:tcBorders>
              <w:top w:val="single" w:sz="8" w:color="CCEEFF"/>
            </w:tcBorders>
            <w:shd w:val="clear" w:color="auto" w:fill="CCEEFF"/>
          </w:tcPr>
          <w:p>
            <w:pPr>
              <w:spacing w:after="0"/>
              <w:rPr>
                <w:sz w:val="19"/>
                <w:szCs w:val="19"/>
                <w:color w:val="auto"/>
              </w:rPr>
            </w:pPr>
          </w:p>
        </w:tc>
        <w:tc>
          <w:tcPr>
            <w:tcW w:w="19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April 13, 2012</w:t>
            </w:r>
          </w:p>
        </w:tc>
        <w:tc>
          <w:tcPr>
            <w:tcW w:w="12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rPr>
              <w:t>100%</w:t>
            </w:r>
          </w:p>
        </w:tc>
      </w:tr>
      <w:tr>
        <w:trPr>
          <w:trHeight w:val="220"/>
        </w:trPr>
        <w:tc>
          <w:tcPr>
            <w:tcW w:w="66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SuRo Capital Sports, LLC ("SuRo Sports")</w:t>
            </w:r>
          </w:p>
        </w:tc>
        <w:tc>
          <w:tcPr>
            <w:tcW w:w="148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Delaware</w:t>
            </w:r>
          </w:p>
        </w:tc>
        <w:tc>
          <w:tcPr>
            <w:tcW w:w="20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March 19, 2021</w:t>
            </w:r>
          </w:p>
        </w:tc>
        <w:tc>
          <w:tcPr>
            <w:tcW w:w="1040" w:type="dxa"/>
            <w:vAlign w:val="bottom"/>
          </w:tcPr>
          <w:p>
            <w:pPr>
              <w:jc w:val="right"/>
              <w:ind w:right="234"/>
              <w:spacing w:after="0"/>
              <w:rPr>
                <w:sz w:val="20"/>
                <w:szCs w:val="20"/>
                <w:color w:val="auto"/>
              </w:rPr>
            </w:pPr>
            <w:r>
              <w:rPr>
                <w:rFonts w:ascii="Times New Roman" w:cs="Times New Roman" w:eastAsia="Times New Roman" w:hAnsi="Times New Roman"/>
                <w:sz w:val="17"/>
                <w:szCs w:val="17"/>
                <w:color w:val="auto"/>
              </w:rPr>
              <w:t>100%</w:t>
            </w:r>
          </w:p>
        </w:tc>
      </w:tr>
      <w:tr>
        <w:trPr>
          <w:trHeight w:val="207"/>
        </w:trPr>
        <w:tc>
          <w:tcPr>
            <w:tcW w:w="6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Subsidiaries below are referred to collectively, as the “Taxable Subsidiaries”</w:t>
            </w: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20"/>
        </w:trPr>
        <w:tc>
          <w:tcPr>
            <w:tcW w:w="66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GSVC AE Holdings, Inc. (“GAE”)</w:t>
            </w:r>
          </w:p>
        </w:tc>
        <w:tc>
          <w:tcPr>
            <w:tcW w:w="148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Delaware</w:t>
            </w:r>
          </w:p>
        </w:tc>
        <w:tc>
          <w:tcPr>
            <w:tcW w:w="20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November 28, 2012</w:t>
            </w:r>
          </w:p>
        </w:tc>
        <w:tc>
          <w:tcPr>
            <w:tcW w:w="1040" w:type="dxa"/>
            <w:vAlign w:val="bottom"/>
          </w:tcPr>
          <w:p>
            <w:pPr>
              <w:jc w:val="right"/>
              <w:ind w:right="234"/>
              <w:spacing w:after="0"/>
              <w:rPr>
                <w:sz w:val="20"/>
                <w:szCs w:val="20"/>
                <w:color w:val="auto"/>
              </w:rPr>
            </w:pPr>
            <w:r>
              <w:rPr>
                <w:rFonts w:ascii="Times New Roman" w:cs="Times New Roman" w:eastAsia="Times New Roman" w:hAnsi="Times New Roman"/>
                <w:sz w:val="17"/>
                <w:szCs w:val="17"/>
                <w:color w:val="auto"/>
              </w:rPr>
              <w:t>100%</w:t>
            </w:r>
          </w:p>
        </w:tc>
      </w:tr>
      <w:tr>
        <w:trPr>
          <w:trHeight w:val="220"/>
        </w:trPr>
        <w:tc>
          <w:tcPr>
            <w:tcW w:w="6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GSVC AV Holdings, Inc. (“GAV”)</w:t>
            </w:r>
          </w:p>
        </w:tc>
        <w:tc>
          <w:tcPr>
            <w:tcW w:w="14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Delaware</w:t>
            </w:r>
          </w:p>
        </w:tc>
        <w:tc>
          <w:tcPr>
            <w:tcW w:w="20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rPr>
              <w:t>November 28, 2012</w:t>
            </w:r>
          </w:p>
        </w:tc>
        <w:tc>
          <w:tcPr>
            <w:tcW w:w="104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rPr>
              <w:t>100%</w:t>
            </w:r>
          </w:p>
        </w:tc>
      </w:tr>
      <w:tr>
        <w:trPr>
          <w:trHeight w:val="220"/>
        </w:trPr>
        <w:tc>
          <w:tcPr>
            <w:tcW w:w="66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GSVC SW Holdings, Inc. (“GSW”)</w:t>
            </w:r>
          </w:p>
        </w:tc>
        <w:tc>
          <w:tcPr>
            <w:tcW w:w="148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Delaware</w:t>
            </w:r>
          </w:p>
        </w:tc>
        <w:tc>
          <w:tcPr>
            <w:tcW w:w="20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November 28, 2012</w:t>
            </w:r>
          </w:p>
        </w:tc>
        <w:tc>
          <w:tcPr>
            <w:tcW w:w="1040" w:type="dxa"/>
            <w:vAlign w:val="bottom"/>
          </w:tcPr>
          <w:p>
            <w:pPr>
              <w:jc w:val="right"/>
              <w:ind w:right="234"/>
              <w:spacing w:after="0"/>
              <w:rPr>
                <w:sz w:val="20"/>
                <w:szCs w:val="20"/>
                <w:color w:val="auto"/>
              </w:rPr>
            </w:pPr>
            <w:r>
              <w:rPr>
                <w:rFonts w:ascii="Times New Roman" w:cs="Times New Roman" w:eastAsia="Times New Roman" w:hAnsi="Times New Roman"/>
                <w:sz w:val="17"/>
                <w:szCs w:val="17"/>
                <w:color w:val="auto"/>
              </w:rPr>
              <w:t>100%</w:t>
            </w:r>
          </w:p>
        </w:tc>
      </w:tr>
      <w:tr>
        <w:trPr>
          <w:trHeight w:val="220"/>
        </w:trPr>
        <w:tc>
          <w:tcPr>
            <w:tcW w:w="6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GSVC SVDS Holdings, Inc. (“SVDS”)</w:t>
            </w:r>
          </w:p>
        </w:tc>
        <w:tc>
          <w:tcPr>
            <w:tcW w:w="14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Delaware</w:t>
            </w:r>
          </w:p>
        </w:tc>
        <w:tc>
          <w:tcPr>
            <w:tcW w:w="20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rPr>
              <w:t>August 13, 2013</w:t>
            </w:r>
          </w:p>
        </w:tc>
        <w:tc>
          <w:tcPr>
            <w:tcW w:w="104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rPr>
              <w:t>100%</w:t>
            </w:r>
          </w:p>
        </w:tc>
      </w:tr>
    </w:tbl>
    <w:p>
      <w:pPr>
        <w:spacing w:after="0" w:line="305" w:lineRule="exact"/>
        <w:rPr>
          <w:sz w:val="20"/>
          <w:szCs w:val="20"/>
          <w:color w:val="auto"/>
        </w:rPr>
      </w:pPr>
    </w:p>
    <w:p>
      <w:pPr>
        <w:jc w:val="both"/>
        <w:ind w:firstLine="349"/>
        <w:spacing w:after="0" w:line="260" w:lineRule="auto"/>
        <w:rPr>
          <w:sz w:val="20"/>
          <w:szCs w:val="20"/>
          <w:color w:val="auto"/>
        </w:rPr>
      </w:pPr>
      <w:r>
        <w:rPr>
          <w:rFonts w:ascii="Times New Roman" w:cs="Times New Roman" w:eastAsia="Times New Roman" w:hAnsi="Times New Roman"/>
          <w:sz w:val="17"/>
          <w:szCs w:val="17"/>
          <w:color w:val="auto"/>
        </w:rPr>
        <w:t>The Company’s investment objective is to maximize its portfolio’s total return, principally by seeking capital gains on its equity and equity-related investments, and to a lesser extent, income from debt investments. The Company invests principally in the equity securities of what it believes to be rapidly growing venture-capital-backed emerging companies. The Company may invest in these portfolio companies through offerings of the prospective portfolio companies, transactions on secondary marketplaces for private companies, or negotiations with selling stockholders. In addition, the Company may invest in private credit and in founders equity, founders warrants, forward purchase agreements, and private investment in public equity transactions of special purpose acquisition companies. The Company may also invest on an opportunistic basis in select publicly traded equity securities or certain non-U.S. companies that otherwise meet its investment criteria, subject to any applicable limitations under the 1940 Act.</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ectPr>
          <w:pgSz w:w="11900" w:h="16838" w:orient="portrait"/>
          <w:cols w:equalWidth="0" w:num="1">
            <w:col w:w="11240"/>
          </w:cols>
          <w:pgMar w:left="320" w:top="118"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SURO CAPITAL CORP. AND SUBSIDIARIES</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June 30, 2022</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2—SIGNIFICANT ACCOUNTING POLICIES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Basis of Presentation</w:t>
      </w:r>
    </w:p>
    <w:p>
      <w:pPr>
        <w:spacing w:after="0" w:line="246" w:lineRule="exact"/>
        <w:rPr>
          <w:sz w:val="20"/>
          <w:szCs w:val="20"/>
          <w:color w:val="auto"/>
        </w:rPr>
      </w:pPr>
    </w:p>
    <w:p>
      <w:pPr>
        <w:jc w:val="both"/>
        <w:ind w:firstLine="349"/>
        <w:spacing w:after="0" w:line="261" w:lineRule="auto"/>
        <w:rPr>
          <w:sz w:val="20"/>
          <w:szCs w:val="20"/>
          <w:color w:val="auto"/>
        </w:rPr>
      </w:pPr>
      <w:r>
        <w:rPr>
          <w:rFonts w:ascii="Times New Roman" w:cs="Times New Roman" w:eastAsia="Times New Roman" w:hAnsi="Times New Roman"/>
          <w:sz w:val="17"/>
          <w:szCs w:val="17"/>
          <w:color w:val="auto"/>
        </w:rPr>
        <w:t xml:space="preserve">The interim unaudited condensed consolidated financial statements of the Company are prepared on the accrual basis of accounting in conformity with U.S. generally accepted accounting principles (“GAAP”) and pursuant to the requirements for reporting on Form 10-Q and Regulation S-X under the Securities Exchange Act of 1934, as amended (the “Exchange Act”). The Company is an investment company following the specialized accounting and reporting guidance specified in the Financial Accounting Standards Board’s (“FASB”) Accounting Standards Codification (“ASC”) Topic 946, </w:t>
      </w:r>
      <w:r>
        <w:rPr>
          <w:rFonts w:ascii="Times New Roman" w:cs="Times New Roman" w:eastAsia="Times New Roman" w:hAnsi="Times New Roman"/>
          <w:sz w:val="17"/>
          <w:szCs w:val="17"/>
          <w:i w:val="1"/>
          <w:iCs w:val="1"/>
          <w:color w:val="auto"/>
        </w:rPr>
        <w:t>Financial Services—Investment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Companies</w:t>
      </w:r>
      <w:r>
        <w:rPr>
          <w:rFonts w:ascii="Times New Roman" w:cs="Times New Roman" w:eastAsia="Times New Roman" w:hAnsi="Times New Roman"/>
          <w:sz w:val="17"/>
          <w:szCs w:val="17"/>
          <w:color w:val="auto"/>
        </w:rPr>
        <w:t>. In the opinion of management, all adjustments, all of which were of a normal recurring nature, were considered necessary for the fair presentation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consolidated financial statements for the period have been included.</w:t>
      </w:r>
    </w:p>
    <w:p>
      <w:pPr>
        <w:spacing w:after="0" w:line="199" w:lineRule="exact"/>
        <w:rPr>
          <w:sz w:val="20"/>
          <w:szCs w:val="20"/>
          <w:color w:val="auto"/>
        </w:rPr>
      </w:pPr>
    </w:p>
    <w:p>
      <w:pPr>
        <w:jc w:val="both"/>
        <w:ind w:firstLine="349"/>
        <w:spacing w:after="0" w:line="266" w:lineRule="auto"/>
        <w:rPr>
          <w:sz w:val="20"/>
          <w:szCs w:val="20"/>
          <w:color w:val="auto"/>
        </w:rPr>
      </w:pPr>
      <w:r>
        <w:rPr>
          <w:rFonts w:ascii="Times New Roman" w:cs="Times New Roman" w:eastAsia="Times New Roman" w:hAnsi="Times New Roman"/>
          <w:sz w:val="17"/>
          <w:szCs w:val="17"/>
          <w:color w:val="auto"/>
        </w:rPr>
        <w:t>The results of operations for the current interim period are not necessarily indicative of results that ultimately may be achieved for any other interim period or for the fiscal year ending December 31, 2022. The interim unaudited condensed consolidated financial statements and notes hereto should be read in conjunction with the audited consolidated financial statements and notes thereto contained in the Company's annual report on Form 10-K for the fiscal year ended December 31, 2021.</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Basis of Consolidation</w:t>
      </w:r>
    </w:p>
    <w:p>
      <w:pPr>
        <w:spacing w:after="0" w:line="246" w:lineRule="exact"/>
        <w:rPr>
          <w:sz w:val="20"/>
          <w:szCs w:val="20"/>
          <w:color w:val="auto"/>
        </w:rPr>
      </w:pPr>
    </w:p>
    <w:p>
      <w:pPr>
        <w:jc w:val="both"/>
        <w:ind w:firstLine="349"/>
        <w:spacing w:after="0" w:line="263" w:lineRule="auto"/>
        <w:rPr>
          <w:sz w:val="20"/>
          <w:szCs w:val="20"/>
          <w:color w:val="auto"/>
        </w:rPr>
      </w:pPr>
      <w:r>
        <w:rPr>
          <w:rFonts w:ascii="Times New Roman" w:cs="Times New Roman" w:eastAsia="Times New Roman" w:hAnsi="Times New Roman"/>
          <w:sz w:val="17"/>
          <w:szCs w:val="17"/>
          <w:color w:val="auto"/>
        </w:rPr>
        <w:t>Under Article 6 of Regulation S-X and the American Institute of Certified Public Accountants’ (“AICPA”) Audit and Accounting Guide for Investment Companies, the Company is precluded from consolidating any entity other than another investment company, a controlled operating company that provides substantially all of its services and benefits to the Company, and certain entities established for tax purposes where the Company holds a 100% interest. Accordingly, the Company’s condensed consolidated financial statements include its accounts and the accounts of the Taxable Subsidiaries, GCL, and SuRo Sports, its wholly-owned subsidiaries. All intercompany balances and transactions have been eliminated in consolidation.</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Use of Estimates</w:t>
      </w:r>
    </w:p>
    <w:p>
      <w:pPr>
        <w:spacing w:after="0" w:line="246" w:lineRule="exact"/>
        <w:rPr>
          <w:sz w:val="20"/>
          <w:szCs w:val="20"/>
          <w:color w:val="auto"/>
        </w:rPr>
      </w:pPr>
    </w:p>
    <w:p>
      <w:pPr>
        <w:jc w:val="both"/>
        <w:ind w:firstLine="349"/>
        <w:spacing w:after="0" w:line="263" w:lineRule="auto"/>
        <w:rPr>
          <w:sz w:val="20"/>
          <w:szCs w:val="20"/>
          <w:color w:val="auto"/>
        </w:rPr>
      </w:pPr>
      <w:r>
        <w:rPr>
          <w:rFonts w:ascii="Times New Roman" w:cs="Times New Roman" w:eastAsia="Times New Roman" w:hAnsi="Times New Roman"/>
          <w:sz w:val="17"/>
          <w:szCs w:val="17"/>
          <w:color w:val="auto"/>
        </w:rPr>
        <w:t>The preparation of condensed consolidated financial statements in accordance with GAAP requires the Company’s management to make a number of significant estimates. These include estimates of the fair value of certain assets and liabilities and other estimates that affect the reported amounts of certain assets and liabilities as of the date of the condensed consolidated financial statements and the reported amounts of certain revenues and expenses during the reporting period. It is likely that changes in these estimates will occur in the near term. The Company’s estimates are inherently subjective in nature and actual results could differ materially from such estimates.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Uncertainties and Risk Factors</w:t>
      </w:r>
    </w:p>
    <w:p>
      <w:pPr>
        <w:spacing w:after="0" w:line="246" w:lineRule="exact"/>
        <w:rPr>
          <w:sz w:val="20"/>
          <w:szCs w:val="20"/>
          <w:color w:val="auto"/>
        </w:rPr>
      </w:pPr>
    </w:p>
    <w:p>
      <w:pPr>
        <w:jc w:val="both"/>
        <w:ind w:firstLine="349"/>
        <w:spacing w:after="0" w:line="272" w:lineRule="auto"/>
        <w:rPr>
          <w:sz w:val="20"/>
          <w:szCs w:val="20"/>
          <w:color w:val="auto"/>
        </w:rPr>
      </w:pPr>
      <w:r>
        <w:rPr>
          <w:rFonts w:ascii="Times New Roman" w:cs="Times New Roman" w:eastAsia="Times New Roman" w:hAnsi="Times New Roman"/>
          <w:sz w:val="17"/>
          <w:szCs w:val="17"/>
          <w:color w:val="auto"/>
        </w:rPr>
        <w:t>The Company is subject to a number of risks and uncertainties in the nature of its operations, as well as vulnerability due to certain concentrations. Refer to "Risk Factors” in Part II, Item 1A of this Form 10-Q for a detailed discussion of the risks and uncertainties inherent in the nature of the Company’s operations. Refer to “Note 4—Investments at Fair Value” for an overview of the Company’s industry and geographic concentrations.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Investments at Fair Value</w:t>
      </w:r>
    </w:p>
    <w:p>
      <w:pPr>
        <w:spacing w:after="0" w:line="246" w:lineRule="exact"/>
        <w:rPr>
          <w:sz w:val="20"/>
          <w:szCs w:val="20"/>
          <w:color w:val="auto"/>
        </w:rPr>
      </w:pPr>
    </w:p>
    <w:p>
      <w:pPr>
        <w:jc w:val="both"/>
        <w:ind w:firstLine="349"/>
        <w:spacing w:after="0" w:line="291" w:lineRule="auto"/>
        <w:rPr>
          <w:sz w:val="20"/>
          <w:szCs w:val="20"/>
          <w:color w:val="auto"/>
        </w:rPr>
      </w:pPr>
      <w:r>
        <w:rPr>
          <w:rFonts w:ascii="Times New Roman" w:cs="Times New Roman" w:eastAsia="Times New Roman" w:hAnsi="Times New Roman"/>
          <w:sz w:val="17"/>
          <w:szCs w:val="17"/>
          <w:color w:val="auto"/>
        </w:rPr>
        <w:t>The Company applies fair value accounting in accordance with GAAP and the AICPA’s Audit and Accounting Guide for Investment Companies. The Company values its assets on a quarterly basis, or more frequently if required under the 1940 Act.</w:t>
      </w:r>
    </w:p>
    <w:p>
      <w:pPr>
        <w:spacing w:after="0" w:line="173" w:lineRule="exact"/>
        <w:rPr>
          <w:sz w:val="20"/>
          <w:szCs w:val="20"/>
          <w:color w:val="auto"/>
        </w:rPr>
      </w:pPr>
    </w:p>
    <w:p>
      <w:pPr>
        <w:jc w:val="both"/>
        <w:ind w:firstLine="349"/>
        <w:spacing w:after="0" w:line="269" w:lineRule="auto"/>
        <w:rPr>
          <w:sz w:val="20"/>
          <w:szCs w:val="20"/>
          <w:color w:val="auto"/>
        </w:rPr>
      </w:pPr>
      <w:r>
        <w:rPr>
          <w:rFonts w:ascii="Times New Roman" w:cs="Times New Roman" w:eastAsia="Times New Roman" w:hAnsi="Times New Roman"/>
          <w:sz w:val="17"/>
          <w:szCs w:val="17"/>
          <w:color w:val="auto"/>
        </w:rPr>
        <w:t>Fair value is defined as the price that would be received to sell an asset or paid to transfer a liability in an orderly transaction between market participants at the measurement date. GAAP establishes a framework for measuring fair value that includes a hierarchy used to classify the inputs used in measuring fair value. The hierarchy prioritizes the inputs to valuation techniques used to measure fair value into three levels. The level in the fair value hierarchy within which the fair value</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ectPr>
          <w:pgSz w:w="11900" w:h="16838" w:orient="portrait"/>
          <w:cols w:equalWidth="0" w:num="1">
            <w:col w:w="11240"/>
          </w:cols>
          <w:pgMar w:left="320" w:top="118"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SURO CAPITAL CORP. AND SUBSIDIARIES</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June 30, 2022</w:t>
      </w:r>
    </w:p>
    <w:p>
      <w:pPr>
        <w:spacing w:after="0" w:line="368"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7"/>
          <w:szCs w:val="17"/>
          <w:color w:val="auto"/>
        </w:rPr>
        <w:t>measurement falls is determined based on the lowest level input that is significant to the fair value measurement. The levels of the fair value hierarchy are as follows:</w:t>
      </w:r>
    </w:p>
    <w:p>
      <w:pPr>
        <w:spacing w:after="0" w:line="171" w:lineRule="exact"/>
        <w:rPr>
          <w:sz w:val="20"/>
          <w:szCs w:val="20"/>
          <w:color w:val="auto"/>
        </w:rPr>
      </w:pPr>
    </w:p>
    <w:p>
      <w:pPr>
        <w:jc w:val="both"/>
        <w:ind w:firstLine="349"/>
        <w:spacing w:after="0" w:line="293" w:lineRule="auto"/>
        <w:rPr>
          <w:sz w:val="20"/>
          <w:szCs w:val="20"/>
          <w:color w:val="auto"/>
        </w:rPr>
      </w:pPr>
      <w:r>
        <w:rPr>
          <w:rFonts w:ascii="Times New Roman" w:cs="Times New Roman" w:eastAsia="Times New Roman" w:hAnsi="Times New Roman"/>
          <w:sz w:val="17"/>
          <w:szCs w:val="17"/>
          <w:b w:val="1"/>
          <w:bCs w:val="1"/>
          <w:color w:val="auto"/>
        </w:rPr>
        <w:t>Level 1</w:t>
      </w:r>
      <w:r>
        <w:rPr>
          <w:rFonts w:ascii="Times New Roman" w:cs="Times New Roman" w:eastAsia="Times New Roman" w:hAnsi="Times New Roman"/>
          <w:sz w:val="17"/>
          <w:szCs w:val="17"/>
          <w:color w:val="auto"/>
        </w:rPr>
        <w:t>—Valuations based on unadjusted quoted prices for identical assets or liabilities in an active market that the Company has the ability to access at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measurement date.</w:t>
      </w:r>
    </w:p>
    <w:p>
      <w:pPr>
        <w:spacing w:after="0" w:line="169" w:lineRule="exact"/>
        <w:rPr>
          <w:sz w:val="20"/>
          <w:szCs w:val="20"/>
          <w:color w:val="auto"/>
        </w:rPr>
      </w:pPr>
    </w:p>
    <w:p>
      <w:pPr>
        <w:jc w:val="both"/>
        <w:ind w:firstLine="349"/>
        <w:spacing w:after="0" w:line="273" w:lineRule="auto"/>
        <w:rPr>
          <w:sz w:val="20"/>
          <w:szCs w:val="20"/>
          <w:color w:val="auto"/>
        </w:rPr>
      </w:pPr>
      <w:r>
        <w:rPr>
          <w:rFonts w:ascii="Times New Roman" w:cs="Times New Roman" w:eastAsia="Times New Roman" w:hAnsi="Times New Roman"/>
          <w:sz w:val="17"/>
          <w:szCs w:val="17"/>
          <w:b w:val="1"/>
          <w:bCs w:val="1"/>
          <w:color w:val="auto"/>
        </w:rPr>
        <w:t>Level 2</w:t>
      </w:r>
      <w:r>
        <w:rPr>
          <w:rFonts w:ascii="Times New Roman" w:cs="Times New Roman" w:eastAsia="Times New Roman" w:hAnsi="Times New Roman"/>
          <w:sz w:val="17"/>
          <w:szCs w:val="17"/>
          <w:color w:val="auto"/>
        </w:rPr>
        <w:t>—Valuations based on observable inputs other than Level 1 prices, such as quoted prices for similar assets or liabilities; quoted prices in markets that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are not active; or other inputs that are observable or can be corroborated by observable market data at the measurement date for substantially the full term of the assets or liabilities.</w:t>
      </w:r>
    </w:p>
    <w:p>
      <w:pPr>
        <w:spacing w:after="0" w:line="187" w:lineRule="exact"/>
        <w:rPr>
          <w:sz w:val="20"/>
          <w:szCs w:val="20"/>
          <w:color w:val="auto"/>
        </w:rPr>
      </w:pPr>
    </w:p>
    <w:p>
      <w:pPr>
        <w:jc w:val="both"/>
        <w:ind w:firstLine="349"/>
        <w:spacing w:after="0" w:line="273" w:lineRule="auto"/>
        <w:rPr>
          <w:sz w:val="20"/>
          <w:szCs w:val="20"/>
          <w:color w:val="auto"/>
        </w:rPr>
      </w:pPr>
      <w:r>
        <w:rPr>
          <w:rFonts w:ascii="Times New Roman" w:cs="Times New Roman" w:eastAsia="Times New Roman" w:hAnsi="Times New Roman"/>
          <w:sz w:val="17"/>
          <w:szCs w:val="17"/>
          <w:b w:val="1"/>
          <w:bCs w:val="1"/>
          <w:color w:val="auto"/>
        </w:rPr>
        <w:t>Level 3</w:t>
      </w:r>
      <w:r>
        <w:rPr>
          <w:rFonts w:ascii="Times New Roman" w:cs="Times New Roman" w:eastAsia="Times New Roman" w:hAnsi="Times New Roman"/>
          <w:sz w:val="17"/>
          <w:szCs w:val="17"/>
          <w:color w:val="auto"/>
        </w:rPr>
        <w:t>—Valuations based on unobservable inputs that reflect management’s best estimate of what market participants would use in pricing the asset 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liability at the measurement date. Consideration is given to the risk inherent in the valuation technique and the risk inherent in the inputs to the model. The majority of the Company’s investments are Level 3 investments and are subject to a high degree of judgment and uncertainty in determining fair value.</w:t>
      </w:r>
    </w:p>
    <w:p>
      <w:pPr>
        <w:spacing w:after="0" w:line="189" w:lineRule="exact"/>
        <w:rPr>
          <w:sz w:val="20"/>
          <w:szCs w:val="20"/>
          <w:color w:val="auto"/>
        </w:rPr>
      </w:pPr>
    </w:p>
    <w:p>
      <w:pPr>
        <w:jc w:val="both"/>
        <w:ind w:firstLine="349"/>
        <w:spacing w:after="0" w:line="263" w:lineRule="auto"/>
        <w:rPr>
          <w:sz w:val="20"/>
          <w:szCs w:val="20"/>
          <w:color w:val="auto"/>
        </w:rPr>
      </w:pPr>
      <w:r>
        <w:rPr>
          <w:rFonts w:ascii="Times New Roman" w:cs="Times New Roman" w:eastAsia="Times New Roman" w:hAnsi="Times New Roman"/>
          <w:sz w:val="17"/>
          <w:szCs w:val="17"/>
          <w:color w:val="auto"/>
        </w:rPr>
        <w:t>When the inputs used to measure fair value fall within different levels of the hierarchy, the level within which the fair value measurement is categorized is based on the lowest level input that is significant to the fair value measurement in its entirety. For example, a Level 3 fair value measurement may include inputs that are observable (Levels 1 and 2) and unobservable (Level 3). Therefore, gains and losses for such assets and liabilities categorized within the Level 3 table set forth in “Note 4—Investments at Fair Value” may include changes in fair value that are attributable to both observable inputs (Levels 1 and 2) and unobservable inputs (Level 3).</w:t>
      </w:r>
    </w:p>
    <w:p>
      <w:pPr>
        <w:spacing w:after="0" w:line="197" w:lineRule="exact"/>
        <w:rPr>
          <w:sz w:val="20"/>
          <w:szCs w:val="20"/>
          <w:color w:val="auto"/>
        </w:rPr>
      </w:pPr>
    </w:p>
    <w:p>
      <w:pPr>
        <w:jc w:val="both"/>
        <w:ind w:firstLine="349"/>
        <w:spacing w:after="0" w:line="266" w:lineRule="auto"/>
        <w:rPr>
          <w:sz w:val="20"/>
          <w:szCs w:val="20"/>
          <w:color w:val="auto"/>
        </w:rPr>
      </w:pPr>
      <w:r>
        <w:rPr>
          <w:rFonts w:ascii="Times New Roman" w:cs="Times New Roman" w:eastAsia="Times New Roman" w:hAnsi="Times New Roman"/>
          <w:sz w:val="17"/>
          <w:szCs w:val="17"/>
          <w:color w:val="auto"/>
        </w:rPr>
        <w:t>A review of fair value hierarchy classifications is conducted on a quarterly basis. Changes in the observability of valuation inputs may result in a reclassification for certain financial assets or liabilities. Reclassifications impacting Level 3 of the fair value hierarchy are reported as transfers in/out of the Level 3 category as of the beginning of the measurement period in which the reclassifications occur. Refer to “Levelling Policy” below for a detailed discussion of the levelling of the Company’s financial assets or liabilities and events that may cause a reclassification within the fair value hierarchy.</w:t>
      </w:r>
    </w:p>
    <w:p>
      <w:pPr>
        <w:spacing w:after="0" w:line="194" w:lineRule="exact"/>
        <w:rPr>
          <w:sz w:val="20"/>
          <w:szCs w:val="20"/>
          <w:color w:val="auto"/>
        </w:rPr>
      </w:pPr>
    </w:p>
    <w:p>
      <w:pPr>
        <w:jc w:val="both"/>
        <w:ind w:firstLine="349"/>
        <w:spacing w:after="0" w:line="261" w:lineRule="auto"/>
        <w:rPr>
          <w:sz w:val="20"/>
          <w:szCs w:val="20"/>
          <w:color w:val="auto"/>
        </w:rPr>
      </w:pPr>
      <w:r>
        <w:rPr>
          <w:rFonts w:ascii="Times New Roman" w:cs="Times New Roman" w:eastAsia="Times New Roman" w:hAnsi="Times New Roman"/>
          <w:sz w:val="17"/>
          <w:szCs w:val="17"/>
          <w:color w:val="auto"/>
        </w:rPr>
        <w:t>Securities for which market quotations are readily available on an exchange are valued at the most recently available closing price of such security as of the valuation date, unless there are legal or contractual restrictions on the sale or use of such security that under ASC 820-10-35 should be incorporated into the security’s fair value measurement as a characteristic of the security that would transfer to market participants who would buy the security. The Company may also obtain quotes with respect to certain of its investments from pricing services, brokers or dealers in order to value assets. When doing so, the Company determines whether the quote obtained is sufficient according to GAAP to determine the fair value of the security. If determined to be adequate, the Company uses the quote obtained.</w:t>
      </w:r>
    </w:p>
    <w:p>
      <w:pPr>
        <w:spacing w:after="0" w:line="199" w:lineRule="exact"/>
        <w:rPr>
          <w:sz w:val="20"/>
          <w:szCs w:val="20"/>
          <w:color w:val="auto"/>
        </w:rPr>
      </w:pPr>
    </w:p>
    <w:p>
      <w:pPr>
        <w:jc w:val="both"/>
        <w:ind w:firstLine="349"/>
        <w:spacing w:after="0" w:line="272" w:lineRule="auto"/>
        <w:rPr>
          <w:sz w:val="20"/>
          <w:szCs w:val="20"/>
          <w:color w:val="auto"/>
        </w:rPr>
      </w:pPr>
      <w:r>
        <w:rPr>
          <w:rFonts w:ascii="Times New Roman" w:cs="Times New Roman" w:eastAsia="Times New Roman" w:hAnsi="Times New Roman"/>
          <w:sz w:val="17"/>
          <w:szCs w:val="17"/>
          <w:color w:val="auto"/>
        </w:rPr>
        <w:t>Securities for which reliable market quotations are not readily available or for which the pricing source does not provide a valuation or methodology, or provides a valuation or methodology that, in the judgment of management, our Board of Directors or the valuation committee of the Company’s Board of Directors (the “Valuation Committee”), does not reliably represent fair value, shall each be valued as follows:</w:t>
      </w:r>
    </w:p>
    <w:p>
      <w:pPr>
        <w:spacing w:after="0" w:line="189" w:lineRule="exact"/>
        <w:rPr>
          <w:sz w:val="20"/>
          <w:szCs w:val="20"/>
          <w:color w:val="auto"/>
        </w:rPr>
      </w:pPr>
    </w:p>
    <w:p>
      <w:pPr>
        <w:ind w:left="620" w:hanging="306"/>
        <w:spacing w:after="0" w:line="291" w:lineRule="auto"/>
        <w:tabs>
          <w:tab w:leader="none" w:pos="723"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quarterly valuation process begins with each portfolio company or investment being initially valued by the internal investment professionals responsible for the portfolio investment;</w:t>
      </w:r>
    </w:p>
    <w:p>
      <w:pPr>
        <w:spacing w:after="0" w:line="172" w:lineRule="exact"/>
        <w:rPr>
          <w:rFonts w:ascii="Times New Roman" w:cs="Times New Roman" w:eastAsia="Times New Roman" w:hAnsi="Times New Roman"/>
          <w:sz w:val="17"/>
          <w:szCs w:val="17"/>
          <w:color w:val="auto"/>
        </w:rPr>
      </w:pPr>
    </w:p>
    <w:p>
      <w:pPr>
        <w:ind w:left="620" w:hanging="306"/>
        <w:spacing w:after="0"/>
        <w:tabs>
          <w:tab w:leader="none" w:pos="6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Preliminary valuation conclusions are then documented and discussed with senior management;</w:t>
      </w:r>
    </w:p>
    <w:p>
      <w:pPr>
        <w:spacing w:after="0" w:line="244" w:lineRule="exact"/>
        <w:rPr>
          <w:rFonts w:ascii="Times New Roman" w:cs="Times New Roman" w:eastAsia="Times New Roman" w:hAnsi="Times New Roman"/>
          <w:sz w:val="17"/>
          <w:szCs w:val="17"/>
          <w:color w:val="auto"/>
        </w:rPr>
      </w:pPr>
    </w:p>
    <w:p>
      <w:pPr>
        <w:ind w:left="620" w:hanging="306"/>
        <w:spacing w:after="0" w:line="291" w:lineRule="auto"/>
        <w:tabs>
          <w:tab w:leader="none" w:pos="663"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all investments for which there are no readily available market quotations, the Valuation Committee engages an independent third-party valuation firm to conduct independent appraisals, review management's preliminary valuations and make its own independent assessment;</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ectPr>
          <w:pgSz w:w="11900" w:h="16838" w:orient="portrait"/>
          <w:cols w:equalWidth="0" w:num="1">
            <w:col w:w="11240"/>
          </w:cols>
          <w:pgMar w:left="320" w:top="118"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SURO CAPITAL CORP. AND SUBSIDIARIES</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June 30, 2022</w:t>
      </w:r>
    </w:p>
    <w:p>
      <w:pPr>
        <w:spacing w:after="0" w:line="368" w:lineRule="exact"/>
        <w:rPr>
          <w:sz w:val="20"/>
          <w:szCs w:val="20"/>
          <w:color w:val="auto"/>
        </w:rPr>
      </w:pPr>
    </w:p>
    <w:p>
      <w:pPr>
        <w:ind w:left="620" w:hanging="306"/>
        <w:spacing w:after="0" w:line="291" w:lineRule="auto"/>
        <w:tabs>
          <w:tab w:leader="none" w:pos="614"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Valuation Committee discusses the valuations and recommends to the Company’s Board of Directors a fair value for each investment in the portfolio based on the input of management and the independent third-party valuation firm; and</w:t>
      </w:r>
    </w:p>
    <w:p>
      <w:pPr>
        <w:spacing w:after="0" w:line="172" w:lineRule="exact"/>
        <w:rPr>
          <w:rFonts w:ascii="Times New Roman" w:cs="Times New Roman" w:eastAsia="Times New Roman" w:hAnsi="Times New Roman"/>
          <w:sz w:val="17"/>
          <w:szCs w:val="17"/>
          <w:color w:val="auto"/>
        </w:rPr>
      </w:pPr>
    </w:p>
    <w:p>
      <w:pPr>
        <w:ind w:left="620" w:hanging="306"/>
        <w:spacing w:after="0" w:line="291" w:lineRule="auto"/>
        <w:tabs>
          <w:tab w:leader="none" w:pos="608"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Company’s Board of Directors then discusses the valuations recommended by the Valuation Committee and determines in good faith the fair value of each investment in the portfolio.</w:t>
      </w:r>
    </w:p>
    <w:p>
      <w:pPr>
        <w:spacing w:after="0" w:line="173" w:lineRule="exact"/>
        <w:rPr>
          <w:sz w:val="20"/>
          <w:szCs w:val="20"/>
          <w:color w:val="auto"/>
        </w:rPr>
      </w:pPr>
    </w:p>
    <w:p>
      <w:pPr>
        <w:jc w:val="both"/>
        <w:ind w:firstLine="349"/>
        <w:spacing w:after="0" w:line="263" w:lineRule="auto"/>
        <w:rPr>
          <w:sz w:val="20"/>
          <w:szCs w:val="20"/>
          <w:color w:val="auto"/>
        </w:rPr>
      </w:pPr>
      <w:r>
        <w:rPr>
          <w:rFonts w:ascii="Times New Roman" w:cs="Times New Roman" w:eastAsia="Times New Roman" w:hAnsi="Times New Roman"/>
          <w:sz w:val="17"/>
          <w:szCs w:val="17"/>
          <w:color w:val="auto"/>
        </w:rPr>
        <w:t>In valuing the Company’s investments in venture investment funds (“Venture Investment Funds”), the Company applies the practical expedient provided by the ASC Topic 820 relating to investments in certain entities that calculate net asset value (“NAV”) per share (or its equivalent). ASC Topic 820 permits an entity holding investments in certain entities that either are investment companies, or have attributes similar to an investment company, and calculate NAV per share or its equivalent for which the fair value is not readily determinable, to measure the fair value of such investments on the basis of that NAV per share, or its equivalent, without adjustment.</w:t>
      </w:r>
    </w:p>
    <w:p>
      <w:pPr>
        <w:spacing w:after="0" w:line="197" w:lineRule="exact"/>
        <w:rPr>
          <w:sz w:val="20"/>
          <w:szCs w:val="20"/>
          <w:color w:val="auto"/>
        </w:rPr>
      </w:pPr>
    </w:p>
    <w:p>
      <w:pPr>
        <w:jc w:val="both"/>
        <w:ind w:firstLine="349"/>
        <w:spacing w:after="0" w:line="262" w:lineRule="auto"/>
        <w:rPr>
          <w:sz w:val="20"/>
          <w:szCs w:val="20"/>
          <w:color w:val="auto"/>
        </w:rPr>
      </w:pPr>
      <w:r>
        <w:rPr>
          <w:rFonts w:ascii="Times New Roman" w:cs="Times New Roman" w:eastAsia="Times New Roman" w:hAnsi="Times New Roman"/>
          <w:sz w:val="17"/>
          <w:szCs w:val="17"/>
          <w:color w:val="auto"/>
        </w:rPr>
        <w:t>In making a good faith determination of the fair value of investments, the Company considers valuation methodologies consistent with industry practice. Valuation methods utilized include, but are not limited to, the following: comparisons to prices from secondary market transactions; venture capital financings; public offerings; purchase or sales transactions; analysis of financial ratios and valuation metrics of portfolio companies that issued such private equity securities to peer companies that are public; analysis of the portfolio company's most recent financial statements, forecasts and the markets in which the portfolio company does business, and other relevant factors. The Company assigns a weighting based upon the relevance of each method to determine the fair value of each investment.</w:t>
      </w:r>
    </w:p>
    <w:p>
      <w:pPr>
        <w:spacing w:after="0" w:line="200" w:lineRule="exact"/>
        <w:rPr>
          <w:sz w:val="20"/>
          <w:szCs w:val="20"/>
          <w:color w:val="auto"/>
        </w:rPr>
      </w:pPr>
    </w:p>
    <w:p>
      <w:pPr>
        <w:spacing w:after="0" w:line="208" w:lineRule="exact"/>
        <w:rPr>
          <w:sz w:val="20"/>
          <w:szCs w:val="20"/>
          <w:color w:val="auto"/>
        </w:rPr>
      </w:pPr>
    </w:p>
    <w:p>
      <w:pPr>
        <w:jc w:val="both"/>
        <w:ind w:firstLine="349"/>
        <w:spacing w:after="0" w:line="266" w:lineRule="auto"/>
        <w:rPr>
          <w:sz w:val="20"/>
          <w:szCs w:val="20"/>
          <w:color w:val="auto"/>
        </w:rPr>
      </w:pPr>
      <w:r>
        <w:rPr>
          <w:rFonts w:ascii="Times New Roman" w:cs="Times New Roman" w:eastAsia="Times New Roman" w:hAnsi="Times New Roman"/>
          <w:sz w:val="17"/>
          <w:szCs w:val="17"/>
          <w:color w:val="auto"/>
        </w:rPr>
        <w:t>For investments that are not publicly traded or that do not have readily available market quotations, the Valuation Committee generally engages an independent valuation firm to provide an independent valuation, which the Company’s Board of Directors considers, among other factors, in making its fair value determinations for these investments. For the current and prior fiscal year, the Valuation Committee engaged an independent valuation firm to perform valuations of 100% of the Company’s investments for which there were no readily available market quotations.</w:t>
      </w:r>
    </w:p>
    <w:p>
      <w:pPr>
        <w:spacing w:after="0" w:line="194" w:lineRule="exact"/>
        <w:rPr>
          <w:sz w:val="20"/>
          <w:szCs w:val="20"/>
          <w:color w:val="auto"/>
        </w:rPr>
      </w:pPr>
    </w:p>
    <w:p>
      <w:pPr>
        <w:jc w:val="both"/>
        <w:ind w:firstLine="349"/>
        <w:spacing w:after="0" w:line="272" w:lineRule="auto"/>
        <w:rPr>
          <w:sz w:val="20"/>
          <w:szCs w:val="20"/>
          <w:color w:val="auto"/>
        </w:rPr>
      </w:pPr>
      <w:r>
        <w:rPr>
          <w:rFonts w:ascii="Times New Roman" w:cs="Times New Roman" w:eastAsia="Times New Roman" w:hAnsi="Times New Roman"/>
          <w:sz w:val="17"/>
          <w:szCs w:val="17"/>
          <w:color w:val="auto"/>
        </w:rPr>
        <w:t>Due to the inherent uncertainty of determining the fair value of investments that do not have a readily available market value, the fair value of the Company’s investments may fluctuate from period to period. Because of the inherent uncertainty of valuation, these estimated values may differ significantly from the values that would have been reported had a ready market for the investments existed, and it is reasonably possible that the difference could be material.</w:t>
      </w:r>
    </w:p>
    <w:p>
      <w:pPr>
        <w:spacing w:after="0" w:line="189" w:lineRule="exact"/>
        <w:rPr>
          <w:sz w:val="20"/>
          <w:szCs w:val="20"/>
          <w:color w:val="auto"/>
        </w:rPr>
      </w:pPr>
    </w:p>
    <w:p>
      <w:pPr>
        <w:jc w:val="both"/>
        <w:ind w:firstLine="349"/>
        <w:spacing w:after="0" w:line="291" w:lineRule="auto"/>
        <w:rPr>
          <w:sz w:val="20"/>
          <w:szCs w:val="20"/>
          <w:color w:val="auto"/>
        </w:rPr>
      </w:pPr>
      <w:r>
        <w:rPr>
          <w:rFonts w:ascii="Times New Roman" w:cs="Times New Roman" w:eastAsia="Times New Roman" w:hAnsi="Times New Roman"/>
          <w:sz w:val="17"/>
          <w:szCs w:val="17"/>
          <w:color w:val="auto"/>
        </w:rPr>
        <w:t>In addition, changes in the market environment and other events that may occur over the life of the investments may cause the realized gains or losses on investments to be different from the net change in unrealized appreciation or depreciation currently reflected in the consolidated financial statements.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Equity Investments</w:t>
      </w:r>
    </w:p>
    <w:p>
      <w:pPr>
        <w:spacing w:after="0" w:line="248" w:lineRule="exact"/>
        <w:rPr>
          <w:sz w:val="20"/>
          <w:szCs w:val="20"/>
          <w:color w:val="auto"/>
        </w:rPr>
      </w:pPr>
    </w:p>
    <w:p>
      <w:pPr>
        <w:jc w:val="both"/>
        <w:ind w:firstLine="349"/>
        <w:spacing w:after="0" w:line="261" w:lineRule="auto"/>
        <w:rPr>
          <w:sz w:val="20"/>
          <w:szCs w:val="20"/>
          <w:color w:val="auto"/>
        </w:rPr>
      </w:pPr>
      <w:r>
        <w:rPr>
          <w:rFonts w:ascii="Times New Roman" w:cs="Times New Roman" w:eastAsia="Times New Roman" w:hAnsi="Times New Roman"/>
          <w:sz w:val="17"/>
          <w:szCs w:val="17"/>
          <w:color w:val="auto"/>
        </w:rPr>
        <w:t>Equity investments for which market quotations are readily available in an active market are generally valued at the most recently available closing market prices and are classified as Level 1 assets. Equity investments with readily available market quotations that are subject to sales restrictions due to an initial public offering (“IPO”) by the portfolio company will be classified as Level 1. Any other equity investments with readily available market quotations that are subject to sales restrictions that would transfer to market participants who would buy the security may be valued at a discount for a lack of marketability (“DLOM”), to the most recently available closing market prices depending upon the nature of the sales restriction. These investments are generally classified as Level 2 assets. The DLOM used is generally based upon the market value of publicly traded put options with similar terms.</w:t>
      </w:r>
    </w:p>
    <w:p>
      <w:pPr>
        <w:spacing w:after="0" w:line="199" w:lineRule="exact"/>
        <w:rPr>
          <w:sz w:val="20"/>
          <w:szCs w:val="20"/>
          <w:color w:val="auto"/>
        </w:rPr>
      </w:pPr>
    </w:p>
    <w:p>
      <w:pPr>
        <w:jc w:val="both"/>
        <w:ind w:firstLine="349"/>
        <w:spacing w:after="0" w:line="266" w:lineRule="auto"/>
        <w:rPr>
          <w:sz w:val="20"/>
          <w:szCs w:val="20"/>
          <w:color w:val="auto"/>
        </w:rPr>
      </w:pPr>
      <w:r>
        <w:rPr>
          <w:rFonts w:ascii="Times New Roman" w:cs="Times New Roman" w:eastAsia="Times New Roman" w:hAnsi="Times New Roman"/>
          <w:sz w:val="17"/>
          <w:szCs w:val="17"/>
          <w:color w:val="auto"/>
        </w:rPr>
        <w:t>The fair values of the Company’s equity investments for which market quotations are not readily available are determined based on various factors and are classified as Level 3 assets. To determine the fair value of a portfolio company for which market quotations are not readily available, the Company may analyze the relevant portfolio company’s most recently available historical and projected financial results, public market comparables, and other factors. The Company may also consider other events, including the transaction in which the Company acquired its securities, subsequent equity sales by the portfolio</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ectPr>
          <w:pgSz w:w="11900" w:h="16838" w:orient="portrait"/>
          <w:cols w:equalWidth="0" w:num="1">
            <w:col w:w="11240"/>
          </w:cols>
          <w:pgMar w:left="320" w:top="118"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SURO CAPITAL CORP. AND SUBSIDIARIES</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June 30, 2022</w:t>
      </w:r>
    </w:p>
    <w:p>
      <w:pPr>
        <w:spacing w:after="0" w:line="368"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company, and mergers or acquisitions affecting the portfolio company. In addition, the Company may consider the trends of the portfolio company’s basic financial metrics from the time of its original investment until the measurement date, with material improvement of these metrics indicating a possible increase in fair value, while material deterioration of these metrics may indicate a possible reduction in fair value.</w:t>
      </w:r>
    </w:p>
    <w:p>
      <w:pPr>
        <w:spacing w:after="0" w:line="189" w:lineRule="exact"/>
        <w:rPr>
          <w:sz w:val="20"/>
          <w:szCs w:val="20"/>
          <w:color w:val="auto"/>
        </w:rPr>
      </w:pPr>
    </w:p>
    <w:p>
      <w:pPr>
        <w:jc w:val="both"/>
        <w:ind w:firstLine="349"/>
        <w:spacing w:after="0" w:line="259" w:lineRule="auto"/>
        <w:rPr>
          <w:sz w:val="20"/>
          <w:szCs w:val="20"/>
          <w:color w:val="auto"/>
        </w:rPr>
      </w:pPr>
      <w:r>
        <w:rPr>
          <w:rFonts w:ascii="Times New Roman" w:cs="Times New Roman" w:eastAsia="Times New Roman" w:hAnsi="Times New Roman"/>
          <w:sz w:val="17"/>
          <w:szCs w:val="17"/>
          <w:color w:val="auto"/>
        </w:rPr>
        <w:t>In determining the value of equity or equity-linked securities (including warrants to purchase common or preferred stock) in a portfolio company, the Company considers the rights, preferences and limitations of such securities. In cases where a portfolio company’s capital structure includes multiple classes of preferred and common stock and equity-linked securities with different rights and preferences, the Company may use an option pricing model to allocate value to each equity-linked security, unless it believes a liquidity event such as an acquisition or a dissolution is imminent, or the portfolio company is unlikely to continue as a going concern. When equity-linked securities expire worthless, any cost associated with these positions is recognized as a realized loss on investments in the Condensed Consolidated Statements of Operations and Condensed Consolidated Statements of Cash Flows. In the event these securities are exercised into common or preferred stock, the cost associated with these securities is reassigned to the cost basis of the new common or preferred stock. These conversions are noted as non-cash operating items on the Condensed Consolidated Statements of Cash Flows.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Debt Investments</w:t>
      </w:r>
    </w:p>
    <w:p>
      <w:pPr>
        <w:spacing w:after="0" w:line="248" w:lineRule="exact"/>
        <w:rPr>
          <w:sz w:val="20"/>
          <w:szCs w:val="20"/>
          <w:color w:val="auto"/>
        </w:rPr>
      </w:pPr>
    </w:p>
    <w:p>
      <w:pPr>
        <w:jc w:val="both"/>
        <w:ind w:firstLine="349"/>
        <w:spacing w:after="0" w:line="266" w:lineRule="auto"/>
        <w:rPr>
          <w:sz w:val="20"/>
          <w:szCs w:val="20"/>
          <w:color w:val="auto"/>
        </w:rPr>
      </w:pPr>
      <w:r>
        <w:rPr>
          <w:rFonts w:ascii="Times New Roman" w:cs="Times New Roman" w:eastAsia="Times New Roman" w:hAnsi="Times New Roman"/>
          <w:sz w:val="17"/>
          <w:szCs w:val="17"/>
          <w:color w:val="auto"/>
        </w:rPr>
        <w:t>Given the nature of the Company’s current debt investments (excluding U.S. Treasuries), principally convertible and promissory notes issued by venture-capital-backed portfolio companies, these investments are classified as Level 3 assets because there is no known or accessible market or market indexes for these investment securities to be traded or exchanged. The Company’s debt investments are valued at estimated fair value as determined in good faith by the Company’s Board of Directors.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Options</w:t>
      </w:r>
    </w:p>
    <w:p>
      <w:pPr>
        <w:spacing w:after="0" w:line="248" w:lineRule="exact"/>
        <w:rPr>
          <w:sz w:val="20"/>
          <w:szCs w:val="20"/>
          <w:color w:val="auto"/>
        </w:rPr>
      </w:pPr>
    </w:p>
    <w:p>
      <w:pPr>
        <w:jc w:val="both"/>
        <w:ind w:firstLine="349"/>
        <w:spacing w:after="0" w:line="266" w:lineRule="auto"/>
        <w:rPr>
          <w:sz w:val="20"/>
          <w:szCs w:val="20"/>
          <w:color w:val="auto"/>
        </w:rPr>
      </w:pPr>
      <w:r>
        <w:rPr>
          <w:rFonts w:ascii="Times New Roman" w:cs="Times New Roman" w:eastAsia="Times New Roman" w:hAnsi="Times New Roman"/>
          <w:sz w:val="17"/>
          <w:szCs w:val="17"/>
          <w:color w:val="auto"/>
        </w:rPr>
        <w:t>The Company’s Board of Directors will ascribe value to options based on fair value analyses that can include discounted cash flow analyses, option pricing models, comparable analyses and other techniques as deemed appropriate. These investments are classified as Level 3 assets because there is no known or accessible market or market indexes for these investment securities to be traded or exchanged. The Company’s options are valued at estimated fair value as determined by the Company’s Board of Directors.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Special Purpose Acquisition Companies</w:t>
      </w:r>
    </w:p>
    <w:p>
      <w:pPr>
        <w:spacing w:after="0" w:line="24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The Company's Board of Directors measures its Special Purpose Acquisition Company ("SPAC") investments at fair value, which is equivalent to cost until a SPAC transaction is announced. After a SPAC transaction is announced, the Company's Board of Directors will ascribe value to SPAC investments based on fair value analyses that can include option pricing models, probability-weighted expected return method analyses and other techniques as deemed appropriate. Upon completion of the SPAC transaction, the Company utilizes the public share price of the entity, less a DLOM if there are restrictions on selling. The Company's SPAC investments are valued at estimated fair value as determined in good faith by the Company's Board of Directors.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Portfolio Company Investment Classification</w:t>
      </w:r>
    </w:p>
    <w:p>
      <w:pPr>
        <w:spacing w:after="0" w:line="248" w:lineRule="exact"/>
        <w:rPr>
          <w:sz w:val="20"/>
          <w:szCs w:val="20"/>
          <w:color w:val="auto"/>
        </w:rPr>
      </w:pPr>
    </w:p>
    <w:p>
      <w:pPr>
        <w:jc w:val="both"/>
        <w:ind w:firstLine="349"/>
        <w:spacing w:after="0" w:line="261" w:lineRule="auto"/>
        <w:rPr>
          <w:sz w:val="20"/>
          <w:szCs w:val="20"/>
          <w:color w:val="auto"/>
        </w:rPr>
      </w:pPr>
      <w:r>
        <w:rPr>
          <w:rFonts w:ascii="Times New Roman" w:cs="Times New Roman" w:eastAsia="Times New Roman" w:hAnsi="Times New Roman"/>
          <w:sz w:val="17"/>
          <w:szCs w:val="17"/>
          <w:color w:val="auto"/>
        </w:rPr>
        <w:t>The Company is a non-diversified company within the meaning of the 1940 Act. The Company classifies its investments by level of control. As defined in the 1940 Act, control investments are those where the investor retains the power to exercise a controlling influence over the management or policies of a company. Control is generally deemed to exist when a company or individual directly or indirectly owns beneficially more than 25% of the voting securities of an investee company. Affiliated investments and affiliated companies are defined by a lesser degree of influence and are deemed to exist when a company or individual directly or indirectly owns, controls or holds the power to vote 5% or more of the outstanding voting securities of a portfolio company. Refer to the Consolidated Schedules of Investments as of June 30, 2022 and December 31, 2021, for details regarding the nature and composition of the Company’s investment portfolio.</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ectPr>
          <w:pgSz w:w="11900" w:h="16838" w:orient="portrait"/>
          <w:cols w:equalWidth="0" w:num="1">
            <w:col w:w="11240"/>
          </w:cols>
          <w:pgMar w:left="320" w:top="118"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SURO CAPITAL CORP. AND SUBSIDIARIES</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June 30, 2022</w:t>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Levelling Policy</w:t>
      </w:r>
    </w:p>
    <w:p>
      <w:pPr>
        <w:spacing w:after="0" w:line="248" w:lineRule="exact"/>
        <w:rPr>
          <w:sz w:val="20"/>
          <w:szCs w:val="20"/>
          <w:color w:val="auto"/>
        </w:rPr>
      </w:pPr>
    </w:p>
    <w:p>
      <w:pPr>
        <w:jc w:val="both"/>
        <w:ind w:firstLine="349"/>
        <w:spacing w:after="0" w:line="259" w:lineRule="auto"/>
        <w:rPr>
          <w:sz w:val="20"/>
          <w:szCs w:val="20"/>
          <w:color w:val="auto"/>
        </w:rPr>
      </w:pPr>
      <w:r>
        <w:rPr>
          <w:rFonts w:ascii="Times New Roman" w:cs="Times New Roman" w:eastAsia="Times New Roman" w:hAnsi="Times New Roman"/>
          <w:sz w:val="17"/>
          <w:szCs w:val="17"/>
          <w:color w:val="auto"/>
        </w:rPr>
        <w:t>The portfolio companies in which the Company invests may offer their shares in IPOs. The Company’s shares in such portfolio companies are typically subject to lock-up agreements for 180 days following the IPO. Upon the IPO date, the Company transfers its investment from Level 3 to Level 1 due to the presence of an active market, or Level 2 if limited by the lock-up agreement. The Company prices the investment at the closing price on a public exchange as of the measurement date. In situations where there are lock-up restrictions, as well as legal or contractual restrictions on the sale or use of such security that under ASC 820-10-35 should be incorporated into the security’s fair value measurement as a characteristic of the security that would transfer to market participants who would buy the security, the Company will classify the investment as Level 2 subject to an appropriate DLOM to reflect the restrictions upon sale. The Company transfers investments between levels based on the fair value at the beginning of the measurement period in accordance with FASB ASC 820. For investments transferred out of Level 3 due to an IPO, the Company transfers these investments based on their fair value at the IPO date.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Securities Transactions</w:t>
      </w:r>
    </w:p>
    <w:p>
      <w:pPr>
        <w:spacing w:after="0" w:line="244" w:lineRule="exact"/>
        <w:rPr>
          <w:sz w:val="20"/>
          <w:szCs w:val="20"/>
          <w:color w:val="auto"/>
        </w:rPr>
      </w:pPr>
    </w:p>
    <w:p>
      <w:pPr>
        <w:jc w:val="both"/>
        <w:ind w:firstLine="349"/>
        <w:spacing w:after="0" w:line="273" w:lineRule="auto"/>
        <w:rPr>
          <w:sz w:val="20"/>
          <w:szCs w:val="20"/>
          <w:color w:val="auto"/>
        </w:rPr>
      </w:pPr>
      <w:r>
        <w:rPr>
          <w:rFonts w:ascii="Times New Roman" w:cs="Times New Roman" w:eastAsia="Times New Roman" w:hAnsi="Times New Roman"/>
          <w:sz w:val="17"/>
          <w:szCs w:val="17"/>
          <w:color w:val="auto"/>
        </w:rPr>
        <w:t>Securities transactions are accounted for on the date the transaction for the purchase or sale of the securities is entered into by the Company (</w:t>
      </w:r>
      <w:r>
        <w:rPr>
          <w:rFonts w:ascii="Times New Roman" w:cs="Times New Roman" w:eastAsia="Times New Roman" w:hAnsi="Times New Roman"/>
          <w:sz w:val="17"/>
          <w:szCs w:val="17"/>
          <w:i w:val="1"/>
          <w:iCs w:val="1"/>
          <w:color w:val="auto"/>
        </w:rPr>
        <w:t>i.e.</w:t>
      </w:r>
      <w:r>
        <w:rPr>
          <w:rFonts w:ascii="Times New Roman" w:cs="Times New Roman" w:eastAsia="Times New Roman" w:hAnsi="Times New Roman"/>
          <w:sz w:val="17"/>
          <w:szCs w:val="17"/>
          <w:color w:val="auto"/>
        </w:rPr>
        <w:t>, trade date). Securities transactions outside conventional channels, such as private transactions, are recorded as of the date the Company obtains the right to demand the securities purchased or to collect the proceeds from a sale and incurs an obligation to pay for securities purchased or to deliver securities sold, respectively.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Valuation of Other Financial Instruments</w:t>
      </w:r>
    </w:p>
    <w:p>
      <w:pPr>
        <w:spacing w:after="0" w:line="246" w:lineRule="exact"/>
        <w:rPr>
          <w:sz w:val="20"/>
          <w:szCs w:val="20"/>
          <w:color w:val="auto"/>
        </w:rPr>
      </w:pPr>
    </w:p>
    <w:p>
      <w:pPr>
        <w:jc w:val="both"/>
        <w:ind w:firstLine="349"/>
        <w:spacing w:after="0" w:line="291" w:lineRule="auto"/>
        <w:rPr>
          <w:sz w:val="20"/>
          <w:szCs w:val="20"/>
          <w:color w:val="auto"/>
        </w:rPr>
      </w:pPr>
      <w:r>
        <w:rPr>
          <w:rFonts w:ascii="Times New Roman" w:cs="Times New Roman" w:eastAsia="Times New Roman" w:hAnsi="Times New Roman"/>
          <w:sz w:val="17"/>
          <w:szCs w:val="17"/>
          <w:color w:val="auto"/>
        </w:rPr>
        <w:t>The carrying amounts of the Company’s other, non-investment financial instruments, consisting of cash, receivables, accounts payable, and accrued expenses, approximate fair value due to their short-term nature.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Cash</w:t>
      </w:r>
    </w:p>
    <w:p>
      <w:pPr>
        <w:spacing w:after="0" w:line="248" w:lineRule="exact"/>
        <w:rPr>
          <w:sz w:val="20"/>
          <w:szCs w:val="20"/>
          <w:color w:val="auto"/>
        </w:rPr>
      </w:pPr>
    </w:p>
    <w:p>
      <w:pPr>
        <w:jc w:val="both"/>
        <w:ind w:firstLine="349"/>
        <w:spacing w:after="0" w:line="266" w:lineRule="auto"/>
        <w:rPr>
          <w:sz w:val="20"/>
          <w:szCs w:val="20"/>
          <w:color w:val="auto"/>
        </w:rPr>
      </w:pPr>
      <w:r>
        <w:rPr>
          <w:rFonts w:ascii="Times New Roman" w:cs="Times New Roman" w:eastAsia="Times New Roman" w:hAnsi="Times New Roman"/>
          <w:sz w:val="17"/>
          <w:szCs w:val="17"/>
          <w:color w:val="auto"/>
        </w:rPr>
        <w:t>The Company places its cash primarily with U.S. Bank, N.A., and may place cash with Bridge Bank (a subsidiary of Western Alliance Bank) and Silicon Valley Bank in amounts that will not exceed, in the aggregate, the total value of the Company's fidelity bond. The cash held in these accounts may exceed the Federal Deposit Insurance Corporation insured limit. The Company believes that U.S. Bank, N.A., Bridge Bank (a subsidiary of Western Alliance Bank), and Silicon Valley Bank are high-quality financial institutions and that the risk of loss associated with any uninsured balance is remote.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Escrow Proceeds Receivable</w:t>
      </w:r>
    </w:p>
    <w:p>
      <w:pPr>
        <w:spacing w:after="0" w:line="248" w:lineRule="exact"/>
        <w:rPr>
          <w:sz w:val="20"/>
          <w:szCs w:val="20"/>
          <w:color w:val="auto"/>
        </w:rPr>
      </w:pPr>
    </w:p>
    <w:p>
      <w:pPr>
        <w:jc w:val="both"/>
        <w:ind w:firstLine="349"/>
        <w:spacing w:after="0" w:line="260" w:lineRule="auto"/>
        <w:rPr>
          <w:sz w:val="20"/>
          <w:szCs w:val="20"/>
          <w:color w:val="auto"/>
        </w:rPr>
      </w:pPr>
      <w:r>
        <w:rPr>
          <w:rFonts w:ascii="Times New Roman" w:cs="Times New Roman" w:eastAsia="Times New Roman" w:hAnsi="Times New Roman"/>
          <w:sz w:val="17"/>
          <w:szCs w:val="17"/>
          <w:color w:val="auto"/>
        </w:rPr>
        <w:t>A portion of the proceeds from the sale of portfolio investments are held in escrow as a recourse for indemnity claims that may arise under the sale agreement or other related transaction contingencies. Amounts held in escrow are held at estimated realizable value and included in net realized gains (losses) on investments in the Condensed Consolidated Statements of Operations for the period in which they occurred and are adjusted as needed. Any remaining escrow proceeds balances from these transactions reasonably expected to be received are reflected on the Condensed Consolidated Statement of Assets and Liabilities as escrow proceeds receivable. Escrow proceeds receivable resulting from contingent consideration are to be recognized when the amount of the contingent consideration becomes realized or realizable. As of June 30, 2022 and December 31, 2021, the Company had $2,005,019 and $2,046,645, respectively, in escrow proceeds receivable.</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Deferred Financing Costs</w:t>
      </w:r>
    </w:p>
    <w:p>
      <w:pPr>
        <w:spacing w:after="0" w:line="248" w:lineRule="exact"/>
        <w:rPr>
          <w:sz w:val="20"/>
          <w:szCs w:val="20"/>
          <w:color w:val="auto"/>
        </w:rPr>
      </w:pPr>
    </w:p>
    <w:p>
      <w:pPr>
        <w:jc w:val="both"/>
        <w:ind w:firstLine="349"/>
        <w:spacing w:after="0" w:line="261" w:lineRule="auto"/>
        <w:rPr>
          <w:sz w:val="20"/>
          <w:szCs w:val="20"/>
          <w:color w:val="auto"/>
        </w:rPr>
      </w:pPr>
      <w:r>
        <w:rPr>
          <w:rFonts w:ascii="Times New Roman" w:cs="Times New Roman" w:eastAsia="Times New Roman" w:hAnsi="Times New Roman"/>
          <w:sz w:val="17"/>
          <w:szCs w:val="17"/>
          <w:color w:val="auto"/>
        </w:rPr>
        <w:t>The Company records origination costs related to lines of credit as deferred financing costs. These costs are deferred and amortized as part of interest expense using the straight-line method over the respective life of the line of credit. For modifications to a line of credit, any unamortized origination costs are expensed. Included within deferred financing costs are offering costs incurred relating to the Company’s shelf registration statement on Form N-2. The Company defers these offering costs until capital is raised pursuant to the shelf registration statement or until the shelf registration statement expires. For equity capital raised, the offering costs reduce paid-in capital resulting from the offering. For debt capital raised, the associated offering costs are amortized over the life of the debt instrument. As of June 30, 2022 and December 31, 2021, the Company had</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ectPr>
          <w:pgSz w:w="11900" w:h="16838" w:orient="portrait"/>
          <w:cols w:equalWidth="0" w:num="1">
            <w:col w:w="11240"/>
          </w:cols>
          <w:pgMar w:left="320" w:top="118"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SURO CAPITAL CORP. AND SUBSIDIARIES</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June 30, 2022</w:t>
      </w: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deferred financing costs of $589,781 and $2,592,611, respectively, on the Condensed Consolidated Statement of Assets and Liabilities.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200" w:type="dxa"/>
            <w:vAlign w:val="bottom"/>
          </w:tcPr>
          <w:p>
            <w:pPr>
              <w:spacing w:after="0"/>
              <w:rPr>
                <w:sz w:val="15"/>
                <w:szCs w:val="15"/>
                <w:color w:val="auto"/>
              </w:rPr>
            </w:pPr>
          </w:p>
        </w:tc>
        <w:tc>
          <w:tcPr>
            <w:tcW w:w="1500" w:type="dxa"/>
            <w:vAlign w:val="bottom"/>
          </w:tcPr>
          <w:p>
            <w:pPr>
              <w:jc w:val="right"/>
              <w:ind w:right="198"/>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3"/>
        </w:trPr>
        <w:tc>
          <w:tcPr>
            <w:tcW w:w="77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213"/>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Deferred debt issuance costs</w:t>
            </w: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1,970,892</w:t>
            </w:r>
          </w:p>
        </w:tc>
      </w:tr>
      <w:tr>
        <w:trPr>
          <w:trHeight w:val="220"/>
        </w:trPr>
        <w:tc>
          <w:tcPr>
            <w:tcW w:w="7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Deferred offering costs</w:t>
            </w:r>
          </w:p>
        </w:tc>
        <w:tc>
          <w:tcPr>
            <w:tcW w:w="2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589,781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621,719</w:t>
            </w:r>
          </w:p>
        </w:tc>
      </w:tr>
      <w:tr>
        <w:trPr>
          <w:trHeight w:val="238"/>
        </w:trPr>
        <w:tc>
          <w:tcPr>
            <w:tcW w:w="7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Deferred Financing Costs</w:t>
            </w: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589,781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2,592,611</w:t>
            </w:r>
          </w:p>
        </w:tc>
      </w:tr>
      <w:tr>
        <w:trPr>
          <w:trHeight w:val="20"/>
        </w:trPr>
        <w:tc>
          <w:tcPr>
            <w:tcW w:w="77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-319405</wp:posOffset>
            </wp:positionV>
            <wp:extent cx="4919980" cy="1479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919980" cy="147955"/>
                    </a:xfrm>
                    <a:prstGeom prst="rect">
                      <a:avLst/>
                    </a:prstGeom>
                    <a:noFill/>
                  </pic:spPr>
                </pic:pic>
              </a:graphicData>
            </a:graphic>
          </wp:anchor>
        </w:drawing>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Operating Leases &amp; Related Deposits</w:t>
      </w:r>
    </w:p>
    <w:p>
      <w:pPr>
        <w:spacing w:after="0" w:line="246" w:lineRule="exact"/>
        <w:rPr>
          <w:sz w:val="20"/>
          <w:szCs w:val="20"/>
          <w:color w:val="auto"/>
        </w:rPr>
      </w:pPr>
    </w:p>
    <w:p>
      <w:pPr>
        <w:jc w:val="both"/>
        <w:ind w:firstLine="388"/>
        <w:spacing w:after="0" w:line="261" w:lineRule="auto"/>
        <w:rPr>
          <w:sz w:val="20"/>
          <w:szCs w:val="20"/>
          <w:color w:val="auto"/>
        </w:rPr>
      </w:pPr>
      <w:r>
        <w:rPr>
          <w:rFonts w:ascii="Times New Roman" w:cs="Times New Roman" w:eastAsia="Times New Roman" w:hAnsi="Times New Roman"/>
          <w:sz w:val="17"/>
          <w:szCs w:val="17"/>
          <w:color w:val="auto"/>
        </w:rPr>
        <w:t xml:space="preserve">The Company accounts for its operating leases as prescribed by ASC 842, </w:t>
      </w:r>
      <w:r>
        <w:rPr>
          <w:rFonts w:ascii="Times New Roman" w:cs="Times New Roman" w:eastAsia="Times New Roman" w:hAnsi="Times New Roman"/>
          <w:sz w:val="17"/>
          <w:szCs w:val="17"/>
          <w:i w:val="1"/>
          <w:iCs w:val="1"/>
          <w:color w:val="auto"/>
        </w:rPr>
        <w:t>Leases</w:t>
      </w:r>
      <w:r>
        <w:rPr>
          <w:rFonts w:ascii="Times New Roman" w:cs="Times New Roman" w:eastAsia="Times New Roman" w:hAnsi="Times New Roman"/>
          <w:sz w:val="17"/>
          <w:szCs w:val="17"/>
          <w:color w:val="auto"/>
        </w:rPr>
        <w:t>, which requires lessees to recognize a right-of-use asset on the balance sheet, representing its right to use the underlying asset for the lease term, and a corresponding lease liability for all leases with terms greater than 12 months. The lease expense is presented as a single lease cost that is amortized on a straight-line basis over the life of the lease. Non-lease components (maintenance, property tax, insurance and parking) are not included in the lease cost. On June 3, 2019, the Company entered a 5-year operating lease for office space for which the Company has recorded a right-of-use asset and a corresponding lease liability for the operating lease obligation. These amounts have been discounted using the rate implicit in the lease. Refer to “Note 7—Commitments and Contingencies—</w:t>
      </w:r>
      <w:r>
        <w:rPr>
          <w:rFonts w:ascii="Times New Roman" w:cs="Times New Roman" w:eastAsia="Times New Roman" w:hAnsi="Times New Roman"/>
          <w:sz w:val="17"/>
          <w:szCs w:val="17"/>
          <w:i w:val="1"/>
          <w:iCs w:val="1"/>
          <w:color w:val="auto"/>
        </w:rPr>
        <w:t>Operating Leases and Related Deposits</w:t>
      </w:r>
      <w:r>
        <w:rPr>
          <w:rFonts w:ascii="Times New Roman" w:cs="Times New Roman" w:eastAsia="Times New Roman" w:hAnsi="Times New Roman"/>
          <w:sz w:val="17"/>
          <w:szCs w:val="17"/>
          <w:color w:val="auto"/>
        </w:rPr>
        <w:t>” for further detail.</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Stock-based Compensation</w:t>
      </w:r>
    </w:p>
    <w:p>
      <w:pPr>
        <w:spacing w:after="0" w:line="246" w:lineRule="exact"/>
        <w:rPr>
          <w:sz w:val="20"/>
          <w:szCs w:val="20"/>
          <w:color w:val="auto"/>
        </w:rPr>
      </w:pPr>
    </w:p>
    <w:p>
      <w:pPr>
        <w:jc w:val="both"/>
        <w:ind w:firstLine="388"/>
        <w:spacing w:after="0" w:line="263" w:lineRule="auto"/>
        <w:rPr>
          <w:sz w:val="20"/>
          <w:szCs w:val="20"/>
          <w:color w:val="auto"/>
        </w:rPr>
      </w:pPr>
      <w:r>
        <w:rPr>
          <w:rFonts w:ascii="Times New Roman" w:cs="Times New Roman" w:eastAsia="Times New Roman" w:hAnsi="Times New Roman"/>
          <w:sz w:val="17"/>
          <w:szCs w:val="17"/>
          <w:color w:val="auto"/>
        </w:rPr>
        <w:t xml:space="preserve">Using the fair value recognition provisions as prescribed by ASC 718, </w:t>
      </w:r>
      <w:r>
        <w:rPr>
          <w:rFonts w:ascii="Times New Roman" w:cs="Times New Roman" w:eastAsia="Times New Roman" w:hAnsi="Times New Roman"/>
          <w:sz w:val="17"/>
          <w:szCs w:val="17"/>
          <w:i w:val="1"/>
          <w:iCs w:val="1"/>
          <w:color w:val="auto"/>
        </w:rPr>
        <w:t>Stock Compensation</w:t>
      </w:r>
      <w:r>
        <w:rPr>
          <w:rFonts w:ascii="Times New Roman" w:cs="Times New Roman" w:eastAsia="Times New Roman" w:hAnsi="Times New Roman"/>
          <w:sz w:val="17"/>
          <w:szCs w:val="17"/>
          <w:color w:val="auto"/>
        </w:rPr>
        <w:t>, stock-based compensation cost is measured at the grant date based on the fair value of the award and is recognized as expense over the appropriate service period. Determining the fair value of stock-based awards requires considerable judgment, including estimating the expected term of stock options and the expected volatility of our stock price. Differences between actual results and these estimates could have a material effect on our financial results. Forfeitures are accounted for as they occur. Refer to “Note 11—Stock-Based Compensation” for further detail.</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Revenue Recognition</w:t>
      </w:r>
    </w:p>
    <w:p>
      <w:pPr>
        <w:spacing w:after="0" w:line="246" w:lineRule="exact"/>
        <w:rPr>
          <w:sz w:val="20"/>
          <w:szCs w:val="20"/>
          <w:color w:val="auto"/>
        </w:rPr>
      </w:pPr>
    </w:p>
    <w:p>
      <w:pPr>
        <w:jc w:val="both"/>
        <w:ind w:firstLine="349"/>
        <w:spacing w:after="0" w:line="291" w:lineRule="auto"/>
        <w:rPr>
          <w:sz w:val="20"/>
          <w:szCs w:val="20"/>
          <w:color w:val="auto"/>
        </w:rPr>
      </w:pPr>
      <w:r>
        <w:rPr>
          <w:rFonts w:ascii="Times New Roman" w:cs="Times New Roman" w:eastAsia="Times New Roman" w:hAnsi="Times New Roman"/>
          <w:sz w:val="17"/>
          <w:szCs w:val="17"/>
          <w:color w:val="auto"/>
        </w:rPr>
        <w:t>The Company recognizes gains or losses on the sale of investments using the specific identification method. The Company recognizes interest income, adjusted for amortization of premium and accretion of discount, on an accrual basis. The Company recognizes dividend income on the ex-dividend date.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Investment Transaction Costs and Escrow Deposits</w:t>
      </w:r>
    </w:p>
    <w:p>
      <w:pPr>
        <w:spacing w:after="0" w:line="24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Commissions and other costs associated with an investment transaction, including legal expenses not reimbursed by the portfolio company, are included in the cost basis of purchases and deducted from the proceeds of sales. The Company makes certain acquisitions on secondary markets, which may involve making deposits to escrow accounts until certain conditions are met, including the underlying private company’s right of first refusal. If the underlying private company does not exercise or assign its right of first refusal and all other conditions are met, then the funds in the escrow account are delivered to the seller and the account is closed. Such transactions would be reflected on the Condensed Consolidated Statement of Assets and Liabilities as escrow deposits. As of June 30, 2022 and December 31, 2021, the Company had no material escrow deposits.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Unrealized Appreciation or Depreciation of Investments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Unrealized appreciation or depreciation is calculated as the difference between the fair value of the investment and the cost basis of such investment.</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U.S. Federal and State Income Taxes</w:t>
      </w:r>
    </w:p>
    <w:p>
      <w:pPr>
        <w:spacing w:after="0" w:line="246" w:lineRule="exact"/>
        <w:rPr>
          <w:sz w:val="20"/>
          <w:szCs w:val="20"/>
          <w:color w:val="auto"/>
        </w:rPr>
      </w:pPr>
    </w:p>
    <w:p>
      <w:pPr>
        <w:jc w:val="both"/>
        <w:ind w:firstLine="349"/>
        <w:spacing w:after="0" w:line="291" w:lineRule="auto"/>
        <w:rPr>
          <w:sz w:val="20"/>
          <w:szCs w:val="20"/>
          <w:color w:val="auto"/>
        </w:rPr>
      </w:pPr>
      <w:r>
        <w:rPr>
          <w:rFonts w:ascii="Times New Roman" w:cs="Times New Roman" w:eastAsia="Times New Roman" w:hAnsi="Times New Roman"/>
          <w:sz w:val="17"/>
          <w:szCs w:val="17"/>
          <w:color w:val="auto"/>
        </w:rPr>
        <w:t>The Company elected to be treated as a RIC under Subchapter M of the Code, beginning with its taxable year ended December 31, 2014, has qualified to be treated as a RIC for subsequent taxable years and intends to continue to operate in a</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ectPr>
          <w:pgSz w:w="11900" w:h="16838" w:orient="portrait"/>
          <w:cols w:equalWidth="0" w:num="1">
            <w:col w:w="11240"/>
          </w:cols>
          <w:pgMar w:left="320" w:top="118"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SURO CAPITAL CORP. AND SUBSIDIARIES</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June 30, 2022</w:t>
      </w:r>
    </w:p>
    <w:p>
      <w:pPr>
        <w:spacing w:after="0" w:line="3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manner so as to qualify for the tax treatment applicable to RICs. To qualify for tax treatment as a RIC, among other things, the Company is required to meet certain source of income and asset diversification requirements and timely distribute to its stockholders at least the sum of 90% of our investment company taxable income (“ICTI”), including payment-in-kind interest income, as defined by the Code, and 90% of our net tax-exempt interest income (which is the excess of its gross tax-exempt interest income over certain disallowed deductions) for each taxable year (the "Annual Distribution Requirement"). Depending on the level of ICTI earned in a tax year, the Company may choose to carry forward into the next tax year ICTI in excess of current year dividend distributions. Any such carryforward ICTI must be distributed on or before December 31 of the subsequent tax year to which it was carried forward.</w:t>
      </w:r>
    </w:p>
    <w:p>
      <w:pPr>
        <w:spacing w:after="0" w:line="19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If the Company meets the Annual Distribution Requirement, but does not distribute (or is not deemed to have distributed) each calendar year a sum of</w:t>
      </w:r>
    </w:p>
    <w:p>
      <w:pPr>
        <w:spacing w:after="0" w:line="30" w:lineRule="exact"/>
        <w:rPr>
          <w:sz w:val="20"/>
          <w:szCs w:val="20"/>
          <w:color w:val="auto"/>
        </w:rPr>
      </w:pPr>
    </w:p>
    <w:p>
      <w:pPr>
        <w:jc w:val="both"/>
        <w:ind w:firstLine="3"/>
        <w:spacing w:after="0" w:line="256" w:lineRule="auto"/>
        <w:tabs>
          <w:tab w:leader="none" w:pos="247"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98% of its net ordinary income for each calendar year, (2) 98.2% of its capital gain net income for the one-year period ending October 31 in that calendar year and (3) any income recognized, but not distributed, in preceding years (the “Excise Tax Avoidance Requirement”), it generally will be required to pay an excise tax equal to 4% of the amount by which the Excise Tax Avoidance Requirement exceeds the distributions for the year. To the extent that the Company determines that its estimated current year annual taxable income will exceed estimated current year dividend distributions from such taxable income, the Company will accrue excise taxes, if any, on estimated excess taxable income as taxable income is earned using an annual effective excise tax rate. The annual effective excise tax rate is determined by dividing the estimated annual excise tax by the estimated annual taxable income.</w:t>
      </w:r>
    </w:p>
    <w:p>
      <w:pPr>
        <w:spacing w:after="0" w:line="205" w:lineRule="exact"/>
        <w:rPr>
          <w:sz w:val="20"/>
          <w:szCs w:val="20"/>
          <w:color w:val="auto"/>
        </w:rPr>
      </w:pPr>
    </w:p>
    <w:p>
      <w:pPr>
        <w:jc w:val="both"/>
        <w:ind w:firstLine="349"/>
        <w:spacing w:after="0" w:line="261" w:lineRule="auto"/>
        <w:rPr>
          <w:sz w:val="20"/>
          <w:szCs w:val="20"/>
          <w:color w:val="auto"/>
        </w:rPr>
      </w:pPr>
      <w:r>
        <w:rPr>
          <w:rFonts w:ascii="Times New Roman" w:cs="Times New Roman" w:eastAsia="Times New Roman" w:hAnsi="Times New Roman"/>
          <w:sz w:val="17"/>
          <w:szCs w:val="17"/>
          <w:color w:val="auto"/>
        </w:rPr>
        <w:t>So long as the Company qualifies and maintains its tax treatment as a RIC, it generally will not be subject to U.S. federal and state income taxes on any ordinary income or capital gains that it distributes at least annually to its stockholders as dividends. Rather, any tax liability related to income earned by the RIC will represent obligations of the Company’s investors and will not be reflected in the consolidated financial statements of the Company. Included in the Company’s consolidated financial statements, the Taxable Subsidiaries are taxable subsidiaries, regardless of whether the Company is a RIC. These taxable subsidiaries are not consolidated for income tax purposes and may generate income tax expenses as a result of their ownership of the portfolio companies. Such income tax expenses and deferred taxes, if any, will be reflected in the Company’s condensed consolidated financial statements.</w:t>
      </w:r>
    </w:p>
    <w:p>
      <w:pPr>
        <w:spacing w:after="0" w:line="199" w:lineRule="exact"/>
        <w:rPr>
          <w:sz w:val="20"/>
          <w:szCs w:val="20"/>
          <w:color w:val="auto"/>
        </w:rPr>
      </w:pPr>
    </w:p>
    <w:p>
      <w:pPr>
        <w:jc w:val="both"/>
        <w:ind w:firstLine="349"/>
        <w:spacing w:after="0" w:line="256" w:lineRule="auto"/>
        <w:rPr>
          <w:sz w:val="20"/>
          <w:szCs w:val="20"/>
          <w:color w:val="auto"/>
        </w:rPr>
      </w:pPr>
      <w:r>
        <w:rPr>
          <w:rFonts w:ascii="Times New Roman" w:cs="Times New Roman" w:eastAsia="Times New Roman" w:hAnsi="Times New Roman"/>
          <w:sz w:val="17"/>
          <w:szCs w:val="17"/>
          <w:color w:val="auto"/>
        </w:rPr>
        <w:t>If it is not treated as a RIC, the Company will be taxed as a regular corporation (a “C corporation”) under Subchapter C of the Code for such taxable year. If the Company has previously qualified as a RIC but is subsequently unable to qualify for treatment as a RIC, and certain amelioration provisions are not applicable, the Company would be subject to tax on all of its taxable income (including its net capital gains) at regular corporate rates. The Company would not be able to deduct distributions to stockholders, nor would it be required to make distributions. Distributions, including distributions of net long-term capital gain, would generally be taxable to its stockholders as ordinary dividend income to the extent of the Company’s current and accumulated earnings and profits. Subject to certain limitations under the Code, corporate stockholders would be eligible to claim a dividend received deduction with respect to such dividend; non-corporate stockholders would generally be able to treat such dividends as “qualified dividend income,” which is subject to reduced rates of U.S. federal income tax. Distributions in excess of the Company’s current and accumulated earnings and profits would be treated first as a return of capital to the extent of the stockholder’s adjusted tax basis, and any remaining distributions would be treated as a capital gain. In order to requalify as a RIC, in addition to the other requirements discussed above, the Company would be required to distribute all of its previously undistributed earnings attributable to the period it failed to qualify as a RIC by the end of the first year that it intends to requalify for tax treatment as a RIC. If the Company fails to requalify for tax treatment as a RIC for a period greater than two taxable years, it may be subject to regular corporate tax on any net built-in gains with respect to certain of its assets (i.e., the excess of the aggregate gains, including items of income, over aggregate losses that would have been realized with respect to such assets if the Company had been liquidated) that it elects to recognize on requalification or when recognized over the next five years. The Company was taxed as a C Corporation for its 2012 and 2013 taxable years. Refer to “Note 9—Income Taxes” for further details.</w:t>
      </w:r>
    </w:p>
    <w:p>
      <w:pPr>
        <w:spacing w:after="0" w:line="200" w:lineRule="exact"/>
        <w:rPr>
          <w:sz w:val="20"/>
          <w:szCs w:val="20"/>
          <w:color w:val="auto"/>
        </w:rPr>
      </w:pPr>
    </w:p>
    <w:p>
      <w:pPr>
        <w:spacing w:after="0" w:line="21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The Company elected to be treated as a RIC for the taxable year ended December 31, 2014 in connection with the filing of its 2014 tax return. As a result, the Company was required to pay a corporate-level U.S. federal income tax on the amount of the net built-in gains in its assets (the amount by which the net fair market value of the Company’s assets exceeds the net adjusted basis in its assets) either (1) as of the date it converted to a RIC (i.e., the beginning of the first taxable year that the Company qualifies as a RIC, which would be January 1, 2014), or (2) to the extent that the Company recognized such net built-in gains</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w:t>
      </w:r>
    </w:p>
    <w:p>
      <w:pPr>
        <w:sectPr>
          <w:pgSz w:w="11900" w:h="16838" w:orient="portrait"/>
          <w:cols w:equalWidth="0" w:num="1">
            <w:col w:w="11240"/>
          </w:cols>
          <w:pgMar w:left="320" w:top="118"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SURO CAPITAL CORP. AND SUBSIDIARIES</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June 30, 2022</w:t>
      </w:r>
    </w:p>
    <w:p>
      <w:pPr>
        <w:spacing w:after="0" w:line="368"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during the five-year recognition period beginning on the date of conversion. As of January 1, 2014, the Company had net unrealized built-in gains, but did not incur a built-in-gains tax for the 2014 tax year due to the fact that there were sufficient net capital loss carryforwards to completely offset recognized built-in gains as well as available net operating losses. The five-year recognition period ended on December 31, 2018.</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Per Share Information</w:t>
      </w:r>
    </w:p>
    <w:p>
      <w:pPr>
        <w:spacing w:after="0" w:line="246" w:lineRule="exact"/>
        <w:rPr>
          <w:sz w:val="20"/>
          <w:szCs w:val="20"/>
          <w:color w:val="auto"/>
        </w:rPr>
      </w:pPr>
    </w:p>
    <w:p>
      <w:pPr>
        <w:jc w:val="both"/>
        <w:ind w:firstLine="349"/>
        <w:spacing w:after="0" w:line="261" w:lineRule="auto"/>
        <w:rPr>
          <w:sz w:val="20"/>
          <w:szCs w:val="20"/>
          <w:color w:val="auto"/>
        </w:rPr>
      </w:pPr>
      <w:r>
        <w:rPr>
          <w:rFonts w:ascii="Times New Roman" w:cs="Times New Roman" w:eastAsia="Times New Roman" w:hAnsi="Times New Roman"/>
          <w:sz w:val="17"/>
          <w:szCs w:val="17"/>
          <w:color w:val="auto"/>
        </w:rPr>
        <w:t>Net change in net assets resulting from operations per basic common share is computed using the weighted-average number of shares outstanding for the period presented. Diluted net change in net assets resulting from operations per common share is computed by dividing net increase/(decrease) in net assets resulting from operations for the period adjusted to include the pre-tax effects of interest incurred on potentially dilutive securities, by the weighted-average number of common shares outstanding plus any potentially dilutive shares outstanding during the period. The Company used the if-converted method in accordance with FASB ASC 260</w:t>
      </w:r>
      <w:r>
        <w:rPr>
          <w:rFonts w:ascii="Times New Roman" w:cs="Times New Roman" w:eastAsia="Times New Roman" w:hAnsi="Times New Roman"/>
          <w:sz w:val="17"/>
          <w:szCs w:val="17"/>
          <w:i w:val="1"/>
          <w:iCs w:val="1"/>
          <w:color w:val="auto"/>
        </w:rPr>
        <w:t>, Earnings Per Share</w:t>
      </w:r>
      <w:r>
        <w:rPr>
          <w:rFonts w:ascii="Times New Roman" w:cs="Times New Roman" w:eastAsia="Times New Roman" w:hAnsi="Times New Roman"/>
          <w:sz w:val="17"/>
          <w:szCs w:val="17"/>
          <w:color w:val="auto"/>
        </w:rPr>
        <w:t xml:space="preserve"> (“ASC 260”) to determine the number of potentially dilutive shares outstanding. Refer to “Note 6—Net Increase in Net Assets Resulting from Operations per Common Share—Basic and Diluted” for further detail.</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Recently Issued or Adopted Accounting Standards</w:t>
      </w:r>
    </w:p>
    <w:p>
      <w:pPr>
        <w:spacing w:after="0" w:line="24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 xml:space="preserve">In April 2020, as part of the </w:t>
      </w:r>
      <w:r>
        <w:rPr>
          <w:rFonts w:ascii="Times New Roman" w:cs="Times New Roman" w:eastAsia="Times New Roman" w:hAnsi="Times New Roman"/>
          <w:sz w:val="17"/>
          <w:szCs w:val="17"/>
          <w:i w:val="1"/>
          <w:iCs w:val="1"/>
          <w:color w:val="auto"/>
        </w:rPr>
        <w:t>Securities Offering Reform for Closed-End Investment Companies</w:t>
      </w:r>
      <w:r>
        <w:rPr>
          <w:rFonts w:ascii="Times New Roman" w:cs="Times New Roman" w:eastAsia="Times New Roman" w:hAnsi="Times New Roman"/>
          <w:sz w:val="17"/>
          <w:szCs w:val="17"/>
          <w:color w:val="auto"/>
        </w:rPr>
        <w:t xml:space="preserve"> final rule, the Securities and Exchange Commission ("SEC") adopted certain structured data reporting requirements for BDCs to submit financial statement information using Inline eXtensible Business Reporting Language (XBRL) format to the extent required of operating companies. BDCs that are eligible to file a short-form registration statement will be subject to the above structuring requirements with respect to Forms filed on or after August 1, 2022. Other BDCs will be subject to the requirements with respect to Forms filed on or after February 1, 2023. The Company is currently assessing the impact of this standard on our financial condition and results of operations.</w:t>
      </w:r>
    </w:p>
    <w:p>
      <w:pPr>
        <w:spacing w:after="0" w:line="197"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 xml:space="preserve">In October 2020, the FASB issued ASU 2020-10, </w:t>
      </w:r>
      <w:r>
        <w:rPr>
          <w:rFonts w:ascii="Times New Roman" w:cs="Times New Roman" w:eastAsia="Times New Roman" w:hAnsi="Times New Roman"/>
          <w:sz w:val="17"/>
          <w:szCs w:val="17"/>
          <w:i w:val="1"/>
          <w:iCs w:val="1"/>
          <w:color w:val="auto"/>
        </w:rPr>
        <w:t>Codification Improvements</w:t>
      </w:r>
      <w:r>
        <w:rPr>
          <w:rFonts w:ascii="Times New Roman" w:cs="Times New Roman" w:eastAsia="Times New Roman" w:hAnsi="Times New Roman"/>
          <w:sz w:val="17"/>
          <w:szCs w:val="17"/>
          <w:color w:val="auto"/>
        </w:rPr>
        <w:t>, which made various technical changes and corrections intended to provide clarifications to existing guidance, as well as simplifications to wording or structure of existing guidance. The Company adopted the modified disclosure requirements during the period ended March 31, 2021.</w:t>
      </w:r>
    </w:p>
    <w:p>
      <w:pPr>
        <w:spacing w:after="0" w:line="18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In December 2020, the SEC adopted Rule 2a-5, which established requirements for satisfying a fund board's obligation to determine fair value in good faith for purposes of the Investment Company Act of 1940. The rule permits boards to assign the determination to a “valuation designee,” who may be the fund’s investment adviser or, if the fund is internally managed, an officer of the fund. The rule also defines a market quotation as “readily available” only when that quotation is a quoted price (unadjusted) in active markets for identical investments that the fund can access at the measurement date. In connection with the adoption of new Rule 2a-5, the Commission also adopted new Rule 31a-4, which requires funds to maintain documentation to support fair value determinations and documentation related to the designation of the valuation designee. The Company is evaluating the impact of adopting these new rules and intends to comply with their requirements on or before the compliance date in September 2022.</w:t>
      </w:r>
    </w:p>
    <w:p>
      <w:pPr>
        <w:spacing w:after="0" w:line="19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 xml:space="preserve">In December 2021, the SEC published Staff Accounting Bulletin No. 120 (“SAB 120”) to provide accounting and disclosure guidance for stock compensation awards made to executives and conforming amendments to the Staff Accounting Bulletin Series to align with the current authoritative accounting guidance in ASC 718, </w:t>
      </w:r>
      <w:r>
        <w:rPr>
          <w:rFonts w:ascii="Times New Roman" w:cs="Times New Roman" w:eastAsia="Times New Roman" w:hAnsi="Times New Roman"/>
          <w:sz w:val="17"/>
          <w:szCs w:val="17"/>
          <w:i w:val="1"/>
          <w:iCs w:val="1"/>
          <w:color w:val="auto"/>
        </w:rPr>
        <w:t>Compensation – Stock Compensation</w:t>
      </w:r>
      <w:r>
        <w:rPr>
          <w:rFonts w:ascii="Times New Roman" w:cs="Times New Roman" w:eastAsia="Times New Roman" w:hAnsi="Times New Roman"/>
          <w:sz w:val="17"/>
          <w:szCs w:val="17"/>
          <w:color w:val="auto"/>
        </w:rPr>
        <w:t>. In part, SAB 120 requires that an entity disclose how it determines the current price of underlying shares for grant-date fair value, the policy for when an adjustment to the share price is required, how it determines the amount of an adjustment to the share price and any significant assumptions used in determining an adjustment to the share price. SAB 120 is effective for all stock compensation awards issued after December 1, 2021. The Company is in compliance with the guidance pursuant to SAB 120 for any share-based compensation disclosures. See "Note 11 – Stock-Based Compensation" for further discussion of the Company’s policies and procedures regarding share-based compensation. The Company does not expect the impact of SAB 120 to be material to the condensed consolidated financial statements and the notes thereto.</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w:t>
      </w:r>
    </w:p>
    <w:p>
      <w:pPr>
        <w:sectPr>
          <w:pgSz w:w="11900" w:h="16838" w:orient="portrait"/>
          <w:cols w:equalWidth="0" w:num="1">
            <w:col w:w="11240"/>
          </w:cols>
          <w:pgMar w:left="320" w:top="118"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SURO CAPITAL CORP. AND SUBSIDIARIES</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June 30, 2022</w:t>
      </w:r>
    </w:p>
    <w:p>
      <w:pPr>
        <w:spacing w:after="0" w:line="368"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From time to time, new accounting pronouncements are issued by the FASB or other standards setting bodies that are adopted by the Company as of the specified effective date. The Company believes that the impact of recently issued standards and any that are not yet effective will not have a material impact on its consolidated financial statements upon adoption.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3—RELATED-PARTY ARRANGEMENTS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Consulting Agreement</w:t>
      </w:r>
    </w:p>
    <w:p>
      <w:pPr>
        <w:spacing w:after="0" w:line="24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On and effective March 12, 2019, we entered into a Consulting Agreement (the “Consulting Agreement”) with Michael T. Moe, the former Chairman of our Board of Directors and the Chief Executive Officer and Chief Investment Officer of GSV Asset Management, for the purpose of assisting us with certain transition services following the termination of the Investment Advisory Agreement and our Internalization. See "Note 1 — Nature of Operations." Pursuant to the Consulting Agreement, Mr. Moe provided certain transition services to us related to our existing portfolio investments for which Mr. Moe previously had oversight in his role as the Chief Executive Officer and Chief Investment Officer of GSV Asset Management. Such transition services included providing information to us regarding such portfolio companies, including as a member of a portfolio company’s board of directors, assisting with the transition of portfolio company board seats as requested by us, making appropriate introductions to representatives of portfolio companies, and providing other similar types of services that we may reasonably request.</w:t>
      </w:r>
    </w:p>
    <w:p>
      <w:pPr>
        <w:spacing w:after="0" w:line="200" w:lineRule="exact"/>
        <w:rPr>
          <w:sz w:val="20"/>
          <w:szCs w:val="20"/>
          <w:color w:val="auto"/>
        </w:rPr>
      </w:pPr>
    </w:p>
    <w:p>
      <w:pPr>
        <w:spacing w:after="0" w:line="212"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The term of the Consulting Agreement commenced on March 12, 2019 and continued for eighteen months in accordance with its terms. Pursuant to the Consulting Agreement, we paid Mr. Moe a total amount equal to $1,250,000. On September 12, 2020, the Consulting Agreement expired in accordance with its terms and was not renewed or extended.</w:t>
      </w:r>
    </w:p>
    <w:p>
      <w:pPr>
        <w:spacing w:after="0" w:line="189" w:lineRule="exact"/>
        <w:rPr>
          <w:sz w:val="20"/>
          <w:szCs w:val="20"/>
          <w:color w:val="auto"/>
        </w:rPr>
      </w:pPr>
    </w:p>
    <w:p>
      <w:pPr>
        <w:jc w:val="both"/>
        <w:ind w:firstLine="349"/>
        <w:spacing w:after="0" w:line="291" w:lineRule="auto"/>
        <w:rPr>
          <w:sz w:val="20"/>
          <w:szCs w:val="20"/>
          <w:color w:val="auto"/>
        </w:rPr>
      </w:pPr>
      <w:r>
        <w:rPr>
          <w:rFonts w:ascii="Times New Roman" w:cs="Times New Roman" w:eastAsia="Times New Roman" w:hAnsi="Times New Roman"/>
          <w:sz w:val="17"/>
          <w:szCs w:val="17"/>
          <w:color w:val="auto"/>
        </w:rPr>
        <w:t>For the three and six months ended June 30, 2022 and 2021, the Company did not incur a consulting expense related to the Consulting Agreement as it was no longer in effect.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Amended and Restated Trademark License Agreement</w:t>
      </w:r>
    </w:p>
    <w:p>
      <w:pPr>
        <w:spacing w:after="0" w:line="246"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7"/>
          <w:szCs w:val="17"/>
          <w:color w:val="auto"/>
        </w:rPr>
        <w:t>On and effective March 12, 2019, we entered into an Amended and Restated Trademark License Agreement (the “Amended and Restated License Agreement”) with GSV Asset Management in connection with the termination of the Investment Advisory Agreement. See “Note 1 —Nature of Operations.”</w:t>
      </w:r>
    </w:p>
    <w:p>
      <w:pPr>
        <w:spacing w:after="0" w:line="173"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GSV Asset Management is the owner of the trade name “GSV”, and other state or unregistered “GSV” marks, including the trading symbol “GSVC” (collectively, the “Licensed Marks”). Pursuant to the Amended and Restated License Agreement, GSV Asset Management granted us a non-transferable, non-sublicensable, and non-exclusive right and license to use the Licensed Marks, solely in connection with the operation of our existing business.</w:t>
      </w:r>
    </w:p>
    <w:p>
      <w:pPr>
        <w:spacing w:after="0" w:line="189"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The term of the Amended and Restated License Agreement commenced on March 12, 2019 and continued for eighteen months in accordance with its terms. Pursuant to the Amended and Restated License Agreement, we paid GSV Asset Management a total amount equal to $1,250,000. On September 12, 2020, the Amended and Restated License Agreement expired in accordance with its terms and was not renewed or extended.</w:t>
      </w:r>
    </w:p>
    <w:p>
      <w:pPr>
        <w:spacing w:after="0" w:line="189" w:lineRule="exact"/>
        <w:rPr>
          <w:sz w:val="20"/>
          <w:szCs w:val="20"/>
          <w:color w:val="auto"/>
        </w:rPr>
      </w:pPr>
    </w:p>
    <w:p>
      <w:pPr>
        <w:jc w:val="both"/>
        <w:ind w:firstLine="349"/>
        <w:spacing w:after="0" w:line="291" w:lineRule="auto"/>
        <w:rPr>
          <w:sz w:val="20"/>
          <w:szCs w:val="20"/>
          <w:color w:val="auto"/>
        </w:rPr>
      </w:pPr>
      <w:r>
        <w:rPr>
          <w:rFonts w:ascii="Times New Roman" w:cs="Times New Roman" w:eastAsia="Times New Roman" w:hAnsi="Times New Roman"/>
          <w:sz w:val="17"/>
          <w:szCs w:val="17"/>
          <w:color w:val="auto"/>
        </w:rPr>
        <w:t>For the three and six months ended June 30, 2022 and 2021, the Company did not incur a licensing expense related to the Amended and Restated License Agreement as it was no longer in effect.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Other Arrangements</w:t>
      </w:r>
    </w:p>
    <w:p>
      <w:pPr>
        <w:spacing w:after="0" w:line="246" w:lineRule="exact"/>
        <w:rPr>
          <w:sz w:val="20"/>
          <w:szCs w:val="20"/>
          <w:color w:val="auto"/>
        </w:rPr>
      </w:pPr>
    </w:p>
    <w:p>
      <w:pPr>
        <w:jc w:val="both"/>
        <w:ind w:firstLine="349"/>
        <w:spacing w:after="0" w:line="272" w:lineRule="auto"/>
        <w:rPr>
          <w:sz w:val="20"/>
          <w:szCs w:val="20"/>
          <w:color w:val="auto"/>
        </w:rPr>
      </w:pPr>
      <w:r>
        <w:rPr>
          <w:rFonts w:ascii="Times New Roman" w:cs="Times New Roman" w:eastAsia="Times New Roman" w:hAnsi="Times New Roman"/>
          <w:sz w:val="17"/>
          <w:szCs w:val="17"/>
          <w:color w:val="auto"/>
        </w:rPr>
        <w:t>The Company’s executive officers and directors serve or may serve as officers, directors, or managers of entities that operate in a line of business similar to the Company’s, including new entities that may be formed in the future. Accordingly, they may have obligations to investors in those entities, the fulfillment of which might not be in the best interests of the Company or the Company’s stockholders.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w:t>
      </w:r>
    </w:p>
    <w:p>
      <w:pPr>
        <w:sectPr>
          <w:pgSz w:w="11900" w:h="16838" w:orient="portrait"/>
          <w:cols w:equalWidth="0" w:num="1">
            <w:col w:w="11240"/>
          </w:cols>
          <w:pgMar w:left="320" w:top="118"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SURO CAPITAL CORP. AND SUBSIDIARIES</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June 30, 2022</w:t>
      </w:r>
    </w:p>
    <w:p>
      <w:pPr>
        <w:spacing w:after="0" w:line="368" w:lineRule="exact"/>
        <w:rPr>
          <w:sz w:val="20"/>
          <w:szCs w:val="20"/>
          <w:color w:val="auto"/>
        </w:rPr>
      </w:pPr>
    </w:p>
    <w:p>
      <w:pPr>
        <w:jc w:val="both"/>
        <w:ind w:firstLine="349"/>
        <w:spacing w:after="0" w:line="264" w:lineRule="auto"/>
        <w:rPr>
          <w:sz w:val="20"/>
          <w:szCs w:val="20"/>
          <w:color w:val="auto"/>
        </w:rPr>
      </w:pPr>
      <w:r>
        <w:rPr>
          <w:rFonts w:ascii="Times New Roman" w:cs="Times New Roman" w:eastAsia="Times New Roman" w:hAnsi="Times New Roman"/>
          <w:sz w:val="17"/>
          <w:szCs w:val="17"/>
          <w:color w:val="auto"/>
        </w:rPr>
        <w:t>The 1940 Act prohibits the Company from participating in certain negotiated co-investments with certain affiliates unless it receives an order from the SEC permitting it to do so. As a BDC, the Company is prohibited under the 1940 Act from participating in certain transactions with certain of its affiliates without the prior approval of the Board of Directors, including its independent directors, and, in some cases, the SEC. The affiliates with which the Company may be prohibited from transacting include its officers, directors, and employees and any person controlling or under common control with the Company, subject to certain exceptions.</w:t>
      </w:r>
    </w:p>
    <w:p>
      <w:pPr>
        <w:spacing w:after="0" w:line="200" w:lineRule="exact"/>
        <w:rPr>
          <w:sz w:val="20"/>
          <w:szCs w:val="20"/>
          <w:color w:val="auto"/>
        </w:rPr>
      </w:pPr>
    </w:p>
    <w:p>
      <w:pPr>
        <w:spacing w:after="0" w:line="2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In the ordinary course of business, the Company may enter into transactions with portfolio companies that may be considered related-party transactions. To ensure that the Company does not engage in any prohibited transactions with any persons affiliated with the Company, the Company has implemented certain written policies and procedures whereby the Company’s executive officers screen each of the Company’s transactions for any possible affiliations between the proposed portfolio investment, the Company, companies controlled by the Company, and the Company’s executive officers and directors.</w:t>
      </w:r>
    </w:p>
    <w:p>
      <w:pPr>
        <w:spacing w:after="0" w:line="19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The Company’s investment in Churchill Sponsor VI LLC, the sponsor of Churchill Capital Corp VI, a special purpose acquisition company, constituted a “remote-affiliate” transaction for purposes of the 1940 Act in light of the fact that Mark D. Klein, our Chairman, Chief Executive Officer and President, has a non-controlling interest in the entity that controls Churchill Sponsor VI LLC, and is a non-controlling member of the board of directors of Churchill Capital Corp VI. The Company’s investment in Churchill Sponsor VII LLC, the sponsor of Churchill Capital Corp VII, a special purpose acquisition company, also constituted a “remote-affiliate” transaction for purposes of the 1940 Act in light of the fact that Mr. Klein has a non-controlling interest in the entity that controls Churchill Sponsor VII LLC, and is a non-controlling member of the board of directors of Churchill Capital Corp VII. In addition, Mr. Klein's brother, Michael Klein, is a control person of such Churchill entities. As of June 30, 2022, the fair values of the Company’s investments in Churchill Sponsor VI LLC and Churchill Sponsor VII LLC were $200,000 and $300,000, respectively.</w:t>
      </w:r>
    </w:p>
    <w:p>
      <w:pPr>
        <w:spacing w:after="0" w:line="20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Company's investment in Skillsoft Corp. (f/k/a Software Luxembourg Holding S.A.) (“Skillsoft”) constituted a “remote-affiliate” transaction for purposes of the 1940 Act in light of the fact that Mr. Klein has a non-controlling interest in the entity that controls Churchill Sponsor II LLC, the sponsor of Churchill Capital Corp II, a special purpose acquisition company, and is a non-controlling member of the board of directors of Churchill Capital Corp II, through which the Company executed a private investment in public equity transaction in order to acquire common shares of Skillsoft alongside the merger of Skillsoft and Churchill Capital Corp II. In addition, Mr. Klein's brother, Michael Klein, is a control person of such Churchill entities. As of June 30, 2022, the fair value of the Company’s investment in Skillsoft Corp. was $3,456,087.</w:t>
      </w:r>
    </w:p>
    <w:p>
      <w:pPr>
        <w:spacing w:after="0" w:line="19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The Company's initial investment in Shogun Enterprises, Inc. on February 26, 2021 constituted a "remote-affiliate" transaction for purposes of the 1940 Act in light of the fact that Keri Findley, a former senior managing director of the Company until her departure on March 9, 2022, is a non-controlling member of the board of directors of Shogun Enterprises, Inc., and holds a minority equity interest in such portfolio company. The Company's investment in Architect Capital PayJoy SPV, LLC also constituted a "remote-affiliate" transaction for purposes of the 1940 Act in light of the fact that Ms. Findley is a non-controlling member of the board of directors of the investment manager to Architect Capital PayJoy SPV, LLC, and holds a minority equity interest in such investment manager. As of June 30, 2022, the fair values of the Company’s remote-affiliate investments in Shogun Enterprises, Inc. and Architect Capital PayJoy SPV, LLC were $7,499,992 and $10,000,000, respectively.</w:t>
      </w:r>
    </w:p>
    <w:p>
      <w:pPr>
        <w:spacing w:after="0" w:line="19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In addition, Ms.Findley and Claire Councill, a former investment professional of the Company until her departure on April 15, 2022, are non-controlling members of the board of directors of Colombier Acquisition Corp., a special purpose acquisition company, which is sponsored by Colombier Sponsor LLC, one of the Company's portfolio companies. The Company's investment in AltC Sponsor LLC, the sponsor of AltC Acquisition Corp, a special purpose acquisition company, constituted a “remote-affiliate” transaction for purposes of the 1940 Act in light of the fact that Mr. Klein has a non-controlling interest in one of the entities that controls AltC Sponsor LLC, and Allison Green, the Company's Chief Financial Officer, Chief Compliance Officer, Treasurer and Secretary, is a non-controlling member of the board of directors of AltC Acquisition Corp. As of June 30, 2022, the fair values of the Company’s aggregate investments in each of Colombier Sponsor LLC and AltC Sponsor LLC were $2,711,841 and $250,000, respectively.</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w:t>
      </w:r>
    </w:p>
    <w:p>
      <w:pPr>
        <w:sectPr>
          <w:pgSz w:w="11900" w:h="16838" w:orient="portrait"/>
          <w:cols w:equalWidth="0" w:num="1">
            <w:col w:w="11240"/>
          </w:cols>
          <w:pgMar w:left="320" w:top="118"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SURO CAPITAL CORP. AND SUBSIDIARIES</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June 30, 2022</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4—INVESTMENTS AT FAIR VALUE</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Investment Portfolio Composition</w:t>
      </w:r>
    </w:p>
    <w:p>
      <w:pPr>
        <w:spacing w:after="0" w:line="246" w:lineRule="exact"/>
        <w:rPr>
          <w:sz w:val="20"/>
          <w:szCs w:val="20"/>
          <w:color w:val="auto"/>
        </w:rPr>
      </w:pPr>
    </w:p>
    <w:p>
      <w:pPr>
        <w:jc w:val="both"/>
        <w:ind w:firstLine="349"/>
        <w:spacing w:after="0" w:line="266" w:lineRule="auto"/>
        <w:rPr>
          <w:sz w:val="20"/>
          <w:szCs w:val="20"/>
          <w:color w:val="auto"/>
        </w:rPr>
      </w:pPr>
      <w:r>
        <w:rPr>
          <w:rFonts w:ascii="Times New Roman" w:cs="Times New Roman" w:eastAsia="Times New Roman" w:hAnsi="Times New Roman"/>
          <w:sz w:val="17"/>
          <w:szCs w:val="17"/>
          <w:color w:val="auto"/>
        </w:rPr>
        <w:t>The Company’s investments in portfolio companies consist primarily of equity securities (such as common stock, preferred stock and options to purchase common and preferred stock) and to a lesser extent, debt securities, issued by private and publicly traded companies. The Company may also, from time to time, invest in U.S. Treasury securities. Non-portfolio investments represent investments in U.S. Treasury securities. As of June 30, 2022, the Company had 65 positions in 40 portfolio companies. As of December 31, 2021, the Company had 64 positions in 38 portfolio companies.</w:t>
      </w:r>
    </w:p>
    <w:p>
      <w:pPr>
        <w:spacing w:after="0" w:line="19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The following tables summarize the composition of the Company’s investment portfolio by security type at cost and fair value as of June 30, 2022 and</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December 31, 2021:</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2"/>
        </w:trPr>
        <w:tc>
          <w:tcPr>
            <w:tcW w:w="2480" w:type="dxa"/>
            <w:vAlign w:val="bottom"/>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220" w:type="dxa"/>
            <w:vAlign w:val="bottom"/>
            <w:tcBorders>
              <w:top w:val="single" w:sz="8" w:color="auto"/>
            </w:tcBorders>
            <w:gridSpan w:val="2"/>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80" w:type="dxa"/>
            <w:vAlign w:val="bottom"/>
            <w:tcBorders>
              <w:top w:val="single" w:sz="8" w:color="auto"/>
            </w:tcBorders>
          </w:tcPr>
          <w:p>
            <w:pPr>
              <w:spacing w:after="0"/>
              <w:rPr>
                <w:sz w:val="10"/>
                <w:szCs w:val="10"/>
                <w:color w:val="auto"/>
              </w:rPr>
            </w:pPr>
          </w:p>
        </w:tc>
        <w:tc>
          <w:tcPr>
            <w:tcW w:w="1320" w:type="dxa"/>
            <w:vAlign w:val="bottom"/>
            <w:tcBorders>
              <w:top w:val="single" w:sz="8" w:color="auto"/>
            </w:tcBorders>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320" w:type="dxa"/>
            <w:vAlign w:val="bottom"/>
            <w:tcBorders>
              <w:top w:val="single" w:sz="8" w:color="auto"/>
            </w:tcBorders>
          </w:tcPr>
          <w:p>
            <w:pPr>
              <w:jc w:val="center"/>
              <w:spacing w:after="0" w:line="123" w:lineRule="exact"/>
              <w:rPr>
                <w:sz w:val="20"/>
                <w:szCs w:val="20"/>
                <w:color w:val="auto"/>
              </w:rPr>
            </w:pPr>
            <w:r>
              <w:rPr>
                <w:rFonts w:ascii="Times New Roman" w:cs="Times New Roman" w:eastAsia="Times New Roman" w:hAnsi="Times New Roman"/>
                <w:sz w:val="14"/>
                <w:szCs w:val="14"/>
                <w:b w:val="1"/>
                <w:bCs w:val="1"/>
                <w:color w:val="auto"/>
                <w:w w:val="98"/>
              </w:rPr>
              <w:t>Percentage of</w:t>
            </w:r>
          </w:p>
        </w:tc>
        <w:tc>
          <w:tcPr>
            <w:tcW w:w="120" w:type="dxa"/>
            <w:vAlign w:val="bottom"/>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220" w:type="dxa"/>
            <w:vAlign w:val="bottom"/>
            <w:tcBorders>
              <w:top w:val="single" w:sz="8" w:color="auto"/>
            </w:tcBorders>
            <w:gridSpan w:val="2"/>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00" w:type="dxa"/>
            <w:vAlign w:val="bottom"/>
            <w:tcBorders>
              <w:top w:val="single" w:sz="8" w:color="auto"/>
            </w:tcBorders>
          </w:tcPr>
          <w:p>
            <w:pPr>
              <w:spacing w:after="0"/>
              <w:rPr>
                <w:sz w:val="10"/>
                <w:szCs w:val="10"/>
                <w:color w:val="auto"/>
              </w:rPr>
            </w:pPr>
          </w:p>
        </w:tc>
        <w:tc>
          <w:tcPr>
            <w:tcW w:w="1400" w:type="dxa"/>
            <w:vAlign w:val="bottom"/>
            <w:tcBorders>
              <w:top w:val="single" w:sz="8" w:color="auto"/>
            </w:tcBorders>
            <w:gridSpan w:val="2"/>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320" w:type="dxa"/>
            <w:vAlign w:val="bottom"/>
            <w:tcBorders>
              <w:top w:val="single" w:sz="8" w:color="auto"/>
            </w:tcBorders>
          </w:tcPr>
          <w:p>
            <w:pPr>
              <w:jc w:val="right"/>
              <w:ind w:right="177"/>
              <w:spacing w:after="0" w:line="123" w:lineRule="exact"/>
              <w:rPr>
                <w:sz w:val="20"/>
                <w:szCs w:val="20"/>
                <w:color w:val="auto"/>
              </w:rPr>
            </w:pPr>
            <w:r>
              <w:rPr>
                <w:rFonts w:ascii="Times New Roman" w:cs="Times New Roman" w:eastAsia="Times New Roman" w:hAnsi="Times New Roman"/>
                <w:sz w:val="14"/>
                <w:szCs w:val="14"/>
                <w:b w:val="1"/>
                <w:bCs w:val="1"/>
                <w:color w:val="auto"/>
              </w:rPr>
              <w:t>Percentage of</w:t>
            </w:r>
          </w:p>
        </w:tc>
        <w:tc>
          <w:tcPr>
            <w:tcW w:w="0" w:type="dxa"/>
            <w:vAlign w:val="bottom"/>
          </w:tcPr>
          <w:p>
            <w:pPr>
              <w:spacing w:after="0"/>
              <w:rPr>
                <w:sz w:val="1"/>
                <w:szCs w:val="1"/>
                <w:color w:val="auto"/>
              </w:rPr>
            </w:pPr>
          </w:p>
        </w:tc>
      </w:tr>
      <w:tr>
        <w:trPr>
          <w:trHeight w:val="188"/>
        </w:trPr>
        <w:tc>
          <w:tcPr>
            <w:tcW w:w="2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6"/>
              </w:rPr>
              <w:t>Net Assets</w:t>
            </w:r>
          </w:p>
        </w:tc>
        <w:tc>
          <w:tcPr>
            <w:tcW w:w="28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1320" w:type="dxa"/>
            <w:vAlign w:val="bottom"/>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Net Assets</w:t>
            </w:r>
          </w:p>
        </w:tc>
        <w:tc>
          <w:tcPr>
            <w:tcW w:w="0" w:type="dxa"/>
            <w:vAlign w:val="bottom"/>
          </w:tcPr>
          <w:p>
            <w:pPr>
              <w:spacing w:after="0"/>
              <w:rPr>
                <w:sz w:val="1"/>
                <w:szCs w:val="1"/>
                <w:color w:val="auto"/>
              </w:rPr>
            </w:pPr>
          </w:p>
        </w:tc>
      </w:tr>
      <w:tr>
        <w:trPr>
          <w:trHeight w:val="205"/>
        </w:trPr>
        <w:tc>
          <w:tcPr>
            <w:tcW w:w="248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b w:val="1"/>
                <w:bCs w:val="1"/>
                <w:color w:val="auto"/>
              </w:rPr>
              <w:t>Private Portfolio Companies</w:t>
            </w:r>
          </w:p>
        </w:tc>
        <w:tc>
          <w:tcPr>
            <w:tcW w:w="28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4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Preferred Stock</w:t>
            </w: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108,212,846</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131,036,463</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46.8 %</w:t>
            </w:r>
          </w:p>
        </w:tc>
        <w:tc>
          <w:tcPr>
            <w:tcW w:w="120" w:type="dxa"/>
            <w:vAlign w:val="bottom"/>
          </w:tcPr>
          <w:p>
            <w:pPr>
              <w:spacing w:after="0"/>
              <w:rPr>
                <w:sz w:val="19"/>
                <w:szCs w:val="19"/>
                <w:color w:val="auto"/>
              </w:rPr>
            </w:pP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99,964,047</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163,801,798</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44.9 %</w:t>
            </w:r>
          </w:p>
        </w:tc>
        <w:tc>
          <w:tcPr>
            <w:tcW w:w="0" w:type="dxa"/>
            <w:vAlign w:val="bottom"/>
          </w:tcPr>
          <w:p>
            <w:pPr>
              <w:spacing w:after="0"/>
              <w:rPr>
                <w:sz w:val="1"/>
                <w:szCs w:val="1"/>
                <w:color w:val="auto"/>
              </w:rPr>
            </w:pPr>
          </w:p>
        </w:tc>
      </w:tr>
      <w:tr>
        <w:trPr>
          <w:trHeight w:val="220"/>
        </w:trPr>
        <w:tc>
          <w:tcPr>
            <w:tcW w:w="2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Common Stock</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50,601,512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23,521,102</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8.4 %</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51,581,524</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42,860,156</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11.7 %</w:t>
            </w:r>
          </w:p>
        </w:tc>
        <w:tc>
          <w:tcPr>
            <w:tcW w:w="0" w:type="dxa"/>
            <w:vAlign w:val="bottom"/>
          </w:tcPr>
          <w:p>
            <w:pPr>
              <w:spacing w:after="0"/>
              <w:rPr>
                <w:sz w:val="1"/>
                <w:szCs w:val="1"/>
                <w:color w:val="auto"/>
              </w:rPr>
            </w:pPr>
          </w:p>
        </w:tc>
      </w:tr>
      <w:tr>
        <w:trPr>
          <w:trHeight w:val="220"/>
        </w:trPr>
        <w:tc>
          <w:tcPr>
            <w:tcW w:w="24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Debt Investments</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5,807,373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2,505,099</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0.9 %</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5,807,373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3,011,438</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0.8 %</w:t>
            </w:r>
          </w:p>
        </w:tc>
        <w:tc>
          <w:tcPr>
            <w:tcW w:w="0" w:type="dxa"/>
            <w:vAlign w:val="bottom"/>
          </w:tcPr>
          <w:p>
            <w:pPr>
              <w:spacing w:after="0"/>
              <w:rPr>
                <w:sz w:val="1"/>
                <w:szCs w:val="1"/>
                <w:color w:val="auto"/>
              </w:rPr>
            </w:pPr>
          </w:p>
        </w:tc>
      </w:tr>
      <w:tr>
        <w:trPr>
          <w:trHeight w:val="220"/>
        </w:trPr>
        <w:tc>
          <w:tcPr>
            <w:tcW w:w="2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Options</w:t>
            </w: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10,912,604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4,753,567</w:t>
            </w:r>
          </w:p>
        </w:tc>
        <w:tc>
          <w:tcPr>
            <w:tcW w:w="10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1.7 %</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10,982,983</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4,959,112</w:t>
            </w:r>
          </w:p>
        </w:tc>
        <w:tc>
          <w:tcPr>
            <w:tcW w:w="12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1.4 %</w:t>
            </w:r>
          </w:p>
        </w:tc>
        <w:tc>
          <w:tcPr>
            <w:tcW w:w="0" w:type="dxa"/>
            <w:vAlign w:val="bottom"/>
          </w:tcPr>
          <w:p>
            <w:pPr>
              <w:spacing w:after="0"/>
              <w:rPr>
                <w:sz w:val="1"/>
                <w:szCs w:val="1"/>
                <w:color w:val="auto"/>
              </w:rPr>
            </w:pPr>
          </w:p>
        </w:tc>
      </w:tr>
      <w:tr>
        <w:trPr>
          <w:trHeight w:val="148"/>
        </w:trPr>
        <w:tc>
          <w:tcPr>
            <w:tcW w:w="2480" w:type="dxa"/>
            <w:vAlign w:val="bottom"/>
          </w:tcPr>
          <w:p>
            <w:pPr>
              <w:ind w:left="180"/>
              <w:spacing w:after="0" w:line="148" w:lineRule="exact"/>
              <w:rPr>
                <w:sz w:val="20"/>
                <w:szCs w:val="20"/>
                <w:color w:val="auto"/>
              </w:rPr>
            </w:pPr>
            <w:r>
              <w:rPr>
                <w:rFonts w:ascii="Times New Roman" w:cs="Times New Roman" w:eastAsia="Times New Roman" w:hAnsi="Times New Roman"/>
                <w:sz w:val="17"/>
                <w:szCs w:val="17"/>
                <w:b w:val="1"/>
                <w:bCs w:val="1"/>
                <w:color w:val="auto"/>
              </w:rPr>
              <w:t>Total Private Portfolio</w:t>
            </w:r>
          </w:p>
        </w:tc>
        <w:tc>
          <w:tcPr>
            <w:tcW w:w="2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3"/>
        </w:trPr>
        <w:tc>
          <w:tcPr>
            <w:tcW w:w="24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7"/>
                <w:szCs w:val="17"/>
                <w:b w:val="1"/>
                <w:bCs w:val="1"/>
                <w:color w:val="auto"/>
              </w:rPr>
              <w:t>Companies</w:t>
            </w:r>
          </w:p>
        </w:tc>
        <w:tc>
          <w:tcPr>
            <w:tcW w:w="2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175,534,335</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161,816,231</w:t>
            </w:r>
          </w:p>
        </w:tc>
        <w:tc>
          <w:tcPr>
            <w:tcW w:w="100" w:type="dxa"/>
            <w:vAlign w:val="bottom"/>
            <w:tcBorders>
              <w:bottom w:val="single" w:sz="8" w:color="CCEEFF"/>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57.8 %</w:t>
            </w:r>
          </w:p>
        </w:tc>
        <w:tc>
          <w:tcPr>
            <w:tcW w:w="1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168,335,927</w:t>
            </w: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214,632,504</w:t>
            </w:r>
          </w:p>
        </w:tc>
        <w:tc>
          <w:tcPr>
            <w:tcW w:w="120" w:type="dxa"/>
            <w:vAlign w:val="bottom"/>
            <w:tcBorders>
              <w:bottom w:val="single" w:sz="8" w:color="CCEEFF"/>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58.8 %</w:t>
            </w:r>
          </w:p>
        </w:tc>
        <w:tc>
          <w:tcPr>
            <w:tcW w:w="0" w:type="dxa"/>
            <w:vAlign w:val="bottom"/>
          </w:tcPr>
          <w:p>
            <w:pPr>
              <w:spacing w:after="0"/>
              <w:rPr>
                <w:sz w:val="1"/>
                <w:szCs w:val="1"/>
                <w:color w:val="auto"/>
              </w:rPr>
            </w:pPr>
          </w:p>
        </w:tc>
      </w:tr>
      <w:tr>
        <w:trPr>
          <w:trHeight w:val="148"/>
        </w:trPr>
        <w:tc>
          <w:tcPr>
            <w:tcW w:w="2480" w:type="dxa"/>
            <w:vAlign w:val="bottom"/>
            <w:shd w:val="clear" w:color="auto" w:fill="CCEEFF"/>
          </w:tcPr>
          <w:p>
            <w:pPr>
              <w:ind w:left="180"/>
              <w:spacing w:after="0" w:line="148" w:lineRule="exact"/>
              <w:rPr>
                <w:sz w:val="20"/>
                <w:szCs w:val="20"/>
                <w:color w:val="auto"/>
              </w:rPr>
            </w:pPr>
            <w:r>
              <w:rPr>
                <w:rFonts w:ascii="Times New Roman" w:cs="Times New Roman" w:eastAsia="Times New Roman" w:hAnsi="Times New Roman"/>
                <w:sz w:val="17"/>
                <w:szCs w:val="17"/>
                <w:b w:val="1"/>
                <w:bCs w:val="1"/>
                <w:color w:val="auto"/>
              </w:rPr>
              <w:t>Publicly Traded Portfolio</w:t>
            </w:r>
          </w:p>
        </w:tc>
        <w:tc>
          <w:tcPr>
            <w:tcW w:w="28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3"/>
        </w:trPr>
        <w:tc>
          <w:tcPr>
            <w:tcW w:w="2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b w:val="1"/>
                <w:bCs w:val="1"/>
                <w:color w:val="auto"/>
              </w:rPr>
              <w:t>Companies</w:t>
            </w:r>
          </w:p>
        </w:tc>
        <w:tc>
          <w:tcPr>
            <w:tcW w:w="2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24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Common Stock</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38,580,694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37,581,043</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13.4 %</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39,119,450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44,573,225</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12.2 %</w:t>
            </w:r>
          </w:p>
        </w:tc>
        <w:tc>
          <w:tcPr>
            <w:tcW w:w="0" w:type="dxa"/>
            <w:vAlign w:val="bottom"/>
          </w:tcPr>
          <w:p>
            <w:pPr>
              <w:spacing w:after="0"/>
              <w:rPr>
                <w:sz w:val="1"/>
                <w:szCs w:val="1"/>
                <w:color w:val="auto"/>
              </w:rPr>
            </w:pPr>
          </w:p>
        </w:tc>
      </w:tr>
      <w:tr>
        <w:trPr>
          <w:trHeight w:val="220"/>
        </w:trPr>
        <w:tc>
          <w:tcPr>
            <w:tcW w:w="2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Options</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266,507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669,440</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0.2 %</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930,524</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0.3 %</w:t>
            </w:r>
          </w:p>
        </w:tc>
        <w:tc>
          <w:tcPr>
            <w:tcW w:w="0" w:type="dxa"/>
            <w:vAlign w:val="bottom"/>
          </w:tcPr>
          <w:p>
            <w:pPr>
              <w:spacing w:after="0"/>
              <w:rPr>
                <w:sz w:val="1"/>
                <w:szCs w:val="1"/>
                <w:color w:val="auto"/>
              </w:rPr>
            </w:pPr>
          </w:p>
        </w:tc>
      </w:tr>
      <w:tr>
        <w:trPr>
          <w:trHeight w:val="148"/>
        </w:trPr>
        <w:tc>
          <w:tcPr>
            <w:tcW w:w="2480" w:type="dxa"/>
            <w:vAlign w:val="bottom"/>
          </w:tcPr>
          <w:p>
            <w:pPr>
              <w:ind w:left="180"/>
              <w:spacing w:after="0" w:line="148" w:lineRule="exact"/>
              <w:rPr>
                <w:sz w:val="20"/>
                <w:szCs w:val="20"/>
                <w:color w:val="auto"/>
              </w:rPr>
            </w:pPr>
            <w:r>
              <w:rPr>
                <w:rFonts w:ascii="Times New Roman" w:cs="Times New Roman" w:eastAsia="Times New Roman" w:hAnsi="Times New Roman"/>
                <w:sz w:val="17"/>
                <w:szCs w:val="17"/>
                <w:b w:val="1"/>
                <w:bCs w:val="1"/>
                <w:color w:val="auto"/>
              </w:rPr>
              <w:t>Total Publicly Traded</w:t>
            </w:r>
          </w:p>
        </w:tc>
        <w:tc>
          <w:tcPr>
            <w:tcW w:w="28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3"/>
        </w:trPr>
        <w:tc>
          <w:tcPr>
            <w:tcW w:w="24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7"/>
                <w:szCs w:val="17"/>
                <w:b w:val="1"/>
                <w:bCs w:val="1"/>
                <w:color w:val="auto"/>
              </w:rPr>
              <w:t>Portfolio Companies</w:t>
            </w:r>
          </w:p>
        </w:tc>
        <w:tc>
          <w:tcPr>
            <w:tcW w:w="2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38,847,201</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38,250,483</w:t>
            </w:r>
          </w:p>
        </w:tc>
        <w:tc>
          <w:tcPr>
            <w:tcW w:w="100" w:type="dxa"/>
            <w:vAlign w:val="bottom"/>
            <w:tcBorders>
              <w:bottom w:val="single" w:sz="8" w:color="CCEEFF"/>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13.6 %</w:t>
            </w:r>
          </w:p>
        </w:tc>
        <w:tc>
          <w:tcPr>
            <w:tcW w:w="1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39,119,450</w:t>
            </w: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45,503,749</w:t>
            </w:r>
          </w:p>
        </w:tc>
        <w:tc>
          <w:tcPr>
            <w:tcW w:w="120" w:type="dxa"/>
            <w:vAlign w:val="bottom"/>
            <w:tcBorders>
              <w:bottom w:val="single" w:sz="8" w:color="CCEEFF"/>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12.5 %</w:t>
            </w:r>
          </w:p>
        </w:tc>
        <w:tc>
          <w:tcPr>
            <w:tcW w:w="0" w:type="dxa"/>
            <w:vAlign w:val="bottom"/>
          </w:tcPr>
          <w:p>
            <w:pPr>
              <w:spacing w:after="0"/>
              <w:rPr>
                <w:sz w:val="1"/>
                <w:szCs w:val="1"/>
                <w:color w:val="auto"/>
              </w:rPr>
            </w:pPr>
          </w:p>
        </w:tc>
      </w:tr>
      <w:tr>
        <w:trPr>
          <w:trHeight w:val="238"/>
        </w:trPr>
        <w:tc>
          <w:tcPr>
            <w:tcW w:w="2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Total Investments</w:t>
            </w: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214,381,536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200,066,714</w:t>
            </w:r>
          </w:p>
        </w:tc>
        <w:tc>
          <w:tcPr>
            <w:tcW w:w="1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71.4 %</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207,455,377</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260,136,253</w:t>
            </w:r>
          </w:p>
        </w:tc>
        <w:tc>
          <w:tcPr>
            <w:tcW w:w="1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71.3 %</w:t>
            </w:r>
          </w:p>
        </w:tc>
        <w:tc>
          <w:tcPr>
            <w:tcW w:w="0" w:type="dxa"/>
            <w:vAlign w:val="bottom"/>
          </w:tcPr>
          <w:p>
            <w:pPr>
              <w:spacing w:after="0"/>
              <w:rPr>
                <w:sz w:val="1"/>
                <w:szCs w:val="1"/>
                <w:color w:val="auto"/>
              </w:rPr>
            </w:pPr>
          </w:p>
        </w:tc>
      </w:tr>
      <w:tr>
        <w:trPr>
          <w:trHeight w:val="20"/>
        </w:trPr>
        <w:tc>
          <w:tcPr>
            <w:tcW w:w="24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w:t>
      </w:r>
    </w:p>
    <w:p>
      <w:pPr>
        <w:sectPr>
          <w:pgSz w:w="11900" w:h="16838" w:orient="portrait"/>
          <w:cols w:equalWidth="0" w:num="1">
            <w:col w:w="11240"/>
          </w:cols>
          <w:pgMar w:left="320" w:top="118"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SURO CAPITAL CORP. AND SUBSIDIARIES</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June 30, 2022</w:t>
      </w:r>
    </w:p>
    <w:p>
      <w:pPr>
        <w:spacing w:after="0" w:line="36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The geographic and industrial compositions of the Company’s portfolio at fair value as of June 30, 2022 and December 31, 2021 were as follows:</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0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gridSpan w:val="4"/>
          </w:tcPr>
          <w:p>
            <w:pPr>
              <w:ind w:left="220"/>
              <w:spacing w:after="0"/>
              <w:rPr>
                <w:sz w:val="20"/>
                <w:szCs w:val="20"/>
                <w:color w:val="auto"/>
              </w:rPr>
            </w:pPr>
            <w:r>
              <w:rPr>
                <w:rFonts w:ascii="Times New Roman" w:cs="Times New Roman" w:eastAsia="Times New Roman" w:hAnsi="Times New Roman"/>
                <w:sz w:val="14"/>
                <w:szCs w:val="14"/>
                <w:b w:val="1"/>
                <w:bCs w:val="1"/>
                <w:color w:val="auto"/>
              </w:rPr>
              <w:t>As of June 30, 2022</w:t>
            </w: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54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w w:val="99"/>
              </w:rPr>
              <w:t>As of December 31, 2021</w:t>
            </w:r>
          </w:p>
        </w:tc>
        <w:tc>
          <w:tcPr>
            <w:tcW w:w="1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4"/>
        </w:trPr>
        <w:tc>
          <w:tcPr>
            <w:tcW w:w="20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300" w:type="dxa"/>
            <w:vAlign w:val="bottom"/>
            <w:tcBorders>
              <w:top w:val="single" w:sz="8" w:color="auto"/>
            </w:tcBorders>
            <w:gridSpan w:val="4"/>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520" w:type="dxa"/>
            <w:vAlign w:val="bottom"/>
            <w:tcBorders>
              <w:top w:val="single" w:sz="8" w:color="auto"/>
            </w:tcBorders>
            <w:gridSpan w:val="4"/>
          </w:tcPr>
          <w:p>
            <w:pPr>
              <w:jc w:val="center"/>
              <w:ind w:right="80"/>
              <w:spacing w:after="0" w:line="124" w:lineRule="exact"/>
              <w:rPr>
                <w:sz w:val="20"/>
                <w:szCs w:val="20"/>
                <w:color w:val="auto"/>
              </w:rPr>
            </w:pPr>
            <w:r>
              <w:rPr>
                <w:rFonts w:ascii="Times New Roman" w:cs="Times New Roman" w:eastAsia="Times New Roman" w:hAnsi="Times New Roman"/>
                <w:sz w:val="14"/>
                <w:szCs w:val="14"/>
                <w:b w:val="1"/>
                <w:bCs w:val="1"/>
                <w:color w:val="auto"/>
                <w:w w:val="98"/>
              </w:rPr>
              <w:t>Percentage of</w:t>
            </w:r>
          </w:p>
        </w:tc>
        <w:tc>
          <w:tcPr>
            <w:tcW w:w="1460" w:type="dxa"/>
            <w:vAlign w:val="bottom"/>
            <w:tcBorders>
              <w:top w:val="single" w:sz="8" w:color="auto"/>
            </w:tcBorders>
            <w:gridSpan w:val="3"/>
          </w:tcPr>
          <w:p>
            <w:pPr>
              <w:jc w:val="center"/>
              <w:ind w:right="20"/>
              <w:spacing w:after="0" w:line="124" w:lineRule="exact"/>
              <w:rPr>
                <w:sz w:val="20"/>
                <w:szCs w:val="20"/>
                <w:color w:val="auto"/>
              </w:rPr>
            </w:pPr>
            <w:r>
              <w:rPr>
                <w:rFonts w:ascii="Times New Roman" w:cs="Times New Roman" w:eastAsia="Times New Roman" w:hAnsi="Times New Roman"/>
                <w:sz w:val="14"/>
                <w:szCs w:val="14"/>
                <w:b w:val="1"/>
                <w:bCs w:val="1"/>
                <w:color w:val="auto"/>
                <w:w w:val="98"/>
              </w:rPr>
              <w:t>Percentage of</w:t>
            </w:r>
          </w:p>
        </w:tc>
        <w:tc>
          <w:tcPr>
            <w:tcW w:w="1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240" w:type="dxa"/>
            <w:vAlign w:val="bottom"/>
            <w:tcBorders>
              <w:top w:val="single" w:sz="8" w:color="auto"/>
            </w:tcBorders>
            <w:gridSpan w:val="4"/>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540" w:type="dxa"/>
            <w:vAlign w:val="bottom"/>
            <w:tcBorders>
              <w:top w:val="single" w:sz="8" w:color="auto"/>
            </w:tcBorders>
            <w:gridSpan w:val="4"/>
          </w:tcPr>
          <w:p>
            <w:pPr>
              <w:jc w:val="center"/>
              <w:ind w:right="100"/>
              <w:spacing w:after="0" w:line="124" w:lineRule="exact"/>
              <w:rPr>
                <w:sz w:val="20"/>
                <w:szCs w:val="20"/>
                <w:color w:val="auto"/>
              </w:rPr>
            </w:pPr>
            <w:r>
              <w:rPr>
                <w:rFonts w:ascii="Times New Roman" w:cs="Times New Roman" w:eastAsia="Times New Roman" w:hAnsi="Times New Roman"/>
                <w:sz w:val="14"/>
                <w:szCs w:val="14"/>
                <w:b w:val="1"/>
                <w:bCs w:val="1"/>
                <w:color w:val="auto"/>
                <w:w w:val="98"/>
              </w:rPr>
              <w:t>Percentage of</w:t>
            </w:r>
          </w:p>
        </w:tc>
        <w:tc>
          <w:tcPr>
            <w:tcW w:w="1460" w:type="dxa"/>
            <w:vAlign w:val="bottom"/>
            <w:tcBorders>
              <w:top w:val="single" w:sz="8" w:color="auto"/>
            </w:tcBorders>
          </w:tcPr>
          <w:p>
            <w:pPr>
              <w:jc w:val="center"/>
              <w:spacing w:after="0" w:line="124" w:lineRule="exact"/>
              <w:rPr>
                <w:sz w:val="20"/>
                <w:szCs w:val="20"/>
                <w:color w:val="auto"/>
              </w:rPr>
            </w:pPr>
            <w:r>
              <w:rPr>
                <w:rFonts w:ascii="Times New Roman" w:cs="Times New Roman" w:eastAsia="Times New Roman" w:hAnsi="Times New Roman"/>
                <w:sz w:val="14"/>
                <w:szCs w:val="14"/>
                <w:b w:val="1"/>
                <w:bCs w:val="1"/>
                <w:color w:val="auto"/>
                <w:w w:val="98"/>
              </w:rPr>
              <w:t>Percentage of</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2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4"/>
            <w:vMerge w:val="continue"/>
          </w:tcPr>
          <w:p>
            <w:pPr>
              <w:spacing w:after="0"/>
              <w:rPr>
                <w:sz w:val="16"/>
                <w:szCs w:val="16"/>
                <w:color w:val="auto"/>
              </w:rPr>
            </w:pPr>
          </w:p>
        </w:tc>
        <w:tc>
          <w:tcPr>
            <w:tcW w:w="1520" w:type="dxa"/>
            <w:vAlign w:val="bottom"/>
            <w:gridSpan w:val="4"/>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Portfolio</w:t>
            </w:r>
          </w:p>
        </w:tc>
        <w:tc>
          <w:tcPr>
            <w:tcW w:w="14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Net Assets</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gridSpan w:val="4"/>
            <w:vMerge w:val="continue"/>
          </w:tcPr>
          <w:p>
            <w:pPr>
              <w:spacing w:after="0"/>
              <w:rPr>
                <w:sz w:val="16"/>
                <w:szCs w:val="16"/>
                <w:color w:val="auto"/>
              </w:rPr>
            </w:pPr>
          </w:p>
        </w:tc>
        <w:tc>
          <w:tcPr>
            <w:tcW w:w="154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Portfolio</w:t>
            </w:r>
          </w:p>
        </w:tc>
        <w:tc>
          <w:tcPr>
            <w:tcW w:w="148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Net Assets</w:t>
            </w:r>
          </w:p>
        </w:tc>
        <w:tc>
          <w:tcPr>
            <w:tcW w:w="0" w:type="dxa"/>
            <w:vAlign w:val="bottom"/>
          </w:tcPr>
          <w:p>
            <w:pPr>
              <w:spacing w:after="0"/>
              <w:rPr>
                <w:sz w:val="1"/>
                <w:szCs w:val="1"/>
                <w:color w:val="auto"/>
              </w:rPr>
            </w:pPr>
          </w:p>
        </w:tc>
      </w:tr>
      <w:tr>
        <w:trPr>
          <w:trHeight w:val="205"/>
        </w:trPr>
        <w:tc>
          <w:tcPr>
            <w:tcW w:w="2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Geographic Region</w:t>
            </w:r>
          </w:p>
        </w:tc>
        <w:tc>
          <w:tcPr>
            <w:tcW w:w="2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West</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136,121,677</w:t>
            </w:r>
          </w:p>
        </w:tc>
        <w:tc>
          <w:tcPr>
            <w:tcW w:w="100" w:type="dxa"/>
            <w:vAlign w:val="bottom"/>
          </w:tcPr>
          <w:p>
            <w:pPr>
              <w:spacing w:after="0"/>
              <w:rPr>
                <w:sz w:val="19"/>
                <w:szCs w:val="19"/>
                <w:color w:val="auto"/>
              </w:rPr>
            </w:pPr>
          </w:p>
        </w:tc>
        <w:tc>
          <w:tcPr>
            <w:tcW w:w="142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color w:val="auto"/>
              </w:rPr>
              <w:t>68.0 %</w:t>
            </w:r>
          </w:p>
        </w:tc>
        <w:tc>
          <w:tcPr>
            <w:tcW w:w="100" w:type="dxa"/>
            <w:vAlign w:val="bottom"/>
          </w:tcPr>
          <w:p>
            <w:pPr>
              <w:spacing w:after="0"/>
              <w:rPr>
                <w:sz w:val="19"/>
                <w:szCs w:val="19"/>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48.6 %</w:t>
            </w:r>
          </w:p>
        </w:tc>
        <w:tc>
          <w:tcPr>
            <w:tcW w:w="2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188,304,542</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72.4 %</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51.6 %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Northeast</w:t>
            </w: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44,576,264</w:t>
            </w:r>
          </w:p>
        </w:tc>
        <w:tc>
          <w:tcPr>
            <w:tcW w:w="100" w:type="dxa"/>
            <w:vAlign w:val="bottom"/>
            <w:shd w:val="clear" w:color="auto" w:fill="CCEEFF"/>
          </w:tcPr>
          <w:p>
            <w:pPr>
              <w:spacing w:after="0"/>
              <w:rPr>
                <w:sz w:val="19"/>
                <w:szCs w:val="19"/>
                <w:color w:val="auto"/>
              </w:rPr>
            </w:pPr>
          </w:p>
        </w:tc>
        <w:tc>
          <w:tcPr>
            <w:tcW w:w="14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22.3 %</w:t>
            </w:r>
          </w:p>
        </w:tc>
        <w:tc>
          <w:tcPr>
            <w:tcW w:w="1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15.9 %</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47,666,629</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18.3 %</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Midwest</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12,959,204</w:t>
            </w:r>
          </w:p>
        </w:tc>
        <w:tc>
          <w:tcPr>
            <w:tcW w:w="100" w:type="dxa"/>
            <w:vAlign w:val="bottom"/>
          </w:tcPr>
          <w:p>
            <w:pPr>
              <w:spacing w:after="0"/>
              <w:rPr>
                <w:sz w:val="19"/>
                <w:szCs w:val="19"/>
                <w:color w:val="auto"/>
              </w:rPr>
            </w:pPr>
          </w:p>
        </w:tc>
        <w:tc>
          <w:tcPr>
            <w:tcW w:w="142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color w:val="auto"/>
              </w:rPr>
              <w:t>6.5 %</w:t>
            </w:r>
          </w:p>
        </w:tc>
        <w:tc>
          <w:tcPr>
            <w:tcW w:w="100" w:type="dxa"/>
            <w:vAlign w:val="bottom"/>
          </w:tcPr>
          <w:p>
            <w:pPr>
              <w:spacing w:after="0"/>
              <w:rPr>
                <w:sz w:val="19"/>
                <w:szCs w:val="19"/>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4.6 %</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12,722,423</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4.9 %</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International</w:t>
            </w:r>
          </w:p>
        </w:tc>
        <w:tc>
          <w:tcPr>
            <w:tcW w:w="26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6,409,569</w:t>
            </w:r>
          </w:p>
        </w:tc>
        <w:tc>
          <w:tcPr>
            <w:tcW w:w="100" w:type="dxa"/>
            <w:vAlign w:val="bottom"/>
            <w:shd w:val="clear" w:color="auto" w:fill="CCEEFF"/>
          </w:tcPr>
          <w:p>
            <w:pPr>
              <w:spacing w:after="0"/>
              <w:rPr>
                <w:sz w:val="19"/>
                <w:szCs w:val="19"/>
                <w:color w:val="auto"/>
              </w:rPr>
            </w:pPr>
          </w:p>
        </w:tc>
        <w:tc>
          <w:tcPr>
            <w:tcW w:w="1420" w:type="dxa"/>
            <w:vAlign w:val="bottom"/>
            <w:tcBorders>
              <w:bottom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3.2 %</w:t>
            </w:r>
          </w:p>
        </w:tc>
        <w:tc>
          <w:tcPr>
            <w:tcW w:w="100" w:type="dxa"/>
            <w:vAlign w:val="bottom"/>
            <w:shd w:val="clear" w:color="auto" w:fill="CCEEFF"/>
          </w:tcPr>
          <w:p>
            <w:pPr>
              <w:spacing w:after="0"/>
              <w:rPr>
                <w:sz w:val="19"/>
                <w:szCs w:val="19"/>
                <w:color w:val="auto"/>
              </w:rPr>
            </w:pPr>
          </w:p>
        </w:tc>
        <w:tc>
          <w:tcPr>
            <w:tcW w:w="14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2.3 %</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11,442,659</w:t>
            </w:r>
          </w:p>
        </w:tc>
        <w:tc>
          <w:tcPr>
            <w:tcW w:w="80" w:type="dxa"/>
            <w:vAlign w:val="bottom"/>
            <w:tcBorders>
              <w:bottom w:val="single" w:sz="8" w:color="auto"/>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4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4.4 %</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2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200,066,714</w:t>
            </w:r>
          </w:p>
        </w:tc>
        <w:tc>
          <w:tcPr>
            <w:tcW w:w="100" w:type="dxa"/>
            <w:vAlign w:val="bottom"/>
          </w:tcPr>
          <w:p>
            <w:pPr>
              <w:spacing w:after="0"/>
              <w:rPr>
                <w:sz w:val="18"/>
                <w:szCs w:val="18"/>
                <w:color w:val="auto"/>
              </w:rPr>
            </w:pPr>
          </w:p>
        </w:tc>
        <w:tc>
          <w:tcPr>
            <w:tcW w:w="142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7"/>
                <w:szCs w:val="17"/>
                <w:color w:val="auto"/>
              </w:rPr>
              <w:t>100.0 %</w:t>
            </w:r>
          </w:p>
        </w:tc>
        <w:tc>
          <w:tcPr>
            <w:tcW w:w="100" w:type="dxa"/>
            <w:vAlign w:val="bottom"/>
          </w:tcPr>
          <w:p>
            <w:pPr>
              <w:spacing w:after="0"/>
              <w:rPr>
                <w:sz w:val="18"/>
                <w:szCs w:val="18"/>
                <w:color w:val="auto"/>
              </w:rPr>
            </w:pPr>
          </w:p>
        </w:tc>
        <w:tc>
          <w:tcPr>
            <w:tcW w:w="14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71.4 %</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260,136,253</w:t>
            </w:r>
          </w:p>
        </w:tc>
        <w:tc>
          <w:tcPr>
            <w:tcW w:w="8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100.0 %</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71.3 %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5"/>
        </w:trPr>
        <w:tc>
          <w:tcPr>
            <w:tcW w:w="2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As of June 30, 2022</w:t>
            </w: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40" w:type="dxa"/>
            <w:vAlign w:val="bottom"/>
            <w:gridSpan w:val="4"/>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7"/>
              </w:rPr>
              <w:t>As of December 31, 2021</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gridSpan w:val="4"/>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40" w:type="dxa"/>
            <w:vAlign w:val="bottom"/>
            <w:gridSpan w:val="4"/>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2"/>
        </w:trPr>
        <w:tc>
          <w:tcPr>
            <w:tcW w:w="204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300" w:type="dxa"/>
            <w:vAlign w:val="bottom"/>
            <w:tcBorders>
              <w:top w:val="single" w:sz="8" w:color="auto"/>
            </w:tcBorders>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520" w:type="dxa"/>
            <w:vAlign w:val="bottom"/>
            <w:tcBorders>
              <w:top w:val="single" w:sz="8" w:color="auto"/>
            </w:tcBorders>
            <w:gridSpan w:val="4"/>
          </w:tcPr>
          <w:p>
            <w:pPr>
              <w:jc w:val="center"/>
              <w:ind w:right="440"/>
              <w:spacing w:after="0" w:line="123" w:lineRule="exact"/>
              <w:rPr>
                <w:sz w:val="20"/>
                <w:szCs w:val="20"/>
                <w:color w:val="auto"/>
              </w:rPr>
            </w:pPr>
            <w:r>
              <w:rPr>
                <w:rFonts w:ascii="Times New Roman" w:cs="Times New Roman" w:eastAsia="Times New Roman" w:hAnsi="Times New Roman"/>
                <w:sz w:val="14"/>
                <w:szCs w:val="14"/>
                <w:b w:val="1"/>
                <w:bCs w:val="1"/>
                <w:color w:val="auto"/>
                <w:w w:val="98"/>
              </w:rPr>
              <w:t>Percentage of</w:t>
            </w:r>
          </w:p>
        </w:tc>
        <w:tc>
          <w:tcPr>
            <w:tcW w:w="1340" w:type="dxa"/>
            <w:vAlign w:val="bottom"/>
            <w:tcBorders>
              <w:top w:val="single" w:sz="8" w:color="auto"/>
            </w:tcBorders>
          </w:tcPr>
          <w:p>
            <w:pPr>
              <w:jc w:val="right"/>
              <w:ind w:right="258"/>
              <w:spacing w:after="0" w:line="123" w:lineRule="exact"/>
              <w:rPr>
                <w:sz w:val="20"/>
                <w:szCs w:val="20"/>
                <w:color w:val="auto"/>
              </w:rPr>
            </w:pPr>
            <w:r>
              <w:rPr>
                <w:rFonts w:ascii="Times New Roman" w:cs="Times New Roman" w:eastAsia="Times New Roman" w:hAnsi="Times New Roman"/>
                <w:sz w:val="14"/>
                <w:szCs w:val="14"/>
                <w:b w:val="1"/>
                <w:bCs w:val="1"/>
                <w:color w:val="auto"/>
              </w:rPr>
              <w:t>Percentage of</w:t>
            </w:r>
          </w:p>
        </w:tc>
        <w:tc>
          <w:tcPr>
            <w:tcW w:w="10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240" w:type="dxa"/>
            <w:vAlign w:val="bottom"/>
            <w:tcBorders>
              <w:top w:val="single" w:sz="8" w:color="auto"/>
            </w:tcBorders>
            <w:gridSpan w:val="4"/>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540" w:type="dxa"/>
            <w:vAlign w:val="bottom"/>
            <w:tcBorders>
              <w:top w:val="single" w:sz="8" w:color="auto"/>
            </w:tcBorders>
            <w:gridSpan w:val="4"/>
          </w:tcPr>
          <w:p>
            <w:pPr>
              <w:jc w:val="center"/>
              <w:ind w:right="180"/>
              <w:spacing w:after="0" w:line="123" w:lineRule="exact"/>
              <w:rPr>
                <w:sz w:val="20"/>
                <w:szCs w:val="20"/>
                <w:color w:val="auto"/>
              </w:rPr>
            </w:pPr>
            <w:r>
              <w:rPr>
                <w:rFonts w:ascii="Times New Roman" w:cs="Times New Roman" w:eastAsia="Times New Roman" w:hAnsi="Times New Roman"/>
                <w:sz w:val="14"/>
                <w:szCs w:val="14"/>
                <w:b w:val="1"/>
                <w:bCs w:val="1"/>
                <w:color w:val="auto"/>
                <w:w w:val="98"/>
              </w:rPr>
              <w:t>Percentage of</w:t>
            </w:r>
          </w:p>
        </w:tc>
        <w:tc>
          <w:tcPr>
            <w:tcW w:w="1480" w:type="dxa"/>
            <w:vAlign w:val="bottom"/>
            <w:tcBorders>
              <w:top w:val="single" w:sz="8" w:color="auto"/>
            </w:tcBorders>
            <w:gridSpan w:val="2"/>
          </w:tcPr>
          <w:p>
            <w:pPr>
              <w:jc w:val="center"/>
              <w:spacing w:after="0" w:line="123" w:lineRule="exact"/>
              <w:rPr>
                <w:sz w:val="20"/>
                <w:szCs w:val="20"/>
                <w:color w:val="auto"/>
              </w:rPr>
            </w:pPr>
            <w:r>
              <w:rPr>
                <w:rFonts w:ascii="Times New Roman" w:cs="Times New Roman" w:eastAsia="Times New Roman" w:hAnsi="Times New Roman"/>
                <w:sz w:val="14"/>
                <w:szCs w:val="14"/>
                <w:b w:val="1"/>
                <w:bCs w:val="1"/>
                <w:color w:val="auto"/>
                <w:w w:val="98"/>
              </w:rPr>
              <w:t>Percentage of</w:t>
            </w:r>
          </w:p>
        </w:tc>
        <w:tc>
          <w:tcPr>
            <w:tcW w:w="0" w:type="dxa"/>
            <w:vAlign w:val="bottom"/>
          </w:tcPr>
          <w:p>
            <w:pPr>
              <w:spacing w:after="0"/>
              <w:rPr>
                <w:sz w:val="1"/>
                <w:szCs w:val="1"/>
                <w:color w:val="auto"/>
              </w:rPr>
            </w:pPr>
          </w:p>
        </w:tc>
      </w:tr>
      <w:tr>
        <w:trPr>
          <w:trHeight w:val="188"/>
        </w:trPr>
        <w:tc>
          <w:tcPr>
            <w:tcW w:w="2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4"/>
            <w:vMerge w:val="continue"/>
          </w:tcPr>
          <w:p>
            <w:pPr>
              <w:spacing w:after="0"/>
              <w:rPr>
                <w:sz w:val="16"/>
                <w:szCs w:val="16"/>
                <w:color w:val="auto"/>
              </w:rPr>
            </w:pPr>
          </w:p>
        </w:tc>
        <w:tc>
          <w:tcPr>
            <w:tcW w:w="1520" w:type="dxa"/>
            <w:vAlign w:val="bottom"/>
            <w:gridSpan w:val="4"/>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w w:val="98"/>
              </w:rPr>
              <w:t>Portfolio</w:t>
            </w:r>
          </w:p>
        </w:tc>
        <w:tc>
          <w:tcPr>
            <w:tcW w:w="1460" w:type="dxa"/>
            <w:vAlign w:val="bottom"/>
            <w:gridSpan w:val="3"/>
          </w:tcPr>
          <w:p>
            <w:pPr>
              <w:ind w:left="300"/>
              <w:spacing w:after="0"/>
              <w:rPr>
                <w:sz w:val="20"/>
                <w:szCs w:val="20"/>
                <w:color w:val="auto"/>
              </w:rPr>
            </w:pPr>
            <w:r>
              <w:rPr>
                <w:rFonts w:ascii="Times New Roman" w:cs="Times New Roman" w:eastAsia="Times New Roman" w:hAnsi="Times New Roman"/>
                <w:sz w:val="14"/>
                <w:szCs w:val="14"/>
                <w:b w:val="1"/>
                <w:bCs w:val="1"/>
                <w:color w:val="auto"/>
              </w:rPr>
              <w:t>Net Assets</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gridSpan w:val="4"/>
            <w:vMerge w:val="continue"/>
          </w:tcPr>
          <w:p>
            <w:pPr>
              <w:spacing w:after="0"/>
              <w:rPr>
                <w:sz w:val="16"/>
                <w:szCs w:val="16"/>
                <w:color w:val="auto"/>
              </w:rPr>
            </w:pPr>
          </w:p>
        </w:tc>
        <w:tc>
          <w:tcPr>
            <w:tcW w:w="1540" w:type="dxa"/>
            <w:vAlign w:val="bottom"/>
            <w:gridSpan w:val="4"/>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8"/>
              </w:rPr>
              <w:t>Portfolio</w:t>
            </w:r>
          </w:p>
        </w:tc>
        <w:tc>
          <w:tcPr>
            <w:tcW w:w="148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Net Assets</w:t>
            </w:r>
          </w:p>
        </w:tc>
        <w:tc>
          <w:tcPr>
            <w:tcW w:w="0" w:type="dxa"/>
            <w:vAlign w:val="bottom"/>
          </w:tcPr>
          <w:p>
            <w:pPr>
              <w:spacing w:after="0"/>
              <w:rPr>
                <w:sz w:val="1"/>
                <w:szCs w:val="1"/>
                <w:color w:val="auto"/>
              </w:rPr>
            </w:pPr>
          </w:p>
        </w:tc>
      </w:tr>
      <w:tr>
        <w:trPr>
          <w:trHeight w:val="205"/>
        </w:trPr>
        <w:tc>
          <w:tcPr>
            <w:tcW w:w="2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Industry</w:t>
            </w:r>
          </w:p>
        </w:tc>
        <w:tc>
          <w:tcPr>
            <w:tcW w:w="2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Education Technology</w:t>
            </w:r>
          </w:p>
        </w:tc>
        <w:tc>
          <w:tcPr>
            <w:tcW w:w="26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74,384,016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37.0 %</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26.6 %</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109,048,688</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41.9 %</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29.9 %</w:t>
            </w:r>
          </w:p>
        </w:tc>
        <w:tc>
          <w:tcPr>
            <w:tcW w:w="0" w:type="dxa"/>
            <w:vAlign w:val="bottom"/>
          </w:tcPr>
          <w:p>
            <w:pPr>
              <w:spacing w:after="0"/>
              <w:rPr>
                <w:sz w:val="1"/>
                <w:szCs w:val="1"/>
                <w:color w:val="auto"/>
              </w:rPr>
            </w:pPr>
          </w:p>
        </w:tc>
      </w:tr>
      <w:tr>
        <w:trPr>
          <w:trHeight w:val="220"/>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Financial Technology</w:t>
            </w: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69,536,073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34.8 %</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24.8 %</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71,954,012</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27.7 %</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19.7 %</w:t>
            </w:r>
          </w:p>
        </w:tc>
        <w:tc>
          <w:tcPr>
            <w:tcW w:w="0" w:type="dxa"/>
            <w:vAlign w:val="bottom"/>
          </w:tcPr>
          <w:p>
            <w:pPr>
              <w:spacing w:after="0"/>
              <w:rPr>
                <w:sz w:val="1"/>
                <w:szCs w:val="1"/>
                <w:color w:val="auto"/>
              </w:rPr>
            </w:pPr>
          </w:p>
        </w:tc>
      </w:tr>
      <w:tr>
        <w:trPr>
          <w:trHeight w:val="220"/>
        </w:trPr>
        <w:tc>
          <w:tcPr>
            <w:tcW w:w="2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Marketplaces</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30,323,915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15.2 %</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10.8 %</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49,346,174</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19.0 %</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13.5 %</w:t>
            </w:r>
          </w:p>
        </w:tc>
        <w:tc>
          <w:tcPr>
            <w:tcW w:w="0" w:type="dxa"/>
            <w:vAlign w:val="bottom"/>
          </w:tcPr>
          <w:p>
            <w:pPr>
              <w:spacing w:after="0"/>
              <w:rPr>
                <w:sz w:val="1"/>
                <w:szCs w:val="1"/>
                <w:color w:val="auto"/>
              </w:rPr>
            </w:pPr>
          </w:p>
        </w:tc>
      </w:tr>
      <w:tr>
        <w:trPr>
          <w:trHeight w:val="220"/>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Social/Mobile</w:t>
            </w: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19,965,998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10.0 %</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7.1 %</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16,439,523</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6.3 %</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4.5 %</w:t>
            </w:r>
          </w:p>
        </w:tc>
        <w:tc>
          <w:tcPr>
            <w:tcW w:w="0" w:type="dxa"/>
            <w:vAlign w:val="bottom"/>
          </w:tcPr>
          <w:p>
            <w:pPr>
              <w:spacing w:after="0"/>
              <w:rPr>
                <w:sz w:val="1"/>
                <w:szCs w:val="1"/>
                <w:color w:val="auto"/>
              </w:rPr>
            </w:pPr>
          </w:p>
        </w:tc>
      </w:tr>
      <w:tr>
        <w:trPr>
          <w:trHeight w:val="220"/>
        </w:trPr>
        <w:tc>
          <w:tcPr>
            <w:tcW w:w="2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Big Data/Cloud</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4,549,679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2.3 %</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1.6 %</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12,300,823</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4.7 %</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3.4 %</w:t>
            </w:r>
          </w:p>
        </w:tc>
        <w:tc>
          <w:tcPr>
            <w:tcW w:w="0" w:type="dxa"/>
            <w:vAlign w:val="bottom"/>
          </w:tcPr>
          <w:p>
            <w:pPr>
              <w:spacing w:after="0"/>
              <w:rPr>
                <w:sz w:val="1"/>
                <w:szCs w:val="1"/>
                <w:color w:val="auto"/>
              </w:rPr>
            </w:pPr>
          </w:p>
        </w:tc>
      </w:tr>
      <w:tr>
        <w:trPr>
          <w:trHeight w:val="220"/>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Sustainability</w:t>
            </w:r>
          </w:p>
        </w:tc>
        <w:tc>
          <w:tcPr>
            <w:tcW w:w="2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1,307,033</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0.7 %</w:t>
            </w:r>
          </w:p>
        </w:tc>
        <w:tc>
          <w:tcPr>
            <w:tcW w:w="10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0.5 %</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1,047,033</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0.4 %</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0.3 %</w:t>
            </w:r>
          </w:p>
        </w:tc>
        <w:tc>
          <w:tcPr>
            <w:tcW w:w="0" w:type="dxa"/>
            <w:vAlign w:val="bottom"/>
          </w:tcPr>
          <w:p>
            <w:pPr>
              <w:spacing w:after="0"/>
              <w:rPr>
                <w:sz w:val="1"/>
                <w:szCs w:val="1"/>
                <w:color w:val="auto"/>
              </w:rPr>
            </w:pPr>
          </w:p>
        </w:tc>
      </w:tr>
      <w:tr>
        <w:trPr>
          <w:trHeight w:val="213"/>
        </w:trPr>
        <w:tc>
          <w:tcPr>
            <w:tcW w:w="20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26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200,066,714</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100.0 %</w:t>
            </w:r>
          </w:p>
        </w:tc>
        <w:tc>
          <w:tcPr>
            <w:tcW w:w="10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71.4 %</w:t>
            </w:r>
          </w:p>
        </w:tc>
        <w:tc>
          <w:tcPr>
            <w:tcW w:w="1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260,136,253</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100.0 %</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71.3 %</w:t>
            </w:r>
          </w:p>
        </w:tc>
        <w:tc>
          <w:tcPr>
            <w:tcW w:w="0" w:type="dxa"/>
            <w:vAlign w:val="bottom"/>
          </w:tcPr>
          <w:p>
            <w:pPr>
              <w:spacing w:after="0"/>
              <w:rPr>
                <w:sz w:val="1"/>
                <w:szCs w:val="1"/>
                <w:color w:val="auto"/>
              </w:rPr>
            </w:pPr>
          </w:p>
        </w:tc>
      </w:tr>
      <w:tr>
        <w:trPr>
          <w:trHeight w:val="20"/>
        </w:trPr>
        <w:tc>
          <w:tcPr>
            <w:tcW w:w="20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9"/>
        </w:trPr>
        <w:tc>
          <w:tcPr>
            <w:tcW w:w="2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27</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8"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4"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SURO CAPITAL CORP. AND SUBSIDIARIES</w:t>
      </w:r>
    </w:p>
    <w:p>
      <w:pPr>
        <w:spacing w:after="0" w:line="244"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32"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June 30, 2022</w:t>
      </w: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table below details the composition of the Company’s industrial themes presented in the preceding tables:</w:t>
      </w:r>
    </w:p>
    <w:p>
      <w:pPr>
        <w:sectPr>
          <w:pgSz w:w="11900" w:h="16838" w:orient="portrait"/>
          <w:cols w:equalWidth="0" w:num="1">
            <w:col w:w="10139"/>
          </w:cols>
          <w:pgMar w:left="320" w:top="118" w:right="1440" w:bottom="1440" w:gutter="0" w:footer="0" w:header="0"/>
        </w:sectPr>
      </w:pPr>
    </w:p>
    <w:p>
      <w:pPr>
        <w:spacing w:after="0" w:line="2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Industry Theme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28575</wp:posOffset>
            </wp:positionV>
            <wp:extent cx="227520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275205" cy="8255"/>
                    </a:xfrm>
                    <a:prstGeom prst="rect">
                      <a:avLst/>
                    </a:prstGeom>
                    <a:noFill/>
                  </pic:spPr>
                </pic:pic>
              </a:graphicData>
            </a:graphic>
          </wp:anchor>
        </w:drawing>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Education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438150</wp:posOffset>
            </wp:positionV>
            <wp:extent cx="227520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2752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Big Data/Cloud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298450</wp:posOffset>
            </wp:positionV>
            <wp:extent cx="227520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275205" cy="8255"/>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Marketplaces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996315</wp:posOffset>
            </wp:positionV>
            <wp:extent cx="227520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2752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Financial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996315</wp:posOffset>
            </wp:positionV>
            <wp:extent cx="227520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2752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Social/Mobile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856615</wp:posOffset>
            </wp:positionV>
            <wp:extent cx="227520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2752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Sustainability</w:t>
      </w:r>
    </w:p>
    <w:p>
      <w:pPr>
        <w:spacing w:after="0" w:line="20" w:lineRule="exact"/>
        <w:rPr>
          <w:sz w:val="20"/>
          <w:szCs w:val="20"/>
          <w:color w:val="auto"/>
        </w:rPr>
      </w:pPr>
      <w:r>
        <w:rPr>
          <w:sz w:val="20"/>
          <w:szCs w:val="20"/>
          <w:color w:val="auto"/>
        </w:rPr>
        <w:br w:type="column"/>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28575</wp:posOffset>
            </wp:positionV>
            <wp:extent cx="479679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796790" cy="8255"/>
                    </a:xfrm>
                    <a:prstGeom prst="rect">
                      <a:avLst/>
                    </a:prstGeom>
                    <a:noFill/>
                  </pic:spPr>
                </pic:pic>
              </a:graphicData>
            </a:graphic>
          </wp:anchor>
        </w:drawing>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Business Education</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Education Software</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Interactive Learning</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Online Education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15240</wp:posOffset>
            </wp:positionV>
            <wp:extent cx="479679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796790" cy="825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Data Analysis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Gaming Licensing</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Retail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15240</wp:posOffset>
            </wp:positionV>
            <wp:extent cx="479679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796790" cy="825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Global Innovation Platform</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Knowledge Networks</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Micromobility</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On-Demand Commerce</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Peer-to-Peer Pet Services</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Pharmaceutical Technology</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Real Estate Platform</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Subscription Fashion Rental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15240</wp:posOffset>
            </wp:positionV>
            <wp:extent cx="479679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796790" cy="825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Cannabis REIT</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Financial Services</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Home Improvement Finance</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Mobile Finance Technology</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Online Marketplace Finance</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Gaming Technology</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Special Purpose Acquisition Company</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Venture Investment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15240</wp:posOffset>
            </wp:positionV>
            <wp:extent cx="479679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796790" cy="825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Digital Media Platform</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Digital Media Technology</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Interactive Media &amp; Services</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Mobile Access Technology</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Social Data Platform</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Fitness Technology</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Social Networking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15240</wp:posOffset>
            </wp:positionV>
            <wp:extent cx="479679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796790" cy="825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Clean Technology</w:t>
      </w:r>
    </w:p>
    <w:p>
      <w:pPr>
        <w:spacing w:after="0" w:line="200" w:lineRule="exact"/>
        <w:rPr>
          <w:sz w:val="20"/>
          <w:szCs w:val="20"/>
          <w:color w:val="auto"/>
        </w:rPr>
      </w:pPr>
    </w:p>
    <w:p>
      <w:pPr>
        <w:sectPr>
          <w:pgSz w:w="11900" w:h="16838" w:orient="portrait"/>
          <w:cols w:equalWidth="0" w:num="2">
            <w:col w:w="2980" w:space="720"/>
            <w:col w:w="6439"/>
          </w:cols>
          <w:pgMar w:left="320" w:top="118" w:right="1440" w:bottom="1440" w:gutter="0" w:footer="0" w:header="0"/>
          <w:type w:val="continuous"/>
        </w:sectPr>
      </w:pPr>
    </w:p>
    <w:p>
      <w:pPr>
        <w:spacing w:after="0" w:line="200" w:lineRule="exact"/>
        <w:rPr>
          <w:sz w:val="20"/>
          <w:szCs w:val="20"/>
          <w:color w:val="auto"/>
        </w:rPr>
      </w:pPr>
    </w:p>
    <w:p>
      <w:pPr>
        <w:spacing w:after="0" w:line="27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7"/>
          <w:szCs w:val="17"/>
          <w:color w:val="auto"/>
        </w:rPr>
        <w:t>28</w:t>
      </w:r>
    </w:p>
    <w:p>
      <w:pPr>
        <w:sectPr>
          <w:pgSz w:w="11900" w:h="16838" w:orient="portrait"/>
          <w:cols w:equalWidth="0" w:num="1">
            <w:col w:w="10139"/>
          </w:cols>
          <w:pgMar w:left="320" w:top="118" w:right="1440"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SURO CAPITAL CORP. AND SUBSIDIARIES</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June 30, 2022</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Investment Valuation Inputs</w:t>
      </w:r>
    </w:p>
    <w:p>
      <w:pPr>
        <w:spacing w:after="0" w:line="246" w:lineRule="exact"/>
        <w:rPr>
          <w:sz w:val="20"/>
          <w:szCs w:val="20"/>
          <w:color w:val="auto"/>
        </w:rPr>
      </w:pPr>
    </w:p>
    <w:p>
      <w:pPr>
        <w:ind w:firstLine="349"/>
        <w:spacing w:after="0" w:line="291" w:lineRule="auto"/>
        <w:rPr>
          <w:sz w:val="20"/>
          <w:szCs w:val="20"/>
          <w:color w:val="auto"/>
        </w:rPr>
      </w:pPr>
      <w:r>
        <w:rPr>
          <w:rFonts w:ascii="Times New Roman" w:cs="Times New Roman" w:eastAsia="Times New Roman" w:hAnsi="Times New Roman"/>
          <w:sz w:val="17"/>
          <w:szCs w:val="17"/>
          <w:color w:val="auto"/>
        </w:rPr>
        <w:t>The fair values of the Company’s investments disaggregated into the three levels of the fair value hierarchy based upon the lowest level of significant input used in the valuation as of June 30, 2022 and December 31, 2021 are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8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8"/>
              </w:rPr>
              <w:t>As of June 30, 2022</w:t>
            </w: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4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gridSpan w:val="2"/>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4"/>
        </w:trPr>
        <w:tc>
          <w:tcPr>
            <w:tcW w:w="4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560" w:type="dxa"/>
            <w:vAlign w:val="bottom"/>
            <w:gridSpan w:val="2"/>
          </w:tcPr>
          <w:p>
            <w:pPr>
              <w:jc w:val="center"/>
              <w:ind w:right="300"/>
              <w:spacing w:after="0" w:line="124" w:lineRule="exact"/>
              <w:rPr>
                <w:sz w:val="20"/>
                <w:szCs w:val="20"/>
                <w:color w:val="auto"/>
              </w:rPr>
            </w:pPr>
            <w:r>
              <w:rPr>
                <w:rFonts w:ascii="Times New Roman" w:cs="Times New Roman" w:eastAsia="Times New Roman" w:hAnsi="Times New Roman"/>
                <w:sz w:val="14"/>
                <w:szCs w:val="14"/>
                <w:b w:val="1"/>
                <w:bCs w:val="1"/>
                <w:color w:val="auto"/>
                <w:w w:val="98"/>
              </w:rPr>
              <w:t>Quoted Prices in</w:t>
            </w:r>
          </w:p>
        </w:tc>
        <w:tc>
          <w:tcPr>
            <w:tcW w:w="220" w:type="dxa"/>
            <w:vAlign w:val="bottom"/>
          </w:tcPr>
          <w:p>
            <w:pPr>
              <w:spacing w:after="0"/>
              <w:rPr>
                <w:sz w:val="10"/>
                <w:szCs w:val="10"/>
                <w:color w:val="auto"/>
              </w:rPr>
            </w:pPr>
          </w:p>
        </w:tc>
        <w:tc>
          <w:tcPr>
            <w:tcW w:w="1520" w:type="dxa"/>
            <w:vAlign w:val="bottom"/>
            <w:gridSpan w:val="2"/>
          </w:tcPr>
          <w:p>
            <w:pPr>
              <w:jc w:val="center"/>
              <w:ind w:right="300"/>
              <w:spacing w:after="0" w:line="124" w:lineRule="exact"/>
              <w:rPr>
                <w:sz w:val="20"/>
                <w:szCs w:val="20"/>
                <w:color w:val="auto"/>
              </w:rPr>
            </w:pPr>
            <w:r>
              <w:rPr>
                <w:rFonts w:ascii="Times New Roman" w:cs="Times New Roman" w:eastAsia="Times New Roman" w:hAnsi="Times New Roman"/>
                <w:sz w:val="14"/>
                <w:szCs w:val="14"/>
                <w:b w:val="1"/>
                <w:bCs w:val="1"/>
                <w:color w:val="auto"/>
                <w:w w:val="98"/>
              </w:rPr>
              <w:t>Significant Other</w:t>
            </w:r>
          </w:p>
        </w:tc>
        <w:tc>
          <w:tcPr>
            <w:tcW w:w="260" w:type="dxa"/>
            <w:vAlign w:val="bottom"/>
          </w:tcPr>
          <w:p>
            <w:pPr>
              <w:spacing w:after="0"/>
              <w:rPr>
                <w:sz w:val="10"/>
                <w:szCs w:val="10"/>
                <w:color w:val="auto"/>
              </w:rPr>
            </w:pPr>
          </w:p>
        </w:tc>
        <w:tc>
          <w:tcPr>
            <w:tcW w:w="1500" w:type="dxa"/>
            <w:vAlign w:val="bottom"/>
            <w:gridSpan w:val="2"/>
          </w:tcPr>
          <w:p>
            <w:pPr>
              <w:jc w:val="center"/>
              <w:ind w:right="360"/>
              <w:spacing w:after="0" w:line="124" w:lineRule="exact"/>
              <w:rPr>
                <w:sz w:val="20"/>
                <w:szCs w:val="20"/>
                <w:color w:val="auto"/>
              </w:rPr>
            </w:pPr>
            <w:r>
              <w:rPr>
                <w:rFonts w:ascii="Times New Roman" w:cs="Times New Roman" w:eastAsia="Times New Roman" w:hAnsi="Times New Roman"/>
                <w:sz w:val="14"/>
                <w:szCs w:val="14"/>
                <w:b w:val="1"/>
                <w:bCs w:val="1"/>
                <w:color w:val="auto"/>
                <w:w w:val="95"/>
              </w:rPr>
              <w:t>Significant</w:t>
            </w:r>
          </w:p>
        </w:tc>
        <w:tc>
          <w:tcPr>
            <w:tcW w:w="3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4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60" w:type="dxa"/>
            <w:vAlign w:val="bottom"/>
            <w:gridSpan w:val="2"/>
          </w:tcPr>
          <w:p>
            <w:pPr>
              <w:jc w:val="center"/>
              <w:ind w:right="280"/>
              <w:spacing w:after="0" w:line="141" w:lineRule="exact"/>
              <w:rPr>
                <w:sz w:val="20"/>
                <w:szCs w:val="20"/>
                <w:color w:val="auto"/>
              </w:rPr>
            </w:pPr>
            <w:r>
              <w:rPr>
                <w:rFonts w:ascii="Times New Roman" w:cs="Times New Roman" w:eastAsia="Times New Roman" w:hAnsi="Times New Roman"/>
                <w:sz w:val="14"/>
                <w:szCs w:val="14"/>
                <w:b w:val="1"/>
                <w:bCs w:val="1"/>
                <w:color w:val="auto"/>
                <w:w w:val="98"/>
              </w:rPr>
              <w:t>Active Markets for</w:t>
            </w:r>
          </w:p>
        </w:tc>
        <w:tc>
          <w:tcPr>
            <w:tcW w:w="220" w:type="dxa"/>
            <w:vAlign w:val="bottom"/>
          </w:tcPr>
          <w:p>
            <w:pPr>
              <w:spacing w:after="0"/>
              <w:rPr>
                <w:sz w:val="12"/>
                <w:szCs w:val="12"/>
                <w:color w:val="auto"/>
              </w:rPr>
            </w:pPr>
          </w:p>
        </w:tc>
        <w:tc>
          <w:tcPr>
            <w:tcW w:w="1520" w:type="dxa"/>
            <w:vAlign w:val="bottom"/>
            <w:gridSpan w:val="2"/>
          </w:tcPr>
          <w:p>
            <w:pPr>
              <w:jc w:val="center"/>
              <w:ind w:right="320"/>
              <w:spacing w:after="0" w:line="141" w:lineRule="exact"/>
              <w:rPr>
                <w:sz w:val="20"/>
                <w:szCs w:val="20"/>
                <w:color w:val="auto"/>
              </w:rPr>
            </w:pPr>
            <w:r>
              <w:rPr>
                <w:rFonts w:ascii="Times New Roman" w:cs="Times New Roman" w:eastAsia="Times New Roman" w:hAnsi="Times New Roman"/>
                <w:sz w:val="14"/>
                <w:szCs w:val="14"/>
                <w:b w:val="1"/>
                <w:bCs w:val="1"/>
                <w:color w:val="auto"/>
                <w:w w:val="99"/>
              </w:rPr>
              <w:t>Observable</w:t>
            </w:r>
          </w:p>
        </w:tc>
        <w:tc>
          <w:tcPr>
            <w:tcW w:w="260" w:type="dxa"/>
            <w:vAlign w:val="bottom"/>
          </w:tcPr>
          <w:p>
            <w:pPr>
              <w:spacing w:after="0"/>
              <w:rPr>
                <w:sz w:val="12"/>
                <w:szCs w:val="12"/>
                <w:color w:val="auto"/>
              </w:rPr>
            </w:pPr>
          </w:p>
        </w:tc>
        <w:tc>
          <w:tcPr>
            <w:tcW w:w="1500" w:type="dxa"/>
            <w:vAlign w:val="bottom"/>
            <w:gridSpan w:val="2"/>
          </w:tcPr>
          <w:p>
            <w:pPr>
              <w:jc w:val="center"/>
              <w:ind w:right="360"/>
              <w:spacing w:after="0" w:line="141" w:lineRule="exact"/>
              <w:rPr>
                <w:sz w:val="20"/>
                <w:szCs w:val="20"/>
                <w:color w:val="auto"/>
              </w:rPr>
            </w:pPr>
            <w:r>
              <w:rPr>
                <w:rFonts w:ascii="Times New Roman" w:cs="Times New Roman" w:eastAsia="Times New Roman" w:hAnsi="Times New Roman"/>
                <w:sz w:val="14"/>
                <w:szCs w:val="14"/>
                <w:b w:val="1"/>
                <w:bCs w:val="1"/>
                <w:color w:val="auto"/>
                <w:w w:val="99"/>
              </w:rPr>
              <w:t>Unobservable</w:t>
            </w:r>
          </w:p>
        </w:tc>
        <w:tc>
          <w:tcPr>
            <w:tcW w:w="3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4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60" w:type="dxa"/>
            <w:vAlign w:val="bottom"/>
            <w:gridSpan w:val="2"/>
          </w:tcPr>
          <w:p>
            <w:pPr>
              <w:jc w:val="center"/>
              <w:ind w:right="280"/>
              <w:spacing w:after="0" w:line="131" w:lineRule="exact"/>
              <w:rPr>
                <w:sz w:val="20"/>
                <w:szCs w:val="20"/>
                <w:color w:val="auto"/>
              </w:rPr>
            </w:pPr>
            <w:r>
              <w:rPr>
                <w:rFonts w:ascii="Times New Roman" w:cs="Times New Roman" w:eastAsia="Times New Roman" w:hAnsi="Times New Roman"/>
                <w:sz w:val="14"/>
                <w:szCs w:val="14"/>
                <w:b w:val="1"/>
                <w:bCs w:val="1"/>
                <w:color w:val="auto"/>
                <w:w w:val="97"/>
              </w:rPr>
              <w:t>Identical Securities</w:t>
            </w:r>
          </w:p>
        </w:tc>
        <w:tc>
          <w:tcPr>
            <w:tcW w:w="220" w:type="dxa"/>
            <w:vAlign w:val="bottom"/>
          </w:tcPr>
          <w:p>
            <w:pPr>
              <w:spacing w:after="0"/>
              <w:rPr>
                <w:sz w:val="11"/>
                <w:szCs w:val="11"/>
                <w:color w:val="auto"/>
              </w:rPr>
            </w:pPr>
          </w:p>
        </w:tc>
        <w:tc>
          <w:tcPr>
            <w:tcW w:w="1520" w:type="dxa"/>
            <w:vAlign w:val="bottom"/>
            <w:gridSpan w:val="2"/>
          </w:tcPr>
          <w:p>
            <w:pPr>
              <w:jc w:val="center"/>
              <w:ind w:right="300"/>
              <w:spacing w:after="0" w:line="131" w:lineRule="exact"/>
              <w:rPr>
                <w:sz w:val="20"/>
                <w:szCs w:val="20"/>
                <w:color w:val="auto"/>
              </w:rPr>
            </w:pPr>
            <w:r>
              <w:rPr>
                <w:rFonts w:ascii="Times New Roman" w:cs="Times New Roman" w:eastAsia="Times New Roman" w:hAnsi="Times New Roman"/>
                <w:sz w:val="14"/>
                <w:szCs w:val="14"/>
                <w:b w:val="1"/>
                <w:bCs w:val="1"/>
                <w:color w:val="auto"/>
                <w:w w:val="97"/>
              </w:rPr>
              <w:t>Inputs</w:t>
            </w:r>
          </w:p>
        </w:tc>
        <w:tc>
          <w:tcPr>
            <w:tcW w:w="260" w:type="dxa"/>
            <w:vAlign w:val="bottom"/>
          </w:tcPr>
          <w:p>
            <w:pPr>
              <w:spacing w:after="0"/>
              <w:rPr>
                <w:sz w:val="11"/>
                <w:szCs w:val="11"/>
                <w:color w:val="auto"/>
              </w:rPr>
            </w:pPr>
          </w:p>
        </w:tc>
        <w:tc>
          <w:tcPr>
            <w:tcW w:w="1500" w:type="dxa"/>
            <w:vAlign w:val="bottom"/>
            <w:gridSpan w:val="2"/>
          </w:tcPr>
          <w:p>
            <w:pPr>
              <w:jc w:val="center"/>
              <w:ind w:right="360"/>
              <w:spacing w:after="0" w:line="131" w:lineRule="exact"/>
              <w:rPr>
                <w:sz w:val="20"/>
                <w:szCs w:val="20"/>
                <w:color w:val="auto"/>
              </w:rPr>
            </w:pPr>
            <w:r>
              <w:rPr>
                <w:rFonts w:ascii="Times New Roman" w:cs="Times New Roman" w:eastAsia="Times New Roman" w:hAnsi="Times New Roman"/>
                <w:sz w:val="14"/>
                <w:szCs w:val="14"/>
                <w:b w:val="1"/>
                <w:bCs w:val="1"/>
                <w:color w:val="auto"/>
                <w:w w:val="97"/>
              </w:rPr>
              <w:t>Inputs</w:t>
            </w:r>
          </w:p>
        </w:tc>
        <w:tc>
          <w:tcPr>
            <w:tcW w:w="380" w:type="dxa"/>
            <w:vAlign w:val="bottom"/>
          </w:tcPr>
          <w:p>
            <w:pPr>
              <w:spacing w:after="0"/>
              <w:rPr>
                <w:sz w:val="11"/>
                <w:szCs w:val="11"/>
                <w:color w:val="auto"/>
              </w:rPr>
            </w:pPr>
          </w:p>
        </w:tc>
        <w:tc>
          <w:tcPr>
            <w:tcW w:w="1260" w:type="dxa"/>
            <w:vAlign w:val="bottom"/>
            <w:vMerge w:val="restart"/>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3"/>
        </w:trPr>
        <w:tc>
          <w:tcPr>
            <w:tcW w:w="4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(Level 1)</w:t>
            </w:r>
          </w:p>
        </w:tc>
        <w:tc>
          <w:tcPr>
            <w:tcW w:w="220" w:type="dxa"/>
            <w:vAlign w:val="bottom"/>
          </w:tcPr>
          <w:p>
            <w:pPr>
              <w:spacing w:after="0"/>
              <w:rPr>
                <w:sz w:val="15"/>
                <w:szCs w:val="15"/>
                <w:color w:val="auto"/>
              </w:rPr>
            </w:pPr>
          </w:p>
        </w:tc>
        <w:tc>
          <w:tcPr>
            <w:tcW w:w="15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8"/>
              </w:rPr>
              <w:t>(Level 2)</w:t>
            </w:r>
          </w:p>
        </w:tc>
        <w:tc>
          <w:tcPr>
            <w:tcW w:w="260" w:type="dxa"/>
            <w:vAlign w:val="bottom"/>
          </w:tcPr>
          <w:p>
            <w:pPr>
              <w:spacing w:after="0"/>
              <w:rPr>
                <w:sz w:val="15"/>
                <w:szCs w:val="15"/>
                <w:color w:val="auto"/>
              </w:rPr>
            </w:pPr>
          </w:p>
        </w:tc>
        <w:tc>
          <w:tcPr>
            <w:tcW w:w="15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5"/>
              </w:rPr>
              <w:t>(Level 3)</w:t>
            </w:r>
          </w:p>
        </w:tc>
        <w:tc>
          <w:tcPr>
            <w:tcW w:w="380" w:type="dxa"/>
            <w:vAlign w:val="bottom"/>
          </w:tcPr>
          <w:p>
            <w:pPr>
              <w:spacing w:after="0"/>
              <w:rPr>
                <w:sz w:val="15"/>
                <w:szCs w:val="15"/>
                <w:color w:val="auto"/>
              </w:rPr>
            </w:pPr>
          </w:p>
        </w:tc>
        <w:tc>
          <w:tcPr>
            <w:tcW w:w="12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43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Investments at Fair Value</w:t>
            </w:r>
          </w:p>
        </w:tc>
        <w:tc>
          <w:tcPr>
            <w:tcW w:w="18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43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Private Portfolio Companies</w:t>
            </w: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Preferred Stock</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131,036,463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131,036,463</w:t>
            </w:r>
          </w:p>
        </w:tc>
        <w:tc>
          <w:tcPr>
            <w:tcW w:w="0" w:type="dxa"/>
            <w:vAlign w:val="bottom"/>
          </w:tcPr>
          <w:p>
            <w:pPr>
              <w:spacing w:after="0"/>
              <w:rPr>
                <w:sz w:val="1"/>
                <w:szCs w:val="1"/>
                <w:color w:val="auto"/>
              </w:rPr>
            </w:pPr>
          </w:p>
        </w:tc>
      </w:tr>
      <w:tr>
        <w:trPr>
          <w:trHeight w:val="220"/>
        </w:trPr>
        <w:tc>
          <w:tcPr>
            <w:tcW w:w="43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Common Stock</w:t>
            </w:r>
          </w:p>
        </w:tc>
        <w:tc>
          <w:tcPr>
            <w:tcW w:w="180" w:type="dxa"/>
            <w:vAlign w:val="bottom"/>
          </w:tcPr>
          <w:p>
            <w:pPr>
              <w:spacing w:after="0"/>
              <w:rPr>
                <w:sz w:val="19"/>
                <w:szCs w:val="19"/>
                <w:color w:val="auto"/>
              </w:rPr>
            </w:pP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23,521,102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23,521,102</w:t>
            </w:r>
          </w:p>
        </w:tc>
        <w:tc>
          <w:tcPr>
            <w:tcW w:w="0" w:type="dxa"/>
            <w:vAlign w:val="bottom"/>
          </w:tcPr>
          <w:p>
            <w:pPr>
              <w:spacing w:after="0"/>
              <w:rPr>
                <w:sz w:val="1"/>
                <w:szCs w:val="1"/>
                <w:color w:val="auto"/>
              </w:rPr>
            </w:pPr>
          </w:p>
        </w:tc>
      </w:tr>
      <w:tr>
        <w:trPr>
          <w:trHeight w:val="220"/>
        </w:trPr>
        <w:tc>
          <w:tcPr>
            <w:tcW w:w="4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Debt Investments</w:t>
            </w:r>
          </w:p>
        </w:tc>
        <w:tc>
          <w:tcPr>
            <w:tcW w:w="18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2,505,099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2,505,099</w:t>
            </w:r>
          </w:p>
        </w:tc>
        <w:tc>
          <w:tcPr>
            <w:tcW w:w="0" w:type="dxa"/>
            <w:vAlign w:val="bottom"/>
          </w:tcPr>
          <w:p>
            <w:pPr>
              <w:spacing w:after="0"/>
              <w:rPr>
                <w:sz w:val="1"/>
                <w:szCs w:val="1"/>
                <w:color w:val="auto"/>
              </w:rPr>
            </w:pPr>
          </w:p>
        </w:tc>
      </w:tr>
      <w:tr>
        <w:trPr>
          <w:trHeight w:val="220"/>
        </w:trPr>
        <w:tc>
          <w:tcPr>
            <w:tcW w:w="43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Options</w:t>
            </w:r>
          </w:p>
        </w:tc>
        <w:tc>
          <w:tcPr>
            <w:tcW w:w="180" w:type="dxa"/>
            <w:vAlign w:val="bottom"/>
          </w:tcPr>
          <w:p>
            <w:pPr>
              <w:spacing w:after="0"/>
              <w:rPr>
                <w:sz w:val="19"/>
                <w:szCs w:val="19"/>
                <w:color w:val="auto"/>
              </w:rPr>
            </w:pP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4,753,567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4,753,567</w:t>
            </w:r>
          </w:p>
        </w:tc>
        <w:tc>
          <w:tcPr>
            <w:tcW w:w="0" w:type="dxa"/>
            <w:vAlign w:val="bottom"/>
          </w:tcPr>
          <w:p>
            <w:pPr>
              <w:spacing w:after="0"/>
              <w:rPr>
                <w:sz w:val="1"/>
                <w:szCs w:val="1"/>
                <w:color w:val="auto"/>
              </w:rPr>
            </w:pPr>
          </w:p>
        </w:tc>
      </w:tr>
      <w:tr>
        <w:trPr>
          <w:trHeight w:val="213"/>
        </w:trPr>
        <w:tc>
          <w:tcPr>
            <w:tcW w:w="4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Private Portfolio Companies</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161,816,231</w:t>
            </w: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161,816,231</w:t>
            </w:r>
          </w:p>
        </w:tc>
        <w:tc>
          <w:tcPr>
            <w:tcW w:w="0" w:type="dxa"/>
            <w:vAlign w:val="bottom"/>
          </w:tcPr>
          <w:p>
            <w:pPr>
              <w:spacing w:after="0"/>
              <w:rPr>
                <w:sz w:val="1"/>
                <w:szCs w:val="1"/>
                <w:color w:val="auto"/>
              </w:rPr>
            </w:pPr>
          </w:p>
        </w:tc>
      </w:tr>
      <w:tr>
        <w:trPr>
          <w:trHeight w:val="200"/>
        </w:trPr>
        <w:tc>
          <w:tcPr>
            <w:tcW w:w="43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Publicly Traded Portfolio Companies</w:t>
            </w:r>
          </w:p>
        </w:tc>
        <w:tc>
          <w:tcPr>
            <w:tcW w:w="1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4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Common Stock</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16,461,972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21,119,071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37,581,043</w:t>
            </w:r>
          </w:p>
        </w:tc>
        <w:tc>
          <w:tcPr>
            <w:tcW w:w="0" w:type="dxa"/>
            <w:vAlign w:val="bottom"/>
          </w:tcPr>
          <w:p>
            <w:pPr>
              <w:spacing w:after="0"/>
              <w:rPr>
                <w:sz w:val="1"/>
                <w:szCs w:val="1"/>
                <w:color w:val="auto"/>
              </w:rPr>
            </w:pPr>
          </w:p>
        </w:tc>
      </w:tr>
      <w:tr>
        <w:trPr>
          <w:trHeight w:val="220"/>
        </w:trPr>
        <w:tc>
          <w:tcPr>
            <w:tcW w:w="43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Options</w:t>
            </w:r>
          </w:p>
        </w:tc>
        <w:tc>
          <w:tcPr>
            <w:tcW w:w="180" w:type="dxa"/>
            <w:vAlign w:val="bottom"/>
          </w:tcPr>
          <w:p>
            <w:pPr>
              <w:spacing w:after="0"/>
              <w:rPr>
                <w:sz w:val="19"/>
                <w:szCs w:val="19"/>
                <w:color w:val="auto"/>
              </w:rPr>
            </w:pP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669,440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669,440</w:t>
            </w:r>
          </w:p>
        </w:tc>
        <w:tc>
          <w:tcPr>
            <w:tcW w:w="0" w:type="dxa"/>
            <w:vAlign w:val="bottom"/>
          </w:tcPr>
          <w:p>
            <w:pPr>
              <w:spacing w:after="0"/>
              <w:rPr>
                <w:sz w:val="1"/>
                <w:szCs w:val="1"/>
                <w:color w:val="auto"/>
              </w:rPr>
            </w:pPr>
          </w:p>
        </w:tc>
      </w:tr>
      <w:tr>
        <w:trPr>
          <w:trHeight w:val="213"/>
        </w:trPr>
        <w:tc>
          <w:tcPr>
            <w:tcW w:w="4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Publicly Traded Portfolio Companies</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16,461,972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21,788,511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38,250,483</w:t>
            </w:r>
          </w:p>
        </w:tc>
        <w:tc>
          <w:tcPr>
            <w:tcW w:w="0" w:type="dxa"/>
            <w:vAlign w:val="bottom"/>
          </w:tcPr>
          <w:p>
            <w:pPr>
              <w:spacing w:after="0"/>
              <w:rPr>
                <w:sz w:val="1"/>
                <w:szCs w:val="1"/>
                <w:color w:val="auto"/>
              </w:rPr>
            </w:pPr>
          </w:p>
        </w:tc>
      </w:tr>
      <w:tr>
        <w:trPr>
          <w:trHeight w:val="213"/>
        </w:trPr>
        <w:tc>
          <w:tcPr>
            <w:tcW w:w="43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Total Investments at Fair Value</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16,461,972</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21,788,511</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161,816,231</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200,066,714</w:t>
            </w: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2"/>
        </w:trPr>
        <w:tc>
          <w:tcPr>
            <w:tcW w:w="4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8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7"/>
              </w:rPr>
              <w:t>As of December 31, 2021</w:t>
            </w: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gridSpan w:val="2"/>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2"/>
        </w:trPr>
        <w:tc>
          <w:tcPr>
            <w:tcW w:w="4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560" w:type="dxa"/>
            <w:vAlign w:val="bottom"/>
            <w:gridSpan w:val="2"/>
          </w:tcPr>
          <w:p>
            <w:pPr>
              <w:jc w:val="center"/>
              <w:ind w:right="300"/>
              <w:spacing w:after="0" w:line="123" w:lineRule="exact"/>
              <w:rPr>
                <w:sz w:val="20"/>
                <w:szCs w:val="20"/>
                <w:color w:val="auto"/>
              </w:rPr>
            </w:pPr>
            <w:r>
              <w:rPr>
                <w:rFonts w:ascii="Times New Roman" w:cs="Times New Roman" w:eastAsia="Times New Roman" w:hAnsi="Times New Roman"/>
                <w:sz w:val="14"/>
                <w:szCs w:val="14"/>
                <w:b w:val="1"/>
                <w:bCs w:val="1"/>
                <w:color w:val="auto"/>
                <w:w w:val="98"/>
              </w:rPr>
              <w:t>Quoted Prices in</w:t>
            </w:r>
          </w:p>
        </w:tc>
        <w:tc>
          <w:tcPr>
            <w:tcW w:w="220" w:type="dxa"/>
            <w:vAlign w:val="bottom"/>
          </w:tcPr>
          <w:p>
            <w:pPr>
              <w:spacing w:after="0"/>
              <w:rPr>
                <w:sz w:val="10"/>
                <w:szCs w:val="10"/>
                <w:color w:val="auto"/>
              </w:rPr>
            </w:pPr>
          </w:p>
        </w:tc>
        <w:tc>
          <w:tcPr>
            <w:tcW w:w="1520" w:type="dxa"/>
            <w:vAlign w:val="bottom"/>
            <w:gridSpan w:val="2"/>
          </w:tcPr>
          <w:p>
            <w:pPr>
              <w:jc w:val="center"/>
              <w:ind w:right="300"/>
              <w:spacing w:after="0" w:line="123" w:lineRule="exact"/>
              <w:rPr>
                <w:sz w:val="20"/>
                <w:szCs w:val="20"/>
                <w:color w:val="auto"/>
              </w:rPr>
            </w:pPr>
            <w:r>
              <w:rPr>
                <w:rFonts w:ascii="Times New Roman" w:cs="Times New Roman" w:eastAsia="Times New Roman" w:hAnsi="Times New Roman"/>
                <w:sz w:val="14"/>
                <w:szCs w:val="14"/>
                <w:b w:val="1"/>
                <w:bCs w:val="1"/>
                <w:color w:val="auto"/>
                <w:w w:val="98"/>
              </w:rPr>
              <w:t>Significant Other</w:t>
            </w:r>
          </w:p>
        </w:tc>
        <w:tc>
          <w:tcPr>
            <w:tcW w:w="260" w:type="dxa"/>
            <w:vAlign w:val="bottom"/>
          </w:tcPr>
          <w:p>
            <w:pPr>
              <w:spacing w:after="0"/>
              <w:rPr>
                <w:sz w:val="10"/>
                <w:szCs w:val="10"/>
                <w:color w:val="auto"/>
              </w:rPr>
            </w:pPr>
          </w:p>
        </w:tc>
        <w:tc>
          <w:tcPr>
            <w:tcW w:w="1500" w:type="dxa"/>
            <w:vAlign w:val="bottom"/>
            <w:gridSpan w:val="2"/>
          </w:tcPr>
          <w:p>
            <w:pPr>
              <w:jc w:val="center"/>
              <w:ind w:right="360"/>
              <w:spacing w:after="0" w:line="123" w:lineRule="exact"/>
              <w:rPr>
                <w:sz w:val="20"/>
                <w:szCs w:val="20"/>
                <w:color w:val="auto"/>
              </w:rPr>
            </w:pPr>
            <w:r>
              <w:rPr>
                <w:rFonts w:ascii="Times New Roman" w:cs="Times New Roman" w:eastAsia="Times New Roman" w:hAnsi="Times New Roman"/>
                <w:sz w:val="14"/>
                <w:szCs w:val="14"/>
                <w:b w:val="1"/>
                <w:bCs w:val="1"/>
                <w:color w:val="auto"/>
                <w:w w:val="95"/>
              </w:rPr>
              <w:t>Significant</w:t>
            </w:r>
          </w:p>
        </w:tc>
        <w:tc>
          <w:tcPr>
            <w:tcW w:w="3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4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60" w:type="dxa"/>
            <w:vAlign w:val="bottom"/>
            <w:gridSpan w:val="2"/>
          </w:tcPr>
          <w:p>
            <w:pPr>
              <w:jc w:val="center"/>
              <w:ind w:right="280"/>
              <w:spacing w:after="0" w:line="131" w:lineRule="exact"/>
              <w:rPr>
                <w:sz w:val="20"/>
                <w:szCs w:val="20"/>
                <w:color w:val="auto"/>
              </w:rPr>
            </w:pPr>
            <w:r>
              <w:rPr>
                <w:rFonts w:ascii="Times New Roman" w:cs="Times New Roman" w:eastAsia="Times New Roman" w:hAnsi="Times New Roman"/>
                <w:sz w:val="14"/>
                <w:szCs w:val="14"/>
                <w:b w:val="1"/>
                <w:bCs w:val="1"/>
                <w:color w:val="auto"/>
                <w:w w:val="98"/>
              </w:rPr>
              <w:t>Active Markets for</w:t>
            </w:r>
          </w:p>
        </w:tc>
        <w:tc>
          <w:tcPr>
            <w:tcW w:w="220" w:type="dxa"/>
            <w:vAlign w:val="bottom"/>
          </w:tcPr>
          <w:p>
            <w:pPr>
              <w:spacing w:after="0"/>
              <w:rPr>
                <w:sz w:val="11"/>
                <w:szCs w:val="11"/>
                <w:color w:val="auto"/>
              </w:rPr>
            </w:pPr>
          </w:p>
        </w:tc>
        <w:tc>
          <w:tcPr>
            <w:tcW w:w="1520" w:type="dxa"/>
            <w:vAlign w:val="bottom"/>
            <w:gridSpan w:val="2"/>
          </w:tcPr>
          <w:p>
            <w:pPr>
              <w:jc w:val="center"/>
              <w:ind w:right="320"/>
              <w:spacing w:after="0" w:line="131" w:lineRule="exact"/>
              <w:rPr>
                <w:sz w:val="20"/>
                <w:szCs w:val="20"/>
                <w:color w:val="auto"/>
              </w:rPr>
            </w:pPr>
            <w:r>
              <w:rPr>
                <w:rFonts w:ascii="Times New Roman" w:cs="Times New Roman" w:eastAsia="Times New Roman" w:hAnsi="Times New Roman"/>
                <w:sz w:val="14"/>
                <w:szCs w:val="14"/>
                <w:b w:val="1"/>
                <w:bCs w:val="1"/>
                <w:color w:val="auto"/>
                <w:w w:val="99"/>
              </w:rPr>
              <w:t>Observable</w:t>
            </w:r>
          </w:p>
        </w:tc>
        <w:tc>
          <w:tcPr>
            <w:tcW w:w="260" w:type="dxa"/>
            <w:vAlign w:val="bottom"/>
          </w:tcPr>
          <w:p>
            <w:pPr>
              <w:spacing w:after="0"/>
              <w:rPr>
                <w:sz w:val="11"/>
                <w:szCs w:val="11"/>
                <w:color w:val="auto"/>
              </w:rPr>
            </w:pPr>
          </w:p>
        </w:tc>
        <w:tc>
          <w:tcPr>
            <w:tcW w:w="1500" w:type="dxa"/>
            <w:vAlign w:val="bottom"/>
            <w:gridSpan w:val="2"/>
          </w:tcPr>
          <w:p>
            <w:pPr>
              <w:jc w:val="center"/>
              <w:ind w:right="360"/>
              <w:spacing w:after="0" w:line="131" w:lineRule="exact"/>
              <w:rPr>
                <w:sz w:val="20"/>
                <w:szCs w:val="20"/>
                <w:color w:val="auto"/>
              </w:rPr>
            </w:pPr>
            <w:r>
              <w:rPr>
                <w:rFonts w:ascii="Times New Roman" w:cs="Times New Roman" w:eastAsia="Times New Roman" w:hAnsi="Times New Roman"/>
                <w:sz w:val="14"/>
                <w:szCs w:val="14"/>
                <w:b w:val="1"/>
                <w:bCs w:val="1"/>
                <w:color w:val="auto"/>
                <w:w w:val="99"/>
              </w:rPr>
              <w:t>Unobservable</w:t>
            </w:r>
          </w:p>
        </w:tc>
        <w:tc>
          <w:tcPr>
            <w:tcW w:w="3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4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60" w:type="dxa"/>
            <w:vAlign w:val="bottom"/>
            <w:gridSpan w:val="2"/>
          </w:tcPr>
          <w:p>
            <w:pPr>
              <w:jc w:val="center"/>
              <w:ind w:right="280"/>
              <w:spacing w:after="0" w:line="143" w:lineRule="exact"/>
              <w:rPr>
                <w:sz w:val="20"/>
                <w:szCs w:val="20"/>
                <w:color w:val="auto"/>
              </w:rPr>
            </w:pPr>
            <w:r>
              <w:rPr>
                <w:rFonts w:ascii="Times New Roman" w:cs="Times New Roman" w:eastAsia="Times New Roman" w:hAnsi="Times New Roman"/>
                <w:sz w:val="14"/>
                <w:szCs w:val="14"/>
                <w:b w:val="1"/>
                <w:bCs w:val="1"/>
                <w:color w:val="auto"/>
                <w:w w:val="97"/>
              </w:rPr>
              <w:t>Identical Securities</w:t>
            </w:r>
          </w:p>
        </w:tc>
        <w:tc>
          <w:tcPr>
            <w:tcW w:w="220" w:type="dxa"/>
            <w:vAlign w:val="bottom"/>
          </w:tcPr>
          <w:p>
            <w:pPr>
              <w:spacing w:after="0"/>
              <w:rPr>
                <w:sz w:val="12"/>
                <w:szCs w:val="12"/>
                <w:color w:val="auto"/>
              </w:rPr>
            </w:pPr>
          </w:p>
        </w:tc>
        <w:tc>
          <w:tcPr>
            <w:tcW w:w="1520" w:type="dxa"/>
            <w:vAlign w:val="bottom"/>
            <w:gridSpan w:val="2"/>
          </w:tcPr>
          <w:p>
            <w:pPr>
              <w:jc w:val="center"/>
              <w:ind w:right="300"/>
              <w:spacing w:after="0" w:line="143" w:lineRule="exact"/>
              <w:rPr>
                <w:sz w:val="20"/>
                <w:szCs w:val="20"/>
                <w:color w:val="auto"/>
              </w:rPr>
            </w:pPr>
            <w:r>
              <w:rPr>
                <w:rFonts w:ascii="Times New Roman" w:cs="Times New Roman" w:eastAsia="Times New Roman" w:hAnsi="Times New Roman"/>
                <w:sz w:val="14"/>
                <w:szCs w:val="14"/>
                <w:b w:val="1"/>
                <w:bCs w:val="1"/>
                <w:color w:val="auto"/>
                <w:w w:val="97"/>
              </w:rPr>
              <w:t>Inputs</w:t>
            </w:r>
          </w:p>
        </w:tc>
        <w:tc>
          <w:tcPr>
            <w:tcW w:w="260" w:type="dxa"/>
            <w:vAlign w:val="bottom"/>
          </w:tcPr>
          <w:p>
            <w:pPr>
              <w:spacing w:after="0"/>
              <w:rPr>
                <w:sz w:val="12"/>
                <w:szCs w:val="12"/>
                <w:color w:val="auto"/>
              </w:rPr>
            </w:pPr>
          </w:p>
        </w:tc>
        <w:tc>
          <w:tcPr>
            <w:tcW w:w="1500" w:type="dxa"/>
            <w:vAlign w:val="bottom"/>
            <w:gridSpan w:val="2"/>
          </w:tcPr>
          <w:p>
            <w:pPr>
              <w:jc w:val="center"/>
              <w:ind w:right="360"/>
              <w:spacing w:after="0" w:line="143" w:lineRule="exact"/>
              <w:rPr>
                <w:sz w:val="20"/>
                <w:szCs w:val="20"/>
                <w:color w:val="auto"/>
              </w:rPr>
            </w:pPr>
            <w:r>
              <w:rPr>
                <w:rFonts w:ascii="Times New Roman" w:cs="Times New Roman" w:eastAsia="Times New Roman" w:hAnsi="Times New Roman"/>
                <w:sz w:val="14"/>
                <w:szCs w:val="14"/>
                <w:b w:val="1"/>
                <w:bCs w:val="1"/>
                <w:color w:val="auto"/>
                <w:w w:val="97"/>
              </w:rPr>
              <w:t>Inputs</w:t>
            </w:r>
          </w:p>
        </w:tc>
        <w:tc>
          <w:tcPr>
            <w:tcW w:w="380" w:type="dxa"/>
            <w:vAlign w:val="bottom"/>
          </w:tcPr>
          <w:p>
            <w:pPr>
              <w:spacing w:after="0"/>
              <w:rPr>
                <w:sz w:val="12"/>
                <w:szCs w:val="12"/>
                <w:color w:val="auto"/>
              </w:rPr>
            </w:pPr>
          </w:p>
        </w:tc>
        <w:tc>
          <w:tcPr>
            <w:tcW w:w="1260" w:type="dxa"/>
            <w:vAlign w:val="bottom"/>
            <w:vMerge w:val="restart"/>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3"/>
        </w:trPr>
        <w:tc>
          <w:tcPr>
            <w:tcW w:w="4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(Level 1)</w:t>
            </w:r>
          </w:p>
        </w:tc>
        <w:tc>
          <w:tcPr>
            <w:tcW w:w="220" w:type="dxa"/>
            <w:vAlign w:val="bottom"/>
          </w:tcPr>
          <w:p>
            <w:pPr>
              <w:spacing w:after="0"/>
              <w:rPr>
                <w:sz w:val="15"/>
                <w:szCs w:val="15"/>
                <w:color w:val="auto"/>
              </w:rPr>
            </w:pPr>
          </w:p>
        </w:tc>
        <w:tc>
          <w:tcPr>
            <w:tcW w:w="15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8"/>
              </w:rPr>
              <w:t>(Level 2)</w:t>
            </w:r>
          </w:p>
        </w:tc>
        <w:tc>
          <w:tcPr>
            <w:tcW w:w="260" w:type="dxa"/>
            <w:vAlign w:val="bottom"/>
          </w:tcPr>
          <w:p>
            <w:pPr>
              <w:spacing w:after="0"/>
              <w:rPr>
                <w:sz w:val="15"/>
                <w:szCs w:val="15"/>
                <w:color w:val="auto"/>
              </w:rPr>
            </w:pPr>
          </w:p>
        </w:tc>
        <w:tc>
          <w:tcPr>
            <w:tcW w:w="15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5"/>
              </w:rPr>
              <w:t>(Level 3)</w:t>
            </w:r>
          </w:p>
        </w:tc>
        <w:tc>
          <w:tcPr>
            <w:tcW w:w="380" w:type="dxa"/>
            <w:vAlign w:val="bottom"/>
          </w:tcPr>
          <w:p>
            <w:pPr>
              <w:spacing w:after="0"/>
              <w:rPr>
                <w:sz w:val="15"/>
                <w:szCs w:val="15"/>
                <w:color w:val="auto"/>
              </w:rPr>
            </w:pPr>
          </w:p>
        </w:tc>
        <w:tc>
          <w:tcPr>
            <w:tcW w:w="12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43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Investments at Fair Value</w:t>
            </w:r>
          </w:p>
        </w:tc>
        <w:tc>
          <w:tcPr>
            <w:tcW w:w="18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43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Private Portfolio Companies</w:t>
            </w: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Preferred Stock</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163,801,798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163,801,798</w:t>
            </w:r>
          </w:p>
        </w:tc>
        <w:tc>
          <w:tcPr>
            <w:tcW w:w="0" w:type="dxa"/>
            <w:vAlign w:val="bottom"/>
          </w:tcPr>
          <w:p>
            <w:pPr>
              <w:spacing w:after="0"/>
              <w:rPr>
                <w:sz w:val="1"/>
                <w:szCs w:val="1"/>
                <w:color w:val="auto"/>
              </w:rPr>
            </w:pPr>
          </w:p>
        </w:tc>
      </w:tr>
      <w:tr>
        <w:trPr>
          <w:trHeight w:val="220"/>
        </w:trPr>
        <w:tc>
          <w:tcPr>
            <w:tcW w:w="43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Common Stock</w:t>
            </w:r>
          </w:p>
        </w:tc>
        <w:tc>
          <w:tcPr>
            <w:tcW w:w="180" w:type="dxa"/>
            <w:vAlign w:val="bottom"/>
          </w:tcPr>
          <w:p>
            <w:pPr>
              <w:spacing w:after="0"/>
              <w:rPr>
                <w:sz w:val="19"/>
                <w:szCs w:val="19"/>
                <w:color w:val="auto"/>
              </w:rPr>
            </w:pP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42,860,156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42,860,156</w:t>
            </w:r>
          </w:p>
        </w:tc>
        <w:tc>
          <w:tcPr>
            <w:tcW w:w="0" w:type="dxa"/>
            <w:vAlign w:val="bottom"/>
          </w:tcPr>
          <w:p>
            <w:pPr>
              <w:spacing w:after="0"/>
              <w:rPr>
                <w:sz w:val="1"/>
                <w:szCs w:val="1"/>
                <w:color w:val="auto"/>
              </w:rPr>
            </w:pPr>
          </w:p>
        </w:tc>
      </w:tr>
      <w:tr>
        <w:trPr>
          <w:trHeight w:val="220"/>
        </w:trPr>
        <w:tc>
          <w:tcPr>
            <w:tcW w:w="4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Debt Investments</w:t>
            </w:r>
          </w:p>
        </w:tc>
        <w:tc>
          <w:tcPr>
            <w:tcW w:w="18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3,011,438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3,011,438</w:t>
            </w:r>
          </w:p>
        </w:tc>
        <w:tc>
          <w:tcPr>
            <w:tcW w:w="0" w:type="dxa"/>
            <w:vAlign w:val="bottom"/>
          </w:tcPr>
          <w:p>
            <w:pPr>
              <w:spacing w:after="0"/>
              <w:rPr>
                <w:sz w:val="1"/>
                <w:szCs w:val="1"/>
                <w:color w:val="auto"/>
              </w:rPr>
            </w:pPr>
          </w:p>
        </w:tc>
      </w:tr>
      <w:tr>
        <w:trPr>
          <w:trHeight w:val="220"/>
        </w:trPr>
        <w:tc>
          <w:tcPr>
            <w:tcW w:w="43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Options</w:t>
            </w:r>
          </w:p>
        </w:tc>
        <w:tc>
          <w:tcPr>
            <w:tcW w:w="180" w:type="dxa"/>
            <w:vAlign w:val="bottom"/>
          </w:tcPr>
          <w:p>
            <w:pPr>
              <w:spacing w:after="0"/>
              <w:rPr>
                <w:sz w:val="19"/>
                <w:szCs w:val="19"/>
                <w:color w:val="auto"/>
              </w:rPr>
            </w:pP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4,959,112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4,959,112</w:t>
            </w:r>
          </w:p>
        </w:tc>
        <w:tc>
          <w:tcPr>
            <w:tcW w:w="0" w:type="dxa"/>
            <w:vAlign w:val="bottom"/>
          </w:tcPr>
          <w:p>
            <w:pPr>
              <w:spacing w:after="0"/>
              <w:rPr>
                <w:sz w:val="1"/>
                <w:szCs w:val="1"/>
                <w:color w:val="auto"/>
              </w:rPr>
            </w:pPr>
          </w:p>
        </w:tc>
      </w:tr>
      <w:tr>
        <w:trPr>
          <w:trHeight w:val="213"/>
        </w:trPr>
        <w:tc>
          <w:tcPr>
            <w:tcW w:w="4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Private Portfolio Companies</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214,632,504</w:t>
            </w: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214,632,504</w:t>
            </w:r>
          </w:p>
        </w:tc>
        <w:tc>
          <w:tcPr>
            <w:tcW w:w="0" w:type="dxa"/>
            <w:vAlign w:val="bottom"/>
          </w:tcPr>
          <w:p>
            <w:pPr>
              <w:spacing w:after="0"/>
              <w:rPr>
                <w:sz w:val="1"/>
                <w:szCs w:val="1"/>
                <w:color w:val="auto"/>
              </w:rPr>
            </w:pPr>
          </w:p>
        </w:tc>
      </w:tr>
      <w:tr>
        <w:trPr>
          <w:trHeight w:val="200"/>
        </w:trPr>
        <w:tc>
          <w:tcPr>
            <w:tcW w:w="43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Publicly Traded Portfolio Companies</w:t>
            </w:r>
          </w:p>
        </w:tc>
        <w:tc>
          <w:tcPr>
            <w:tcW w:w="1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4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Common Stock</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16,970,411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27,602,814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44,573,225</w:t>
            </w:r>
          </w:p>
        </w:tc>
        <w:tc>
          <w:tcPr>
            <w:tcW w:w="0" w:type="dxa"/>
            <w:vAlign w:val="bottom"/>
          </w:tcPr>
          <w:p>
            <w:pPr>
              <w:spacing w:after="0"/>
              <w:rPr>
                <w:sz w:val="1"/>
                <w:szCs w:val="1"/>
                <w:color w:val="auto"/>
              </w:rPr>
            </w:pPr>
          </w:p>
        </w:tc>
      </w:tr>
      <w:tr>
        <w:trPr>
          <w:trHeight w:val="220"/>
        </w:trPr>
        <w:tc>
          <w:tcPr>
            <w:tcW w:w="43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Options</w:t>
            </w:r>
          </w:p>
        </w:tc>
        <w:tc>
          <w:tcPr>
            <w:tcW w:w="180" w:type="dxa"/>
            <w:vAlign w:val="bottom"/>
          </w:tcPr>
          <w:p>
            <w:pPr>
              <w:spacing w:after="0"/>
              <w:rPr>
                <w:sz w:val="19"/>
                <w:szCs w:val="19"/>
                <w:color w:val="auto"/>
              </w:rPr>
            </w:pP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930,524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930,524</w:t>
            </w:r>
          </w:p>
        </w:tc>
        <w:tc>
          <w:tcPr>
            <w:tcW w:w="0" w:type="dxa"/>
            <w:vAlign w:val="bottom"/>
          </w:tcPr>
          <w:p>
            <w:pPr>
              <w:spacing w:after="0"/>
              <w:rPr>
                <w:sz w:val="1"/>
                <w:szCs w:val="1"/>
                <w:color w:val="auto"/>
              </w:rPr>
            </w:pPr>
          </w:p>
        </w:tc>
      </w:tr>
      <w:tr>
        <w:trPr>
          <w:trHeight w:val="213"/>
        </w:trPr>
        <w:tc>
          <w:tcPr>
            <w:tcW w:w="4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Publicly Traded Portfolio Companies</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16,970,411</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28,533,338</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45,503,749</w:t>
            </w:r>
          </w:p>
        </w:tc>
        <w:tc>
          <w:tcPr>
            <w:tcW w:w="0" w:type="dxa"/>
            <w:vAlign w:val="bottom"/>
          </w:tcPr>
          <w:p>
            <w:pPr>
              <w:spacing w:after="0"/>
              <w:rPr>
                <w:sz w:val="1"/>
                <w:szCs w:val="1"/>
                <w:color w:val="auto"/>
              </w:rPr>
            </w:pPr>
          </w:p>
        </w:tc>
      </w:tr>
      <w:tr>
        <w:trPr>
          <w:trHeight w:val="213"/>
        </w:trPr>
        <w:tc>
          <w:tcPr>
            <w:tcW w:w="43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Total Investments at Fair Value</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16,970,411</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28,533,338</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214,632,504</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260,136,253</w:t>
            </w: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6"/>
        </w:trPr>
        <w:tc>
          <w:tcPr>
            <w:tcW w:w="4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jc w:val="right"/>
              <w:ind w:right="179"/>
              <w:spacing w:after="0"/>
              <w:rPr>
                <w:sz w:val="20"/>
                <w:szCs w:val="20"/>
                <w:color w:val="auto"/>
              </w:rPr>
            </w:pPr>
            <w:r>
              <w:rPr>
                <w:rFonts w:ascii="Times New Roman" w:cs="Times New Roman" w:eastAsia="Times New Roman" w:hAnsi="Times New Roman"/>
                <w:sz w:val="17"/>
                <w:szCs w:val="17"/>
                <w:color w:val="auto"/>
              </w:rPr>
              <w:t>29</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4906010</wp:posOffset>
            </wp:positionH>
            <wp:positionV relativeFrom="paragraph">
              <wp:posOffset>-3909695</wp:posOffset>
            </wp:positionV>
            <wp:extent cx="6540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5405" cy="8255"/>
                    </a:xfrm>
                    <a:prstGeom prst="rect">
                      <a:avLst/>
                    </a:prstGeom>
                    <a:noFill/>
                  </pic:spPr>
                </pic:pic>
              </a:graphicData>
            </a:graphic>
          </wp:anchor>
        </w:drawing>
        <w:drawing>
          <wp:anchor simplePos="0" relativeHeight="251657728" behindDoc="1" locked="0" layoutInCell="0" allowOverlap="1">
            <wp:simplePos x="0" y="0"/>
            <wp:positionH relativeFrom="column">
              <wp:posOffset>3797300</wp:posOffset>
            </wp:positionH>
            <wp:positionV relativeFrom="paragraph">
              <wp:posOffset>-3909695</wp:posOffset>
            </wp:positionV>
            <wp:extent cx="6540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5405" cy="8255"/>
                    </a:xfrm>
                    <a:prstGeom prst="rect">
                      <a:avLst/>
                    </a:prstGeom>
                    <a:noFill/>
                  </pic:spPr>
                </pic:pic>
              </a:graphicData>
            </a:graphic>
          </wp:anchor>
        </w:drawing>
        <w:drawing>
          <wp:anchor simplePos="0" relativeHeight="251657728" behindDoc="1" locked="0" layoutInCell="0" allowOverlap="1">
            <wp:simplePos x="0" y="0"/>
            <wp:positionH relativeFrom="column">
              <wp:posOffset>4906010</wp:posOffset>
            </wp:positionH>
            <wp:positionV relativeFrom="paragraph">
              <wp:posOffset>-1437005</wp:posOffset>
            </wp:positionV>
            <wp:extent cx="6540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5405" cy="8255"/>
                    </a:xfrm>
                    <a:prstGeom prst="rect">
                      <a:avLst/>
                    </a:prstGeom>
                    <a:noFill/>
                  </pic:spPr>
                </pic:pic>
              </a:graphicData>
            </a:graphic>
          </wp:anchor>
        </w:drawing>
        <w:drawing>
          <wp:anchor simplePos="0" relativeHeight="251657728" behindDoc="1" locked="0" layoutInCell="0" allowOverlap="1">
            <wp:simplePos x="0" y="0"/>
            <wp:positionH relativeFrom="column">
              <wp:posOffset>3797300</wp:posOffset>
            </wp:positionH>
            <wp:positionV relativeFrom="paragraph">
              <wp:posOffset>-1437005</wp:posOffset>
            </wp:positionV>
            <wp:extent cx="6540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5405" cy="825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SURO CAPITAL CORP. AND SUBSIDIARIES</w:t>
      </w:r>
    </w:p>
    <w:p>
      <w:pPr>
        <w:spacing w:after="0" w:line="24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June 30, 2022</w:t>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Significant Unobservable Inputs for Level 3 Assets and Liabilities</w:t>
      </w:r>
    </w:p>
    <w:p>
      <w:pPr>
        <w:spacing w:after="0" w:line="246" w:lineRule="exact"/>
        <w:rPr>
          <w:sz w:val="20"/>
          <w:szCs w:val="20"/>
          <w:color w:val="auto"/>
        </w:rPr>
      </w:pPr>
    </w:p>
    <w:p>
      <w:pPr>
        <w:jc w:val="both"/>
        <w:ind w:right="20" w:firstLine="349"/>
        <w:spacing w:after="0" w:line="257" w:lineRule="auto"/>
        <w:rPr>
          <w:sz w:val="20"/>
          <w:szCs w:val="20"/>
          <w:color w:val="auto"/>
        </w:rPr>
      </w:pPr>
      <w:r>
        <w:rPr>
          <w:rFonts w:ascii="Times New Roman" w:cs="Times New Roman" w:eastAsia="Times New Roman" w:hAnsi="Times New Roman"/>
          <w:sz w:val="17"/>
          <w:szCs w:val="17"/>
          <w:color w:val="auto"/>
        </w:rPr>
        <w:t xml:space="preserve">In accordance with FASB ASC 820, </w:t>
      </w:r>
      <w:r>
        <w:rPr>
          <w:rFonts w:ascii="Times New Roman" w:cs="Times New Roman" w:eastAsia="Times New Roman" w:hAnsi="Times New Roman"/>
          <w:sz w:val="17"/>
          <w:szCs w:val="17"/>
          <w:i w:val="1"/>
          <w:iCs w:val="1"/>
          <w:color w:val="auto"/>
        </w:rPr>
        <w:t>Fair Value Measurement</w:t>
      </w:r>
      <w:r>
        <w:rPr>
          <w:rFonts w:ascii="Times New Roman" w:cs="Times New Roman" w:eastAsia="Times New Roman" w:hAnsi="Times New Roman"/>
          <w:sz w:val="17"/>
          <w:szCs w:val="17"/>
          <w:color w:val="auto"/>
        </w:rPr>
        <w:t>, the tables below provide quantitative information about the Company’s fair value measurements of its Level 3 assets as of June 30, 2022 and December 31, 2021. In addition to the techniques and inputs noted in the tables below, according to the Company’s valuation policy, the Company may also use other valuation techniques and methodologies when determining the Company’s fair value measurements. The tables below are not intended to be all-inclusive, but rather provide information on the significant Level 3 inputs as they relate to the Company’s fair value measurements. To the extent an unobservable input is not reflected in the tables below, such input is deemed insignificant with respect to the Company’s Level 3 fair value measurements as of June 30, 2022 and December 31, 2021. Significant changes in the inputs in isolation would result in a significant change in the fair value measurement, depending on the input and the materiality of the investment. Refer to “Note 2—Significant Accounting Policies—</w:t>
      </w:r>
      <w:r>
        <w:rPr>
          <w:rFonts w:ascii="Times New Roman" w:cs="Times New Roman" w:eastAsia="Times New Roman" w:hAnsi="Times New Roman"/>
          <w:sz w:val="17"/>
          <w:szCs w:val="17"/>
          <w:i w:val="1"/>
          <w:iCs w:val="1"/>
          <w:color w:val="auto"/>
        </w:rPr>
        <w:t>Investments at Fair Value</w:t>
      </w:r>
      <w:r>
        <w:rPr>
          <w:rFonts w:ascii="Times New Roman" w:cs="Times New Roman" w:eastAsia="Times New Roman" w:hAnsi="Times New Roman"/>
          <w:sz w:val="17"/>
          <w:szCs w:val="17"/>
          <w:color w:val="auto"/>
        </w:rPr>
        <w:t>” for more detail.</w:t>
      </w:r>
    </w:p>
    <w:p>
      <w:pPr>
        <w:spacing w:after="0" w:line="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As of June 30, 2022</w:t>
      </w:r>
    </w:p>
    <w:p>
      <w:pPr>
        <w:spacing w:after="0" w:line="108" w:lineRule="exact"/>
        <w:rPr>
          <w:sz w:val="20"/>
          <w:szCs w:val="20"/>
          <w:color w:val="auto"/>
        </w:rPr>
      </w:pPr>
    </w:p>
    <w:tbl>
      <w:tblPr>
        <w:tblLayout w:type="fixed"/>
        <w:tblInd w:w="10" w:type="dxa"/>
        <w:tblCellMar>
          <w:top w:w="0" w:type="dxa"/>
          <w:left w:w="0" w:type="dxa"/>
          <w:bottom w:w="0" w:type="dxa"/>
          <w:right w:w="0" w:type="dxa"/>
        </w:tblCellMar>
      </w:tblPr>
      <w:tr>
        <w:trPr>
          <w:trHeight w:val="142"/>
        </w:trPr>
        <w:tc>
          <w:tcPr>
            <w:tcW w:w="372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Asset</w:t>
            </w:r>
          </w:p>
        </w:tc>
        <w:tc>
          <w:tcPr>
            <w:tcW w:w="1880" w:type="dxa"/>
            <w:vAlign w:val="bottom"/>
            <w:tcBorders>
              <w:top w:val="single" w:sz="8" w:color="auto"/>
              <w:right w:val="single" w:sz="8" w:color="auto"/>
            </w:tcBorders>
            <w:vMerge w:val="restart"/>
          </w:tcPr>
          <w:p>
            <w:pPr>
              <w:ind w:left="6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880" w:type="dxa"/>
            <w:vAlign w:val="bottom"/>
            <w:tcBorders>
              <w:top w:val="single" w:sz="8" w:color="auto"/>
              <w:right w:val="single" w:sz="8" w:color="auto"/>
            </w:tcBorders>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w w:val="98"/>
              </w:rPr>
              <w:t>Valuation</w:t>
            </w:r>
          </w:p>
        </w:tc>
        <w:tc>
          <w:tcPr>
            <w:tcW w:w="190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Unobservable Inputs</w:t>
            </w:r>
            <w:r>
              <w:rPr>
                <w:rFonts w:ascii="Times New Roman" w:cs="Times New Roman" w:eastAsia="Times New Roman" w:hAnsi="Times New Roman"/>
                <w:sz w:val="17"/>
                <w:szCs w:val="17"/>
                <w:b w:val="1"/>
                <w:bCs w:val="1"/>
                <w:color w:val="auto"/>
                <w:w w:val="95"/>
                <w:vertAlign w:val="superscript"/>
              </w:rPr>
              <w:t>(2)</w:t>
            </w:r>
          </w:p>
        </w:tc>
        <w:tc>
          <w:tcPr>
            <w:tcW w:w="1460" w:type="dxa"/>
            <w:vAlign w:val="bottom"/>
            <w:tcBorders>
              <w:top w:val="single" w:sz="8" w:color="auto"/>
            </w:tcBorders>
            <w:vMerge w:val="restart"/>
          </w:tcPr>
          <w:p>
            <w:pPr>
              <w:ind w:left="740"/>
              <w:spacing w:after="0"/>
              <w:rPr>
                <w:sz w:val="20"/>
                <w:szCs w:val="20"/>
                <w:color w:val="auto"/>
              </w:rPr>
            </w:pPr>
            <w:r>
              <w:rPr>
                <w:rFonts w:ascii="Times New Roman" w:cs="Times New Roman" w:eastAsia="Times New Roman" w:hAnsi="Times New Roman"/>
                <w:sz w:val="14"/>
                <w:szCs w:val="14"/>
                <w:b w:val="1"/>
                <w:bCs w:val="1"/>
                <w:color w:val="auto"/>
              </w:rPr>
              <w:t>Range</w:t>
            </w:r>
          </w:p>
        </w:tc>
        <w:tc>
          <w:tcPr>
            <w:tcW w:w="420" w:type="dxa"/>
            <w:vAlign w:val="bottom"/>
            <w:tcBorders>
              <w:top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3720" w:type="dxa"/>
            <w:vAlign w:val="bottom"/>
            <w:tcBorders>
              <w:left w:val="single" w:sz="8" w:color="auto"/>
              <w:right w:val="single" w:sz="8" w:color="auto"/>
            </w:tcBorders>
            <w:vMerge w:val="continue"/>
          </w:tcPr>
          <w:p>
            <w:pPr>
              <w:spacing w:after="0"/>
              <w:rPr>
                <w:sz w:val="11"/>
                <w:szCs w:val="11"/>
                <w:color w:val="auto"/>
              </w:rPr>
            </w:pPr>
          </w:p>
        </w:tc>
        <w:tc>
          <w:tcPr>
            <w:tcW w:w="1880" w:type="dxa"/>
            <w:vAlign w:val="bottom"/>
            <w:tcBorders>
              <w:right w:val="single" w:sz="8" w:color="auto"/>
            </w:tcBorders>
            <w:vMerge w:val="continue"/>
          </w:tcPr>
          <w:p>
            <w:pPr>
              <w:spacing w:after="0"/>
              <w:rPr>
                <w:sz w:val="11"/>
                <w:szCs w:val="11"/>
                <w:color w:val="auto"/>
              </w:rPr>
            </w:pPr>
          </w:p>
        </w:tc>
        <w:tc>
          <w:tcPr>
            <w:tcW w:w="1880" w:type="dxa"/>
            <w:vAlign w:val="bottom"/>
            <w:tcBorders>
              <w:right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w w:val="97"/>
              </w:rPr>
              <w:t>Approach/</w:t>
            </w:r>
          </w:p>
        </w:tc>
        <w:tc>
          <w:tcPr>
            <w:tcW w:w="1900" w:type="dxa"/>
            <w:vAlign w:val="bottom"/>
            <w:tcBorders>
              <w:right w:val="single" w:sz="8" w:color="auto"/>
            </w:tcBorders>
            <w:vMerge w:val="continue"/>
          </w:tcPr>
          <w:p>
            <w:pPr>
              <w:spacing w:after="0"/>
              <w:rPr>
                <w:sz w:val="11"/>
                <w:szCs w:val="11"/>
                <w:color w:val="auto"/>
              </w:rPr>
            </w:pPr>
          </w:p>
        </w:tc>
        <w:tc>
          <w:tcPr>
            <w:tcW w:w="1460" w:type="dxa"/>
            <w:vAlign w:val="bottom"/>
            <w:vMerge w:val="continue"/>
          </w:tcPr>
          <w:p>
            <w:pPr>
              <w:spacing w:after="0"/>
              <w:rPr>
                <w:sz w:val="11"/>
                <w:szCs w:val="11"/>
                <w:color w:val="auto"/>
              </w:rPr>
            </w:pPr>
          </w:p>
        </w:tc>
        <w:tc>
          <w:tcPr>
            <w:tcW w:w="420" w:type="dxa"/>
            <w:vAlign w:val="bottom"/>
            <w:tcBorders>
              <w:right w:val="single" w:sz="8" w:color="auto"/>
            </w:tcBorders>
          </w:tcPr>
          <w:p>
            <w:pPr>
              <w:jc w:val="right"/>
              <w:ind w:right="275"/>
              <w:spacing w:after="0"/>
              <w:rPr>
                <w:sz w:val="20"/>
                <w:szCs w:val="20"/>
                <w:color w:val="auto"/>
              </w:rPr>
            </w:pPr>
            <w:r>
              <w:rPr>
                <w:rFonts w:ascii="Times New Roman" w:cs="Times New Roman" w:eastAsia="Times New Roman" w:hAnsi="Times New Roman"/>
                <w:sz w:val="9"/>
                <w:szCs w:val="9"/>
                <w:b w:val="1"/>
                <w:bCs w:val="1"/>
                <w:color w:val="auto"/>
                <w:w w:val="75"/>
              </w:rPr>
              <w:t>(3)</w:t>
            </w:r>
          </w:p>
        </w:tc>
        <w:tc>
          <w:tcPr>
            <w:tcW w:w="0" w:type="dxa"/>
            <w:vAlign w:val="bottom"/>
          </w:tcPr>
          <w:p>
            <w:pPr>
              <w:spacing w:after="0"/>
              <w:rPr>
                <w:sz w:val="1"/>
                <w:szCs w:val="1"/>
                <w:color w:val="auto"/>
              </w:rPr>
            </w:pPr>
          </w:p>
        </w:tc>
      </w:tr>
      <w:tr>
        <w:trPr>
          <w:trHeight w:val="207"/>
        </w:trPr>
        <w:tc>
          <w:tcPr>
            <w:tcW w:w="3720" w:type="dxa"/>
            <w:vAlign w:val="bottom"/>
            <w:tcBorders>
              <w:left w:val="single" w:sz="8" w:color="auto"/>
              <w:bottom w:val="single" w:sz="8" w:color="auto"/>
              <w:right w:val="single" w:sz="8" w:color="auto"/>
            </w:tcBorders>
          </w:tcPr>
          <w:p>
            <w:pPr>
              <w:spacing w:after="0"/>
              <w:rPr>
                <w:sz w:val="17"/>
                <w:szCs w:val="17"/>
                <w:color w:val="auto"/>
              </w:rPr>
            </w:pPr>
          </w:p>
        </w:tc>
        <w:tc>
          <w:tcPr>
            <w:tcW w:w="1880" w:type="dxa"/>
            <w:vAlign w:val="bottom"/>
            <w:tcBorders>
              <w:bottom w:val="single" w:sz="8" w:color="auto"/>
              <w:right w:val="single" w:sz="8" w:color="auto"/>
            </w:tcBorders>
          </w:tcPr>
          <w:p>
            <w:pPr>
              <w:spacing w:after="0"/>
              <w:rPr>
                <w:sz w:val="17"/>
                <w:szCs w:val="17"/>
                <w:color w:val="auto"/>
              </w:rPr>
            </w:pPr>
          </w:p>
        </w:tc>
        <w:tc>
          <w:tcPr>
            <w:tcW w:w="1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1"/>
              </w:rPr>
              <w:t>Technique</w:t>
            </w:r>
            <w:r>
              <w:rPr>
                <w:rFonts w:ascii="Times New Roman" w:cs="Times New Roman" w:eastAsia="Times New Roman" w:hAnsi="Times New Roman"/>
                <w:sz w:val="17"/>
                <w:szCs w:val="17"/>
                <w:b w:val="1"/>
                <w:bCs w:val="1"/>
                <w:color w:val="auto"/>
                <w:w w:val="91"/>
                <w:vertAlign w:val="superscript"/>
              </w:rPr>
              <w:t>(1)</w:t>
            </w:r>
          </w:p>
        </w:tc>
        <w:tc>
          <w:tcPr>
            <w:tcW w:w="1900" w:type="dxa"/>
            <w:vAlign w:val="bottom"/>
            <w:tcBorders>
              <w:bottom w:val="single" w:sz="8" w:color="auto"/>
              <w:right w:val="single" w:sz="8" w:color="auto"/>
            </w:tcBorders>
          </w:tcPr>
          <w:p>
            <w:pPr>
              <w:spacing w:after="0"/>
              <w:rPr>
                <w:sz w:val="17"/>
                <w:szCs w:val="17"/>
                <w:color w:val="auto"/>
              </w:rPr>
            </w:pPr>
          </w:p>
        </w:tc>
        <w:tc>
          <w:tcPr>
            <w:tcW w:w="146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4"/>
                <w:szCs w:val="14"/>
                <w:b w:val="1"/>
                <w:bCs w:val="1"/>
                <w:color w:val="auto"/>
                <w:w w:val="94"/>
              </w:rPr>
              <w:t>(Weighted Average)</w:t>
            </w:r>
          </w:p>
        </w:tc>
        <w:tc>
          <w:tcPr>
            <w:tcW w:w="4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91"/>
        </w:trPr>
        <w:tc>
          <w:tcPr>
            <w:tcW w:w="3720" w:type="dxa"/>
            <w:vAlign w:val="bottom"/>
            <w:tcBorders>
              <w:left w:val="single" w:sz="8" w:color="auto"/>
              <w:right w:val="single" w:sz="8" w:color="auto"/>
            </w:tcBorders>
          </w:tcPr>
          <w:p>
            <w:pPr>
              <w:spacing w:after="0"/>
              <w:rPr>
                <w:sz w:val="24"/>
                <w:szCs w:val="24"/>
                <w:color w:val="auto"/>
              </w:rPr>
            </w:pPr>
          </w:p>
        </w:tc>
        <w:tc>
          <w:tcPr>
            <w:tcW w:w="1880" w:type="dxa"/>
            <w:vAlign w:val="bottom"/>
            <w:tcBorders>
              <w:right w:val="single" w:sz="8" w:color="auto"/>
            </w:tcBorders>
          </w:tcPr>
          <w:p>
            <w:pPr>
              <w:spacing w:after="0"/>
              <w:rPr>
                <w:sz w:val="24"/>
                <w:szCs w:val="24"/>
                <w:color w:val="auto"/>
              </w:rPr>
            </w:pPr>
          </w:p>
        </w:tc>
        <w:tc>
          <w:tcPr>
            <w:tcW w:w="1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Market approach</w:t>
            </w:r>
          </w:p>
        </w:tc>
        <w:tc>
          <w:tcPr>
            <w:tcW w:w="1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Revenue multiples</w:t>
            </w:r>
          </w:p>
        </w:tc>
        <w:tc>
          <w:tcPr>
            <w:tcW w:w="188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7"/>
                <w:szCs w:val="17"/>
                <w:color w:val="auto"/>
              </w:rPr>
              <w:t>1.26x - 3.41x (1.67x)</w:t>
            </w:r>
          </w:p>
        </w:tc>
        <w:tc>
          <w:tcPr>
            <w:tcW w:w="0" w:type="dxa"/>
            <w:vAlign w:val="bottom"/>
          </w:tcPr>
          <w:p>
            <w:pPr>
              <w:spacing w:after="0"/>
              <w:rPr>
                <w:sz w:val="1"/>
                <w:szCs w:val="1"/>
                <w:color w:val="auto"/>
              </w:rPr>
            </w:pPr>
          </w:p>
        </w:tc>
      </w:tr>
      <w:tr>
        <w:trPr>
          <w:trHeight w:val="90"/>
        </w:trPr>
        <w:tc>
          <w:tcPr>
            <w:tcW w:w="3720" w:type="dxa"/>
            <w:vAlign w:val="bottom"/>
            <w:tcBorders>
              <w:left w:val="single" w:sz="8" w:color="auto"/>
              <w:right w:val="single" w:sz="8" w:color="auto"/>
            </w:tcBorders>
          </w:tcPr>
          <w:p>
            <w:pPr>
              <w:spacing w:after="0"/>
              <w:rPr>
                <w:sz w:val="7"/>
                <w:szCs w:val="7"/>
                <w:color w:val="auto"/>
              </w:rPr>
            </w:pPr>
          </w:p>
        </w:tc>
        <w:tc>
          <w:tcPr>
            <w:tcW w:w="1880" w:type="dxa"/>
            <w:vAlign w:val="bottom"/>
            <w:tcBorders>
              <w:right w:val="single" w:sz="8" w:color="auto"/>
            </w:tcBorders>
          </w:tcPr>
          <w:p>
            <w:pPr>
              <w:spacing w:after="0"/>
              <w:rPr>
                <w:sz w:val="7"/>
                <w:szCs w:val="7"/>
                <w:color w:val="auto"/>
              </w:rPr>
            </w:pPr>
          </w:p>
        </w:tc>
        <w:tc>
          <w:tcPr>
            <w:tcW w:w="1880" w:type="dxa"/>
            <w:vAlign w:val="bottom"/>
            <w:tcBorders>
              <w:bottom w:val="single" w:sz="8" w:color="auto"/>
              <w:right w:val="single" w:sz="8" w:color="auto"/>
            </w:tcBorders>
          </w:tcPr>
          <w:p>
            <w:pPr>
              <w:spacing w:after="0"/>
              <w:rPr>
                <w:sz w:val="7"/>
                <w:szCs w:val="7"/>
                <w:color w:val="auto"/>
              </w:rPr>
            </w:pPr>
          </w:p>
        </w:tc>
        <w:tc>
          <w:tcPr>
            <w:tcW w:w="1900" w:type="dxa"/>
            <w:vAlign w:val="bottom"/>
            <w:tcBorders>
              <w:bottom w:val="single" w:sz="8" w:color="auto"/>
              <w:right w:val="single" w:sz="8" w:color="auto"/>
            </w:tcBorders>
          </w:tcPr>
          <w:p>
            <w:pPr>
              <w:spacing w:after="0"/>
              <w:rPr>
                <w:sz w:val="7"/>
                <w:szCs w:val="7"/>
                <w:color w:val="auto"/>
              </w:rPr>
            </w:pPr>
          </w:p>
        </w:tc>
        <w:tc>
          <w:tcPr>
            <w:tcW w:w="1460" w:type="dxa"/>
            <w:vAlign w:val="bottom"/>
            <w:tcBorders>
              <w:bottom w:val="single" w:sz="8" w:color="auto"/>
            </w:tcBorders>
          </w:tcPr>
          <w:p>
            <w:pPr>
              <w:spacing w:after="0"/>
              <w:rPr>
                <w:sz w:val="7"/>
                <w:szCs w:val="7"/>
                <w:color w:val="auto"/>
              </w:rPr>
            </w:pPr>
          </w:p>
        </w:tc>
        <w:tc>
          <w:tcPr>
            <w:tcW w:w="4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65"/>
        </w:trPr>
        <w:tc>
          <w:tcPr>
            <w:tcW w:w="37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Common stock in private companies</w:t>
            </w:r>
          </w:p>
        </w:tc>
        <w:tc>
          <w:tcPr>
            <w:tcW w:w="1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$23,521,102</w:t>
            </w:r>
          </w:p>
        </w:tc>
        <w:tc>
          <w:tcPr>
            <w:tcW w:w="1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Discounted cash flow</w:t>
            </w:r>
          </w:p>
        </w:tc>
        <w:tc>
          <w:tcPr>
            <w:tcW w:w="1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Discount rate</w:t>
            </w:r>
          </w:p>
        </w:tc>
        <w:tc>
          <w:tcPr>
            <w:tcW w:w="1460" w:type="dxa"/>
            <w:vAlign w:val="bottom"/>
          </w:tcPr>
          <w:p>
            <w:pPr>
              <w:jc w:val="center"/>
              <w:ind w:left="316"/>
              <w:spacing w:after="0"/>
              <w:rPr>
                <w:sz w:val="20"/>
                <w:szCs w:val="20"/>
                <w:color w:val="auto"/>
              </w:rPr>
            </w:pPr>
            <w:r>
              <w:rPr>
                <w:rFonts w:ascii="Times New Roman" w:cs="Times New Roman" w:eastAsia="Times New Roman" w:hAnsi="Times New Roman"/>
                <w:sz w:val="17"/>
                <w:szCs w:val="17"/>
                <w:color w:val="auto"/>
              </w:rPr>
              <w:t>15.0% (15.0%)</w:t>
            </w:r>
          </w:p>
        </w:tc>
        <w:tc>
          <w:tcPr>
            <w:tcW w:w="4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64"/>
        </w:trPr>
        <w:tc>
          <w:tcPr>
            <w:tcW w:w="3720" w:type="dxa"/>
            <w:vAlign w:val="bottom"/>
            <w:tcBorders>
              <w:left w:val="single" w:sz="8" w:color="auto"/>
              <w:right w:val="single" w:sz="8" w:color="auto"/>
            </w:tcBorders>
          </w:tcPr>
          <w:p>
            <w:pPr>
              <w:spacing w:after="0"/>
              <w:rPr>
                <w:sz w:val="5"/>
                <w:szCs w:val="5"/>
                <w:color w:val="auto"/>
              </w:rPr>
            </w:pPr>
          </w:p>
        </w:tc>
        <w:tc>
          <w:tcPr>
            <w:tcW w:w="1880" w:type="dxa"/>
            <w:vAlign w:val="bottom"/>
            <w:tcBorders>
              <w:right w:val="single" w:sz="8" w:color="auto"/>
            </w:tcBorders>
          </w:tcPr>
          <w:p>
            <w:pPr>
              <w:spacing w:after="0"/>
              <w:rPr>
                <w:sz w:val="5"/>
                <w:szCs w:val="5"/>
                <w:color w:val="auto"/>
              </w:rPr>
            </w:pPr>
          </w:p>
        </w:tc>
        <w:tc>
          <w:tcPr>
            <w:tcW w:w="1880" w:type="dxa"/>
            <w:vAlign w:val="bottom"/>
            <w:tcBorders>
              <w:bottom w:val="single" w:sz="8" w:color="auto"/>
              <w:right w:val="single" w:sz="8" w:color="auto"/>
            </w:tcBorders>
          </w:tcPr>
          <w:p>
            <w:pPr>
              <w:spacing w:after="0"/>
              <w:rPr>
                <w:sz w:val="5"/>
                <w:szCs w:val="5"/>
                <w:color w:val="auto"/>
              </w:rPr>
            </w:pPr>
          </w:p>
        </w:tc>
        <w:tc>
          <w:tcPr>
            <w:tcW w:w="1900" w:type="dxa"/>
            <w:vAlign w:val="bottom"/>
            <w:tcBorders>
              <w:bottom w:val="single" w:sz="8" w:color="auto"/>
              <w:right w:val="single" w:sz="8" w:color="auto"/>
            </w:tcBorders>
          </w:tcPr>
          <w:p>
            <w:pPr>
              <w:spacing w:after="0"/>
              <w:rPr>
                <w:sz w:val="5"/>
                <w:szCs w:val="5"/>
                <w:color w:val="auto"/>
              </w:rPr>
            </w:pPr>
          </w:p>
        </w:tc>
        <w:tc>
          <w:tcPr>
            <w:tcW w:w="1880" w:type="dxa"/>
            <w:vAlign w:val="bottom"/>
            <w:tcBorders>
              <w:bottom w:val="single" w:sz="8" w:color="auto"/>
              <w:right w:val="single" w:sz="8" w:color="auto"/>
            </w:tcBorders>
            <w:gridSpan w:val="2"/>
          </w:tcPr>
          <w:p>
            <w:pPr>
              <w:spacing w:after="0"/>
              <w:rPr>
                <w:sz w:val="5"/>
                <w:szCs w:val="5"/>
                <w:color w:val="auto"/>
              </w:rPr>
            </w:pPr>
          </w:p>
        </w:tc>
        <w:tc>
          <w:tcPr>
            <w:tcW w:w="0" w:type="dxa"/>
            <w:vAlign w:val="bottom"/>
          </w:tcPr>
          <w:p>
            <w:pPr>
              <w:spacing w:after="0"/>
              <w:rPr>
                <w:sz w:val="1"/>
                <w:szCs w:val="1"/>
                <w:color w:val="auto"/>
              </w:rPr>
            </w:pPr>
          </w:p>
        </w:tc>
      </w:tr>
      <w:tr>
        <w:trPr>
          <w:trHeight w:val="358"/>
        </w:trPr>
        <w:tc>
          <w:tcPr>
            <w:tcW w:w="3720" w:type="dxa"/>
            <w:vAlign w:val="bottom"/>
            <w:tcBorders>
              <w:left w:val="single" w:sz="8" w:color="auto"/>
              <w:right w:val="single" w:sz="8" w:color="auto"/>
            </w:tcBorders>
          </w:tcPr>
          <w:p>
            <w:pPr>
              <w:spacing w:after="0"/>
              <w:rPr>
                <w:sz w:val="24"/>
                <w:szCs w:val="24"/>
                <w:color w:val="auto"/>
              </w:rPr>
            </w:pPr>
          </w:p>
        </w:tc>
        <w:tc>
          <w:tcPr>
            <w:tcW w:w="1880" w:type="dxa"/>
            <w:vAlign w:val="bottom"/>
            <w:tcBorders>
              <w:right w:val="single" w:sz="8" w:color="auto"/>
            </w:tcBorders>
          </w:tcPr>
          <w:p>
            <w:pPr>
              <w:spacing w:after="0"/>
              <w:rPr>
                <w:sz w:val="24"/>
                <w:szCs w:val="24"/>
                <w:color w:val="auto"/>
              </w:rPr>
            </w:pPr>
          </w:p>
        </w:tc>
        <w:tc>
          <w:tcPr>
            <w:tcW w:w="1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8"/>
              </w:rPr>
              <w:t>PWERM</w:t>
            </w:r>
            <w:r>
              <w:rPr>
                <w:rFonts w:ascii="Times New Roman" w:cs="Times New Roman" w:eastAsia="Times New Roman" w:hAnsi="Times New Roman"/>
                <w:sz w:val="22"/>
                <w:szCs w:val="22"/>
                <w:color w:val="auto"/>
                <w:w w:val="98"/>
                <w:vertAlign w:val="superscript"/>
              </w:rPr>
              <w:t>(5)</w:t>
            </w:r>
          </w:p>
        </w:tc>
        <w:tc>
          <w:tcPr>
            <w:tcW w:w="1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8"/>
              </w:rPr>
              <w:t>AFFO</w:t>
            </w:r>
            <w:r>
              <w:rPr>
                <w:rFonts w:ascii="Times New Roman" w:cs="Times New Roman" w:eastAsia="Times New Roman" w:hAnsi="Times New Roman"/>
                <w:sz w:val="22"/>
                <w:szCs w:val="22"/>
                <w:color w:val="auto"/>
                <w:w w:val="98"/>
                <w:vertAlign w:val="superscript"/>
              </w:rPr>
              <w:t>(4)</w:t>
            </w:r>
            <w:r>
              <w:rPr>
                <w:rFonts w:ascii="Times New Roman" w:cs="Times New Roman" w:eastAsia="Times New Roman" w:hAnsi="Times New Roman"/>
                <w:sz w:val="17"/>
                <w:szCs w:val="17"/>
                <w:color w:val="auto"/>
                <w:w w:val="98"/>
              </w:rPr>
              <w:t xml:space="preserve"> multiple</w:t>
            </w:r>
          </w:p>
        </w:tc>
        <w:tc>
          <w:tcPr>
            <w:tcW w:w="188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7"/>
                <w:szCs w:val="17"/>
                <w:color w:val="auto"/>
              </w:rPr>
              <w:t>21.90x -21.90x (21.90x)</w:t>
            </w:r>
          </w:p>
        </w:tc>
        <w:tc>
          <w:tcPr>
            <w:tcW w:w="0" w:type="dxa"/>
            <w:vAlign w:val="bottom"/>
          </w:tcPr>
          <w:p>
            <w:pPr>
              <w:spacing w:after="0"/>
              <w:rPr>
                <w:sz w:val="1"/>
                <w:szCs w:val="1"/>
                <w:color w:val="auto"/>
              </w:rPr>
            </w:pPr>
          </w:p>
        </w:tc>
      </w:tr>
      <w:tr>
        <w:trPr>
          <w:trHeight w:val="23"/>
        </w:trPr>
        <w:tc>
          <w:tcPr>
            <w:tcW w:w="3720" w:type="dxa"/>
            <w:vAlign w:val="bottom"/>
            <w:tcBorders>
              <w:left w:val="single" w:sz="8" w:color="auto"/>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65"/>
        </w:trPr>
        <w:tc>
          <w:tcPr>
            <w:tcW w:w="3720" w:type="dxa"/>
            <w:vAlign w:val="bottom"/>
            <w:tcBorders>
              <w:left w:val="single" w:sz="8" w:color="auto"/>
              <w:right w:val="single" w:sz="8" w:color="auto"/>
            </w:tcBorders>
          </w:tcPr>
          <w:p>
            <w:pPr>
              <w:spacing w:after="0"/>
              <w:rPr>
                <w:sz w:val="23"/>
                <w:szCs w:val="23"/>
                <w:color w:val="auto"/>
              </w:rPr>
            </w:pPr>
          </w:p>
        </w:tc>
        <w:tc>
          <w:tcPr>
            <w:tcW w:w="1880" w:type="dxa"/>
            <w:vAlign w:val="bottom"/>
            <w:tcBorders>
              <w:right w:val="single" w:sz="8" w:color="auto"/>
            </w:tcBorders>
          </w:tcPr>
          <w:p>
            <w:pPr>
              <w:spacing w:after="0"/>
              <w:rPr>
                <w:sz w:val="23"/>
                <w:szCs w:val="23"/>
                <w:color w:val="auto"/>
              </w:rPr>
            </w:pPr>
          </w:p>
        </w:tc>
        <w:tc>
          <w:tcPr>
            <w:tcW w:w="1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Market approach</w:t>
            </w:r>
          </w:p>
        </w:tc>
        <w:tc>
          <w:tcPr>
            <w:tcW w:w="1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Revenue multiples</w:t>
            </w:r>
          </w:p>
        </w:tc>
        <w:tc>
          <w:tcPr>
            <w:tcW w:w="188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7"/>
                <w:szCs w:val="17"/>
                <w:color w:val="auto"/>
              </w:rPr>
              <w:t>0.22x - 4.60x (1.85x)</w:t>
            </w:r>
          </w:p>
        </w:tc>
        <w:tc>
          <w:tcPr>
            <w:tcW w:w="0" w:type="dxa"/>
            <w:vAlign w:val="bottom"/>
          </w:tcPr>
          <w:p>
            <w:pPr>
              <w:spacing w:after="0"/>
              <w:rPr>
                <w:sz w:val="1"/>
                <w:szCs w:val="1"/>
                <w:color w:val="auto"/>
              </w:rPr>
            </w:pPr>
          </w:p>
        </w:tc>
      </w:tr>
      <w:tr>
        <w:trPr>
          <w:trHeight w:val="64"/>
        </w:trPr>
        <w:tc>
          <w:tcPr>
            <w:tcW w:w="3720" w:type="dxa"/>
            <w:vAlign w:val="bottom"/>
            <w:tcBorders>
              <w:left w:val="single" w:sz="8" w:color="auto"/>
              <w:right w:val="single" w:sz="8" w:color="auto"/>
            </w:tcBorders>
          </w:tcPr>
          <w:p>
            <w:pPr>
              <w:spacing w:after="0"/>
              <w:rPr>
                <w:sz w:val="5"/>
                <w:szCs w:val="5"/>
                <w:color w:val="auto"/>
              </w:rPr>
            </w:pPr>
          </w:p>
        </w:tc>
        <w:tc>
          <w:tcPr>
            <w:tcW w:w="1880" w:type="dxa"/>
            <w:vAlign w:val="bottom"/>
            <w:tcBorders>
              <w:right w:val="single" w:sz="8" w:color="auto"/>
            </w:tcBorders>
          </w:tcPr>
          <w:p>
            <w:pPr>
              <w:spacing w:after="0"/>
              <w:rPr>
                <w:sz w:val="5"/>
                <w:szCs w:val="5"/>
                <w:color w:val="auto"/>
              </w:rPr>
            </w:pPr>
          </w:p>
        </w:tc>
        <w:tc>
          <w:tcPr>
            <w:tcW w:w="1880" w:type="dxa"/>
            <w:vAlign w:val="bottom"/>
            <w:tcBorders>
              <w:bottom w:val="single" w:sz="8" w:color="auto"/>
              <w:right w:val="single" w:sz="8" w:color="auto"/>
            </w:tcBorders>
          </w:tcPr>
          <w:p>
            <w:pPr>
              <w:spacing w:after="0"/>
              <w:rPr>
                <w:sz w:val="5"/>
                <w:szCs w:val="5"/>
                <w:color w:val="auto"/>
              </w:rPr>
            </w:pPr>
          </w:p>
        </w:tc>
        <w:tc>
          <w:tcPr>
            <w:tcW w:w="1900" w:type="dxa"/>
            <w:vAlign w:val="bottom"/>
            <w:tcBorders>
              <w:bottom w:val="single" w:sz="8" w:color="auto"/>
              <w:right w:val="single" w:sz="8" w:color="auto"/>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c>
          <w:tcPr>
            <w:tcW w:w="4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5"/>
        </w:trPr>
        <w:tc>
          <w:tcPr>
            <w:tcW w:w="3720" w:type="dxa"/>
            <w:vAlign w:val="bottom"/>
            <w:tcBorders>
              <w:left w:val="single" w:sz="8" w:color="auto"/>
              <w:right w:val="single" w:sz="8" w:color="auto"/>
            </w:tcBorders>
          </w:tcPr>
          <w:p>
            <w:pPr>
              <w:spacing w:after="0"/>
              <w:rPr>
                <w:sz w:val="23"/>
                <w:szCs w:val="23"/>
                <w:color w:val="auto"/>
              </w:rPr>
            </w:pPr>
          </w:p>
        </w:tc>
        <w:tc>
          <w:tcPr>
            <w:tcW w:w="1880" w:type="dxa"/>
            <w:vAlign w:val="bottom"/>
            <w:tcBorders>
              <w:right w:val="single" w:sz="8" w:color="auto"/>
            </w:tcBorders>
          </w:tcPr>
          <w:p>
            <w:pPr>
              <w:spacing w:after="0"/>
              <w:rPr>
                <w:sz w:val="23"/>
                <w:szCs w:val="23"/>
                <w:color w:val="auto"/>
              </w:rPr>
            </w:pPr>
          </w:p>
        </w:tc>
        <w:tc>
          <w:tcPr>
            <w:tcW w:w="1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Discounted cash flow</w:t>
            </w:r>
          </w:p>
        </w:tc>
        <w:tc>
          <w:tcPr>
            <w:tcW w:w="1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Discount rate</w:t>
            </w:r>
          </w:p>
        </w:tc>
        <w:tc>
          <w:tcPr>
            <w:tcW w:w="1460" w:type="dxa"/>
            <w:vAlign w:val="bottom"/>
          </w:tcPr>
          <w:p>
            <w:pPr>
              <w:jc w:val="center"/>
              <w:ind w:left="316"/>
              <w:spacing w:after="0"/>
              <w:rPr>
                <w:sz w:val="20"/>
                <w:szCs w:val="20"/>
                <w:color w:val="auto"/>
              </w:rPr>
            </w:pPr>
            <w:r>
              <w:rPr>
                <w:rFonts w:ascii="Times New Roman" w:cs="Times New Roman" w:eastAsia="Times New Roman" w:hAnsi="Times New Roman"/>
                <w:sz w:val="17"/>
                <w:szCs w:val="17"/>
                <w:color w:val="auto"/>
              </w:rPr>
              <w:t>15.0% (15.0%)</w:t>
            </w:r>
          </w:p>
        </w:tc>
        <w:tc>
          <w:tcPr>
            <w:tcW w:w="4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64"/>
        </w:trPr>
        <w:tc>
          <w:tcPr>
            <w:tcW w:w="3720" w:type="dxa"/>
            <w:vAlign w:val="bottom"/>
            <w:tcBorders>
              <w:left w:val="single" w:sz="8" w:color="auto"/>
              <w:right w:val="single" w:sz="8" w:color="auto"/>
            </w:tcBorders>
          </w:tcPr>
          <w:p>
            <w:pPr>
              <w:spacing w:after="0"/>
              <w:rPr>
                <w:sz w:val="5"/>
                <w:szCs w:val="5"/>
                <w:color w:val="auto"/>
              </w:rPr>
            </w:pPr>
          </w:p>
        </w:tc>
        <w:tc>
          <w:tcPr>
            <w:tcW w:w="1880" w:type="dxa"/>
            <w:vAlign w:val="bottom"/>
            <w:tcBorders>
              <w:right w:val="single" w:sz="8" w:color="auto"/>
            </w:tcBorders>
          </w:tcPr>
          <w:p>
            <w:pPr>
              <w:spacing w:after="0"/>
              <w:rPr>
                <w:sz w:val="5"/>
                <w:szCs w:val="5"/>
                <w:color w:val="auto"/>
              </w:rPr>
            </w:pPr>
          </w:p>
        </w:tc>
        <w:tc>
          <w:tcPr>
            <w:tcW w:w="1880" w:type="dxa"/>
            <w:vAlign w:val="bottom"/>
            <w:tcBorders>
              <w:bottom w:val="single" w:sz="8" w:color="auto"/>
              <w:right w:val="single" w:sz="8" w:color="auto"/>
            </w:tcBorders>
          </w:tcPr>
          <w:p>
            <w:pPr>
              <w:spacing w:after="0"/>
              <w:rPr>
                <w:sz w:val="5"/>
                <w:szCs w:val="5"/>
                <w:color w:val="auto"/>
              </w:rPr>
            </w:pPr>
          </w:p>
        </w:tc>
        <w:tc>
          <w:tcPr>
            <w:tcW w:w="1900" w:type="dxa"/>
            <w:vAlign w:val="bottom"/>
            <w:tcBorders>
              <w:bottom w:val="single" w:sz="8" w:color="auto"/>
              <w:right w:val="single" w:sz="8" w:color="auto"/>
            </w:tcBorders>
          </w:tcPr>
          <w:p>
            <w:pPr>
              <w:spacing w:after="0"/>
              <w:rPr>
                <w:sz w:val="5"/>
                <w:szCs w:val="5"/>
                <w:color w:val="auto"/>
              </w:rPr>
            </w:pPr>
          </w:p>
        </w:tc>
        <w:tc>
          <w:tcPr>
            <w:tcW w:w="1880" w:type="dxa"/>
            <w:vAlign w:val="bottom"/>
            <w:tcBorders>
              <w:bottom w:val="single" w:sz="8" w:color="auto"/>
              <w:right w:val="single" w:sz="8" w:color="auto"/>
            </w:tcBorders>
            <w:gridSpan w:val="2"/>
          </w:tcPr>
          <w:p>
            <w:pPr>
              <w:spacing w:after="0"/>
              <w:rPr>
                <w:sz w:val="5"/>
                <w:szCs w:val="5"/>
                <w:color w:val="auto"/>
              </w:rPr>
            </w:pPr>
          </w:p>
        </w:tc>
        <w:tc>
          <w:tcPr>
            <w:tcW w:w="0" w:type="dxa"/>
            <w:vAlign w:val="bottom"/>
          </w:tcPr>
          <w:p>
            <w:pPr>
              <w:spacing w:after="0"/>
              <w:rPr>
                <w:sz w:val="1"/>
                <w:szCs w:val="1"/>
                <w:color w:val="auto"/>
              </w:rPr>
            </w:pPr>
          </w:p>
        </w:tc>
      </w:tr>
      <w:tr>
        <w:trPr>
          <w:trHeight w:val="342"/>
        </w:trPr>
        <w:tc>
          <w:tcPr>
            <w:tcW w:w="37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Preferred stock in private companies</w:t>
            </w:r>
          </w:p>
        </w:tc>
        <w:tc>
          <w:tcPr>
            <w:tcW w:w="1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$131,036,463</w:t>
            </w:r>
          </w:p>
        </w:tc>
        <w:tc>
          <w:tcPr>
            <w:tcW w:w="1880" w:type="dxa"/>
            <w:vAlign w:val="bottom"/>
            <w:tcBorders>
              <w:right w:val="single" w:sz="8" w:color="auto"/>
            </w:tcBorders>
          </w:tcPr>
          <w:p>
            <w:pPr>
              <w:spacing w:after="0"/>
              <w:rPr>
                <w:sz w:val="24"/>
                <w:szCs w:val="24"/>
                <w:color w:val="auto"/>
              </w:rPr>
            </w:pPr>
          </w:p>
        </w:tc>
        <w:tc>
          <w:tcPr>
            <w:tcW w:w="1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Revenue multiples</w:t>
            </w:r>
          </w:p>
        </w:tc>
        <w:tc>
          <w:tcPr>
            <w:tcW w:w="188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7"/>
                <w:szCs w:val="17"/>
                <w:color w:val="auto"/>
              </w:rPr>
              <w:t>0.56x - 4.60x (2.31x)</w:t>
            </w:r>
          </w:p>
        </w:tc>
        <w:tc>
          <w:tcPr>
            <w:tcW w:w="0" w:type="dxa"/>
            <w:vAlign w:val="bottom"/>
          </w:tcPr>
          <w:p>
            <w:pPr>
              <w:spacing w:after="0"/>
              <w:rPr>
                <w:sz w:val="1"/>
                <w:szCs w:val="1"/>
                <w:color w:val="auto"/>
              </w:rPr>
            </w:pPr>
          </w:p>
        </w:tc>
      </w:tr>
      <w:tr>
        <w:trPr>
          <w:trHeight w:val="39"/>
        </w:trPr>
        <w:tc>
          <w:tcPr>
            <w:tcW w:w="3720" w:type="dxa"/>
            <w:vAlign w:val="bottom"/>
            <w:tcBorders>
              <w:left w:val="single" w:sz="8" w:color="auto"/>
              <w:right w:val="single" w:sz="8" w:color="auto"/>
            </w:tcBorders>
          </w:tcPr>
          <w:p>
            <w:pPr>
              <w:spacing w:after="0"/>
              <w:rPr>
                <w:sz w:val="3"/>
                <w:szCs w:val="3"/>
                <w:color w:val="auto"/>
              </w:rPr>
            </w:pPr>
          </w:p>
        </w:tc>
        <w:tc>
          <w:tcPr>
            <w:tcW w:w="1880" w:type="dxa"/>
            <w:vAlign w:val="bottom"/>
            <w:tcBorders>
              <w:right w:val="single" w:sz="8" w:color="auto"/>
            </w:tcBorders>
          </w:tcPr>
          <w:p>
            <w:pPr>
              <w:spacing w:after="0"/>
              <w:rPr>
                <w:sz w:val="3"/>
                <w:szCs w:val="3"/>
                <w:color w:val="auto"/>
              </w:rPr>
            </w:pPr>
          </w:p>
        </w:tc>
        <w:tc>
          <w:tcPr>
            <w:tcW w:w="18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w w:val="98"/>
              </w:rPr>
              <w:t>PWERM</w:t>
            </w:r>
            <w:r>
              <w:rPr>
                <w:rFonts w:ascii="Times New Roman" w:cs="Times New Roman" w:eastAsia="Times New Roman" w:hAnsi="Times New Roman"/>
                <w:sz w:val="22"/>
                <w:szCs w:val="22"/>
                <w:color w:val="auto"/>
                <w:w w:val="98"/>
                <w:vertAlign w:val="superscript"/>
              </w:rPr>
              <w:t>(5)</w:t>
            </w:r>
          </w:p>
        </w:tc>
        <w:tc>
          <w:tcPr>
            <w:tcW w:w="1900" w:type="dxa"/>
            <w:vAlign w:val="bottom"/>
            <w:tcBorders>
              <w:bottom w:val="single" w:sz="8" w:color="auto"/>
              <w:right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4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58"/>
        </w:trPr>
        <w:tc>
          <w:tcPr>
            <w:tcW w:w="3720" w:type="dxa"/>
            <w:vAlign w:val="bottom"/>
            <w:tcBorders>
              <w:left w:val="single" w:sz="8" w:color="auto"/>
              <w:right w:val="single" w:sz="8" w:color="auto"/>
            </w:tcBorders>
          </w:tcPr>
          <w:p>
            <w:pPr>
              <w:spacing w:after="0"/>
              <w:rPr>
                <w:sz w:val="24"/>
                <w:szCs w:val="24"/>
                <w:color w:val="auto"/>
              </w:rPr>
            </w:pPr>
          </w:p>
        </w:tc>
        <w:tc>
          <w:tcPr>
            <w:tcW w:w="1880" w:type="dxa"/>
            <w:vAlign w:val="bottom"/>
            <w:tcBorders>
              <w:right w:val="single" w:sz="8" w:color="auto"/>
            </w:tcBorders>
          </w:tcPr>
          <w:p>
            <w:pPr>
              <w:spacing w:after="0"/>
              <w:rPr>
                <w:sz w:val="24"/>
                <w:szCs w:val="24"/>
                <w:color w:val="auto"/>
              </w:rPr>
            </w:pPr>
          </w:p>
        </w:tc>
        <w:tc>
          <w:tcPr>
            <w:tcW w:w="1880" w:type="dxa"/>
            <w:vAlign w:val="bottom"/>
            <w:tcBorders>
              <w:right w:val="single" w:sz="8" w:color="auto"/>
            </w:tcBorders>
            <w:vMerge w:val="continue"/>
          </w:tcPr>
          <w:p>
            <w:pPr>
              <w:spacing w:after="0"/>
              <w:rPr>
                <w:sz w:val="24"/>
                <w:szCs w:val="24"/>
                <w:color w:val="auto"/>
              </w:rPr>
            </w:pPr>
          </w:p>
        </w:tc>
        <w:tc>
          <w:tcPr>
            <w:tcW w:w="1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DLOM</w:t>
            </w:r>
          </w:p>
        </w:tc>
        <w:tc>
          <w:tcPr>
            <w:tcW w:w="1460" w:type="dxa"/>
            <w:vAlign w:val="bottom"/>
          </w:tcPr>
          <w:p>
            <w:pPr>
              <w:jc w:val="center"/>
              <w:ind w:left="316"/>
              <w:spacing w:after="0"/>
              <w:rPr>
                <w:sz w:val="20"/>
                <w:szCs w:val="20"/>
                <w:color w:val="auto"/>
              </w:rPr>
            </w:pPr>
            <w:r>
              <w:rPr>
                <w:rFonts w:ascii="Times New Roman" w:cs="Times New Roman" w:eastAsia="Times New Roman" w:hAnsi="Times New Roman"/>
                <w:sz w:val="17"/>
                <w:szCs w:val="17"/>
                <w:color w:val="auto"/>
              </w:rPr>
              <w:t>10.0% (10.0%)</w:t>
            </w:r>
          </w:p>
        </w:tc>
        <w:tc>
          <w:tcPr>
            <w:tcW w:w="4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3720" w:type="dxa"/>
            <w:vAlign w:val="bottom"/>
            <w:tcBorders>
              <w:left w:val="single" w:sz="8" w:color="auto"/>
              <w:right w:val="single" w:sz="8" w:color="auto"/>
            </w:tcBorders>
          </w:tcPr>
          <w:p>
            <w:pPr>
              <w:spacing w:after="0"/>
              <w:rPr>
                <w:sz w:val="2"/>
                <w:szCs w:val="2"/>
                <w:color w:val="auto"/>
              </w:rPr>
            </w:pPr>
          </w:p>
        </w:tc>
        <w:tc>
          <w:tcPr>
            <w:tcW w:w="1880" w:type="dxa"/>
            <w:vAlign w:val="bottom"/>
            <w:tcBorders>
              <w:right w:val="single" w:sz="8" w:color="auto"/>
            </w:tcBorders>
          </w:tcPr>
          <w:p>
            <w:pPr>
              <w:spacing w:after="0"/>
              <w:rPr>
                <w:sz w:val="2"/>
                <w:szCs w:val="2"/>
                <w:color w:val="auto"/>
              </w:rPr>
            </w:pPr>
          </w:p>
        </w:tc>
        <w:tc>
          <w:tcPr>
            <w:tcW w:w="1880" w:type="dxa"/>
            <w:vAlign w:val="bottom"/>
            <w:tcBorders>
              <w:right w:val="single" w:sz="8" w:color="auto"/>
            </w:tcBorders>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3720" w:type="dxa"/>
            <w:vAlign w:val="bottom"/>
            <w:tcBorders>
              <w:left w:val="single" w:sz="8" w:color="auto"/>
              <w:right w:val="single" w:sz="8" w:color="auto"/>
            </w:tcBorders>
          </w:tcPr>
          <w:p>
            <w:pPr>
              <w:spacing w:after="0"/>
              <w:rPr>
                <w:sz w:val="24"/>
                <w:szCs w:val="24"/>
                <w:color w:val="auto"/>
              </w:rPr>
            </w:pPr>
          </w:p>
        </w:tc>
        <w:tc>
          <w:tcPr>
            <w:tcW w:w="1880" w:type="dxa"/>
            <w:vAlign w:val="bottom"/>
            <w:tcBorders>
              <w:right w:val="single" w:sz="8" w:color="auto"/>
            </w:tcBorders>
          </w:tcPr>
          <w:p>
            <w:pPr>
              <w:spacing w:after="0"/>
              <w:rPr>
                <w:sz w:val="24"/>
                <w:szCs w:val="24"/>
                <w:color w:val="auto"/>
              </w:rPr>
            </w:pPr>
          </w:p>
        </w:tc>
        <w:tc>
          <w:tcPr>
            <w:tcW w:w="1880" w:type="dxa"/>
            <w:vAlign w:val="bottom"/>
            <w:tcBorders>
              <w:right w:val="single" w:sz="8" w:color="auto"/>
            </w:tcBorders>
          </w:tcPr>
          <w:p>
            <w:pPr>
              <w:spacing w:after="0"/>
              <w:rPr>
                <w:sz w:val="24"/>
                <w:szCs w:val="24"/>
                <w:color w:val="auto"/>
              </w:rPr>
            </w:pPr>
          </w:p>
        </w:tc>
        <w:tc>
          <w:tcPr>
            <w:tcW w:w="1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Financing Risk</w:t>
            </w:r>
          </w:p>
        </w:tc>
        <w:tc>
          <w:tcPr>
            <w:tcW w:w="1460" w:type="dxa"/>
            <w:vAlign w:val="bottom"/>
          </w:tcPr>
          <w:p>
            <w:pPr>
              <w:jc w:val="center"/>
              <w:ind w:left="316"/>
              <w:spacing w:after="0"/>
              <w:rPr>
                <w:sz w:val="20"/>
                <w:szCs w:val="20"/>
                <w:color w:val="auto"/>
              </w:rPr>
            </w:pPr>
            <w:r>
              <w:rPr>
                <w:rFonts w:ascii="Times New Roman" w:cs="Times New Roman" w:eastAsia="Times New Roman" w:hAnsi="Times New Roman"/>
                <w:sz w:val="17"/>
                <w:szCs w:val="17"/>
                <w:color w:val="auto"/>
              </w:rPr>
              <w:t>10.0% (10.0%)</w:t>
            </w:r>
          </w:p>
        </w:tc>
        <w:tc>
          <w:tcPr>
            <w:tcW w:w="4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3720" w:type="dxa"/>
            <w:vAlign w:val="bottom"/>
            <w:tcBorders>
              <w:left w:val="single" w:sz="8" w:color="auto"/>
              <w:bottom w:val="single" w:sz="8" w:color="auto"/>
              <w:right w:val="single" w:sz="8" w:color="auto"/>
            </w:tcBorders>
          </w:tcPr>
          <w:p>
            <w:pPr>
              <w:spacing w:after="0"/>
              <w:rPr>
                <w:sz w:val="7"/>
                <w:szCs w:val="7"/>
                <w:color w:val="auto"/>
              </w:rPr>
            </w:pPr>
          </w:p>
        </w:tc>
        <w:tc>
          <w:tcPr>
            <w:tcW w:w="1880" w:type="dxa"/>
            <w:vAlign w:val="bottom"/>
            <w:tcBorders>
              <w:bottom w:val="single" w:sz="8" w:color="auto"/>
              <w:right w:val="single" w:sz="8" w:color="auto"/>
            </w:tcBorders>
          </w:tcPr>
          <w:p>
            <w:pPr>
              <w:spacing w:after="0"/>
              <w:rPr>
                <w:sz w:val="7"/>
                <w:szCs w:val="7"/>
                <w:color w:val="auto"/>
              </w:rPr>
            </w:pPr>
          </w:p>
        </w:tc>
        <w:tc>
          <w:tcPr>
            <w:tcW w:w="1880" w:type="dxa"/>
            <w:vAlign w:val="bottom"/>
            <w:tcBorders>
              <w:bottom w:val="single" w:sz="8" w:color="auto"/>
              <w:right w:val="single" w:sz="8" w:color="auto"/>
            </w:tcBorders>
          </w:tcPr>
          <w:p>
            <w:pPr>
              <w:spacing w:after="0"/>
              <w:rPr>
                <w:sz w:val="7"/>
                <w:szCs w:val="7"/>
                <w:color w:val="auto"/>
              </w:rPr>
            </w:pPr>
          </w:p>
        </w:tc>
        <w:tc>
          <w:tcPr>
            <w:tcW w:w="1900" w:type="dxa"/>
            <w:vAlign w:val="bottom"/>
            <w:tcBorders>
              <w:bottom w:val="single" w:sz="8" w:color="auto"/>
              <w:right w:val="single" w:sz="8" w:color="auto"/>
            </w:tcBorders>
          </w:tcPr>
          <w:p>
            <w:pPr>
              <w:spacing w:after="0"/>
              <w:rPr>
                <w:sz w:val="7"/>
                <w:szCs w:val="7"/>
                <w:color w:val="auto"/>
              </w:rPr>
            </w:pPr>
          </w:p>
        </w:tc>
        <w:tc>
          <w:tcPr>
            <w:tcW w:w="1880" w:type="dxa"/>
            <w:vAlign w:val="bottom"/>
            <w:tcBorders>
              <w:bottom w:val="single" w:sz="8" w:color="auto"/>
              <w:right w:val="single" w:sz="8" w:color="auto"/>
            </w:tcBorders>
            <w:gridSpan w:val="2"/>
          </w:tcPr>
          <w:p>
            <w:pPr>
              <w:spacing w:after="0"/>
              <w:rPr>
                <w:sz w:val="7"/>
                <w:szCs w:val="7"/>
                <w:color w:val="auto"/>
              </w:rPr>
            </w:pPr>
          </w:p>
        </w:tc>
        <w:tc>
          <w:tcPr>
            <w:tcW w:w="0" w:type="dxa"/>
            <w:vAlign w:val="bottom"/>
          </w:tcPr>
          <w:p>
            <w:pPr>
              <w:spacing w:after="0"/>
              <w:rPr>
                <w:sz w:val="1"/>
                <w:szCs w:val="1"/>
                <w:color w:val="auto"/>
              </w:rPr>
            </w:pPr>
          </w:p>
        </w:tc>
      </w:tr>
      <w:tr>
        <w:trPr>
          <w:trHeight w:val="291"/>
        </w:trPr>
        <w:tc>
          <w:tcPr>
            <w:tcW w:w="37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Debt investments</w:t>
            </w:r>
          </w:p>
        </w:tc>
        <w:tc>
          <w:tcPr>
            <w:tcW w:w="1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$2,505,099</w:t>
            </w:r>
          </w:p>
        </w:tc>
        <w:tc>
          <w:tcPr>
            <w:tcW w:w="1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Market approach</w:t>
            </w:r>
          </w:p>
        </w:tc>
        <w:tc>
          <w:tcPr>
            <w:tcW w:w="1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Revenue multiples</w:t>
            </w:r>
          </w:p>
        </w:tc>
        <w:tc>
          <w:tcPr>
            <w:tcW w:w="188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7"/>
                <w:szCs w:val="17"/>
                <w:color w:val="auto"/>
              </w:rPr>
              <w:t>0.47x - 4.60x (3.36x)</w:t>
            </w:r>
          </w:p>
        </w:tc>
        <w:tc>
          <w:tcPr>
            <w:tcW w:w="0" w:type="dxa"/>
            <w:vAlign w:val="bottom"/>
          </w:tcPr>
          <w:p>
            <w:pPr>
              <w:spacing w:after="0"/>
              <w:rPr>
                <w:sz w:val="1"/>
                <w:szCs w:val="1"/>
                <w:color w:val="auto"/>
              </w:rPr>
            </w:pPr>
          </w:p>
        </w:tc>
      </w:tr>
      <w:tr>
        <w:trPr>
          <w:trHeight w:val="90"/>
        </w:trPr>
        <w:tc>
          <w:tcPr>
            <w:tcW w:w="3720" w:type="dxa"/>
            <w:vAlign w:val="bottom"/>
            <w:tcBorders>
              <w:left w:val="single" w:sz="8" w:color="auto"/>
              <w:bottom w:val="single" w:sz="8" w:color="auto"/>
              <w:right w:val="single" w:sz="8" w:color="auto"/>
            </w:tcBorders>
          </w:tcPr>
          <w:p>
            <w:pPr>
              <w:spacing w:after="0"/>
              <w:rPr>
                <w:sz w:val="7"/>
                <w:szCs w:val="7"/>
                <w:color w:val="auto"/>
              </w:rPr>
            </w:pPr>
          </w:p>
        </w:tc>
        <w:tc>
          <w:tcPr>
            <w:tcW w:w="1880" w:type="dxa"/>
            <w:vAlign w:val="bottom"/>
            <w:tcBorders>
              <w:bottom w:val="single" w:sz="8" w:color="auto"/>
              <w:right w:val="single" w:sz="8" w:color="auto"/>
            </w:tcBorders>
          </w:tcPr>
          <w:p>
            <w:pPr>
              <w:spacing w:after="0"/>
              <w:rPr>
                <w:sz w:val="7"/>
                <w:szCs w:val="7"/>
                <w:color w:val="auto"/>
              </w:rPr>
            </w:pPr>
          </w:p>
        </w:tc>
        <w:tc>
          <w:tcPr>
            <w:tcW w:w="1880" w:type="dxa"/>
            <w:vAlign w:val="bottom"/>
            <w:tcBorders>
              <w:bottom w:val="single" w:sz="8" w:color="auto"/>
              <w:right w:val="single" w:sz="8" w:color="auto"/>
            </w:tcBorders>
          </w:tcPr>
          <w:p>
            <w:pPr>
              <w:spacing w:after="0"/>
              <w:rPr>
                <w:sz w:val="7"/>
                <w:szCs w:val="7"/>
                <w:color w:val="auto"/>
              </w:rPr>
            </w:pPr>
          </w:p>
        </w:tc>
        <w:tc>
          <w:tcPr>
            <w:tcW w:w="1900" w:type="dxa"/>
            <w:vAlign w:val="bottom"/>
            <w:tcBorders>
              <w:bottom w:val="single" w:sz="8" w:color="auto"/>
              <w:right w:val="single" w:sz="8" w:color="auto"/>
            </w:tcBorders>
          </w:tcPr>
          <w:p>
            <w:pPr>
              <w:spacing w:after="0"/>
              <w:rPr>
                <w:sz w:val="7"/>
                <w:szCs w:val="7"/>
                <w:color w:val="auto"/>
              </w:rPr>
            </w:pPr>
          </w:p>
        </w:tc>
        <w:tc>
          <w:tcPr>
            <w:tcW w:w="1880" w:type="dxa"/>
            <w:vAlign w:val="bottom"/>
            <w:tcBorders>
              <w:bottom w:val="single" w:sz="8" w:color="auto"/>
              <w:right w:val="single" w:sz="8" w:color="auto"/>
            </w:tcBorders>
            <w:gridSpan w:val="2"/>
          </w:tcPr>
          <w:p>
            <w:pPr>
              <w:spacing w:after="0"/>
              <w:rPr>
                <w:sz w:val="7"/>
                <w:szCs w:val="7"/>
                <w:color w:val="auto"/>
              </w:rPr>
            </w:pPr>
          </w:p>
        </w:tc>
        <w:tc>
          <w:tcPr>
            <w:tcW w:w="0" w:type="dxa"/>
            <w:vAlign w:val="bottom"/>
          </w:tcPr>
          <w:p>
            <w:pPr>
              <w:spacing w:after="0"/>
              <w:rPr>
                <w:sz w:val="1"/>
                <w:szCs w:val="1"/>
                <w:color w:val="auto"/>
              </w:rPr>
            </w:pPr>
          </w:p>
        </w:tc>
      </w:tr>
      <w:tr>
        <w:trPr>
          <w:trHeight w:val="291"/>
        </w:trPr>
        <w:tc>
          <w:tcPr>
            <w:tcW w:w="3720" w:type="dxa"/>
            <w:vAlign w:val="bottom"/>
            <w:tcBorders>
              <w:left w:val="single" w:sz="8" w:color="auto"/>
              <w:right w:val="single" w:sz="8" w:color="auto"/>
            </w:tcBorders>
          </w:tcPr>
          <w:p>
            <w:pPr>
              <w:spacing w:after="0"/>
              <w:rPr>
                <w:sz w:val="24"/>
                <w:szCs w:val="24"/>
                <w:color w:val="auto"/>
              </w:rPr>
            </w:pPr>
          </w:p>
        </w:tc>
        <w:tc>
          <w:tcPr>
            <w:tcW w:w="1880" w:type="dxa"/>
            <w:vAlign w:val="bottom"/>
            <w:tcBorders>
              <w:right w:val="single" w:sz="8" w:color="auto"/>
            </w:tcBorders>
          </w:tcPr>
          <w:p>
            <w:pPr>
              <w:spacing w:after="0"/>
              <w:rPr>
                <w:sz w:val="24"/>
                <w:szCs w:val="24"/>
                <w:color w:val="auto"/>
              </w:rPr>
            </w:pPr>
          </w:p>
        </w:tc>
        <w:tc>
          <w:tcPr>
            <w:tcW w:w="18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7"/>
              </w:rPr>
              <w:t>Option pricing model</w:t>
            </w:r>
          </w:p>
        </w:tc>
        <w:tc>
          <w:tcPr>
            <w:tcW w:w="1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Term to expiration (Years)</w:t>
            </w:r>
          </w:p>
        </w:tc>
        <w:tc>
          <w:tcPr>
            <w:tcW w:w="188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7"/>
                <w:szCs w:val="17"/>
                <w:color w:val="auto"/>
              </w:rPr>
              <w:t>1.50x - 5.79x (2.28x)</w:t>
            </w:r>
          </w:p>
        </w:tc>
        <w:tc>
          <w:tcPr>
            <w:tcW w:w="0" w:type="dxa"/>
            <w:vAlign w:val="bottom"/>
          </w:tcPr>
          <w:p>
            <w:pPr>
              <w:spacing w:after="0"/>
              <w:rPr>
                <w:sz w:val="1"/>
                <w:szCs w:val="1"/>
                <w:color w:val="auto"/>
              </w:rPr>
            </w:pPr>
          </w:p>
        </w:tc>
      </w:tr>
      <w:tr>
        <w:trPr>
          <w:trHeight w:val="90"/>
        </w:trPr>
        <w:tc>
          <w:tcPr>
            <w:tcW w:w="3720" w:type="dxa"/>
            <w:vAlign w:val="bottom"/>
            <w:tcBorders>
              <w:left w:val="single" w:sz="8" w:color="auto"/>
              <w:right w:val="single" w:sz="8" w:color="auto"/>
            </w:tcBorders>
          </w:tcPr>
          <w:p>
            <w:pPr>
              <w:spacing w:after="0"/>
              <w:rPr>
                <w:sz w:val="7"/>
                <w:szCs w:val="7"/>
                <w:color w:val="auto"/>
              </w:rPr>
            </w:pPr>
          </w:p>
        </w:tc>
        <w:tc>
          <w:tcPr>
            <w:tcW w:w="1880" w:type="dxa"/>
            <w:vAlign w:val="bottom"/>
            <w:tcBorders>
              <w:right w:val="single" w:sz="8" w:color="auto"/>
            </w:tcBorders>
          </w:tcPr>
          <w:p>
            <w:pPr>
              <w:spacing w:after="0"/>
              <w:rPr>
                <w:sz w:val="7"/>
                <w:szCs w:val="7"/>
                <w:color w:val="auto"/>
              </w:rPr>
            </w:pPr>
          </w:p>
        </w:tc>
        <w:tc>
          <w:tcPr>
            <w:tcW w:w="1880" w:type="dxa"/>
            <w:vAlign w:val="bottom"/>
            <w:tcBorders>
              <w:right w:val="single" w:sz="8" w:color="auto"/>
            </w:tcBorders>
            <w:vMerge w:val="continue"/>
          </w:tcPr>
          <w:p>
            <w:pPr>
              <w:spacing w:after="0"/>
              <w:rPr>
                <w:sz w:val="7"/>
                <w:szCs w:val="7"/>
                <w:color w:val="auto"/>
              </w:rPr>
            </w:pPr>
          </w:p>
        </w:tc>
        <w:tc>
          <w:tcPr>
            <w:tcW w:w="1900" w:type="dxa"/>
            <w:vAlign w:val="bottom"/>
            <w:tcBorders>
              <w:bottom w:val="single" w:sz="8" w:color="auto"/>
              <w:right w:val="single" w:sz="8" w:color="auto"/>
            </w:tcBorders>
          </w:tcPr>
          <w:p>
            <w:pPr>
              <w:spacing w:after="0"/>
              <w:rPr>
                <w:sz w:val="7"/>
                <w:szCs w:val="7"/>
                <w:color w:val="auto"/>
              </w:rPr>
            </w:pPr>
          </w:p>
        </w:tc>
        <w:tc>
          <w:tcPr>
            <w:tcW w:w="1460" w:type="dxa"/>
            <w:vAlign w:val="bottom"/>
            <w:tcBorders>
              <w:bottom w:val="single" w:sz="8" w:color="auto"/>
            </w:tcBorders>
          </w:tcPr>
          <w:p>
            <w:pPr>
              <w:spacing w:after="0"/>
              <w:rPr>
                <w:sz w:val="7"/>
                <w:szCs w:val="7"/>
                <w:color w:val="auto"/>
              </w:rPr>
            </w:pPr>
          </w:p>
        </w:tc>
        <w:tc>
          <w:tcPr>
            <w:tcW w:w="4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372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Options</w:t>
            </w:r>
          </w:p>
        </w:tc>
        <w:tc>
          <w:tcPr>
            <w:tcW w:w="18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w w:val="99"/>
              </w:rPr>
              <w:t>$4,753,567</w:t>
            </w:r>
          </w:p>
        </w:tc>
        <w:tc>
          <w:tcPr>
            <w:tcW w:w="1880" w:type="dxa"/>
            <w:vAlign w:val="bottom"/>
            <w:tcBorders>
              <w:right w:val="single" w:sz="8" w:color="auto"/>
            </w:tcBorders>
            <w:vMerge w:val="continue"/>
          </w:tcPr>
          <w:p>
            <w:pPr>
              <w:spacing w:after="0"/>
              <w:rPr>
                <w:sz w:val="6"/>
                <w:szCs w:val="6"/>
                <w:color w:val="auto"/>
              </w:rPr>
            </w:pPr>
          </w:p>
        </w:tc>
        <w:tc>
          <w:tcPr>
            <w:tcW w:w="19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w w:val="98"/>
              </w:rPr>
              <w:t>Volatility</w:t>
            </w:r>
          </w:p>
        </w:tc>
        <w:tc>
          <w:tcPr>
            <w:tcW w:w="188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7"/>
                <w:szCs w:val="17"/>
                <w:color w:val="auto"/>
              </w:rPr>
              <w:t>38% - 81% (38%)</w:t>
            </w:r>
          </w:p>
        </w:tc>
        <w:tc>
          <w:tcPr>
            <w:tcW w:w="0" w:type="dxa"/>
            <w:vAlign w:val="bottom"/>
          </w:tcPr>
          <w:p>
            <w:pPr>
              <w:spacing w:after="0"/>
              <w:rPr>
                <w:sz w:val="1"/>
                <w:szCs w:val="1"/>
                <w:color w:val="auto"/>
              </w:rPr>
            </w:pPr>
          </w:p>
        </w:tc>
      </w:tr>
      <w:tr>
        <w:trPr>
          <w:trHeight w:val="213"/>
        </w:trPr>
        <w:tc>
          <w:tcPr>
            <w:tcW w:w="3720" w:type="dxa"/>
            <w:vAlign w:val="bottom"/>
            <w:tcBorders>
              <w:left w:val="single" w:sz="8" w:color="auto"/>
              <w:right w:val="single" w:sz="8" w:color="auto"/>
            </w:tcBorders>
            <w:vMerge w:val="continue"/>
          </w:tcPr>
          <w:p>
            <w:pPr>
              <w:spacing w:after="0"/>
              <w:rPr>
                <w:sz w:val="18"/>
                <w:szCs w:val="18"/>
                <w:color w:val="auto"/>
              </w:rPr>
            </w:pPr>
          </w:p>
        </w:tc>
        <w:tc>
          <w:tcPr>
            <w:tcW w:w="1880" w:type="dxa"/>
            <w:vAlign w:val="bottom"/>
            <w:tcBorders>
              <w:right w:val="single" w:sz="8" w:color="auto"/>
            </w:tcBorders>
            <w:vMerge w:val="continue"/>
          </w:tcPr>
          <w:p>
            <w:pPr>
              <w:spacing w:after="0"/>
              <w:rPr>
                <w:sz w:val="18"/>
                <w:szCs w:val="18"/>
                <w:color w:val="auto"/>
              </w:rPr>
            </w:pPr>
          </w:p>
        </w:tc>
        <w:tc>
          <w:tcPr>
            <w:tcW w:w="1880" w:type="dxa"/>
            <w:vAlign w:val="bottom"/>
            <w:tcBorders>
              <w:right w:val="single" w:sz="8" w:color="auto"/>
            </w:tcBorders>
          </w:tcPr>
          <w:p>
            <w:pPr>
              <w:spacing w:after="0"/>
              <w:rPr>
                <w:sz w:val="18"/>
                <w:szCs w:val="18"/>
                <w:color w:val="auto"/>
              </w:rPr>
            </w:pPr>
          </w:p>
        </w:tc>
        <w:tc>
          <w:tcPr>
            <w:tcW w:w="1900" w:type="dxa"/>
            <w:vAlign w:val="bottom"/>
            <w:tcBorders>
              <w:right w:val="single" w:sz="8" w:color="auto"/>
            </w:tcBorders>
            <w:vMerge w:val="continue"/>
          </w:tcPr>
          <w:p>
            <w:pPr>
              <w:spacing w:after="0"/>
              <w:rPr>
                <w:sz w:val="18"/>
                <w:szCs w:val="18"/>
                <w:color w:val="auto"/>
              </w:rPr>
            </w:pPr>
          </w:p>
        </w:tc>
        <w:tc>
          <w:tcPr>
            <w:tcW w:w="1880" w:type="dxa"/>
            <w:vAlign w:val="bottom"/>
            <w:tcBorders>
              <w:right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90"/>
        </w:trPr>
        <w:tc>
          <w:tcPr>
            <w:tcW w:w="3720" w:type="dxa"/>
            <w:vAlign w:val="bottom"/>
            <w:tcBorders>
              <w:left w:val="single" w:sz="8" w:color="auto"/>
              <w:right w:val="single" w:sz="8" w:color="auto"/>
            </w:tcBorders>
          </w:tcPr>
          <w:p>
            <w:pPr>
              <w:spacing w:after="0"/>
              <w:rPr>
                <w:sz w:val="7"/>
                <w:szCs w:val="7"/>
                <w:color w:val="auto"/>
              </w:rPr>
            </w:pPr>
          </w:p>
        </w:tc>
        <w:tc>
          <w:tcPr>
            <w:tcW w:w="1880" w:type="dxa"/>
            <w:vAlign w:val="bottom"/>
            <w:tcBorders>
              <w:right w:val="single" w:sz="8" w:color="auto"/>
            </w:tcBorders>
          </w:tcPr>
          <w:p>
            <w:pPr>
              <w:spacing w:after="0"/>
              <w:rPr>
                <w:sz w:val="7"/>
                <w:szCs w:val="7"/>
                <w:color w:val="auto"/>
              </w:rPr>
            </w:pPr>
          </w:p>
        </w:tc>
        <w:tc>
          <w:tcPr>
            <w:tcW w:w="1880" w:type="dxa"/>
            <w:vAlign w:val="bottom"/>
            <w:tcBorders>
              <w:bottom w:val="single" w:sz="8" w:color="auto"/>
              <w:right w:val="single" w:sz="8" w:color="auto"/>
            </w:tcBorders>
          </w:tcPr>
          <w:p>
            <w:pPr>
              <w:spacing w:after="0"/>
              <w:rPr>
                <w:sz w:val="7"/>
                <w:szCs w:val="7"/>
                <w:color w:val="auto"/>
              </w:rPr>
            </w:pPr>
          </w:p>
        </w:tc>
        <w:tc>
          <w:tcPr>
            <w:tcW w:w="1900" w:type="dxa"/>
            <w:vAlign w:val="bottom"/>
            <w:tcBorders>
              <w:bottom w:val="single" w:sz="8" w:color="auto"/>
              <w:right w:val="single" w:sz="8" w:color="auto"/>
            </w:tcBorders>
          </w:tcPr>
          <w:p>
            <w:pPr>
              <w:spacing w:after="0"/>
              <w:rPr>
                <w:sz w:val="7"/>
                <w:szCs w:val="7"/>
                <w:color w:val="auto"/>
              </w:rPr>
            </w:pPr>
          </w:p>
        </w:tc>
        <w:tc>
          <w:tcPr>
            <w:tcW w:w="1460" w:type="dxa"/>
            <w:vAlign w:val="bottom"/>
            <w:tcBorders>
              <w:bottom w:val="single" w:sz="8" w:color="auto"/>
            </w:tcBorders>
          </w:tcPr>
          <w:p>
            <w:pPr>
              <w:spacing w:after="0"/>
              <w:rPr>
                <w:sz w:val="7"/>
                <w:szCs w:val="7"/>
                <w:color w:val="auto"/>
              </w:rPr>
            </w:pPr>
          </w:p>
        </w:tc>
        <w:tc>
          <w:tcPr>
            <w:tcW w:w="4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91"/>
        </w:trPr>
        <w:tc>
          <w:tcPr>
            <w:tcW w:w="3720" w:type="dxa"/>
            <w:vAlign w:val="bottom"/>
            <w:tcBorders>
              <w:left w:val="single" w:sz="8" w:color="auto"/>
              <w:right w:val="single" w:sz="8" w:color="auto"/>
            </w:tcBorders>
          </w:tcPr>
          <w:p>
            <w:pPr>
              <w:spacing w:after="0"/>
              <w:rPr>
                <w:sz w:val="24"/>
                <w:szCs w:val="24"/>
                <w:color w:val="auto"/>
              </w:rPr>
            </w:pPr>
          </w:p>
        </w:tc>
        <w:tc>
          <w:tcPr>
            <w:tcW w:w="1880" w:type="dxa"/>
            <w:vAlign w:val="bottom"/>
            <w:tcBorders>
              <w:right w:val="single" w:sz="8" w:color="auto"/>
            </w:tcBorders>
          </w:tcPr>
          <w:p>
            <w:pPr>
              <w:spacing w:after="0"/>
              <w:rPr>
                <w:sz w:val="24"/>
                <w:szCs w:val="24"/>
                <w:color w:val="auto"/>
              </w:rPr>
            </w:pPr>
          </w:p>
        </w:tc>
        <w:tc>
          <w:tcPr>
            <w:tcW w:w="1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Discounted cash flow</w:t>
            </w:r>
          </w:p>
        </w:tc>
        <w:tc>
          <w:tcPr>
            <w:tcW w:w="1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Discount Rate</w:t>
            </w:r>
          </w:p>
        </w:tc>
        <w:tc>
          <w:tcPr>
            <w:tcW w:w="1460" w:type="dxa"/>
            <w:vAlign w:val="bottom"/>
          </w:tcPr>
          <w:p>
            <w:pPr>
              <w:jc w:val="center"/>
              <w:ind w:left="316"/>
              <w:spacing w:after="0"/>
              <w:rPr>
                <w:sz w:val="20"/>
                <w:szCs w:val="20"/>
                <w:color w:val="auto"/>
              </w:rPr>
            </w:pPr>
            <w:r>
              <w:rPr>
                <w:rFonts w:ascii="Times New Roman" w:cs="Times New Roman" w:eastAsia="Times New Roman" w:hAnsi="Times New Roman"/>
                <w:sz w:val="17"/>
                <w:szCs w:val="17"/>
                <w:color w:val="auto"/>
              </w:rPr>
              <w:t>15.0% (15.0%)</w:t>
            </w:r>
          </w:p>
        </w:tc>
        <w:tc>
          <w:tcPr>
            <w:tcW w:w="4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3720" w:type="dxa"/>
            <w:vAlign w:val="bottom"/>
            <w:tcBorders>
              <w:left w:val="single" w:sz="8" w:color="auto"/>
              <w:bottom w:val="single" w:sz="8" w:color="auto"/>
              <w:right w:val="single" w:sz="8" w:color="auto"/>
            </w:tcBorders>
          </w:tcPr>
          <w:p>
            <w:pPr>
              <w:spacing w:after="0"/>
              <w:rPr>
                <w:sz w:val="7"/>
                <w:szCs w:val="7"/>
                <w:color w:val="auto"/>
              </w:rPr>
            </w:pPr>
          </w:p>
        </w:tc>
        <w:tc>
          <w:tcPr>
            <w:tcW w:w="1880" w:type="dxa"/>
            <w:vAlign w:val="bottom"/>
            <w:tcBorders>
              <w:bottom w:val="single" w:sz="8" w:color="auto"/>
              <w:right w:val="single" w:sz="8" w:color="auto"/>
            </w:tcBorders>
          </w:tcPr>
          <w:p>
            <w:pPr>
              <w:spacing w:after="0"/>
              <w:rPr>
                <w:sz w:val="7"/>
                <w:szCs w:val="7"/>
                <w:color w:val="auto"/>
              </w:rPr>
            </w:pPr>
          </w:p>
        </w:tc>
        <w:tc>
          <w:tcPr>
            <w:tcW w:w="1880" w:type="dxa"/>
            <w:vAlign w:val="bottom"/>
            <w:tcBorders>
              <w:bottom w:val="single" w:sz="8" w:color="auto"/>
              <w:right w:val="single" w:sz="8" w:color="auto"/>
            </w:tcBorders>
          </w:tcPr>
          <w:p>
            <w:pPr>
              <w:spacing w:after="0"/>
              <w:rPr>
                <w:sz w:val="7"/>
                <w:szCs w:val="7"/>
                <w:color w:val="auto"/>
              </w:rPr>
            </w:pPr>
          </w:p>
        </w:tc>
        <w:tc>
          <w:tcPr>
            <w:tcW w:w="1900" w:type="dxa"/>
            <w:vAlign w:val="bottom"/>
            <w:tcBorders>
              <w:bottom w:val="single" w:sz="8" w:color="auto"/>
              <w:right w:val="single" w:sz="8" w:color="auto"/>
            </w:tcBorders>
          </w:tcPr>
          <w:p>
            <w:pPr>
              <w:spacing w:after="0"/>
              <w:rPr>
                <w:sz w:val="7"/>
                <w:szCs w:val="7"/>
                <w:color w:val="auto"/>
              </w:rPr>
            </w:pPr>
          </w:p>
        </w:tc>
        <w:tc>
          <w:tcPr>
            <w:tcW w:w="1460" w:type="dxa"/>
            <w:vAlign w:val="bottom"/>
            <w:tcBorders>
              <w:bottom w:val="single" w:sz="8" w:color="auto"/>
            </w:tcBorders>
          </w:tcPr>
          <w:p>
            <w:pPr>
              <w:spacing w:after="0"/>
              <w:rPr>
                <w:sz w:val="7"/>
                <w:szCs w:val="7"/>
                <w:color w:val="auto"/>
              </w:rPr>
            </w:pPr>
          </w:p>
        </w:tc>
        <w:tc>
          <w:tcPr>
            <w:tcW w:w="4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w:t>
      </w:r>
    </w:p>
    <w:p>
      <w:pPr>
        <w:spacing w:after="0" w:line="119" w:lineRule="exact"/>
        <w:rPr>
          <w:sz w:val="20"/>
          <w:szCs w:val="20"/>
          <w:color w:val="auto"/>
        </w:rPr>
      </w:pPr>
    </w:p>
    <w:p>
      <w:pPr>
        <w:ind w:left="620" w:right="20" w:hanging="617"/>
        <w:spacing w:after="0" w:line="247" w:lineRule="auto"/>
        <w:tabs>
          <w:tab w:leader="none" w:pos="363"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June 30, 2022, the Company used a hybrid market and income approach to value certain common and preferred stock investments as the Company felt this approach better reflected the fair value of these investments. In considering multiple valuation approaches (and consequently, multiple valuation techniques), the valuation approaches and techniques are not likely to change from one period of measurement to the next; however, the weighting of each in determining the final fair value of a Level 3 investment may change based on recent events or transactions. The hybrid approach may also consider certain risk weightings to account for the uncertainty of future events. Refer to “Note 2—Significant Accounting Policies—</w:t>
      </w:r>
      <w:r>
        <w:rPr>
          <w:rFonts w:ascii="Times New Roman" w:cs="Times New Roman" w:eastAsia="Times New Roman" w:hAnsi="Times New Roman"/>
          <w:sz w:val="16"/>
          <w:szCs w:val="16"/>
          <w:i w:val="1"/>
          <w:iCs w:val="1"/>
          <w:color w:val="auto"/>
        </w:rPr>
        <w:t>Investments at Fair Value</w:t>
      </w:r>
      <w:r>
        <w:rPr>
          <w:rFonts w:ascii="Times New Roman" w:cs="Times New Roman" w:eastAsia="Times New Roman" w:hAnsi="Times New Roman"/>
          <w:sz w:val="16"/>
          <w:szCs w:val="16"/>
          <w:color w:val="auto"/>
        </w:rPr>
        <w:t>” for more detail.</w:t>
      </w:r>
    </w:p>
    <w:p>
      <w:pPr>
        <w:spacing w:after="0" w:line="2" w:lineRule="exact"/>
        <w:rPr>
          <w:rFonts w:ascii="Times New Roman" w:cs="Times New Roman" w:eastAsia="Times New Roman" w:hAnsi="Times New Roman"/>
          <w:sz w:val="16"/>
          <w:szCs w:val="16"/>
          <w:color w:val="auto"/>
        </w:rPr>
      </w:pPr>
    </w:p>
    <w:p>
      <w:pPr>
        <w:ind w:left="620" w:right="20" w:hanging="617"/>
        <w:spacing w:after="0" w:line="243" w:lineRule="auto"/>
        <w:tabs>
          <w:tab w:leader="none" w:pos="43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considers all relevant information that can reasonably be obtained when determining the fair value of Level 3 investments. Due to any given portfolio company’s information rights, changes in capital structure, recent events, transactions, or liquidity events, the type and availability of unobservable inputs may change. Increases/(decreases) in revenue multiples, earnings before interest and taxes (“EBIT”) multiples, time to expiration, and stock price/strike price would result in higher (lower) fair values, all else equal. Decreases (increases) in discount rates, volatility, and annual risk rates, would result in higher (lower) fair values, all else equal. The market approach utilizes market value (revenue and EBIT) multiples of publicly traded comparable companies and available precedent sales transactions of comparable companies. The Company carefully considers numerous factors</w:t>
      </w:r>
    </w:p>
    <w:p>
      <w:pPr>
        <w:spacing w:after="0" w:line="200" w:lineRule="exact"/>
        <w:rPr>
          <w:sz w:val="20"/>
          <w:szCs w:val="20"/>
          <w:color w:val="auto"/>
        </w:rPr>
      </w:pPr>
    </w:p>
    <w:p>
      <w:pPr>
        <w:spacing w:after="0" w:line="35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30</w:t>
      </w:r>
    </w:p>
    <w:p>
      <w:pPr>
        <w:sectPr>
          <w:pgSz w:w="11900" w:h="16838" w:orient="portrait"/>
          <w:cols w:equalWidth="0" w:num="1">
            <w:col w:w="11260"/>
          </w:cols>
          <w:pgMar w:left="320" w:top="118" w:right="31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SURO CAPITAL CORP. AND SUBSIDIARIES</w:t>
      </w:r>
    </w:p>
    <w:p>
      <w:pPr>
        <w:spacing w:after="0" w:line="24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June 30, 2022</w:t>
      </w:r>
    </w:p>
    <w:p>
      <w:pPr>
        <w:spacing w:after="0" w:line="372" w:lineRule="exact"/>
        <w:rPr>
          <w:sz w:val="20"/>
          <w:szCs w:val="20"/>
          <w:color w:val="auto"/>
        </w:rPr>
      </w:pPr>
    </w:p>
    <w:p>
      <w:pPr>
        <w:jc w:val="both"/>
        <w:ind w:left="620" w:right="20"/>
        <w:spacing w:after="0" w:line="285" w:lineRule="auto"/>
        <w:rPr>
          <w:sz w:val="20"/>
          <w:szCs w:val="20"/>
          <w:color w:val="auto"/>
        </w:rPr>
      </w:pPr>
      <w:r>
        <w:rPr>
          <w:rFonts w:ascii="Times New Roman" w:cs="Times New Roman" w:eastAsia="Times New Roman" w:hAnsi="Times New Roman"/>
          <w:sz w:val="14"/>
          <w:szCs w:val="14"/>
          <w:color w:val="auto"/>
        </w:rPr>
        <w:t>when selecting the appropriate companies whose multiples are used to value its portfolio companies. These factors include, but are not limited to, the type of organization, similarity to the business being valued, relevant risk factors, as well as size, profitability and growth expectations. In general, precedent transactions include recent rounds of financing, recent purchases made by the Company, and tender offers. Refer to “Note 2—Significant Accounting Policies—</w:t>
      </w:r>
      <w:r>
        <w:rPr>
          <w:rFonts w:ascii="Times New Roman" w:cs="Times New Roman" w:eastAsia="Times New Roman" w:hAnsi="Times New Roman"/>
          <w:sz w:val="14"/>
          <w:szCs w:val="14"/>
          <w:i w:val="1"/>
          <w:iCs w:val="1"/>
          <w:color w:val="auto"/>
        </w:rPr>
        <w:t>Investments at Fair Value</w:t>
      </w:r>
      <w:r>
        <w:rPr>
          <w:rFonts w:ascii="Times New Roman" w:cs="Times New Roman" w:eastAsia="Times New Roman" w:hAnsi="Times New Roman"/>
          <w:sz w:val="14"/>
          <w:szCs w:val="14"/>
          <w:color w:val="auto"/>
        </w:rPr>
        <w:t>” for more detail.</w:t>
      </w:r>
    </w:p>
    <w:p>
      <w:pPr>
        <w:spacing w:after="0" w:line="1" w:lineRule="exact"/>
        <w:rPr>
          <w:sz w:val="20"/>
          <w:szCs w:val="20"/>
          <w:color w:val="auto"/>
        </w:rPr>
      </w:pPr>
    </w:p>
    <w:p>
      <w:pPr>
        <w:ind w:left="340" w:hanging="337"/>
        <w:spacing w:after="0"/>
        <w:tabs>
          <w:tab w:leader="none" w:pos="34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weighted averages are calculated based on the fair market value of each investment.</w:t>
      </w:r>
    </w:p>
    <w:p>
      <w:pPr>
        <w:ind w:left="340" w:hanging="337"/>
        <w:spacing w:after="0"/>
        <w:tabs>
          <w:tab w:leader="none" w:pos="34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Adjusted Funds From Operations, or "AFFO"</w:t>
      </w:r>
    </w:p>
    <w:p>
      <w:pPr>
        <w:spacing w:after="0" w:line="6" w:lineRule="exact"/>
        <w:rPr>
          <w:rFonts w:ascii="Times New Roman" w:cs="Times New Roman" w:eastAsia="Times New Roman" w:hAnsi="Times New Roman"/>
          <w:sz w:val="16"/>
          <w:szCs w:val="16"/>
          <w:color w:val="auto"/>
        </w:rPr>
      </w:pPr>
    </w:p>
    <w:p>
      <w:pPr>
        <w:ind w:left="340" w:hanging="337"/>
        <w:spacing w:after="0"/>
        <w:tabs>
          <w:tab w:leader="none" w:pos="34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Probability-Weighted Expected Return Method, or "PWERM"</w:t>
      </w:r>
    </w:p>
    <w:p>
      <w:pPr>
        <w:spacing w:after="0" w:line="200" w:lineRule="exact"/>
        <w:rPr>
          <w:sz w:val="20"/>
          <w:szCs w:val="20"/>
          <w:color w:val="auto"/>
        </w:rPr>
      </w:pPr>
    </w:p>
    <w:p>
      <w:pPr>
        <w:spacing w:after="0" w:line="23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As of December 31, 2021</w:t>
      </w:r>
    </w:p>
    <w:p>
      <w:pPr>
        <w:spacing w:after="0" w:line="38" w:lineRule="exact"/>
        <w:rPr>
          <w:sz w:val="20"/>
          <w:szCs w:val="20"/>
          <w:color w:val="auto"/>
        </w:rPr>
      </w:pPr>
    </w:p>
    <w:tbl>
      <w:tblPr>
        <w:tblLayout w:type="fixed"/>
        <w:tblInd w:w="10" w:type="dxa"/>
        <w:tblCellMar>
          <w:top w:w="0" w:type="dxa"/>
          <w:left w:w="0" w:type="dxa"/>
          <w:bottom w:w="0" w:type="dxa"/>
          <w:right w:w="0" w:type="dxa"/>
        </w:tblCellMar>
      </w:tblPr>
      <w:tr>
        <w:trPr>
          <w:trHeight w:val="144"/>
        </w:trPr>
        <w:tc>
          <w:tcPr>
            <w:tcW w:w="372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Asset</w:t>
            </w:r>
          </w:p>
        </w:tc>
        <w:tc>
          <w:tcPr>
            <w:tcW w:w="1880" w:type="dxa"/>
            <w:vAlign w:val="bottom"/>
            <w:tcBorders>
              <w:top w:val="single" w:sz="8" w:color="auto"/>
              <w:right w:val="single" w:sz="8" w:color="auto"/>
            </w:tcBorders>
            <w:vMerge w:val="restart"/>
          </w:tcPr>
          <w:p>
            <w:pPr>
              <w:ind w:left="6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880" w:type="dxa"/>
            <w:vAlign w:val="bottom"/>
            <w:tcBorders>
              <w:top w:val="single" w:sz="8" w:color="auto"/>
              <w:right w:val="single" w:sz="8" w:color="auto"/>
            </w:tcBorders>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w w:val="98"/>
              </w:rPr>
              <w:t>Valuation</w:t>
            </w:r>
          </w:p>
        </w:tc>
        <w:tc>
          <w:tcPr>
            <w:tcW w:w="190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Unobservable Inputs</w:t>
            </w:r>
            <w:r>
              <w:rPr>
                <w:rFonts w:ascii="Times New Roman" w:cs="Times New Roman" w:eastAsia="Times New Roman" w:hAnsi="Times New Roman"/>
                <w:sz w:val="8"/>
                <w:szCs w:val="8"/>
                <w:b w:val="1"/>
                <w:bCs w:val="1"/>
                <w:color w:val="auto"/>
                <w:w w:val="98"/>
              </w:rPr>
              <w:t>(2)</w:t>
            </w:r>
          </w:p>
        </w:tc>
        <w:tc>
          <w:tcPr>
            <w:tcW w:w="1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Range</w:t>
            </w:r>
          </w:p>
        </w:tc>
        <w:tc>
          <w:tcPr>
            <w:tcW w:w="740" w:type="dxa"/>
            <w:vAlign w:val="bottom"/>
            <w:tcBorders>
              <w:top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3720" w:type="dxa"/>
            <w:vAlign w:val="bottom"/>
            <w:tcBorders>
              <w:left w:val="single" w:sz="8" w:color="auto"/>
              <w:right w:val="single" w:sz="8" w:color="auto"/>
            </w:tcBorders>
            <w:vMerge w:val="continue"/>
          </w:tcPr>
          <w:p>
            <w:pPr>
              <w:spacing w:after="0"/>
              <w:rPr>
                <w:sz w:val="12"/>
                <w:szCs w:val="12"/>
                <w:color w:val="auto"/>
              </w:rPr>
            </w:pPr>
          </w:p>
        </w:tc>
        <w:tc>
          <w:tcPr>
            <w:tcW w:w="1880" w:type="dxa"/>
            <w:vAlign w:val="bottom"/>
            <w:tcBorders>
              <w:right w:val="single" w:sz="8" w:color="auto"/>
            </w:tcBorders>
            <w:vMerge w:val="continue"/>
          </w:tcPr>
          <w:p>
            <w:pPr>
              <w:spacing w:after="0"/>
              <w:rPr>
                <w:sz w:val="12"/>
                <w:szCs w:val="12"/>
                <w:color w:val="auto"/>
              </w:rPr>
            </w:pPr>
          </w:p>
        </w:tc>
        <w:tc>
          <w:tcPr>
            <w:tcW w:w="1880" w:type="dxa"/>
            <w:vAlign w:val="bottom"/>
            <w:tcBorders>
              <w:right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7"/>
              </w:rPr>
              <w:t>Approach/</w:t>
            </w:r>
          </w:p>
        </w:tc>
        <w:tc>
          <w:tcPr>
            <w:tcW w:w="1900" w:type="dxa"/>
            <w:vAlign w:val="bottom"/>
            <w:tcBorders>
              <w:right w:val="single" w:sz="8" w:color="auto"/>
            </w:tcBorders>
            <w:vMerge w:val="continue"/>
          </w:tcPr>
          <w:p>
            <w:pPr>
              <w:spacing w:after="0"/>
              <w:rPr>
                <w:sz w:val="12"/>
                <w:szCs w:val="12"/>
                <w:color w:val="auto"/>
              </w:rPr>
            </w:pPr>
          </w:p>
        </w:tc>
        <w:tc>
          <w:tcPr>
            <w:tcW w:w="1140" w:type="dxa"/>
            <w:vAlign w:val="bottom"/>
            <w:vMerge w:val="continue"/>
          </w:tcPr>
          <w:p>
            <w:pPr>
              <w:spacing w:after="0"/>
              <w:rPr>
                <w:sz w:val="12"/>
                <w:szCs w:val="12"/>
                <w:color w:val="auto"/>
              </w:rPr>
            </w:pPr>
          </w:p>
        </w:tc>
        <w:tc>
          <w:tcPr>
            <w:tcW w:w="74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9"/>
                <w:szCs w:val="9"/>
                <w:b w:val="1"/>
                <w:bCs w:val="1"/>
                <w:color w:val="auto"/>
              </w:rPr>
              <w:t>(3)</w:t>
            </w:r>
          </w:p>
        </w:tc>
        <w:tc>
          <w:tcPr>
            <w:tcW w:w="0" w:type="dxa"/>
            <w:vAlign w:val="bottom"/>
          </w:tcPr>
          <w:p>
            <w:pPr>
              <w:spacing w:after="0"/>
              <w:rPr>
                <w:sz w:val="1"/>
                <w:szCs w:val="1"/>
                <w:color w:val="auto"/>
              </w:rPr>
            </w:pPr>
          </w:p>
        </w:tc>
      </w:tr>
      <w:tr>
        <w:trPr>
          <w:trHeight w:val="194"/>
        </w:trPr>
        <w:tc>
          <w:tcPr>
            <w:tcW w:w="3720" w:type="dxa"/>
            <w:vAlign w:val="bottom"/>
            <w:tcBorders>
              <w:left w:val="single" w:sz="8" w:color="auto"/>
              <w:bottom w:val="single" w:sz="8" w:color="auto"/>
              <w:right w:val="single" w:sz="8" w:color="auto"/>
            </w:tcBorders>
          </w:tcPr>
          <w:p>
            <w:pPr>
              <w:spacing w:after="0"/>
              <w:rPr>
                <w:sz w:val="16"/>
                <w:szCs w:val="16"/>
                <w:color w:val="auto"/>
              </w:rPr>
            </w:pPr>
          </w:p>
        </w:tc>
        <w:tc>
          <w:tcPr>
            <w:tcW w:w="1880" w:type="dxa"/>
            <w:vAlign w:val="bottom"/>
            <w:tcBorders>
              <w:bottom w:val="single" w:sz="8" w:color="auto"/>
              <w:right w:val="single" w:sz="8" w:color="auto"/>
            </w:tcBorders>
          </w:tcPr>
          <w:p>
            <w:pPr>
              <w:spacing w:after="0"/>
              <w:rPr>
                <w:sz w:val="16"/>
                <w:szCs w:val="16"/>
                <w:color w:val="auto"/>
              </w:rPr>
            </w:pPr>
          </w:p>
        </w:tc>
        <w:tc>
          <w:tcPr>
            <w:tcW w:w="1880" w:type="dxa"/>
            <w:vAlign w:val="bottom"/>
            <w:tcBorders>
              <w:bottom w:val="single" w:sz="8" w:color="auto"/>
              <w:right w:val="single" w:sz="8" w:color="auto"/>
            </w:tcBorders>
          </w:tcPr>
          <w:p>
            <w:pPr>
              <w:jc w:val="center"/>
              <w:spacing w:after="0" w:line="194" w:lineRule="exact"/>
              <w:rPr>
                <w:sz w:val="20"/>
                <w:szCs w:val="20"/>
                <w:color w:val="auto"/>
              </w:rPr>
            </w:pPr>
            <w:r>
              <w:rPr>
                <w:rFonts w:ascii="Times New Roman" w:cs="Times New Roman" w:eastAsia="Times New Roman" w:hAnsi="Times New Roman"/>
                <w:sz w:val="14"/>
                <w:szCs w:val="14"/>
                <w:b w:val="1"/>
                <w:bCs w:val="1"/>
                <w:color w:val="auto"/>
                <w:w w:val="91"/>
              </w:rPr>
              <w:t>Technique</w:t>
            </w:r>
            <w:r>
              <w:rPr>
                <w:rFonts w:ascii="Times New Roman" w:cs="Times New Roman" w:eastAsia="Times New Roman" w:hAnsi="Times New Roman"/>
                <w:sz w:val="17"/>
                <w:szCs w:val="17"/>
                <w:b w:val="1"/>
                <w:bCs w:val="1"/>
                <w:color w:val="auto"/>
                <w:w w:val="91"/>
                <w:vertAlign w:val="superscript"/>
              </w:rPr>
              <w:t>(1)</w:t>
            </w:r>
          </w:p>
        </w:tc>
        <w:tc>
          <w:tcPr>
            <w:tcW w:w="1900" w:type="dxa"/>
            <w:vAlign w:val="bottom"/>
            <w:tcBorders>
              <w:bottom w:val="single" w:sz="8" w:color="auto"/>
              <w:right w:val="single" w:sz="8" w:color="auto"/>
            </w:tcBorders>
          </w:tcPr>
          <w:p>
            <w:pPr>
              <w:spacing w:after="0"/>
              <w:rPr>
                <w:sz w:val="16"/>
                <w:szCs w:val="16"/>
                <w:color w:val="auto"/>
              </w:rPr>
            </w:pPr>
          </w:p>
        </w:tc>
        <w:tc>
          <w:tcPr>
            <w:tcW w:w="1880" w:type="dxa"/>
            <w:vAlign w:val="bottom"/>
            <w:tcBorders>
              <w:bottom w:val="single" w:sz="8" w:color="auto"/>
              <w:right w:val="single" w:sz="8" w:color="auto"/>
            </w:tcBorders>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291"/>
        </w:trPr>
        <w:tc>
          <w:tcPr>
            <w:tcW w:w="3720" w:type="dxa"/>
            <w:vAlign w:val="bottom"/>
            <w:tcBorders>
              <w:left w:val="single" w:sz="8" w:color="auto"/>
              <w:right w:val="single" w:sz="8" w:color="auto"/>
            </w:tcBorders>
          </w:tcPr>
          <w:p>
            <w:pPr>
              <w:spacing w:after="0"/>
              <w:rPr>
                <w:sz w:val="24"/>
                <w:szCs w:val="24"/>
                <w:color w:val="auto"/>
              </w:rPr>
            </w:pPr>
          </w:p>
        </w:tc>
        <w:tc>
          <w:tcPr>
            <w:tcW w:w="1880" w:type="dxa"/>
            <w:vAlign w:val="bottom"/>
            <w:tcBorders>
              <w:right w:val="single" w:sz="8" w:color="auto"/>
            </w:tcBorders>
          </w:tcPr>
          <w:p>
            <w:pPr>
              <w:spacing w:after="0"/>
              <w:rPr>
                <w:sz w:val="24"/>
                <w:szCs w:val="24"/>
                <w:color w:val="auto"/>
              </w:rPr>
            </w:pPr>
          </w:p>
        </w:tc>
        <w:tc>
          <w:tcPr>
            <w:tcW w:w="1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Market approach</w:t>
            </w:r>
          </w:p>
        </w:tc>
        <w:tc>
          <w:tcPr>
            <w:tcW w:w="1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Revenue multiples</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1.80x - 9.62x</w:t>
            </w:r>
          </w:p>
        </w:tc>
        <w:tc>
          <w:tcPr>
            <w:tcW w:w="7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(6.00x)</w:t>
            </w:r>
          </w:p>
        </w:tc>
        <w:tc>
          <w:tcPr>
            <w:tcW w:w="0" w:type="dxa"/>
            <w:vAlign w:val="bottom"/>
          </w:tcPr>
          <w:p>
            <w:pPr>
              <w:spacing w:after="0"/>
              <w:rPr>
                <w:sz w:val="1"/>
                <w:szCs w:val="1"/>
                <w:color w:val="auto"/>
              </w:rPr>
            </w:pPr>
          </w:p>
        </w:tc>
      </w:tr>
      <w:tr>
        <w:trPr>
          <w:trHeight w:val="90"/>
        </w:trPr>
        <w:tc>
          <w:tcPr>
            <w:tcW w:w="3720" w:type="dxa"/>
            <w:vAlign w:val="bottom"/>
            <w:tcBorders>
              <w:left w:val="single" w:sz="8" w:color="auto"/>
              <w:right w:val="single" w:sz="8" w:color="auto"/>
            </w:tcBorders>
          </w:tcPr>
          <w:p>
            <w:pPr>
              <w:spacing w:after="0"/>
              <w:rPr>
                <w:sz w:val="7"/>
                <w:szCs w:val="7"/>
                <w:color w:val="auto"/>
              </w:rPr>
            </w:pPr>
          </w:p>
        </w:tc>
        <w:tc>
          <w:tcPr>
            <w:tcW w:w="1880" w:type="dxa"/>
            <w:vAlign w:val="bottom"/>
            <w:tcBorders>
              <w:right w:val="single" w:sz="8" w:color="auto"/>
            </w:tcBorders>
          </w:tcPr>
          <w:p>
            <w:pPr>
              <w:spacing w:after="0"/>
              <w:rPr>
                <w:sz w:val="7"/>
                <w:szCs w:val="7"/>
                <w:color w:val="auto"/>
              </w:rPr>
            </w:pPr>
          </w:p>
        </w:tc>
        <w:tc>
          <w:tcPr>
            <w:tcW w:w="1880" w:type="dxa"/>
            <w:vAlign w:val="bottom"/>
            <w:tcBorders>
              <w:bottom w:val="single" w:sz="8" w:color="auto"/>
              <w:right w:val="single" w:sz="8" w:color="auto"/>
            </w:tcBorders>
          </w:tcPr>
          <w:p>
            <w:pPr>
              <w:spacing w:after="0"/>
              <w:rPr>
                <w:sz w:val="7"/>
                <w:szCs w:val="7"/>
                <w:color w:val="auto"/>
              </w:rPr>
            </w:pPr>
          </w:p>
        </w:tc>
        <w:tc>
          <w:tcPr>
            <w:tcW w:w="1900" w:type="dxa"/>
            <w:vAlign w:val="bottom"/>
            <w:tcBorders>
              <w:bottom w:val="single" w:sz="8" w:color="auto"/>
              <w:right w:val="single" w:sz="8" w:color="auto"/>
            </w:tcBorders>
          </w:tcPr>
          <w:p>
            <w:pPr>
              <w:spacing w:after="0"/>
              <w:rPr>
                <w:sz w:val="7"/>
                <w:szCs w:val="7"/>
                <w:color w:val="auto"/>
              </w:rPr>
            </w:pPr>
          </w:p>
        </w:tc>
        <w:tc>
          <w:tcPr>
            <w:tcW w:w="1880" w:type="dxa"/>
            <w:vAlign w:val="bottom"/>
            <w:tcBorders>
              <w:bottom w:val="single" w:sz="8" w:color="auto"/>
              <w:right w:val="single" w:sz="8" w:color="auto"/>
            </w:tcBorders>
            <w:gridSpan w:val="2"/>
          </w:tcPr>
          <w:p>
            <w:pPr>
              <w:spacing w:after="0"/>
              <w:rPr>
                <w:sz w:val="7"/>
                <w:szCs w:val="7"/>
                <w:color w:val="auto"/>
              </w:rPr>
            </w:pPr>
          </w:p>
        </w:tc>
        <w:tc>
          <w:tcPr>
            <w:tcW w:w="0" w:type="dxa"/>
            <w:vAlign w:val="bottom"/>
          </w:tcPr>
          <w:p>
            <w:pPr>
              <w:spacing w:after="0"/>
              <w:rPr>
                <w:sz w:val="1"/>
                <w:szCs w:val="1"/>
                <w:color w:val="auto"/>
              </w:rPr>
            </w:pPr>
          </w:p>
        </w:tc>
      </w:tr>
      <w:tr>
        <w:trPr>
          <w:trHeight w:val="265"/>
        </w:trPr>
        <w:tc>
          <w:tcPr>
            <w:tcW w:w="3720" w:type="dxa"/>
            <w:vAlign w:val="bottom"/>
            <w:tcBorders>
              <w:left w:val="single" w:sz="8" w:color="auto"/>
              <w:right w:val="single" w:sz="8" w:color="auto"/>
            </w:tcBorders>
          </w:tcPr>
          <w:p>
            <w:pPr>
              <w:spacing w:after="0"/>
              <w:rPr>
                <w:sz w:val="23"/>
                <w:szCs w:val="23"/>
                <w:color w:val="auto"/>
              </w:rPr>
            </w:pPr>
          </w:p>
        </w:tc>
        <w:tc>
          <w:tcPr>
            <w:tcW w:w="1880" w:type="dxa"/>
            <w:vAlign w:val="bottom"/>
            <w:tcBorders>
              <w:right w:val="single" w:sz="8" w:color="auto"/>
            </w:tcBorders>
          </w:tcPr>
          <w:p>
            <w:pPr>
              <w:spacing w:after="0"/>
              <w:rPr>
                <w:sz w:val="23"/>
                <w:szCs w:val="23"/>
                <w:color w:val="auto"/>
              </w:rPr>
            </w:pPr>
          </w:p>
        </w:tc>
        <w:tc>
          <w:tcPr>
            <w:tcW w:w="1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Discounted cash flow</w:t>
            </w:r>
          </w:p>
        </w:tc>
        <w:tc>
          <w:tcPr>
            <w:tcW w:w="1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Discount rate</w:t>
            </w:r>
          </w:p>
        </w:tc>
        <w:tc>
          <w:tcPr>
            <w:tcW w:w="188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7"/>
                <w:szCs w:val="17"/>
                <w:color w:val="auto"/>
              </w:rPr>
              <w:t>15.0% (15.0%)</w:t>
            </w:r>
          </w:p>
        </w:tc>
        <w:tc>
          <w:tcPr>
            <w:tcW w:w="0" w:type="dxa"/>
            <w:vAlign w:val="bottom"/>
          </w:tcPr>
          <w:p>
            <w:pPr>
              <w:spacing w:after="0"/>
              <w:rPr>
                <w:sz w:val="1"/>
                <w:szCs w:val="1"/>
                <w:color w:val="auto"/>
              </w:rPr>
            </w:pPr>
          </w:p>
        </w:tc>
      </w:tr>
      <w:tr>
        <w:trPr>
          <w:trHeight w:val="64"/>
        </w:trPr>
        <w:tc>
          <w:tcPr>
            <w:tcW w:w="3720" w:type="dxa"/>
            <w:vAlign w:val="bottom"/>
            <w:tcBorders>
              <w:left w:val="single" w:sz="8" w:color="auto"/>
              <w:right w:val="single" w:sz="8" w:color="auto"/>
            </w:tcBorders>
          </w:tcPr>
          <w:p>
            <w:pPr>
              <w:spacing w:after="0"/>
              <w:rPr>
                <w:sz w:val="5"/>
                <w:szCs w:val="5"/>
                <w:color w:val="auto"/>
              </w:rPr>
            </w:pPr>
          </w:p>
        </w:tc>
        <w:tc>
          <w:tcPr>
            <w:tcW w:w="1880" w:type="dxa"/>
            <w:vAlign w:val="bottom"/>
            <w:tcBorders>
              <w:right w:val="single" w:sz="8" w:color="auto"/>
            </w:tcBorders>
          </w:tcPr>
          <w:p>
            <w:pPr>
              <w:spacing w:after="0"/>
              <w:rPr>
                <w:sz w:val="5"/>
                <w:szCs w:val="5"/>
                <w:color w:val="auto"/>
              </w:rPr>
            </w:pPr>
          </w:p>
        </w:tc>
        <w:tc>
          <w:tcPr>
            <w:tcW w:w="1880" w:type="dxa"/>
            <w:vAlign w:val="bottom"/>
            <w:tcBorders>
              <w:bottom w:val="single" w:sz="8" w:color="auto"/>
              <w:right w:val="single" w:sz="8" w:color="auto"/>
            </w:tcBorders>
          </w:tcPr>
          <w:p>
            <w:pPr>
              <w:spacing w:after="0"/>
              <w:rPr>
                <w:sz w:val="5"/>
                <w:szCs w:val="5"/>
                <w:color w:val="auto"/>
              </w:rPr>
            </w:pPr>
          </w:p>
        </w:tc>
        <w:tc>
          <w:tcPr>
            <w:tcW w:w="1900" w:type="dxa"/>
            <w:vAlign w:val="bottom"/>
            <w:tcBorders>
              <w:bottom w:val="single" w:sz="8" w:color="auto"/>
              <w:right w:val="single" w:sz="8" w:color="auto"/>
            </w:tcBorders>
          </w:tcPr>
          <w:p>
            <w:pPr>
              <w:spacing w:after="0"/>
              <w:rPr>
                <w:sz w:val="5"/>
                <w:szCs w:val="5"/>
                <w:color w:val="auto"/>
              </w:rPr>
            </w:pPr>
          </w:p>
        </w:tc>
        <w:tc>
          <w:tcPr>
            <w:tcW w:w="1880" w:type="dxa"/>
            <w:vAlign w:val="bottom"/>
            <w:tcBorders>
              <w:bottom w:val="single" w:sz="8" w:color="auto"/>
              <w:right w:val="single" w:sz="8" w:color="auto"/>
            </w:tcBorders>
            <w:gridSpan w:val="2"/>
          </w:tcPr>
          <w:p>
            <w:pPr>
              <w:spacing w:after="0"/>
              <w:rPr>
                <w:sz w:val="5"/>
                <w:szCs w:val="5"/>
                <w:color w:val="auto"/>
              </w:rPr>
            </w:pPr>
          </w:p>
        </w:tc>
        <w:tc>
          <w:tcPr>
            <w:tcW w:w="0" w:type="dxa"/>
            <w:vAlign w:val="bottom"/>
          </w:tcPr>
          <w:p>
            <w:pPr>
              <w:spacing w:after="0"/>
              <w:rPr>
                <w:sz w:val="1"/>
                <w:szCs w:val="1"/>
                <w:color w:val="auto"/>
              </w:rPr>
            </w:pPr>
          </w:p>
        </w:tc>
      </w:tr>
      <w:tr>
        <w:trPr>
          <w:trHeight w:val="376"/>
        </w:trPr>
        <w:tc>
          <w:tcPr>
            <w:tcW w:w="37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Common stock in private companies</w:t>
            </w:r>
          </w:p>
        </w:tc>
        <w:tc>
          <w:tcPr>
            <w:tcW w:w="1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$42,860,156</w:t>
            </w:r>
          </w:p>
        </w:tc>
        <w:tc>
          <w:tcPr>
            <w:tcW w:w="1880" w:type="dxa"/>
            <w:vAlign w:val="bottom"/>
            <w:tcBorders>
              <w:right w:val="single" w:sz="8" w:color="auto"/>
            </w:tcBorders>
          </w:tcPr>
          <w:p>
            <w:pPr>
              <w:spacing w:after="0"/>
              <w:rPr>
                <w:sz w:val="24"/>
                <w:szCs w:val="24"/>
                <w:color w:val="auto"/>
              </w:rPr>
            </w:pPr>
          </w:p>
        </w:tc>
        <w:tc>
          <w:tcPr>
            <w:tcW w:w="1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5"/>
              </w:rPr>
              <w:t>DLOM</w:t>
            </w:r>
            <w:r>
              <w:rPr>
                <w:rFonts w:ascii="Times New Roman" w:cs="Times New Roman" w:eastAsia="Times New Roman" w:hAnsi="Times New Roman"/>
                <w:sz w:val="22"/>
                <w:szCs w:val="22"/>
                <w:color w:val="auto"/>
                <w:w w:val="95"/>
                <w:vertAlign w:val="superscript"/>
              </w:rPr>
              <w:t>(6)</w:t>
            </w:r>
          </w:p>
        </w:tc>
        <w:tc>
          <w:tcPr>
            <w:tcW w:w="188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7"/>
                <w:szCs w:val="17"/>
                <w:color w:val="auto"/>
              </w:rPr>
              <w:t>10.0% (10.0%)</w:t>
            </w:r>
          </w:p>
        </w:tc>
        <w:tc>
          <w:tcPr>
            <w:tcW w:w="0" w:type="dxa"/>
            <w:vAlign w:val="bottom"/>
          </w:tcPr>
          <w:p>
            <w:pPr>
              <w:spacing w:after="0"/>
              <w:rPr>
                <w:sz w:val="1"/>
                <w:szCs w:val="1"/>
                <w:color w:val="auto"/>
              </w:rPr>
            </w:pPr>
          </w:p>
        </w:tc>
      </w:tr>
      <w:tr>
        <w:trPr>
          <w:trHeight w:val="381"/>
        </w:trPr>
        <w:tc>
          <w:tcPr>
            <w:tcW w:w="3720" w:type="dxa"/>
            <w:vAlign w:val="bottom"/>
            <w:tcBorders>
              <w:left w:val="single" w:sz="8" w:color="auto"/>
              <w:right w:val="single" w:sz="8" w:color="auto"/>
            </w:tcBorders>
          </w:tcPr>
          <w:p>
            <w:pPr>
              <w:spacing w:after="0"/>
              <w:rPr>
                <w:sz w:val="24"/>
                <w:szCs w:val="24"/>
                <w:color w:val="auto"/>
              </w:rPr>
            </w:pPr>
          </w:p>
        </w:tc>
        <w:tc>
          <w:tcPr>
            <w:tcW w:w="1880" w:type="dxa"/>
            <w:vAlign w:val="bottom"/>
            <w:tcBorders>
              <w:right w:val="single" w:sz="8" w:color="auto"/>
            </w:tcBorders>
          </w:tcPr>
          <w:p>
            <w:pPr>
              <w:spacing w:after="0"/>
              <w:rPr>
                <w:sz w:val="24"/>
                <w:szCs w:val="24"/>
                <w:color w:val="auto"/>
              </w:rPr>
            </w:pPr>
          </w:p>
        </w:tc>
        <w:tc>
          <w:tcPr>
            <w:tcW w:w="1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8"/>
              </w:rPr>
              <w:t>PWERM</w:t>
            </w:r>
            <w:r>
              <w:rPr>
                <w:rFonts w:ascii="Times New Roman" w:cs="Times New Roman" w:eastAsia="Times New Roman" w:hAnsi="Times New Roman"/>
                <w:sz w:val="22"/>
                <w:szCs w:val="22"/>
                <w:color w:val="auto"/>
                <w:w w:val="98"/>
                <w:vertAlign w:val="superscript"/>
              </w:rPr>
              <w:t>(5)</w:t>
            </w:r>
          </w:p>
        </w:tc>
        <w:tc>
          <w:tcPr>
            <w:tcW w:w="1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8"/>
              </w:rPr>
              <w:t>AFFO</w:t>
            </w:r>
            <w:r>
              <w:rPr>
                <w:rFonts w:ascii="Times New Roman" w:cs="Times New Roman" w:eastAsia="Times New Roman" w:hAnsi="Times New Roman"/>
                <w:sz w:val="22"/>
                <w:szCs w:val="22"/>
                <w:color w:val="auto"/>
                <w:w w:val="98"/>
                <w:vertAlign w:val="superscript"/>
              </w:rPr>
              <w:t>(4)</w:t>
            </w:r>
            <w:r>
              <w:rPr>
                <w:rFonts w:ascii="Times New Roman" w:cs="Times New Roman" w:eastAsia="Times New Roman" w:hAnsi="Times New Roman"/>
                <w:sz w:val="17"/>
                <w:szCs w:val="17"/>
                <w:color w:val="auto"/>
                <w:w w:val="98"/>
              </w:rPr>
              <w:t xml:space="preserve"> multiple</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23.03 - 36.28x</w:t>
            </w:r>
          </w:p>
        </w:tc>
        <w:tc>
          <w:tcPr>
            <w:tcW w:w="7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(23.03x)</w:t>
            </w:r>
          </w:p>
        </w:tc>
        <w:tc>
          <w:tcPr>
            <w:tcW w:w="0" w:type="dxa"/>
            <w:vAlign w:val="bottom"/>
          </w:tcPr>
          <w:p>
            <w:pPr>
              <w:spacing w:after="0"/>
              <w:rPr>
                <w:sz w:val="1"/>
                <w:szCs w:val="1"/>
                <w:color w:val="auto"/>
              </w:rPr>
            </w:pPr>
          </w:p>
        </w:tc>
      </w:tr>
      <w:tr>
        <w:trPr>
          <w:trHeight w:val="296"/>
        </w:trPr>
        <w:tc>
          <w:tcPr>
            <w:tcW w:w="3720" w:type="dxa"/>
            <w:vAlign w:val="bottom"/>
            <w:tcBorders>
              <w:left w:val="single" w:sz="8" w:color="auto"/>
              <w:right w:val="single" w:sz="8" w:color="auto"/>
            </w:tcBorders>
          </w:tcPr>
          <w:p>
            <w:pPr>
              <w:spacing w:after="0"/>
              <w:rPr>
                <w:sz w:val="24"/>
                <w:szCs w:val="24"/>
                <w:color w:val="auto"/>
              </w:rPr>
            </w:pPr>
          </w:p>
        </w:tc>
        <w:tc>
          <w:tcPr>
            <w:tcW w:w="1880" w:type="dxa"/>
            <w:vAlign w:val="bottom"/>
            <w:tcBorders>
              <w:right w:val="single" w:sz="8" w:color="auto"/>
            </w:tcBorders>
          </w:tcPr>
          <w:p>
            <w:pPr>
              <w:spacing w:after="0"/>
              <w:rPr>
                <w:sz w:val="24"/>
                <w:szCs w:val="24"/>
                <w:color w:val="auto"/>
              </w:rPr>
            </w:pPr>
          </w:p>
        </w:tc>
        <w:tc>
          <w:tcPr>
            <w:tcW w:w="1880" w:type="dxa"/>
            <w:vAlign w:val="bottom"/>
            <w:tcBorders>
              <w:right w:val="single" w:sz="8" w:color="auto"/>
            </w:tcBorders>
          </w:tcPr>
          <w:p>
            <w:pPr>
              <w:spacing w:after="0"/>
              <w:rPr>
                <w:sz w:val="24"/>
                <w:szCs w:val="24"/>
                <w:color w:val="auto"/>
              </w:rPr>
            </w:pPr>
          </w:p>
        </w:tc>
        <w:tc>
          <w:tcPr>
            <w:tcW w:w="1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Financing Risk</w:t>
            </w:r>
          </w:p>
        </w:tc>
        <w:tc>
          <w:tcPr>
            <w:tcW w:w="188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7"/>
                <w:szCs w:val="17"/>
                <w:color w:val="auto"/>
              </w:rPr>
              <w:t>10.0% (10.0%)</w:t>
            </w:r>
          </w:p>
        </w:tc>
        <w:tc>
          <w:tcPr>
            <w:tcW w:w="0" w:type="dxa"/>
            <w:vAlign w:val="bottom"/>
          </w:tcPr>
          <w:p>
            <w:pPr>
              <w:spacing w:after="0"/>
              <w:rPr>
                <w:sz w:val="1"/>
                <w:szCs w:val="1"/>
                <w:color w:val="auto"/>
              </w:rPr>
            </w:pPr>
          </w:p>
        </w:tc>
      </w:tr>
      <w:tr>
        <w:trPr>
          <w:trHeight w:val="90"/>
        </w:trPr>
        <w:tc>
          <w:tcPr>
            <w:tcW w:w="3720" w:type="dxa"/>
            <w:vAlign w:val="bottom"/>
            <w:tcBorders>
              <w:left w:val="single" w:sz="8" w:color="auto"/>
              <w:bottom w:val="single" w:sz="8" w:color="auto"/>
              <w:right w:val="single" w:sz="8" w:color="auto"/>
            </w:tcBorders>
          </w:tcPr>
          <w:p>
            <w:pPr>
              <w:spacing w:after="0"/>
              <w:rPr>
                <w:sz w:val="7"/>
                <w:szCs w:val="7"/>
                <w:color w:val="auto"/>
              </w:rPr>
            </w:pPr>
          </w:p>
        </w:tc>
        <w:tc>
          <w:tcPr>
            <w:tcW w:w="1880" w:type="dxa"/>
            <w:vAlign w:val="bottom"/>
            <w:tcBorders>
              <w:bottom w:val="single" w:sz="8" w:color="auto"/>
              <w:right w:val="single" w:sz="8" w:color="auto"/>
            </w:tcBorders>
          </w:tcPr>
          <w:p>
            <w:pPr>
              <w:spacing w:after="0"/>
              <w:rPr>
                <w:sz w:val="7"/>
                <w:szCs w:val="7"/>
                <w:color w:val="auto"/>
              </w:rPr>
            </w:pPr>
          </w:p>
        </w:tc>
        <w:tc>
          <w:tcPr>
            <w:tcW w:w="1880" w:type="dxa"/>
            <w:vAlign w:val="bottom"/>
            <w:tcBorders>
              <w:bottom w:val="single" w:sz="8" w:color="auto"/>
              <w:right w:val="single" w:sz="8" w:color="auto"/>
            </w:tcBorders>
          </w:tcPr>
          <w:p>
            <w:pPr>
              <w:spacing w:after="0"/>
              <w:rPr>
                <w:sz w:val="7"/>
                <w:szCs w:val="7"/>
                <w:color w:val="auto"/>
              </w:rPr>
            </w:pPr>
          </w:p>
        </w:tc>
        <w:tc>
          <w:tcPr>
            <w:tcW w:w="1900" w:type="dxa"/>
            <w:vAlign w:val="bottom"/>
            <w:tcBorders>
              <w:bottom w:val="single" w:sz="8" w:color="auto"/>
              <w:right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7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65"/>
        </w:trPr>
        <w:tc>
          <w:tcPr>
            <w:tcW w:w="3720" w:type="dxa"/>
            <w:vAlign w:val="bottom"/>
            <w:tcBorders>
              <w:left w:val="single" w:sz="8" w:color="auto"/>
              <w:right w:val="single" w:sz="8" w:color="auto"/>
            </w:tcBorders>
          </w:tcPr>
          <w:p>
            <w:pPr>
              <w:spacing w:after="0"/>
              <w:rPr>
                <w:sz w:val="23"/>
                <w:szCs w:val="23"/>
                <w:color w:val="auto"/>
              </w:rPr>
            </w:pPr>
          </w:p>
        </w:tc>
        <w:tc>
          <w:tcPr>
            <w:tcW w:w="1880" w:type="dxa"/>
            <w:vAlign w:val="bottom"/>
            <w:tcBorders>
              <w:right w:val="single" w:sz="8" w:color="auto"/>
            </w:tcBorders>
          </w:tcPr>
          <w:p>
            <w:pPr>
              <w:spacing w:after="0"/>
              <w:rPr>
                <w:sz w:val="23"/>
                <w:szCs w:val="23"/>
                <w:color w:val="auto"/>
              </w:rPr>
            </w:pPr>
          </w:p>
        </w:tc>
        <w:tc>
          <w:tcPr>
            <w:tcW w:w="1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Market approach</w:t>
            </w:r>
          </w:p>
        </w:tc>
        <w:tc>
          <w:tcPr>
            <w:tcW w:w="1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Revenue multiples</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0.53x - 9.62x</w:t>
            </w:r>
          </w:p>
        </w:tc>
        <w:tc>
          <w:tcPr>
            <w:tcW w:w="7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(6.63x)</w:t>
            </w:r>
          </w:p>
        </w:tc>
        <w:tc>
          <w:tcPr>
            <w:tcW w:w="0" w:type="dxa"/>
            <w:vAlign w:val="bottom"/>
          </w:tcPr>
          <w:p>
            <w:pPr>
              <w:spacing w:after="0"/>
              <w:rPr>
                <w:sz w:val="1"/>
                <w:szCs w:val="1"/>
                <w:color w:val="auto"/>
              </w:rPr>
            </w:pPr>
          </w:p>
        </w:tc>
      </w:tr>
      <w:tr>
        <w:trPr>
          <w:trHeight w:val="64"/>
        </w:trPr>
        <w:tc>
          <w:tcPr>
            <w:tcW w:w="3720" w:type="dxa"/>
            <w:vAlign w:val="bottom"/>
            <w:tcBorders>
              <w:left w:val="single" w:sz="8" w:color="auto"/>
              <w:right w:val="single" w:sz="8" w:color="auto"/>
            </w:tcBorders>
          </w:tcPr>
          <w:p>
            <w:pPr>
              <w:spacing w:after="0"/>
              <w:rPr>
                <w:sz w:val="5"/>
                <w:szCs w:val="5"/>
                <w:color w:val="auto"/>
              </w:rPr>
            </w:pPr>
          </w:p>
        </w:tc>
        <w:tc>
          <w:tcPr>
            <w:tcW w:w="1880" w:type="dxa"/>
            <w:vAlign w:val="bottom"/>
            <w:tcBorders>
              <w:right w:val="single" w:sz="8" w:color="auto"/>
            </w:tcBorders>
          </w:tcPr>
          <w:p>
            <w:pPr>
              <w:spacing w:after="0"/>
              <w:rPr>
                <w:sz w:val="5"/>
                <w:szCs w:val="5"/>
                <w:color w:val="auto"/>
              </w:rPr>
            </w:pPr>
          </w:p>
        </w:tc>
        <w:tc>
          <w:tcPr>
            <w:tcW w:w="1880" w:type="dxa"/>
            <w:vAlign w:val="bottom"/>
            <w:tcBorders>
              <w:bottom w:val="single" w:sz="8" w:color="auto"/>
              <w:right w:val="single" w:sz="8" w:color="auto"/>
            </w:tcBorders>
          </w:tcPr>
          <w:p>
            <w:pPr>
              <w:spacing w:after="0"/>
              <w:rPr>
                <w:sz w:val="5"/>
                <w:szCs w:val="5"/>
                <w:color w:val="auto"/>
              </w:rPr>
            </w:pPr>
          </w:p>
        </w:tc>
        <w:tc>
          <w:tcPr>
            <w:tcW w:w="1900" w:type="dxa"/>
            <w:vAlign w:val="bottom"/>
            <w:tcBorders>
              <w:bottom w:val="single" w:sz="8" w:color="auto"/>
              <w:right w:val="single" w:sz="8" w:color="auto"/>
            </w:tcBorders>
          </w:tcPr>
          <w:p>
            <w:pPr>
              <w:spacing w:after="0"/>
              <w:rPr>
                <w:sz w:val="5"/>
                <w:szCs w:val="5"/>
                <w:color w:val="auto"/>
              </w:rPr>
            </w:pPr>
          </w:p>
        </w:tc>
        <w:tc>
          <w:tcPr>
            <w:tcW w:w="1880" w:type="dxa"/>
            <w:vAlign w:val="bottom"/>
            <w:tcBorders>
              <w:bottom w:val="single" w:sz="8" w:color="auto"/>
              <w:right w:val="single" w:sz="8" w:color="auto"/>
            </w:tcBorders>
            <w:gridSpan w:val="2"/>
          </w:tcPr>
          <w:p>
            <w:pPr>
              <w:spacing w:after="0"/>
              <w:rPr>
                <w:sz w:val="5"/>
                <w:szCs w:val="5"/>
                <w:color w:val="auto"/>
              </w:rPr>
            </w:pPr>
          </w:p>
        </w:tc>
        <w:tc>
          <w:tcPr>
            <w:tcW w:w="0" w:type="dxa"/>
            <w:vAlign w:val="bottom"/>
          </w:tcPr>
          <w:p>
            <w:pPr>
              <w:spacing w:after="0"/>
              <w:rPr>
                <w:sz w:val="1"/>
                <w:szCs w:val="1"/>
                <w:color w:val="auto"/>
              </w:rPr>
            </w:pPr>
          </w:p>
        </w:tc>
      </w:tr>
      <w:tr>
        <w:trPr>
          <w:trHeight w:val="265"/>
        </w:trPr>
        <w:tc>
          <w:tcPr>
            <w:tcW w:w="3720" w:type="dxa"/>
            <w:vAlign w:val="bottom"/>
            <w:tcBorders>
              <w:left w:val="single" w:sz="8" w:color="auto"/>
              <w:right w:val="single" w:sz="8" w:color="auto"/>
            </w:tcBorders>
          </w:tcPr>
          <w:p>
            <w:pPr>
              <w:spacing w:after="0"/>
              <w:rPr>
                <w:sz w:val="23"/>
                <w:szCs w:val="23"/>
                <w:color w:val="auto"/>
              </w:rPr>
            </w:pPr>
          </w:p>
        </w:tc>
        <w:tc>
          <w:tcPr>
            <w:tcW w:w="1880" w:type="dxa"/>
            <w:vAlign w:val="bottom"/>
            <w:tcBorders>
              <w:right w:val="single" w:sz="8" w:color="auto"/>
            </w:tcBorders>
          </w:tcPr>
          <w:p>
            <w:pPr>
              <w:spacing w:after="0"/>
              <w:rPr>
                <w:sz w:val="23"/>
                <w:szCs w:val="23"/>
                <w:color w:val="auto"/>
              </w:rPr>
            </w:pPr>
          </w:p>
        </w:tc>
        <w:tc>
          <w:tcPr>
            <w:tcW w:w="1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Discounted cash flow</w:t>
            </w:r>
          </w:p>
        </w:tc>
        <w:tc>
          <w:tcPr>
            <w:tcW w:w="1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Discount rate</w:t>
            </w:r>
          </w:p>
        </w:tc>
        <w:tc>
          <w:tcPr>
            <w:tcW w:w="188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7"/>
                <w:szCs w:val="17"/>
                <w:color w:val="auto"/>
              </w:rPr>
              <w:t>15.0% (15.0%)</w:t>
            </w:r>
          </w:p>
        </w:tc>
        <w:tc>
          <w:tcPr>
            <w:tcW w:w="0" w:type="dxa"/>
            <w:vAlign w:val="bottom"/>
          </w:tcPr>
          <w:p>
            <w:pPr>
              <w:spacing w:after="0"/>
              <w:rPr>
                <w:sz w:val="1"/>
                <w:szCs w:val="1"/>
                <w:color w:val="auto"/>
              </w:rPr>
            </w:pPr>
          </w:p>
        </w:tc>
      </w:tr>
      <w:tr>
        <w:trPr>
          <w:trHeight w:val="64"/>
        </w:trPr>
        <w:tc>
          <w:tcPr>
            <w:tcW w:w="3720" w:type="dxa"/>
            <w:vAlign w:val="bottom"/>
            <w:tcBorders>
              <w:left w:val="single" w:sz="8" w:color="auto"/>
              <w:right w:val="single" w:sz="8" w:color="auto"/>
            </w:tcBorders>
          </w:tcPr>
          <w:p>
            <w:pPr>
              <w:spacing w:after="0"/>
              <w:rPr>
                <w:sz w:val="5"/>
                <w:szCs w:val="5"/>
                <w:color w:val="auto"/>
              </w:rPr>
            </w:pPr>
          </w:p>
        </w:tc>
        <w:tc>
          <w:tcPr>
            <w:tcW w:w="1880" w:type="dxa"/>
            <w:vAlign w:val="bottom"/>
            <w:tcBorders>
              <w:right w:val="single" w:sz="8" w:color="auto"/>
            </w:tcBorders>
          </w:tcPr>
          <w:p>
            <w:pPr>
              <w:spacing w:after="0"/>
              <w:rPr>
                <w:sz w:val="5"/>
                <w:szCs w:val="5"/>
                <w:color w:val="auto"/>
              </w:rPr>
            </w:pPr>
          </w:p>
        </w:tc>
        <w:tc>
          <w:tcPr>
            <w:tcW w:w="1880" w:type="dxa"/>
            <w:vAlign w:val="bottom"/>
            <w:tcBorders>
              <w:bottom w:val="single" w:sz="8" w:color="auto"/>
              <w:right w:val="single" w:sz="8" w:color="auto"/>
            </w:tcBorders>
          </w:tcPr>
          <w:p>
            <w:pPr>
              <w:spacing w:after="0"/>
              <w:rPr>
                <w:sz w:val="5"/>
                <w:szCs w:val="5"/>
                <w:color w:val="auto"/>
              </w:rPr>
            </w:pPr>
          </w:p>
        </w:tc>
        <w:tc>
          <w:tcPr>
            <w:tcW w:w="190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7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42"/>
        </w:trPr>
        <w:tc>
          <w:tcPr>
            <w:tcW w:w="37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Preferred stock in private companies</w:t>
            </w:r>
          </w:p>
        </w:tc>
        <w:tc>
          <w:tcPr>
            <w:tcW w:w="1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$163,801,798</w:t>
            </w:r>
          </w:p>
        </w:tc>
        <w:tc>
          <w:tcPr>
            <w:tcW w:w="1880" w:type="dxa"/>
            <w:vAlign w:val="bottom"/>
            <w:tcBorders>
              <w:right w:val="single" w:sz="8" w:color="auto"/>
            </w:tcBorders>
          </w:tcPr>
          <w:p>
            <w:pPr>
              <w:spacing w:after="0"/>
              <w:rPr>
                <w:sz w:val="24"/>
                <w:szCs w:val="24"/>
                <w:color w:val="auto"/>
              </w:rPr>
            </w:pPr>
          </w:p>
        </w:tc>
        <w:tc>
          <w:tcPr>
            <w:tcW w:w="1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Revenue multiples</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1.05x - 9.62x</w:t>
            </w:r>
          </w:p>
        </w:tc>
        <w:tc>
          <w:tcPr>
            <w:tcW w:w="7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(3.04x)</w:t>
            </w:r>
          </w:p>
        </w:tc>
        <w:tc>
          <w:tcPr>
            <w:tcW w:w="0" w:type="dxa"/>
            <w:vAlign w:val="bottom"/>
          </w:tcPr>
          <w:p>
            <w:pPr>
              <w:spacing w:after="0"/>
              <w:rPr>
                <w:sz w:val="1"/>
                <w:szCs w:val="1"/>
                <w:color w:val="auto"/>
              </w:rPr>
            </w:pPr>
          </w:p>
        </w:tc>
      </w:tr>
      <w:tr>
        <w:trPr>
          <w:trHeight w:val="39"/>
        </w:trPr>
        <w:tc>
          <w:tcPr>
            <w:tcW w:w="3720" w:type="dxa"/>
            <w:vAlign w:val="bottom"/>
            <w:tcBorders>
              <w:left w:val="single" w:sz="8" w:color="auto"/>
              <w:right w:val="single" w:sz="8" w:color="auto"/>
            </w:tcBorders>
          </w:tcPr>
          <w:p>
            <w:pPr>
              <w:spacing w:after="0"/>
              <w:rPr>
                <w:sz w:val="3"/>
                <w:szCs w:val="3"/>
                <w:color w:val="auto"/>
              </w:rPr>
            </w:pPr>
          </w:p>
        </w:tc>
        <w:tc>
          <w:tcPr>
            <w:tcW w:w="1880" w:type="dxa"/>
            <w:vAlign w:val="bottom"/>
            <w:tcBorders>
              <w:right w:val="single" w:sz="8" w:color="auto"/>
            </w:tcBorders>
          </w:tcPr>
          <w:p>
            <w:pPr>
              <w:spacing w:after="0"/>
              <w:rPr>
                <w:sz w:val="3"/>
                <w:szCs w:val="3"/>
                <w:color w:val="auto"/>
              </w:rPr>
            </w:pPr>
          </w:p>
        </w:tc>
        <w:tc>
          <w:tcPr>
            <w:tcW w:w="1880" w:type="dxa"/>
            <w:vAlign w:val="bottom"/>
            <w:tcBorders>
              <w:right w:val="single" w:sz="8" w:color="auto"/>
            </w:tcBorders>
          </w:tcPr>
          <w:p>
            <w:pPr>
              <w:spacing w:after="0"/>
              <w:rPr>
                <w:sz w:val="3"/>
                <w:szCs w:val="3"/>
                <w:color w:val="auto"/>
              </w:rPr>
            </w:pPr>
          </w:p>
        </w:tc>
        <w:tc>
          <w:tcPr>
            <w:tcW w:w="1900" w:type="dxa"/>
            <w:vAlign w:val="bottom"/>
            <w:tcBorders>
              <w:bottom w:val="single" w:sz="8" w:color="auto"/>
              <w:right w:val="single" w:sz="8" w:color="auto"/>
            </w:tcBorders>
          </w:tcPr>
          <w:p>
            <w:pPr>
              <w:spacing w:after="0"/>
              <w:rPr>
                <w:sz w:val="3"/>
                <w:szCs w:val="3"/>
                <w:color w:val="auto"/>
              </w:rPr>
            </w:pPr>
          </w:p>
        </w:tc>
        <w:tc>
          <w:tcPr>
            <w:tcW w:w="1880" w:type="dxa"/>
            <w:vAlign w:val="bottom"/>
            <w:tcBorders>
              <w:bottom w:val="single" w:sz="8" w:color="auto"/>
              <w:right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376"/>
        </w:trPr>
        <w:tc>
          <w:tcPr>
            <w:tcW w:w="3720" w:type="dxa"/>
            <w:vAlign w:val="bottom"/>
            <w:tcBorders>
              <w:left w:val="single" w:sz="8" w:color="auto"/>
              <w:right w:val="single" w:sz="8" w:color="auto"/>
            </w:tcBorders>
          </w:tcPr>
          <w:p>
            <w:pPr>
              <w:spacing w:after="0"/>
              <w:rPr>
                <w:sz w:val="24"/>
                <w:szCs w:val="24"/>
                <w:color w:val="auto"/>
              </w:rPr>
            </w:pPr>
          </w:p>
        </w:tc>
        <w:tc>
          <w:tcPr>
            <w:tcW w:w="1880" w:type="dxa"/>
            <w:vAlign w:val="bottom"/>
            <w:tcBorders>
              <w:right w:val="single" w:sz="8" w:color="auto"/>
            </w:tcBorders>
          </w:tcPr>
          <w:p>
            <w:pPr>
              <w:spacing w:after="0"/>
              <w:rPr>
                <w:sz w:val="24"/>
                <w:szCs w:val="24"/>
                <w:color w:val="auto"/>
              </w:rPr>
            </w:pPr>
          </w:p>
        </w:tc>
        <w:tc>
          <w:tcPr>
            <w:tcW w:w="1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8"/>
              </w:rPr>
              <w:t>PWERM</w:t>
            </w:r>
            <w:r>
              <w:rPr>
                <w:rFonts w:ascii="Times New Roman" w:cs="Times New Roman" w:eastAsia="Times New Roman" w:hAnsi="Times New Roman"/>
                <w:sz w:val="22"/>
                <w:szCs w:val="22"/>
                <w:color w:val="auto"/>
                <w:w w:val="98"/>
                <w:vertAlign w:val="superscript"/>
              </w:rPr>
              <w:t>(5)</w:t>
            </w:r>
          </w:p>
        </w:tc>
        <w:tc>
          <w:tcPr>
            <w:tcW w:w="1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DLOM</w:t>
            </w:r>
          </w:p>
        </w:tc>
        <w:tc>
          <w:tcPr>
            <w:tcW w:w="188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7"/>
                <w:szCs w:val="17"/>
                <w:color w:val="auto"/>
              </w:rPr>
              <w:t>10.0% (10.0%)</w:t>
            </w:r>
          </w:p>
        </w:tc>
        <w:tc>
          <w:tcPr>
            <w:tcW w:w="0" w:type="dxa"/>
            <w:vAlign w:val="bottom"/>
          </w:tcPr>
          <w:p>
            <w:pPr>
              <w:spacing w:after="0"/>
              <w:rPr>
                <w:sz w:val="1"/>
                <w:szCs w:val="1"/>
                <w:color w:val="auto"/>
              </w:rPr>
            </w:pPr>
          </w:p>
        </w:tc>
      </w:tr>
      <w:tr>
        <w:trPr>
          <w:trHeight w:val="296"/>
        </w:trPr>
        <w:tc>
          <w:tcPr>
            <w:tcW w:w="3720" w:type="dxa"/>
            <w:vAlign w:val="bottom"/>
            <w:tcBorders>
              <w:left w:val="single" w:sz="8" w:color="auto"/>
              <w:right w:val="single" w:sz="8" w:color="auto"/>
            </w:tcBorders>
          </w:tcPr>
          <w:p>
            <w:pPr>
              <w:spacing w:after="0"/>
              <w:rPr>
                <w:sz w:val="24"/>
                <w:szCs w:val="24"/>
                <w:color w:val="auto"/>
              </w:rPr>
            </w:pPr>
          </w:p>
        </w:tc>
        <w:tc>
          <w:tcPr>
            <w:tcW w:w="1880" w:type="dxa"/>
            <w:vAlign w:val="bottom"/>
            <w:tcBorders>
              <w:right w:val="single" w:sz="8" w:color="auto"/>
            </w:tcBorders>
          </w:tcPr>
          <w:p>
            <w:pPr>
              <w:spacing w:after="0"/>
              <w:rPr>
                <w:sz w:val="24"/>
                <w:szCs w:val="24"/>
                <w:color w:val="auto"/>
              </w:rPr>
            </w:pPr>
          </w:p>
        </w:tc>
        <w:tc>
          <w:tcPr>
            <w:tcW w:w="1880" w:type="dxa"/>
            <w:vAlign w:val="bottom"/>
            <w:tcBorders>
              <w:right w:val="single" w:sz="8" w:color="auto"/>
            </w:tcBorders>
          </w:tcPr>
          <w:p>
            <w:pPr>
              <w:spacing w:after="0"/>
              <w:rPr>
                <w:sz w:val="24"/>
                <w:szCs w:val="24"/>
                <w:color w:val="auto"/>
              </w:rPr>
            </w:pPr>
          </w:p>
        </w:tc>
        <w:tc>
          <w:tcPr>
            <w:tcW w:w="1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Financing Risk</w:t>
            </w:r>
          </w:p>
        </w:tc>
        <w:tc>
          <w:tcPr>
            <w:tcW w:w="188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7"/>
                <w:szCs w:val="17"/>
                <w:color w:val="auto"/>
              </w:rPr>
              <w:t>10.0% (10.0%)</w:t>
            </w:r>
          </w:p>
        </w:tc>
        <w:tc>
          <w:tcPr>
            <w:tcW w:w="0" w:type="dxa"/>
            <w:vAlign w:val="bottom"/>
          </w:tcPr>
          <w:p>
            <w:pPr>
              <w:spacing w:after="0"/>
              <w:rPr>
                <w:sz w:val="1"/>
                <w:szCs w:val="1"/>
                <w:color w:val="auto"/>
              </w:rPr>
            </w:pPr>
          </w:p>
        </w:tc>
      </w:tr>
      <w:tr>
        <w:trPr>
          <w:trHeight w:val="90"/>
        </w:trPr>
        <w:tc>
          <w:tcPr>
            <w:tcW w:w="3720" w:type="dxa"/>
            <w:vAlign w:val="bottom"/>
            <w:tcBorders>
              <w:left w:val="single" w:sz="8" w:color="auto"/>
              <w:bottom w:val="single" w:sz="8" w:color="auto"/>
              <w:right w:val="single" w:sz="8" w:color="auto"/>
            </w:tcBorders>
          </w:tcPr>
          <w:p>
            <w:pPr>
              <w:spacing w:after="0"/>
              <w:rPr>
                <w:sz w:val="7"/>
                <w:szCs w:val="7"/>
                <w:color w:val="auto"/>
              </w:rPr>
            </w:pPr>
          </w:p>
        </w:tc>
        <w:tc>
          <w:tcPr>
            <w:tcW w:w="1880" w:type="dxa"/>
            <w:vAlign w:val="bottom"/>
            <w:tcBorders>
              <w:bottom w:val="single" w:sz="8" w:color="auto"/>
              <w:right w:val="single" w:sz="8" w:color="auto"/>
            </w:tcBorders>
          </w:tcPr>
          <w:p>
            <w:pPr>
              <w:spacing w:after="0"/>
              <w:rPr>
                <w:sz w:val="7"/>
                <w:szCs w:val="7"/>
                <w:color w:val="auto"/>
              </w:rPr>
            </w:pPr>
          </w:p>
        </w:tc>
        <w:tc>
          <w:tcPr>
            <w:tcW w:w="1880" w:type="dxa"/>
            <w:vAlign w:val="bottom"/>
            <w:tcBorders>
              <w:bottom w:val="single" w:sz="8" w:color="auto"/>
              <w:right w:val="single" w:sz="8" w:color="auto"/>
            </w:tcBorders>
          </w:tcPr>
          <w:p>
            <w:pPr>
              <w:spacing w:after="0"/>
              <w:rPr>
                <w:sz w:val="7"/>
                <w:szCs w:val="7"/>
                <w:color w:val="auto"/>
              </w:rPr>
            </w:pPr>
          </w:p>
        </w:tc>
        <w:tc>
          <w:tcPr>
            <w:tcW w:w="1900" w:type="dxa"/>
            <w:vAlign w:val="bottom"/>
            <w:tcBorders>
              <w:bottom w:val="single" w:sz="8" w:color="auto"/>
              <w:right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7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91"/>
        </w:trPr>
        <w:tc>
          <w:tcPr>
            <w:tcW w:w="37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Debt investments</w:t>
            </w:r>
          </w:p>
        </w:tc>
        <w:tc>
          <w:tcPr>
            <w:tcW w:w="1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$3,011,438</w:t>
            </w:r>
          </w:p>
        </w:tc>
        <w:tc>
          <w:tcPr>
            <w:tcW w:w="1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Market approach</w:t>
            </w:r>
          </w:p>
        </w:tc>
        <w:tc>
          <w:tcPr>
            <w:tcW w:w="1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Revenue multiples</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1.74x - 2.91x</w:t>
            </w:r>
          </w:p>
        </w:tc>
        <w:tc>
          <w:tcPr>
            <w:tcW w:w="7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(1.95x)</w:t>
            </w:r>
          </w:p>
        </w:tc>
        <w:tc>
          <w:tcPr>
            <w:tcW w:w="0" w:type="dxa"/>
            <w:vAlign w:val="bottom"/>
          </w:tcPr>
          <w:p>
            <w:pPr>
              <w:spacing w:after="0"/>
              <w:rPr>
                <w:sz w:val="1"/>
                <w:szCs w:val="1"/>
                <w:color w:val="auto"/>
              </w:rPr>
            </w:pPr>
          </w:p>
        </w:tc>
      </w:tr>
      <w:tr>
        <w:trPr>
          <w:trHeight w:val="90"/>
        </w:trPr>
        <w:tc>
          <w:tcPr>
            <w:tcW w:w="3720" w:type="dxa"/>
            <w:vAlign w:val="bottom"/>
            <w:tcBorders>
              <w:left w:val="single" w:sz="8" w:color="auto"/>
              <w:bottom w:val="single" w:sz="8" w:color="auto"/>
              <w:right w:val="single" w:sz="8" w:color="auto"/>
            </w:tcBorders>
          </w:tcPr>
          <w:p>
            <w:pPr>
              <w:spacing w:after="0"/>
              <w:rPr>
                <w:sz w:val="7"/>
                <w:szCs w:val="7"/>
                <w:color w:val="auto"/>
              </w:rPr>
            </w:pPr>
          </w:p>
        </w:tc>
        <w:tc>
          <w:tcPr>
            <w:tcW w:w="1880" w:type="dxa"/>
            <w:vAlign w:val="bottom"/>
            <w:tcBorders>
              <w:bottom w:val="single" w:sz="8" w:color="auto"/>
              <w:right w:val="single" w:sz="8" w:color="auto"/>
            </w:tcBorders>
          </w:tcPr>
          <w:p>
            <w:pPr>
              <w:spacing w:after="0"/>
              <w:rPr>
                <w:sz w:val="7"/>
                <w:szCs w:val="7"/>
                <w:color w:val="auto"/>
              </w:rPr>
            </w:pPr>
          </w:p>
        </w:tc>
        <w:tc>
          <w:tcPr>
            <w:tcW w:w="1880" w:type="dxa"/>
            <w:vAlign w:val="bottom"/>
            <w:tcBorders>
              <w:bottom w:val="single" w:sz="8" w:color="auto"/>
              <w:right w:val="single" w:sz="8" w:color="auto"/>
            </w:tcBorders>
          </w:tcPr>
          <w:p>
            <w:pPr>
              <w:spacing w:after="0"/>
              <w:rPr>
                <w:sz w:val="7"/>
                <w:szCs w:val="7"/>
                <w:color w:val="auto"/>
              </w:rPr>
            </w:pPr>
          </w:p>
        </w:tc>
        <w:tc>
          <w:tcPr>
            <w:tcW w:w="1900" w:type="dxa"/>
            <w:vAlign w:val="bottom"/>
            <w:tcBorders>
              <w:bottom w:val="single" w:sz="8" w:color="auto"/>
              <w:right w:val="single" w:sz="8" w:color="auto"/>
            </w:tcBorders>
          </w:tcPr>
          <w:p>
            <w:pPr>
              <w:spacing w:after="0"/>
              <w:rPr>
                <w:sz w:val="7"/>
                <w:szCs w:val="7"/>
                <w:color w:val="auto"/>
              </w:rPr>
            </w:pPr>
          </w:p>
        </w:tc>
        <w:tc>
          <w:tcPr>
            <w:tcW w:w="1880" w:type="dxa"/>
            <w:vAlign w:val="bottom"/>
            <w:tcBorders>
              <w:bottom w:val="single" w:sz="8" w:color="auto"/>
              <w:right w:val="single" w:sz="8" w:color="auto"/>
            </w:tcBorders>
            <w:gridSpan w:val="2"/>
          </w:tcPr>
          <w:p>
            <w:pPr>
              <w:spacing w:after="0"/>
              <w:rPr>
                <w:sz w:val="7"/>
                <w:szCs w:val="7"/>
                <w:color w:val="auto"/>
              </w:rPr>
            </w:pPr>
          </w:p>
        </w:tc>
        <w:tc>
          <w:tcPr>
            <w:tcW w:w="0" w:type="dxa"/>
            <w:vAlign w:val="bottom"/>
          </w:tcPr>
          <w:p>
            <w:pPr>
              <w:spacing w:after="0"/>
              <w:rPr>
                <w:sz w:val="1"/>
                <w:szCs w:val="1"/>
                <w:color w:val="auto"/>
              </w:rPr>
            </w:pPr>
          </w:p>
        </w:tc>
      </w:tr>
      <w:tr>
        <w:trPr>
          <w:trHeight w:val="291"/>
        </w:trPr>
        <w:tc>
          <w:tcPr>
            <w:tcW w:w="3720" w:type="dxa"/>
            <w:vAlign w:val="bottom"/>
            <w:tcBorders>
              <w:left w:val="single" w:sz="8" w:color="auto"/>
              <w:right w:val="single" w:sz="8" w:color="auto"/>
            </w:tcBorders>
          </w:tcPr>
          <w:p>
            <w:pPr>
              <w:spacing w:after="0"/>
              <w:rPr>
                <w:sz w:val="24"/>
                <w:szCs w:val="24"/>
                <w:color w:val="auto"/>
              </w:rPr>
            </w:pPr>
          </w:p>
        </w:tc>
        <w:tc>
          <w:tcPr>
            <w:tcW w:w="1880" w:type="dxa"/>
            <w:vAlign w:val="bottom"/>
            <w:tcBorders>
              <w:right w:val="single" w:sz="8" w:color="auto"/>
            </w:tcBorders>
          </w:tcPr>
          <w:p>
            <w:pPr>
              <w:spacing w:after="0"/>
              <w:rPr>
                <w:sz w:val="24"/>
                <w:szCs w:val="24"/>
                <w:color w:val="auto"/>
              </w:rPr>
            </w:pPr>
          </w:p>
        </w:tc>
        <w:tc>
          <w:tcPr>
            <w:tcW w:w="18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7"/>
              </w:rPr>
              <w:t>Option pricing model</w:t>
            </w:r>
          </w:p>
        </w:tc>
        <w:tc>
          <w:tcPr>
            <w:tcW w:w="1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Term to expiration (Years)</w:t>
            </w:r>
          </w:p>
        </w:tc>
        <w:tc>
          <w:tcPr>
            <w:tcW w:w="188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7"/>
                <w:szCs w:val="17"/>
                <w:color w:val="auto"/>
              </w:rPr>
              <w:t>0.17 - 6.61 (3.08)</w:t>
            </w:r>
          </w:p>
        </w:tc>
        <w:tc>
          <w:tcPr>
            <w:tcW w:w="0" w:type="dxa"/>
            <w:vAlign w:val="bottom"/>
          </w:tcPr>
          <w:p>
            <w:pPr>
              <w:spacing w:after="0"/>
              <w:rPr>
                <w:sz w:val="1"/>
                <w:szCs w:val="1"/>
                <w:color w:val="auto"/>
              </w:rPr>
            </w:pPr>
          </w:p>
        </w:tc>
      </w:tr>
      <w:tr>
        <w:trPr>
          <w:trHeight w:val="90"/>
        </w:trPr>
        <w:tc>
          <w:tcPr>
            <w:tcW w:w="3720" w:type="dxa"/>
            <w:vAlign w:val="bottom"/>
            <w:tcBorders>
              <w:left w:val="single" w:sz="8" w:color="auto"/>
              <w:right w:val="single" w:sz="8" w:color="auto"/>
            </w:tcBorders>
          </w:tcPr>
          <w:p>
            <w:pPr>
              <w:spacing w:after="0"/>
              <w:rPr>
                <w:sz w:val="7"/>
                <w:szCs w:val="7"/>
                <w:color w:val="auto"/>
              </w:rPr>
            </w:pPr>
          </w:p>
        </w:tc>
        <w:tc>
          <w:tcPr>
            <w:tcW w:w="1880" w:type="dxa"/>
            <w:vAlign w:val="bottom"/>
            <w:tcBorders>
              <w:right w:val="single" w:sz="8" w:color="auto"/>
            </w:tcBorders>
          </w:tcPr>
          <w:p>
            <w:pPr>
              <w:spacing w:after="0"/>
              <w:rPr>
                <w:sz w:val="7"/>
                <w:szCs w:val="7"/>
                <w:color w:val="auto"/>
              </w:rPr>
            </w:pPr>
          </w:p>
        </w:tc>
        <w:tc>
          <w:tcPr>
            <w:tcW w:w="1880" w:type="dxa"/>
            <w:vAlign w:val="bottom"/>
            <w:tcBorders>
              <w:right w:val="single" w:sz="8" w:color="auto"/>
            </w:tcBorders>
            <w:vMerge w:val="continue"/>
          </w:tcPr>
          <w:p>
            <w:pPr>
              <w:spacing w:after="0"/>
              <w:rPr>
                <w:sz w:val="7"/>
                <w:szCs w:val="7"/>
                <w:color w:val="auto"/>
              </w:rPr>
            </w:pPr>
          </w:p>
        </w:tc>
        <w:tc>
          <w:tcPr>
            <w:tcW w:w="1900" w:type="dxa"/>
            <w:vAlign w:val="bottom"/>
            <w:tcBorders>
              <w:bottom w:val="single" w:sz="8" w:color="auto"/>
              <w:right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7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372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Options</w:t>
            </w:r>
          </w:p>
        </w:tc>
        <w:tc>
          <w:tcPr>
            <w:tcW w:w="18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w w:val="99"/>
              </w:rPr>
              <w:t>$4,959,112</w:t>
            </w:r>
          </w:p>
        </w:tc>
        <w:tc>
          <w:tcPr>
            <w:tcW w:w="1880" w:type="dxa"/>
            <w:vAlign w:val="bottom"/>
            <w:tcBorders>
              <w:right w:val="single" w:sz="8" w:color="auto"/>
            </w:tcBorders>
            <w:vMerge w:val="continue"/>
          </w:tcPr>
          <w:p>
            <w:pPr>
              <w:spacing w:after="0"/>
              <w:rPr>
                <w:sz w:val="6"/>
                <w:szCs w:val="6"/>
                <w:color w:val="auto"/>
              </w:rPr>
            </w:pPr>
          </w:p>
        </w:tc>
        <w:tc>
          <w:tcPr>
            <w:tcW w:w="19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w w:val="98"/>
              </w:rPr>
              <w:t>Volatility</w:t>
            </w:r>
          </w:p>
        </w:tc>
        <w:tc>
          <w:tcPr>
            <w:tcW w:w="188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7"/>
                <w:szCs w:val="17"/>
                <w:color w:val="auto"/>
              </w:rPr>
              <w:t>37.7% - 56.5% (37.7%)</w:t>
            </w:r>
          </w:p>
        </w:tc>
        <w:tc>
          <w:tcPr>
            <w:tcW w:w="0" w:type="dxa"/>
            <w:vAlign w:val="bottom"/>
          </w:tcPr>
          <w:p>
            <w:pPr>
              <w:spacing w:after="0"/>
              <w:rPr>
                <w:sz w:val="1"/>
                <w:szCs w:val="1"/>
                <w:color w:val="auto"/>
              </w:rPr>
            </w:pPr>
          </w:p>
        </w:tc>
      </w:tr>
      <w:tr>
        <w:trPr>
          <w:trHeight w:val="213"/>
        </w:trPr>
        <w:tc>
          <w:tcPr>
            <w:tcW w:w="3720" w:type="dxa"/>
            <w:vAlign w:val="bottom"/>
            <w:tcBorders>
              <w:left w:val="single" w:sz="8" w:color="auto"/>
              <w:right w:val="single" w:sz="8" w:color="auto"/>
            </w:tcBorders>
            <w:vMerge w:val="continue"/>
          </w:tcPr>
          <w:p>
            <w:pPr>
              <w:spacing w:after="0"/>
              <w:rPr>
                <w:sz w:val="18"/>
                <w:szCs w:val="18"/>
                <w:color w:val="auto"/>
              </w:rPr>
            </w:pPr>
          </w:p>
        </w:tc>
        <w:tc>
          <w:tcPr>
            <w:tcW w:w="1880" w:type="dxa"/>
            <w:vAlign w:val="bottom"/>
            <w:tcBorders>
              <w:right w:val="single" w:sz="8" w:color="auto"/>
            </w:tcBorders>
            <w:vMerge w:val="continue"/>
          </w:tcPr>
          <w:p>
            <w:pPr>
              <w:spacing w:after="0"/>
              <w:rPr>
                <w:sz w:val="18"/>
                <w:szCs w:val="18"/>
                <w:color w:val="auto"/>
              </w:rPr>
            </w:pPr>
          </w:p>
        </w:tc>
        <w:tc>
          <w:tcPr>
            <w:tcW w:w="1880" w:type="dxa"/>
            <w:vAlign w:val="bottom"/>
            <w:tcBorders>
              <w:right w:val="single" w:sz="8" w:color="auto"/>
            </w:tcBorders>
          </w:tcPr>
          <w:p>
            <w:pPr>
              <w:spacing w:after="0"/>
              <w:rPr>
                <w:sz w:val="18"/>
                <w:szCs w:val="18"/>
                <w:color w:val="auto"/>
              </w:rPr>
            </w:pPr>
          </w:p>
        </w:tc>
        <w:tc>
          <w:tcPr>
            <w:tcW w:w="1900" w:type="dxa"/>
            <w:vAlign w:val="bottom"/>
            <w:tcBorders>
              <w:right w:val="single" w:sz="8" w:color="auto"/>
            </w:tcBorders>
            <w:vMerge w:val="continue"/>
          </w:tcPr>
          <w:p>
            <w:pPr>
              <w:spacing w:after="0"/>
              <w:rPr>
                <w:sz w:val="18"/>
                <w:szCs w:val="18"/>
                <w:color w:val="auto"/>
              </w:rPr>
            </w:pPr>
          </w:p>
        </w:tc>
        <w:tc>
          <w:tcPr>
            <w:tcW w:w="1880" w:type="dxa"/>
            <w:vAlign w:val="bottom"/>
            <w:tcBorders>
              <w:right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90"/>
        </w:trPr>
        <w:tc>
          <w:tcPr>
            <w:tcW w:w="3720" w:type="dxa"/>
            <w:vAlign w:val="bottom"/>
            <w:tcBorders>
              <w:left w:val="single" w:sz="8" w:color="auto"/>
              <w:right w:val="single" w:sz="8" w:color="auto"/>
            </w:tcBorders>
          </w:tcPr>
          <w:p>
            <w:pPr>
              <w:spacing w:after="0"/>
              <w:rPr>
                <w:sz w:val="7"/>
                <w:szCs w:val="7"/>
                <w:color w:val="auto"/>
              </w:rPr>
            </w:pPr>
          </w:p>
        </w:tc>
        <w:tc>
          <w:tcPr>
            <w:tcW w:w="1880" w:type="dxa"/>
            <w:vAlign w:val="bottom"/>
            <w:tcBorders>
              <w:right w:val="single" w:sz="8" w:color="auto"/>
            </w:tcBorders>
          </w:tcPr>
          <w:p>
            <w:pPr>
              <w:spacing w:after="0"/>
              <w:rPr>
                <w:sz w:val="7"/>
                <w:szCs w:val="7"/>
                <w:color w:val="auto"/>
              </w:rPr>
            </w:pPr>
          </w:p>
        </w:tc>
        <w:tc>
          <w:tcPr>
            <w:tcW w:w="1880" w:type="dxa"/>
            <w:vAlign w:val="bottom"/>
            <w:tcBorders>
              <w:bottom w:val="single" w:sz="8" w:color="auto"/>
              <w:right w:val="single" w:sz="8" w:color="auto"/>
            </w:tcBorders>
          </w:tcPr>
          <w:p>
            <w:pPr>
              <w:spacing w:after="0"/>
              <w:rPr>
                <w:sz w:val="7"/>
                <w:szCs w:val="7"/>
                <w:color w:val="auto"/>
              </w:rPr>
            </w:pPr>
          </w:p>
        </w:tc>
        <w:tc>
          <w:tcPr>
            <w:tcW w:w="1900" w:type="dxa"/>
            <w:vAlign w:val="bottom"/>
            <w:tcBorders>
              <w:bottom w:val="single" w:sz="8" w:color="auto"/>
              <w:right w:val="single" w:sz="8" w:color="auto"/>
            </w:tcBorders>
          </w:tcPr>
          <w:p>
            <w:pPr>
              <w:spacing w:after="0"/>
              <w:rPr>
                <w:sz w:val="7"/>
                <w:szCs w:val="7"/>
                <w:color w:val="auto"/>
              </w:rPr>
            </w:pPr>
          </w:p>
        </w:tc>
        <w:tc>
          <w:tcPr>
            <w:tcW w:w="1880" w:type="dxa"/>
            <w:vAlign w:val="bottom"/>
            <w:tcBorders>
              <w:bottom w:val="single" w:sz="8" w:color="auto"/>
              <w:right w:val="single" w:sz="8" w:color="auto"/>
            </w:tcBorders>
            <w:gridSpan w:val="2"/>
          </w:tcPr>
          <w:p>
            <w:pPr>
              <w:spacing w:after="0"/>
              <w:rPr>
                <w:sz w:val="7"/>
                <w:szCs w:val="7"/>
                <w:color w:val="auto"/>
              </w:rPr>
            </w:pPr>
          </w:p>
        </w:tc>
        <w:tc>
          <w:tcPr>
            <w:tcW w:w="0" w:type="dxa"/>
            <w:vAlign w:val="bottom"/>
          </w:tcPr>
          <w:p>
            <w:pPr>
              <w:spacing w:after="0"/>
              <w:rPr>
                <w:sz w:val="1"/>
                <w:szCs w:val="1"/>
                <w:color w:val="auto"/>
              </w:rPr>
            </w:pPr>
          </w:p>
        </w:tc>
      </w:tr>
      <w:tr>
        <w:trPr>
          <w:trHeight w:val="291"/>
        </w:trPr>
        <w:tc>
          <w:tcPr>
            <w:tcW w:w="3720" w:type="dxa"/>
            <w:vAlign w:val="bottom"/>
            <w:tcBorders>
              <w:left w:val="single" w:sz="8" w:color="auto"/>
              <w:right w:val="single" w:sz="8" w:color="auto"/>
            </w:tcBorders>
          </w:tcPr>
          <w:p>
            <w:pPr>
              <w:spacing w:after="0"/>
              <w:rPr>
                <w:sz w:val="24"/>
                <w:szCs w:val="24"/>
                <w:color w:val="auto"/>
              </w:rPr>
            </w:pPr>
          </w:p>
        </w:tc>
        <w:tc>
          <w:tcPr>
            <w:tcW w:w="1880" w:type="dxa"/>
            <w:vAlign w:val="bottom"/>
            <w:tcBorders>
              <w:right w:val="single" w:sz="8" w:color="auto"/>
            </w:tcBorders>
          </w:tcPr>
          <w:p>
            <w:pPr>
              <w:spacing w:after="0"/>
              <w:rPr>
                <w:sz w:val="24"/>
                <w:szCs w:val="24"/>
                <w:color w:val="auto"/>
              </w:rPr>
            </w:pPr>
          </w:p>
        </w:tc>
        <w:tc>
          <w:tcPr>
            <w:tcW w:w="1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Discounted cash flow</w:t>
            </w:r>
          </w:p>
        </w:tc>
        <w:tc>
          <w:tcPr>
            <w:tcW w:w="1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Discount Rate</w:t>
            </w:r>
          </w:p>
        </w:tc>
        <w:tc>
          <w:tcPr>
            <w:tcW w:w="188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7"/>
                <w:szCs w:val="17"/>
                <w:color w:val="auto"/>
              </w:rPr>
              <w:t>15.0% (15.0%)</w:t>
            </w:r>
          </w:p>
        </w:tc>
        <w:tc>
          <w:tcPr>
            <w:tcW w:w="0" w:type="dxa"/>
            <w:vAlign w:val="bottom"/>
          </w:tcPr>
          <w:p>
            <w:pPr>
              <w:spacing w:after="0"/>
              <w:rPr>
                <w:sz w:val="1"/>
                <w:szCs w:val="1"/>
                <w:color w:val="auto"/>
              </w:rPr>
            </w:pPr>
          </w:p>
        </w:tc>
      </w:tr>
      <w:tr>
        <w:trPr>
          <w:trHeight w:val="90"/>
        </w:trPr>
        <w:tc>
          <w:tcPr>
            <w:tcW w:w="3720" w:type="dxa"/>
            <w:vAlign w:val="bottom"/>
            <w:tcBorders>
              <w:left w:val="single" w:sz="8" w:color="auto"/>
              <w:bottom w:val="single" w:sz="8" w:color="auto"/>
              <w:right w:val="single" w:sz="8" w:color="auto"/>
            </w:tcBorders>
          </w:tcPr>
          <w:p>
            <w:pPr>
              <w:spacing w:after="0"/>
              <w:rPr>
                <w:sz w:val="7"/>
                <w:szCs w:val="7"/>
                <w:color w:val="auto"/>
              </w:rPr>
            </w:pPr>
          </w:p>
        </w:tc>
        <w:tc>
          <w:tcPr>
            <w:tcW w:w="1880" w:type="dxa"/>
            <w:vAlign w:val="bottom"/>
            <w:tcBorders>
              <w:bottom w:val="single" w:sz="8" w:color="auto"/>
              <w:right w:val="single" w:sz="8" w:color="auto"/>
            </w:tcBorders>
          </w:tcPr>
          <w:p>
            <w:pPr>
              <w:spacing w:after="0"/>
              <w:rPr>
                <w:sz w:val="7"/>
                <w:szCs w:val="7"/>
                <w:color w:val="auto"/>
              </w:rPr>
            </w:pPr>
          </w:p>
        </w:tc>
        <w:tc>
          <w:tcPr>
            <w:tcW w:w="1880" w:type="dxa"/>
            <w:vAlign w:val="bottom"/>
            <w:tcBorders>
              <w:bottom w:val="single" w:sz="8" w:color="auto"/>
              <w:right w:val="single" w:sz="8" w:color="auto"/>
            </w:tcBorders>
          </w:tcPr>
          <w:p>
            <w:pPr>
              <w:spacing w:after="0"/>
              <w:rPr>
                <w:sz w:val="7"/>
                <w:szCs w:val="7"/>
                <w:color w:val="auto"/>
              </w:rPr>
            </w:pPr>
          </w:p>
        </w:tc>
        <w:tc>
          <w:tcPr>
            <w:tcW w:w="1900" w:type="dxa"/>
            <w:vAlign w:val="bottom"/>
            <w:tcBorders>
              <w:bottom w:val="single" w:sz="8" w:color="auto"/>
              <w:right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7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w:t>
      </w:r>
    </w:p>
    <w:p>
      <w:pPr>
        <w:spacing w:after="0" w:line="119" w:lineRule="exact"/>
        <w:rPr>
          <w:sz w:val="20"/>
          <w:szCs w:val="20"/>
          <w:color w:val="auto"/>
        </w:rPr>
      </w:pPr>
    </w:p>
    <w:p>
      <w:pPr>
        <w:ind w:left="620" w:right="20" w:hanging="617"/>
        <w:spacing w:after="0" w:line="245" w:lineRule="auto"/>
        <w:tabs>
          <w:tab w:leader="none" w:pos="399"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December 31, 2021, the Company used a hybrid market and income approach to value certain common and preferred stock investments as the Company felt this approach better reflected the fair value of these investments. In considering multiple valuation approaches (and consequently, multiple valuation techniques), the valuation approaches and techniques are not likely to change from one period of measurement to the next; however, the weighting of each in determining the final fair value of a Level 3 investment may change based on recent events or transactions. The hybrid approach may also consider certain risk weightings to account for the uncertainty of future events. Refer to “Note 2—Significant Accounting Policies—</w:t>
      </w:r>
      <w:r>
        <w:rPr>
          <w:rFonts w:ascii="Times New Roman" w:cs="Times New Roman" w:eastAsia="Times New Roman" w:hAnsi="Times New Roman"/>
          <w:sz w:val="16"/>
          <w:szCs w:val="16"/>
          <w:i w:val="1"/>
          <w:iCs w:val="1"/>
          <w:color w:val="auto"/>
        </w:rPr>
        <w:t>Investments at Fair Value</w:t>
      </w:r>
      <w:r>
        <w:rPr>
          <w:rFonts w:ascii="Times New Roman" w:cs="Times New Roman" w:eastAsia="Times New Roman" w:hAnsi="Times New Roman"/>
          <w:sz w:val="16"/>
          <w:szCs w:val="16"/>
          <w:color w:val="auto"/>
        </w:rPr>
        <w:t>” for more detail.</w:t>
      </w:r>
    </w:p>
    <w:p>
      <w:pPr>
        <w:ind w:left="620" w:right="20" w:hanging="617"/>
        <w:spacing w:after="0" w:line="244" w:lineRule="auto"/>
        <w:tabs>
          <w:tab w:leader="none" w:pos="43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considers all relevant information that can reasonably be obtained when determining the fair value of Level 3 investments. Due to any given portfolio company’s information rights, changes in capital structure, recent events, transactions, or liquidity events, the type and availability of unobservable inputs may change. Increases/(decreases) in revenue multiples, earnings before interest and taxes (“EBIT”) multiples, time to expiration, and stock price/strike price would result in higher (lower) fair values, all else equal. Decreases (increases) in discount rates, volatility, and annual risk rates, would result in higher (lower) fair values, all else equal. The market approach utilizes market value (revenue and EBIT) multiples of publicly traded comparable companies and available precedent sales transactions of comparable companies. The Company carefully considers numerous factors when selecting the appropriate companies whose multiples are used to value its portfolio companies. These factors include, but are</w:t>
      </w:r>
    </w:p>
    <w:p>
      <w:pPr>
        <w:spacing w:after="0" w:line="200" w:lineRule="exact"/>
        <w:rPr>
          <w:sz w:val="20"/>
          <w:szCs w:val="20"/>
          <w:color w:val="auto"/>
        </w:rPr>
      </w:pPr>
    </w:p>
    <w:p>
      <w:pPr>
        <w:spacing w:after="0" w:line="3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31</w:t>
      </w:r>
    </w:p>
    <w:p>
      <w:pPr>
        <w:sectPr>
          <w:pgSz w:w="11900" w:h="16838" w:orient="portrait"/>
          <w:cols w:equalWidth="0" w:num="1">
            <w:col w:w="11260"/>
          </w:cols>
          <w:pgMar w:left="320" w:top="118" w:right="31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SURO CAPITAL CORP. AND SUBSIDIARIES</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June 30, 2022</w:t>
      </w:r>
    </w:p>
    <w:p>
      <w:pPr>
        <w:spacing w:after="0" w:line="372" w:lineRule="exact"/>
        <w:rPr>
          <w:sz w:val="20"/>
          <w:szCs w:val="20"/>
          <w:color w:val="auto"/>
        </w:rPr>
      </w:pPr>
    </w:p>
    <w:p>
      <w:pPr>
        <w:ind w:left="620"/>
        <w:spacing w:after="0" w:line="285" w:lineRule="auto"/>
        <w:rPr>
          <w:sz w:val="20"/>
          <w:szCs w:val="20"/>
          <w:color w:val="auto"/>
        </w:rPr>
      </w:pPr>
      <w:r>
        <w:rPr>
          <w:rFonts w:ascii="Times New Roman" w:cs="Times New Roman" w:eastAsia="Times New Roman" w:hAnsi="Times New Roman"/>
          <w:sz w:val="14"/>
          <w:szCs w:val="14"/>
          <w:color w:val="auto"/>
        </w:rPr>
        <w:t>not limited to, the type of organization, similarity to the business being valued, relevant risk factors, as well as size, profitability and growth expectations. In general, precedent transactions include recent rounds of financing, recent purchases made by the Company, and tender offers. Refer to “Note 2—Significant Accounting Policies—</w:t>
      </w:r>
    </w:p>
    <w:p>
      <w:pPr>
        <w:spacing w:after="0" w:line="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i w:val="1"/>
          <w:iCs w:val="1"/>
          <w:color w:val="auto"/>
        </w:rPr>
        <w:t>Investments at Fair Value</w:t>
      </w:r>
      <w:r>
        <w:rPr>
          <w:rFonts w:ascii="Times New Roman" w:cs="Times New Roman" w:eastAsia="Times New Roman" w:hAnsi="Times New Roman"/>
          <w:sz w:val="16"/>
          <w:szCs w:val="16"/>
          <w:color w:val="auto"/>
        </w:rPr>
        <w:t>” for more detail.</w:t>
      </w:r>
    </w:p>
    <w:p>
      <w:pPr>
        <w:spacing w:after="0" w:line="7" w:lineRule="exact"/>
        <w:rPr>
          <w:sz w:val="20"/>
          <w:szCs w:val="20"/>
          <w:color w:val="auto"/>
        </w:rPr>
      </w:pPr>
    </w:p>
    <w:p>
      <w:pPr>
        <w:ind w:left="340" w:hanging="337"/>
        <w:spacing w:after="0"/>
        <w:tabs>
          <w:tab w:leader="none" w:pos="34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weighted averages are calculated based on the fair market value of each investment.</w:t>
      </w:r>
    </w:p>
    <w:p>
      <w:pPr>
        <w:ind w:left="340" w:hanging="337"/>
        <w:spacing w:after="0"/>
        <w:tabs>
          <w:tab w:leader="none" w:pos="34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Adjusted Funds From Operations, or "AFFO"</w:t>
      </w:r>
    </w:p>
    <w:p>
      <w:pPr>
        <w:spacing w:after="0" w:line="6" w:lineRule="exact"/>
        <w:rPr>
          <w:rFonts w:ascii="Times New Roman" w:cs="Times New Roman" w:eastAsia="Times New Roman" w:hAnsi="Times New Roman"/>
          <w:sz w:val="16"/>
          <w:szCs w:val="16"/>
          <w:color w:val="auto"/>
        </w:rPr>
      </w:pPr>
    </w:p>
    <w:p>
      <w:pPr>
        <w:ind w:left="340" w:hanging="337"/>
        <w:spacing w:after="0"/>
        <w:tabs>
          <w:tab w:leader="none" w:pos="34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Probability-Weighted Expected Return Method, or "PWERM"</w:t>
      </w:r>
    </w:p>
    <w:p>
      <w:pPr>
        <w:spacing w:after="0" w:line="78" w:lineRule="exact"/>
        <w:rPr>
          <w:rFonts w:ascii="Times New Roman" w:cs="Times New Roman" w:eastAsia="Times New Roman" w:hAnsi="Times New Roman"/>
          <w:sz w:val="16"/>
          <w:szCs w:val="16"/>
          <w:color w:val="auto"/>
        </w:rPr>
      </w:pPr>
    </w:p>
    <w:p>
      <w:pPr>
        <w:ind w:left="36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color w:val="auto"/>
        </w:rPr>
        <w:t>The aggregate values of Level 3 assets and liabilities changed during the six months ended June 30, 2022 as follows: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100" w:type="dxa"/>
            <w:vAlign w:val="bottom"/>
            <w:gridSpan w:val="6"/>
          </w:tcPr>
          <w:p>
            <w:pPr>
              <w:jc w:val="center"/>
              <w:ind w:left="785"/>
              <w:spacing w:after="0"/>
              <w:rPr>
                <w:sz w:val="20"/>
                <w:szCs w:val="20"/>
                <w:color w:val="auto"/>
              </w:rPr>
            </w:pPr>
            <w:r>
              <w:rPr>
                <w:rFonts w:ascii="Times New Roman" w:cs="Times New Roman" w:eastAsia="Times New Roman" w:hAnsi="Times New Roman"/>
                <w:sz w:val="14"/>
                <w:szCs w:val="14"/>
                <w:b w:val="1"/>
                <w:bCs w:val="1"/>
                <w:color w:val="auto"/>
                <w:w w:val="98"/>
              </w:rPr>
              <w:t>Six Months Ended June 30, 2022</w:t>
            </w: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37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4"/>
        </w:trPr>
        <w:tc>
          <w:tcPr>
            <w:tcW w:w="37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40" w:type="dxa"/>
            <w:vAlign w:val="bottom"/>
            <w:gridSpan w:val="2"/>
          </w:tcPr>
          <w:p>
            <w:pPr>
              <w:jc w:val="center"/>
              <w:ind w:right="360"/>
              <w:spacing w:after="0" w:line="124" w:lineRule="exact"/>
              <w:rPr>
                <w:sz w:val="20"/>
                <w:szCs w:val="20"/>
                <w:color w:val="auto"/>
              </w:rPr>
            </w:pPr>
            <w:r>
              <w:rPr>
                <w:rFonts w:ascii="Times New Roman" w:cs="Times New Roman" w:eastAsia="Times New Roman" w:hAnsi="Times New Roman"/>
                <w:sz w:val="14"/>
                <w:szCs w:val="14"/>
                <w:b w:val="1"/>
                <w:bCs w:val="1"/>
                <w:color w:val="auto"/>
              </w:rPr>
              <w:t>Common</w:t>
            </w:r>
          </w:p>
        </w:tc>
        <w:tc>
          <w:tcPr>
            <w:tcW w:w="280" w:type="dxa"/>
            <w:vAlign w:val="bottom"/>
          </w:tcPr>
          <w:p>
            <w:pPr>
              <w:spacing w:after="0"/>
              <w:rPr>
                <w:sz w:val="10"/>
                <w:szCs w:val="10"/>
                <w:color w:val="auto"/>
              </w:rPr>
            </w:pPr>
          </w:p>
        </w:tc>
        <w:tc>
          <w:tcPr>
            <w:tcW w:w="1260" w:type="dxa"/>
            <w:vAlign w:val="bottom"/>
            <w:gridSpan w:val="2"/>
          </w:tcPr>
          <w:p>
            <w:pPr>
              <w:jc w:val="center"/>
              <w:ind w:right="380"/>
              <w:spacing w:after="0" w:line="124" w:lineRule="exact"/>
              <w:rPr>
                <w:sz w:val="20"/>
                <w:szCs w:val="20"/>
                <w:color w:val="auto"/>
              </w:rPr>
            </w:pPr>
            <w:r>
              <w:rPr>
                <w:rFonts w:ascii="Times New Roman" w:cs="Times New Roman" w:eastAsia="Times New Roman" w:hAnsi="Times New Roman"/>
                <w:sz w:val="14"/>
                <w:szCs w:val="14"/>
                <w:b w:val="1"/>
                <w:bCs w:val="1"/>
                <w:color w:val="auto"/>
                <w:w w:val="95"/>
              </w:rPr>
              <w:t>Preferred</w:t>
            </w:r>
          </w:p>
        </w:tc>
        <w:tc>
          <w:tcPr>
            <w:tcW w:w="220" w:type="dxa"/>
            <w:vAlign w:val="bottom"/>
          </w:tcPr>
          <w:p>
            <w:pPr>
              <w:spacing w:after="0"/>
              <w:rPr>
                <w:sz w:val="10"/>
                <w:szCs w:val="10"/>
                <w:color w:val="auto"/>
              </w:rPr>
            </w:pPr>
          </w:p>
        </w:tc>
        <w:tc>
          <w:tcPr>
            <w:tcW w:w="1300" w:type="dxa"/>
            <w:vAlign w:val="bottom"/>
            <w:gridSpan w:val="2"/>
          </w:tcPr>
          <w:p>
            <w:pPr>
              <w:jc w:val="center"/>
              <w:ind w:right="340"/>
              <w:spacing w:after="0" w:line="124" w:lineRule="exact"/>
              <w:rPr>
                <w:sz w:val="20"/>
                <w:szCs w:val="20"/>
                <w:color w:val="auto"/>
              </w:rPr>
            </w:pPr>
            <w:r>
              <w:rPr>
                <w:rFonts w:ascii="Times New Roman" w:cs="Times New Roman" w:eastAsia="Times New Roman" w:hAnsi="Times New Roman"/>
                <w:sz w:val="14"/>
                <w:szCs w:val="14"/>
                <w:b w:val="1"/>
                <w:bCs w:val="1"/>
                <w:color w:val="auto"/>
                <w:w w:val="97"/>
              </w:rPr>
              <w:t>Debt</w:t>
            </w:r>
          </w:p>
        </w:tc>
        <w:tc>
          <w:tcPr>
            <w:tcW w:w="320" w:type="dxa"/>
            <w:vAlign w:val="bottom"/>
          </w:tcPr>
          <w:p>
            <w:pPr>
              <w:spacing w:after="0"/>
              <w:rPr>
                <w:sz w:val="10"/>
                <w:szCs w:val="10"/>
                <w:color w:val="auto"/>
              </w:rPr>
            </w:pPr>
          </w:p>
        </w:tc>
        <w:tc>
          <w:tcPr>
            <w:tcW w:w="12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340" w:type="dxa"/>
            <w:vAlign w:val="bottom"/>
          </w:tcPr>
          <w:p>
            <w:pPr>
              <w:spacing w:after="0"/>
              <w:rPr>
                <w:sz w:val="10"/>
                <w:szCs w:val="10"/>
                <w:color w:val="auto"/>
              </w:rPr>
            </w:pPr>
          </w:p>
        </w:tc>
        <w:tc>
          <w:tcPr>
            <w:tcW w:w="1100" w:type="dxa"/>
            <w:vAlign w:val="bottom"/>
            <w:vMerge w:val="restart"/>
          </w:tcPr>
          <w:p>
            <w:pPr>
              <w:jc w:val="right"/>
              <w:ind w:right="48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8"/>
        </w:trPr>
        <w:tc>
          <w:tcPr>
            <w:tcW w:w="3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5"/>
              </w:rPr>
              <w:t>Stock</w:t>
            </w:r>
          </w:p>
        </w:tc>
        <w:tc>
          <w:tcPr>
            <w:tcW w:w="280" w:type="dxa"/>
            <w:vAlign w:val="bottom"/>
          </w:tcPr>
          <w:p>
            <w:pPr>
              <w:spacing w:after="0"/>
              <w:rPr>
                <w:sz w:val="16"/>
                <w:szCs w:val="16"/>
                <w:color w:val="auto"/>
              </w:rPr>
            </w:pPr>
          </w:p>
        </w:tc>
        <w:tc>
          <w:tcPr>
            <w:tcW w:w="12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5"/>
              </w:rPr>
              <w:t>Stock</w:t>
            </w:r>
          </w:p>
        </w:tc>
        <w:tc>
          <w:tcPr>
            <w:tcW w:w="220" w:type="dxa"/>
            <w:vAlign w:val="bottom"/>
          </w:tcPr>
          <w:p>
            <w:pPr>
              <w:spacing w:after="0"/>
              <w:rPr>
                <w:sz w:val="16"/>
                <w:szCs w:val="16"/>
                <w:color w:val="auto"/>
              </w:rPr>
            </w:pPr>
          </w:p>
        </w:tc>
        <w:tc>
          <w:tcPr>
            <w:tcW w:w="13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6"/>
              </w:rPr>
              <w:t>Investments</w:t>
            </w:r>
          </w:p>
        </w:tc>
        <w:tc>
          <w:tcPr>
            <w:tcW w:w="32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3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26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Fair Value as of December 31, 2021</w:t>
            </w:r>
          </w:p>
        </w:tc>
        <w:tc>
          <w:tcPr>
            <w:tcW w:w="26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42,860,156</w:t>
            </w:r>
          </w:p>
        </w:tc>
        <w:tc>
          <w:tcPr>
            <w:tcW w:w="100" w:type="dxa"/>
            <w:vAlign w:val="bottom"/>
          </w:tcPr>
          <w:p>
            <w:pPr>
              <w:spacing w:after="0"/>
              <w:rPr>
                <w:sz w:val="17"/>
                <w:szCs w:val="17"/>
                <w:color w:val="auto"/>
              </w:rPr>
            </w:pPr>
          </w:p>
        </w:tc>
        <w:tc>
          <w:tcPr>
            <w:tcW w:w="28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ind w:right="5"/>
              <w:spacing w:after="0"/>
              <w:rPr>
                <w:sz w:val="20"/>
                <w:szCs w:val="20"/>
                <w:color w:val="auto"/>
              </w:rPr>
            </w:pPr>
            <w:r>
              <w:rPr>
                <w:rFonts w:ascii="Times New Roman" w:cs="Times New Roman" w:eastAsia="Times New Roman" w:hAnsi="Times New Roman"/>
                <w:sz w:val="16"/>
                <w:szCs w:val="16"/>
                <w:color w:val="auto"/>
              </w:rPr>
              <w:t>163,801,798</w:t>
            </w:r>
          </w:p>
        </w:tc>
        <w:tc>
          <w:tcPr>
            <w:tcW w:w="100" w:type="dxa"/>
            <w:vAlign w:val="bottom"/>
          </w:tcPr>
          <w:p>
            <w:pPr>
              <w:spacing w:after="0"/>
              <w:rPr>
                <w:sz w:val="17"/>
                <w:szCs w:val="17"/>
                <w:color w:val="auto"/>
              </w:rPr>
            </w:pPr>
          </w:p>
        </w:tc>
        <w:tc>
          <w:tcPr>
            <w:tcW w:w="2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3,011,438</w:t>
            </w:r>
          </w:p>
        </w:tc>
        <w:tc>
          <w:tcPr>
            <w:tcW w:w="100" w:type="dxa"/>
            <w:vAlign w:val="bottom"/>
          </w:tcPr>
          <w:p>
            <w:pPr>
              <w:spacing w:after="0"/>
              <w:rPr>
                <w:sz w:val="17"/>
                <w:szCs w:val="17"/>
                <w:color w:val="auto"/>
              </w:rPr>
            </w:pPr>
          </w:p>
        </w:tc>
        <w:tc>
          <w:tcPr>
            <w:tcW w:w="32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4,959,112</w:t>
            </w:r>
          </w:p>
        </w:tc>
        <w:tc>
          <w:tcPr>
            <w:tcW w:w="100" w:type="dxa"/>
            <w:vAlign w:val="bottom"/>
          </w:tcPr>
          <w:p>
            <w:pPr>
              <w:spacing w:after="0"/>
              <w:rPr>
                <w:sz w:val="17"/>
                <w:szCs w:val="17"/>
                <w:color w:val="auto"/>
              </w:rPr>
            </w:pPr>
          </w:p>
        </w:tc>
        <w:tc>
          <w:tcPr>
            <w:tcW w:w="340" w:type="dxa"/>
            <w:vAlign w:val="bottom"/>
          </w:tcPr>
          <w:p>
            <w:pPr>
              <w:jc w:val="right"/>
              <w:ind w:right="162"/>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214,632,504</w:t>
            </w:r>
          </w:p>
        </w:tc>
        <w:tc>
          <w:tcPr>
            <w:tcW w:w="0" w:type="dxa"/>
            <w:vAlign w:val="bottom"/>
          </w:tcPr>
          <w:p>
            <w:pPr>
              <w:spacing w:after="0"/>
              <w:rPr>
                <w:sz w:val="1"/>
                <w:szCs w:val="1"/>
                <w:color w:val="auto"/>
              </w:rPr>
            </w:pPr>
          </w:p>
        </w:tc>
      </w:tr>
      <w:tr>
        <w:trPr>
          <w:trHeight w:val="209"/>
        </w:trPr>
        <w:tc>
          <w:tcPr>
            <w:tcW w:w="3720" w:type="dxa"/>
            <w:vAlign w:val="bottom"/>
            <w:shd w:val="clear" w:color="auto" w:fill="CCEEFF"/>
          </w:tcPr>
          <w:p>
            <w:pPr>
              <w:ind w:left="20"/>
              <w:spacing w:after="0" w:line="209" w:lineRule="exact"/>
              <w:rPr>
                <w:sz w:val="20"/>
                <w:szCs w:val="20"/>
                <w:color w:val="auto"/>
              </w:rPr>
            </w:pPr>
            <w:r>
              <w:rPr>
                <w:rFonts w:ascii="Times New Roman" w:cs="Times New Roman" w:eastAsia="Times New Roman" w:hAnsi="Times New Roman"/>
                <w:sz w:val="16"/>
                <w:szCs w:val="16"/>
                <w:color w:val="auto"/>
              </w:rPr>
              <w:t>Transfers out of Level 3</w:t>
            </w:r>
            <w:r>
              <w:rPr>
                <w:rFonts w:ascii="Times New Roman" w:cs="Times New Roman" w:eastAsia="Times New Roman" w:hAnsi="Times New Roman"/>
                <w:sz w:val="20"/>
                <w:szCs w:val="20"/>
                <w:color w:val="auto"/>
                <w:vertAlign w:val="superscript"/>
              </w:rPr>
              <w:t>(1)</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(6,918,251)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(1,775,506)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(48,639)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(8,742,396)</w:t>
            </w:r>
          </w:p>
        </w:tc>
        <w:tc>
          <w:tcPr>
            <w:tcW w:w="0" w:type="dxa"/>
            <w:vAlign w:val="bottom"/>
          </w:tcPr>
          <w:p>
            <w:pPr>
              <w:spacing w:after="0"/>
              <w:rPr>
                <w:sz w:val="1"/>
                <w:szCs w:val="1"/>
                <w:color w:val="auto"/>
              </w:rPr>
            </w:pPr>
          </w:p>
        </w:tc>
      </w:tr>
      <w:tr>
        <w:trPr>
          <w:trHeight w:val="205"/>
        </w:trPr>
        <w:tc>
          <w:tcPr>
            <w:tcW w:w="3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Purchases, capitalized fees and interest</w:t>
            </w:r>
          </w:p>
        </w:tc>
        <w:tc>
          <w:tcPr>
            <w:tcW w:w="260" w:type="dxa"/>
            <w:vAlign w:val="bottom"/>
          </w:tcPr>
          <w:p>
            <w:pPr>
              <w:spacing w:after="0"/>
              <w:rPr>
                <w:sz w:val="17"/>
                <w:szCs w:val="17"/>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1160" w:type="dxa"/>
            <w:vAlign w:val="bottom"/>
          </w:tcPr>
          <w:p>
            <w:pPr>
              <w:jc w:val="right"/>
              <w:ind w:right="5"/>
              <w:spacing w:after="0"/>
              <w:rPr>
                <w:sz w:val="20"/>
                <w:szCs w:val="20"/>
                <w:color w:val="auto"/>
              </w:rPr>
            </w:pPr>
            <w:r>
              <w:rPr>
                <w:rFonts w:ascii="Times New Roman" w:cs="Times New Roman" w:eastAsia="Times New Roman" w:hAnsi="Times New Roman"/>
                <w:sz w:val="16"/>
                <w:szCs w:val="16"/>
                <w:color w:val="auto"/>
              </w:rPr>
              <w:t>10,508,515</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500,000</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11,008,515</w:t>
            </w:r>
          </w:p>
        </w:tc>
        <w:tc>
          <w:tcPr>
            <w:tcW w:w="0" w:type="dxa"/>
            <w:vAlign w:val="bottom"/>
          </w:tcPr>
          <w:p>
            <w:pPr>
              <w:spacing w:after="0"/>
              <w:rPr>
                <w:sz w:val="1"/>
                <w:szCs w:val="1"/>
                <w:color w:val="auto"/>
              </w:rPr>
            </w:pPr>
          </w:p>
        </w:tc>
      </w:tr>
      <w:tr>
        <w:trPr>
          <w:trHeight w:val="209"/>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Sales/Maturity of investments</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(874,470)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(1,374,470)</w:t>
            </w:r>
          </w:p>
        </w:tc>
        <w:tc>
          <w:tcPr>
            <w:tcW w:w="0" w:type="dxa"/>
            <w:vAlign w:val="bottom"/>
          </w:tcPr>
          <w:p>
            <w:pPr>
              <w:spacing w:after="0"/>
              <w:rPr>
                <w:sz w:val="1"/>
                <w:szCs w:val="1"/>
                <w:color w:val="auto"/>
              </w:rPr>
            </w:pPr>
          </w:p>
        </w:tc>
      </w:tr>
      <w:tr>
        <w:trPr>
          <w:trHeight w:val="205"/>
        </w:trPr>
        <w:tc>
          <w:tcPr>
            <w:tcW w:w="3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Realized gains/(losses)</w:t>
            </w:r>
          </w:p>
        </w:tc>
        <w:tc>
          <w:tcPr>
            <w:tcW w:w="2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160,965</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(70,379)</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90,586</w:t>
            </w:r>
          </w:p>
        </w:tc>
        <w:tc>
          <w:tcPr>
            <w:tcW w:w="0" w:type="dxa"/>
            <w:vAlign w:val="bottom"/>
          </w:tcPr>
          <w:p>
            <w:pPr>
              <w:spacing w:after="0"/>
              <w:rPr>
                <w:sz w:val="1"/>
                <w:szCs w:val="1"/>
                <w:color w:val="auto"/>
              </w:rPr>
            </w:pPr>
          </w:p>
        </w:tc>
      </w:tr>
      <w:tr>
        <w:trPr>
          <w:trHeight w:val="158"/>
        </w:trPr>
        <w:tc>
          <w:tcPr>
            <w:tcW w:w="3720" w:type="dxa"/>
            <w:vAlign w:val="bottom"/>
            <w:shd w:val="clear" w:color="auto" w:fill="CCEEFF"/>
          </w:tcPr>
          <w:p>
            <w:pPr>
              <w:ind w:left="20"/>
              <w:spacing w:after="0" w:line="158" w:lineRule="exact"/>
              <w:rPr>
                <w:sz w:val="20"/>
                <w:szCs w:val="20"/>
                <w:color w:val="auto"/>
              </w:rPr>
            </w:pPr>
            <w:r>
              <w:rPr>
                <w:rFonts w:ascii="Times New Roman" w:cs="Times New Roman" w:eastAsia="Times New Roman" w:hAnsi="Times New Roman"/>
                <w:sz w:val="16"/>
                <w:szCs w:val="16"/>
                <w:color w:val="auto"/>
              </w:rPr>
              <w:t>Net change in unrealized appreciation/(depreciation)</w:t>
            </w:r>
          </w:p>
        </w:tc>
        <w:tc>
          <w:tcPr>
            <w:tcW w:w="26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(11,707,298)</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(41,498,344)</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(506,339)</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(86,527)</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(53,798,508)</w:t>
            </w:r>
          </w:p>
        </w:tc>
        <w:tc>
          <w:tcPr>
            <w:tcW w:w="0" w:type="dxa"/>
            <w:vAlign w:val="bottom"/>
          </w:tcPr>
          <w:p>
            <w:pPr>
              <w:spacing w:after="0"/>
              <w:rPr>
                <w:sz w:val="1"/>
                <w:szCs w:val="1"/>
                <w:color w:val="auto"/>
              </w:rPr>
            </w:pPr>
          </w:p>
        </w:tc>
      </w:tr>
      <w:tr>
        <w:trPr>
          <w:trHeight w:val="205"/>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included in earnings</w:t>
            </w:r>
          </w:p>
        </w:tc>
        <w:tc>
          <w:tcPr>
            <w:tcW w:w="26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Fair Value as of June 30, 2022</w:t>
            </w:r>
          </w:p>
        </w:tc>
        <w:tc>
          <w:tcPr>
            <w:tcW w:w="26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23,521,102</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6"/>
                <w:szCs w:val="16"/>
                <w:color w:val="auto"/>
              </w:rPr>
              <w:t>131,036,463</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2,505,099</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42"/>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4,753,567</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62"/>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161,816,231</w:t>
            </w:r>
          </w:p>
        </w:tc>
        <w:tc>
          <w:tcPr>
            <w:tcW w:w="0" w:type="dxa"/>
            <w:vAlign w:val="bottom"/>
          </w:tcPr>
          <w:p>
            <w:pPr>
              <w:spacing w:after="0"/>
              <w:rPr>
                <w:sz w:val="1"/>
                <w:szCs w:val="1"/>
                <w:color w:val="auto"/>
              </w:rPr>
            </w:pPr>
          </w:p>
        </w:tc>
      </w:tr>
      <w:tr>
        <w:trPr>
          <w:trHeight w:val="20"/>
        </w:trPr>
        <w:tc>
          <w:tcPr>
            <w:tcW w:w="37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3720" w:type="dxa"/>
            <w:vAlign w:val="bottom"/>
            <w:shd w:val="clear" w:color="auto" w:fill="CCEEFF"/>
          </w:tcPr>
          <w:p>
            <w:pPr>
              <w:ind w:left="20"/>
              <w:spacing w:after="0" w:line="121" w:lineRule="exact"/>
              <w:rPr>
                <w:sz w:val="20"/>
                <w:szCs w:val="20"/>
                <w:color w:val="auto"/>
              </w:rPr>
            </w:pPr>
            <w:r>
              <w:rPr>
                <w:rFonts w:ascii="Times New Roman" w:cs="Times New Roman" w:eastAsia="Times New Roman" w:hAnsi="Times New Roman"/>
                <w:sz w:val="14"/>
                <w:szCs w:val="14"/>
                <w:color w:val="auto"/>
              </w:rPr>
              <w:t>Net change in unrealized appreciation/ (depreciation) of</w:t>
            </w:r>
          </w:p>
        </w:tc>
        <w:tc>
          <w:tcPr>
            <w:tcW w:w="260" w:type="dxa"/>
            <w:vAlign w:val="bottom"/>
            <w:vMerge w:val="restart"/>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4,456,750</w:t>
            </w:r>
          </w:p>
        </w:tc>
        <w:tc>
          <w:tcPr>
            <w:tcW w:w="100" w:type="dxa"/>
            <w:vAlign w:val="bottom"/>
            <w:shd w:val="clear" w:color="auto" w:fill="CCEEFF"/>
          </w:tcPr>
          <w:p>
            <w:pPr>
              <w:spacing w:after="0"/>
              <w:rPr>
                <w:sz w:val="10"/>
                <w:szCs w:val="10"/>
                <w:color w:val="auto"/>
              </w:rPr>
            </w:pPr>
          </w:p>
        </w:tc>
        <w:tc>
          <w:tcPr>
            <w:tcW w:w="280" w:type="dxa"/>
            <w:vAlign w:val="bottom"/>
            <w:vMerge w:val="restart"/>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(39,541,307)</w:t>
            </w:r>
          </w:p>
        </w:tc>
        <w:tc>
          <w:tcPr>
            <w:tcW w:w="100" w:type="dxa"/>
            <w:vAlign w:val="bottom"/>
            <w:shd w:val="clear" w:color="auto" w:fill="CCEEFF"/>
          </w:tcPr>
          <w:p>
            <w:pPr>
              <w:spacing w:after="0"/>
              <w:rPr>
                <w:sz w:val="10"/>
                <w:szCs w:val="10"/>
                <w:color w:val="auto"/>
              </w:rPr>
            </w:pPr>
          </w:p>
        </w:tc>
        <w:tc>
          <w:tcPr>
            <w:tcW w:w="220" w:type="dxa"/>
            <w:vAlign w:val="bottom"/>
            <w:vMerge w:val="restart"/>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(506,339)</w:t>
            </w:r>
          </w:p>
        </w:tc>
        <w:tc>
          <w:tcPr>
            <w:tcW w:w="100" w:type="dxa"/>
            <w:vAlign w:val="bottom"/>
            <w:shd w:val="clear" w:color="auto" w:fill="CCEEFF"/>
          </w:tcPr>
          <w:p>
            <w:pPr>
              <w:spacing w:after="0"/>
              <w:rPr>
                <w:sz w:val="10"/>
                <w:szCs w:val="10"/>
                <w:color w:val="auto"/>
              </w:rPr>
            </w:pPr>
          </w:p>
        </w:tc>
        <w:tc>
          <w:tcPr>
            <w:tcW w:w="320" w:type="dxa"/>
            <w:vAlign w:val="bottom"/>
            <w:vMerge w:val="restart"/>
            <w:shd w:val="clear" w:color="auto" w:fill="CCEEFF"/>
          </w:tcPr>
          <w:p>
            <w:pPr>
              <w:jc w:val="right"/>
              <w:ind w:right="142"/>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211,567</w:t>
            </w:r>
          </w:p>
        </w:tc>
        <w:tc>
          <w:tcPr>
            <w:tcW w:w="100" w:type="dxa"/>
            <w:vAlign w:val="bottom"/>
            <w:shd w:val="clear" w:color="auto" w:fill="CCEEFF"/>
          </w:tcPr>
          <w:p>
            <w:pPr>
              <w:spacing w:after="0"/>
              <w:rPr>
                <w:sz w:val="10"/>
                <w:szCs w:val="10"/>
                <w:color w:val="auto"/>
              </w:rPr>
            </w:pPr>
          </w:p>
        </w:tc>
        <w:tc>
          <w:tcPr>
            <w:tcW w:w="340" w:type="dxa"/>
            <w:vAlign w:val="bottom"/>
            <w:vMerge w:val="restart"/>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(35,379,329)</w:t>
            </w:r>
          </w:p>
        </w:tc>
        <w:tc>
          <w:tcPr>
            <w:tcW w:w="0" w:type="dxa"/>
            <w:vAlign w:val="bottom"/>
          </w:tcPr>
          <w:p>
            <w:pPr>
              <w:spacing w:after="0"/>
              <w:rPr>
                <w:sz w:val="1"/>
                <w:szCs w:val="1"/>
                <w:color w:val="auto"/>
              </w:rPr>
            </w:pPr>
          </w:p>
        </w:tc>
      </w:tr>
      <w:tr>
        <w:trPr>
          <w:trHeight w:val="201"/>
        </w:trPr>
        <w:tc>
          <w:tcPr>
            <w:tcW w:w="3720" w:type="dxa"/>
            <w:vAlign w:val="bottom"/>
            <w:tcBorders>
              <w:bottom w:val="single" w:sz="8" w:color="CCEEFF"/>
            </w:tcBorders>
            <w:shd w:val="clear" w:color="auto" w:fill="CCEEFF"/>
          </w:tcPr>
          <w:p>
            <w:pPr>
              <w:ind w:left="20"/>
              <w:spacing w:after="0" w:line="181" w:lineRule="exact"/>
              <w:rPr>
                <w:sz w:val="20"/>
                <w:szCs w:val="20"/>
                <w:color w:val="auto"/>
              </w:rPr>
            </w:pPr>
            <w:r>
              <w:rPr>
                <w:rFonts w:ascii="Times New Roman" w:cs="Times New Roman" w:eastAsia="Times New Roman" w:hAnsi="Times New Roman"/>
                <w:sz w:val="16"/>
                <w:szCs w:val="16"/>
                <w:color w:val="auto"/>
              </w:rPr>
              <w:t>Level 3 investments still held as of June 30, 2022</w:t>
            </w:r>
          </w:p>
        </w:tc>
        <w:tc>
          <w:tcPr>
            <w:tcW w:w="260" w:type="dxa"/>
            <w:vAlign w:val="bottom"/>
            <w:tcBorders>
              <w:bottom w:val="single" w:sz="8" w:color="auto"/>
            </w:tcBorders>
            <w:vMerge w:val="continue"/>
            <w:shd w:val="clear" w:color="auto" w:fill="CCEEFF"/>
          </w:tcPr>
          <w:p>
            <w:pPr>
              <w:spacing w:after="0"/>
              <w:rPr>
                <w:sz w:val="17"/>
                <w:szCs w:val="17"/>
                <w:color w:val="auto"/>
              </w:rPr>
            </w:pPr>
          </w:p>
        </w:tc>
        <w:tc>
          <w:tcPr>
            <w:tcW w:w="114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vMerge w:val="continue"/>
            <w:shd w:val="clear" w:color="auto" w:fill="CCEEFF"/>
          </w:tcPr>
          <w:p>
            <w:pPr>
              <w:spacing w:after="0"/>
              <w:rPr>
                <w:sz w:val="17"/>
                <w:szCs w:val="17"/>
                <w:color w:val="auto"/>
              </w:rPr>
            </w:pPr>
          </w:p>
        </w:tc>
        <w:tc>
          <w:tcPr>
            <w:tcW w:w="116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vMerge w:val="continue"/>
            <w:shd w:val="clear" w:color="auto" w:fill="CCEEFF"/>
          </w:tcPr>
          <w:p>
            <w:pPr>
              <w:spacing w:after="0"/>
              <w:rPr>
                <w:sz w:val="17"/>
                <w:szCs w:val="17"/>
                <w:color w:val="auto"/>
              </w:rPr>
            </w:pPr>
          </w:p>
        </w:tc>
        <w:tc>
          <w:tcPr>
            <w:tcW w:w="120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vMerge w:val="continue"/>
            <w:shd w:val="clear" w:color="auto" w:fill="CCEEFF"/>
          </w:tcPr>
          <w:p>
            <w:pPr>
              <w:spacing w:after="0"/>
              <w:rPr>
                <w:sz w:val="17"/>
                <w:szCs w:val="17"/>
                <w:color w:val="auto"/>
              </w:rPr>
            </w:pPr>
          </w:p>
        </w:tc>
        <w:tc>
          <w:tcPr>
            <w:tcW w:w="110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vMerge w:val="continue"/>
            <w:shd w:val="clear" w:color="auto" w:fill="CCEEFF"/>
          </w:tcPr>
          <w:p>
            <w:pPr>
              <w:spacing w:after="0"/>
              <w:rPr>
                <w:sz w:val="17"/>
                <w:szCs w:val="17"/>
                <w:color w:val="auto"/>
              </w:rPr>
            </w:pPr>
          </w:p>
        </w:tc>
        <w:tc>
          <w:tcPr>
            <w:tcW w:w="110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7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w:t>
      </w:r>
    </w:p>
    <w:p>
      <w:pPr>
        <w:spacing w:after="0" w:line="30" w:lineRule="exact"/>
        <w:rPr>
          <w:sz w:val="20"/>
          <w:szCs w:val="20"/>
          <w:color w:val="auto"/>
        </w:rPr>
      </w:pPr>
    </w:p>
    <w:p>
      <w:pPr>
        <w:ind w:left="340" w:hanging="337"/>
        <w:spacing w:after="0"/>
        <w:tabs>
          <w:tab w:leader="none" w:pos="34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During the six months ended June 30, 2022, the Company’s portfolio investments had the following corporate actions which are reflected above:</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1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Portfolio Company</w:t>
            </w:r>
          </w:p>
        </w:tc>
        <w:tc>
          <w:tcPr>
            <w:tcW w:w="36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6"/>
              </w:rPr>
              <w:t>Conversion from</w:t>
            </w:r>
          </w:p>
        </w:tc>
        <w:tc>
          <w:tcPr>
            <w:tcW w:w="3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Conversion to</w:t>
            </w:r>
          </w:p>
        </w:tc>
        <w:tc>
          <w:tcPr>
            <w:tcW w:w="0" w:type="dxa"/>
            <w:vAlign w:val="bottom"/>
          </w:tcPr>
          <w:p>
            <w:pPr>
              <w:spacing w:after="0"/>
              <w:rPr>
                <w:sz w:val="1"/>
                <w:szCs w:val="1"/>
                <w:color w:val="auto"/>
              </w:rPr>
            </w:pPr>
          </w:p>
        </w:tc>
      </w:tr>
      <w:tr>
        <w:trPr>
          <w:trHeight w:val="151"/>
        </w:trPr>
        <w:tc>
          <w:tcPr>
            <w:tcW w:w="30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580" w:type="dxa"/>
            <w:vAlign w:val="bottom"/>
            <w:tcBorders>
              <w:top w:val="single" w:sz="8" w:color="auto"/>
            </w:tcBorders>
            <w:shd w:val="clear" w:color="auto" w:fill="CCEEFF"/>
          </w:tcPr>
          <w:p>
            <w:pPr>
              <w:jc w:val="center"/>
              <w:spacing w:after="0" w:line="152" w:lineRule="exact"/>
              <w:rPr>
                <w:sz w:val="20"/>
                <w:szCs w:val="20"/>
                <w:color w:val="auto"/>
              </w:rPr>
            </w:pPr>
            <w:r>
              <w:rPr>
                <w:rFonts w:ascii="Times New Roman" w:cs="Times New Roman" w:eastAsia="Times New Roman" w:hAnsi="Times New Roman"/>
                <w:sz w:val="16"/>
                <w:szCs w:val="16"/>
                <w:color w:val="auto"/>
                <w:w w:val="96"/>
              </w:rPr>
              <w:t>Common Shares, Class AA</w:t>
            </w:r>
          </w:p>
        </w:tc>
        <w:tc>
          <w:tcPr>
            <w:tcW w:w="100" w:type="dxa"/>
            <w:vAlign w:val="bottom"/>
            <w:tcBorders>
              <w:top w:val="single" w:sz="8" w:color="CCEEFF"/>
            </w:tcBorders>
            <w:shd w:val="clear" w:color="auto" w:fill="CCEEFF"/>
          </w:tcPr>
          <w:p>
            <w:pPr>
              <w:spacing w:after="0"/>
              <w:rPr>
                <w:sz w:val="13"/>
                <w:szCs w:val="13"/>
                <w:color w:val="auto"/>
              </w:rPr>
            </w:pPr>
          </w:p>
        </w:tc>
        <w:tc>
          <w:tcPr>
            <w:tcW w:w="3820" w:type="dxa"/>
            <w:vAlign w:val="bottom"/>
            <w:tcBorders>
              <w:top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7"/>
              </w:rPr>
              <w:t>Public Common shares (Level 2)</w:t>
            </w:r>
          </w:p>
        </w:tc>
        <w:tc>
          <w:tcPr>
            <w:tcW w:w="0" w:type="dxa"/>
            <w:vAlign w:val="bottom"/>
          </w:tcPr>
          <w:p>
            <w:pPr>
              <w:spacing w:after="0"/>
              <w:rPr>
                <w:sz w:val="1"/>
                <w:szCs w:val="1"/>
                <w:color w:val="auto"/>
              </w:rPr>
            </w:pPr>
          </w:p>
        </w:tc>
      </w:tr>
      <w:tr>
        <w:trPr>
          <w:trHeight w:val="78"/>
        </w:trPr>
        <w:tc>
          <w:tcPr>
            <w:tcW w:w="30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680" w:type="dxa"/>
            <w:vAlign w:val="bottom"/>
            <w:gridSpan w:val="2"/>
            <w:vMerge w:val="restart"/>
            <w:shd w:val="clear" w:color="auto" w:fill="CCEEFF"/>
          </w:tcPr>
          <w:p>
            <w:pPr>
              <w:jc w:val="center"/>
              <w:ind w:right="100"/>
              <w:spacing w:after="0" w:line="155" w:lineRule="exact"/>
              <w:rPr>
                <w:sz w:val="20"/>
                <w:szCs w:val="20"/>
                <w:color w:val="auto"/>
              </w:rPr>
            </w:pPr>
            <w:r>
              <w:rPr>
                <w:rFonts w:ascii="Times New Roman" w:cs="Times New Roman" w:eastAsia="Times New Roman" w:hAnsi="Times New Roman"/>
                <w:sz w:val="16"/>
                <w:szCs w:val="16"/>
                <w:color w:val="auto"/>
                <w:w w:val="97"/>
              </w:rPr>
              <w:t>Junior Preferred Shares</w:t>
            </w:r>
          </w:p>
        </w:tc>
        <w:tc>
          <w:tcPr>
            <w:tcW w:w="38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78"/>
        </w:trPr>
        <w:tc>
          <w:tcPr>
            <w:tcW w:w="3120" w:type="dxa"/>
            <w:vAlign w:val="bottom"/>
            <w:gridSpan w:val="2"/>
            <w:vMerge w:val="restart"/>
            <w:shd w:val="clear" w:color="auto" w:fill="CCEEFF"/>
          </w:tcPr>
          <w:p>
            <w:pPr>
              <w:ind w:left="20"/>
              <w:spacing w:after="0" w:line="155" w:lineRule="exact"/>
              <w:rPr>
                <w:sz w:val="20"/>
                <w:szCs w:val="20"/>
                <w:color w:val="auto"/>
              </w:rPr>
            </w:pPr>
            <w:r>
              <w:rPr>
                <w:rFonts w:ascii="Times New Roman" w:cs="Times New Roman" w:eastAsia="Times New Roman" w:hAnsi="Times New Roman"/>
                <w:sz w:val="16"/>
                <w:szCs w:val="16"/>
                <w:color w:val="auto"/>
              </w:rPr>
              <w:t>Forge Global, Inc.</w:t>
            </w:r>
          </w:p>
        </w:tc>
        <w:tc>
          <w:tcPr>
            <w:tcW w:w="3680" w:type="dxa"/>
            <w:vAlign w:val="bottom"/>
            <w:gridSpan w:val="2"/>
            <w:vMerge w:val="continue"/>
            <w:shd w:val="clear" w:color="auto" w:fill="CCEEFF"/>
          </w:tcPr>
          <w:p>
            <w:pPr>
              <w:spacing w:after="0"/>
              <w:rPr>
                <w:sz w:val="6"/>
                <w:szCs w:val="6"/>
                <w:color w:val="auto"/>
              </w:rPr>
            </w:pPr>
          </w:p>
        </w:tc>
        <w:tc>
          <w:tcPr>
            <w:tcW w:w="3820" w:type="dxa"/>
            <w:vAlign w:val="bottom"/>
            <w:vMerge w:val="restart"/>
            <w:shd w:val="clear" w:color="auto" w:fill="CCEEFF"/>
          </w:tcPr>
          <w:p>
            <w:pPr>
              <w:jc w:val="center"/>
              <w:spacing w:after="0" w:line="155" w:lineRule="exact"/>
              <w:rPr>
                <w:sz w:val="20"/>
                <w:szCs w:val="20"/>
                <w:color w:val="auto"/>
              </w:rPr>
            </w:pPr>
            <w:r>
              <w:rPr>
                <w:rFonts w:ascii="Times New Roman" w:cs="Times New Roman" w:eastAsia="Times New Roman" w:hAnsi="Times New Roman"/>
                <w:sz w:val="16"/>
                <w:szCs w:val="16"/>
                <w:color w:val="auto"/>
                <w:w w:val="96"/>
              </w:rPr>
              <w:t>Common warrants, Strike Price $3.98, Expiration Date</w:t>
            </w:r>
          </w:p>
        </w:tc>
        <w:tc>
          <w:tcPr>
            <w:tcW w:w="0" w:type="dxa"/>
            <w:vAlign w:val="bottom"/>
          </w:tcPr>
          <w:p>
            <w:pPr>
              <w:spacing w:after="0"/>
              <w:rPr>
                <w:sz w:val="1"/>
                <w:szCs w:val="1"/>
                <w:color w:val="auto"/>
              </w:rPr>
            </w:pPr>
          </w:p>
        </w:tc>
      </w:tr>
      <w:tr>
        <w:trPr>
          <w:trHeight w:val="78"/>
        </w:trPr>
        <w:tc>
          <w:tcPr>
            <w:tcW w:w="3120" w:type="dxa"/>
            <w:vAlign w:val="bottom"/>
            <w:gridSpan w:val="2"/>
            <w:vMerge w:val="continue"/>
            <w:shd w:val="clear" w:color="auto" w:fill="CCEEFF"/>
          </w:tcPr>
          <w:p>
            <w:pPr>
              <w:spacing w:after="0"/>
              <w:rPr>
                <w:sz w:val="6"/>
                <w:szCs w:val="6"/>
                <w:color w:val="auto"/>
              </w:rPr>
            </w:pPr>
          </w:p>
        </w:tc>
        <w:tc>
          <w:tcPr>
            <w:tcW w:w="3680" w:type="dxa"/>
            <w:vAlign w:val="bottom"/>
            <w:gridSpan w:val="2"/>
            <w:vMerge w:val="restart"/>
            <w:shd w:val="clear" w:color="auto" w:fill="CCEEFF"/>
          </w:tcPr>
          <w:p>
            <w:pPr>
              <w:jc w:val="center"/>
              <w:ind w:right="100"/>
              <w:spacing w:after="0" w:line="155" w:lineRule="exact"/>
              <w:rPr>
                <w:sz w:val="20"/>
                <w:szCs w:val="20"/>
                <w:color w:val="auto"/>
              </w:rPr>
            </w:pPr>
            <w:r>
              <w:rPr>
                <w:rFonts w:ascii="Times New Roman" w:cs="Times New Roman" w:eastAsia="Times New Roman" w:hAnsi="Times New Roman"/>
                <w:sz w:val="16"/>
                <w:szCs w:val="16"/>
                <w:color w:val="auto"/>
                <w:w w:val="96"/>
              </w:rPr>
              <w:t>Junior Preferred Warrants, Strike Price $12.42,</w:t>
            </w:r>
          </w:p>
        </w:tc>
        <w:tc>
          <w:tcPr>
            <w:tcW w:w="38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78"/>
        </w:trPr>
        <w:tc>
          <w:tcPr>
            <w:tcW w:w="30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680" w:type="dxa"/>
            <w:vAlign w:val="bottom"/>
            <w:gridSpan w:val="2"/>
            <w:vMerge w:val="continue"/>
            <w:shd w:val="clear" w:color="auto" w:fill="CCEEFF"/>
          </w:tcPr>
          <w:p>
            <w:pPr>
              <w:spacing w:after="0"/>
              <w:rPr>
                <w:sz w:val="6"/>
                <w:szCs w:val="6"/>
                <w:color w:val="auto"/>
              </w:rPr>
            </w:pPr>
          </w:p>
        </w:tc>
        <w:tc>
          <w:tcPr>
            <w:tcW w:w="38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11/9/2025 (Level 2)</w:t>
            </w:r>
          </w:p>
        </w:tc>
        <w:tc>
          <w:tcPr>
            <w:tcW w:w="0" w:type="dxa"/>
            <w:vAlign w:val="bottom"/>
          </w:tcPr>
          <w:p>
            <w:pPr>
              <w:spacing w:after="0"/>
              <w:rPr>
                <w:sz w:val="1"/>
                <w:szCs w:val="1"/>
                <w:color w:val="auto"/>
              </w:rPr>
            </w:pPr>
          </w:p>
        </w:tc>
      </w:tr>
      <w:tr>
        <w:trPr>
          <w:trHeight w:val="125"/>
        </w:trPr>
        <w:tc>
          <w:tcPr>
            <w:tcW w:w="30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8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7"/>
              </w:rPr>
              <w:t>Expiration Date 11/9/2025</w:t>
            </w:r>
          </w:p>
        </w:tc>
        <w:tc>
          <w:tcPr>
            <w:tcW w:w="382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82"/>
        </w:trPr>
        <w:tc>
          <w:tcPr>
            <w:tcW w:w="30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680" w:type="dxa"/>
            <w:vAlign w:val="bottom"/>
            <w:gridSpan w:val="2"/>
            <w:vMerge w:val="continue"/>
            <w:shd w:val="clear" w:color="auto" w:fill="CCEEFF"/>
          </w:tcPr>
          <w:p>
            <w:pPr>
              <w:spacing w:after="0"/>
              <w:rPr>
                <w:sz w:val="7"/>
                <w:szCs w:val="7"/>
                <w:color w:val="auto"/>
              </w:rPr>
            </w:pPr>
          </w:p>
        </w:tc>
        <w:tc>
          <w:tcPr>
            <w:tcW w:w="38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4257040</wp:posOffset>
            </wp:positionH>
            <wp:positionV relativeFrom="paragraph">
              <wp:posOffset>-434975</wp:posOffset>
            </wp:positionV>
            <wp:extent cx="6540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5405" cy="8255"/>
                    </a:xfrm>
                    <a:prstGeom prst="rect">
                      <a:avLst/>
                    </a:prstGeom>
                    <a:noFill/>
                  </pic:spPr>
                </pic:pic>
              </a:graphicData>
            </a:graphic>
          </wp:anchor>
        </w:drawing>
        <w:drawing>
          <wp:anchor simplePos="0" relativeHeight="251657728" behindDoc="1" locked="0" layoutInCell="0" allowOverlap="1">
            <wp:simplePos x="0" y="0"/>
            <wp:positionH relativeFrom="column">
              <wp:posOffset>1915795</wp:posOffset>
            </wp:positionH>
            <wp:positionV relativeFrom="paragraph">
              <wp:posOffset>-434975</wp:posOffset>
            </wp:positionV>
            <wp:extent cx="6540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5405" cy="8255"/>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The aggregate values of Level 3 assets and liabilities changed during the year ended December 31, 2021 as follows: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80" w:type="dxa"/>
            <w:vAlign w:val="bottom"/>
            <w:gridSpan w:val="6"/>
          </w:tcPr>
          <w:p>
            <w:pPr>
              <w:jc w:val="center"/>
              <w:ind w:left="805"/>
              <w:spacing w:after="0"/>
              <w:rPr>
                <w:sz w:val="20"/>
                <w:szCs w:val="20"/>
                <w:color w:val="auto"/>
              </w:rPr>
            </w:pPr>
            <w:r>
              <w:rPr>
                <w:rFonts w:ascii="Times New Roman" w:cs="Times New Roman" w:eastAsia="Times New Roman" w:hAnsi="Times New Roman"/>
                <w:sz w:val="14"/>
                <w:szCs w:val="14"/>
                <w:b w:val="1"/>
                <w:bCs w:val="1"/>
                <w:color w:val="auto"/>
                <w:w w:val="97"/>
              </w:rPr>
              <w:t>Year Ended December 31, 2021</w:t>
            </w: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37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2"/>
        </w:trPr>
        <w:tc>
          <w:tcPr>
            <w:tcW w:w="37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40" w:type="dxa"/>
            <w:vAlign w:val="bottom"/>
            <w:gridSpan w:val="2"/>
          </w:tcPr>
          <w:p>
            <w:pPr>
              <w:jc w:val="center"/>
              <w:ind w:right="360"/>
              <w:spacing w:after="0" w:line="123" w:lineRule="exact"/>
              <w:rPr>
                <w:sz w:val="20"/>
                <w:szCs w:val="20"/>
                <w:color w:val="auto"/>
              </w:rPr>
            </w:pPr>
            <w:r>
              <w:rPr>
                <w:rFonts w:ascii="Times New Roman" w:cs="Times New Roman" w:eastAsia="Times New Roman" w:hAnsi="Times New Roman"/>
                <w:sz w:val="14"/>
                <w:szCs w:val="14"/>
                <w:b w:val="1"/>
                <w:bCs w:val="1"/>
                <w:color w:val="auto"/>
              </w:rPr>
              <w:t>Common</w:t>
            </w:r>
          </w:p>
        </w:tc>
        <w:tc>
          <w:tcPr>
            <w:tcW w:w="280" w:type="dxa"/>
            <w:vAlign w:val="bottom"/>
          </w:tcPr>
          <w:p>
            <w:pPr>
              <w:spacing w:after="0"/>
              <w:rPr>
                <w:sz w:val="10"/>
                <w:szCs w:val="10"/>
                <w:color w:val="auto"/>
              </w:rPr>
            </w:pPr>
          </w:p>
        </w:tc>
        <w:tc>
          <w:tcPr>
            <w:tcW w:w="1260" w:type="dxa"/>
            <w:vAlign w:val="bottom"/>
            <w:gridSpan w:val="2"/>
          </w:tcPr>
          <w:p>
            <w:pPr>
              <w:jc w:val="center"/>
              <w:ind w:right="380"/>
              <w:spacing w:after="0" w:line="123" w:lineRule="exact"/>
              <w:rPr>
                <w:sz w:val="20"/>
                <w:szCs w:val="20"/>
                <w:color w:val="auto"/>
              </w:rPr>
            </w:pPr>
            <w:r>
              <w:rPr>
                <w:rFonts w:ascii="Times New Roman" w:cs="Times New Roman" w:eastAsia="Times New Roman" w:hAnsi="Times New Roman"/>
                <w:sz w:val="14"/>
                <w:szCs w:val="14"/>
                <w:b w:val="1"/>
                <w:bCs w:val="1"/>
                <w:color w:val="auto"/>
                <w:w w:val="95"/>
              </w:rPr>
              <w:t>Preferred</w:t>
            </w:r>
          </w:p>
        </w:tc>
        <w:tc>
          <w:tcPr>
            <w:tcW w:w="220" w:type="dxa"/>
            <w:vAlign w:val="bottom"/>
          </w:tcPr>
          <w:p>
            <w:pPr>
              <w:spacing w:after="0"/>
              <w:rPr>
                <w:sz w:val="10"/>
                <w:szCs w:val="10"/>
                <w:color w:val="auto"/>
              </w:rPr>
            </w:pPr>
          </w:p>
        </w:tc>
        <w:tc>
          <w:tcPr>
            <w:tcW w:w="1300" w:type="dxa"/>
            <w:vAlign w:val="bottom"/>
            <w:gridSpan w:val="2"/>
          </w:tcPr>
          <w:p>
            <w:pPr>
              <w:jc w:val="center"/>
              <w:ind w:right="340"/>
              <w:spacing w:after="0" w:line="123" w:lineRule="exact"/>
              <w:rPr>
                <w:sz w:val="20"/>
                <w:szCs w:val="20"/>
                <w:color w:val="auto"/>
              </w:rPr>
            </w:pPr>
            <w:r>
              <w:rPr>
                <w:rFonts w:ascii="Times New Roman" w:cs="Times New Roman" w:eastAsia="Times New Roman" w:hAnsi="Times New Roman"/>
                <w:sz w:val="14"/>
                <w:szCs w:val="14"/>
                <w:b w:val="1"/>
                <w:bCs w:val="1"/>
                <w:color w:val="auto"/>
                <w:w w:val="97"/>
              </w:rPr>
              <w:t>Debt</w:t>
            </w:r>
          </w:p>
        </w:tc>
        <w:tc>
          <w:tcPr>
            <w:tcW w:w="300" w:type="dxa"/>
            <w:vAlign w:val="bottom"/>
          </w:tcPr>
          <w:p>
            <w:pPr>
              <w:spacing w:after="0"/>
              <w:rPr>
                <w:sz w:val="10"/>
                <w:szCs w:val="10"/>
                <w:color w:val="auto"/>
              </w:rPr>
            </w:pPr>
          </w:p>
        </w:tc>
        <w:tc>
          <w:tcPr>
            <w:tcW w:w="12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320" w:type="dxa"/>
            <w:vAlign w:val="bottom"/>
          </w:tcPr>
          <w:p>
            <w:pPr>
              <w:spacing w:after="0"/>
              <w:rPr>
                <w:sz w:val="10"/>
                <w:szCs w:val="10"/>
                <w:color w:val="auto"/>
              </w:rPr>
            </w:pPr>
          </w:p>
        </w:tc>
        <w:tc>
          <w:tcPr>
            <w:tcW w:w="1120" w:type="dxa"/>
            <w:vAlign w:val="bottom"/>
            <w:vMerge w:val="restart"/>
          </w:tcPr>
          <w:p>
            <w:pPr>
              <w:jc w:val="right"/>
              <w:ind w:right="48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8"/>
        </w:trPr>
        <w:tc>
          <w:tcPr>
            <w:tcW w:w="3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5"/>
              </w:rPr>
              <w:t>Stock</w:t>
            </w:r>
          </w:p>
        </w:tc>
        <w:tc>
          <w:tcPr>
            <w:tcW w:w="280" w:type="dxa"/>
            <w:vAlign w:val="bottom"/>
          </w:tcPr>
          <w:p>
            <w:pPr>
              <w:spacing w:after="0"/>
              <w:rPr>
                <w:sz w:val="16"/>
                <w:szCs w:val="16"/>
                <w:color w:val="auto"/>
              </w:rPr>
            </w:pPr>
          </w:p>
        </w:tc>
        <w:tc>
          <w:tcPr>
            <w:tcW w:w="12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5"/>
              </w:rPr>
              <w:t>Stock</w:t>
            </w:r>
          </w:p>
        </w:tc>
        <w:tc>
          <w:tcPr>
            <w:tcW w:w="220" w:type="dxa"/>
            <w:vAlign w:val="bottom"/>
          </w:tcPr>
          <w:p>
            <w:pPr>
              <w:spacing w:after="0"/>
              <w:rPr>
                <w:sz w:val="16"/>
                <w:szCs w:val="16"/>
                <w:color w:val="auto"/>
              </w:rPr>
            </w:pPr>
          </w:p>
        </w:tc>
        <w:tc>
          <w:tcPr>
            <w:tcW w:w="13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6"/>
              </w:rPr>
              <w:t>Investments</w:t>
            </w:r>
          </w:p>
        </w:tc>
        <w:tc>
          <w:tcPr>
            <w:tcW w:w="30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3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26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Fair Value as of December 31, 2020</w:t>
            </w:r>
          </w:p>
        </w:tc>
        <w:tc>
          <w:tcPr>
            <w:tcW w:w="26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34,190,839</w:t>
            </w:r>
          </w:p>
        </w:tc>
        <w:tc>
          <w:tcPr>
            <w:tcW w:w="100" w:type="dxa"/>
            <w:vAlign w:val="bottom"/>
          </w:tcPr>
          <w:p>
            <w:pPr>
              <w:spacing w:after="0"/>
              <w:rPr>
                <w:sz w:val="17"/>
                <w:szCs w:val="17"/>
                <w:color w:val="auto"/>
              </w:rPr>
            </w:pPr>
          </w:p>
        </w:tc>
        <w:tc>
          <w:tcPr>
            <w:tcW w:w="28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ind w:right="5"/>
              <w:spacing w:after="0"/>
              <w:rPr>
                <w:sz w:val="20"/>
                <w:szCs w:val="20"/>
                <w:color w:val="auto"/>
              </w:rPr>
            </w:pPr>
            <w:r>
              <w:rPr>
                <w:rFonts w:ascii="Times New Roman" w:cs="Times New Roman" w:eastAsia="Times New Roman" w:hAnsi="Times New Roman"/>
                <w:sz w:val="16"/>
                <w:szCs w:val="16"/>
                <w:color w:val="auto"/>
              </w:rPr>
              <w:t>141,235,987</w:t>
            </w:r>
          </w:p>
        </w:tc>
        <w:tc>
          <w:tcPr>
            <w:tcW w:w="100" w:type="dxa"/>
            <w:vAlign w:val="bottom"/>
          </w:tcPr>
          <w:p>
            <w:pPr>
              <w:spacing w:after="0"/>
              <w:rPr>
                <w:sz w:val="17"/>
                <w:szCs w:val="17"/>
                <w:color w:val="auto"/>
              </w:rPr>
            </w:pPr>
          </w:p>
        </w:tc>
        <w:tc>
          <w:tcPr>
            <w:tcW w:w="2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4,845,340</w:t>
            </w:r>
          </w:p>
        </w:tc>
        <w:tc>
          <w:tcPr>
            <w:tcW w:w="100" w:type="dxa"/>
            <w:vAlign w:val="bottom"/>
          </w:tcPr>
          <w:p>
            <w:pPr>
              <w:spacing w:after="0"/>
              <w:rPr>
                <w:sz w:val="17"/>
                <w:szCs w:val="17"/>
                <w:color w:val="auto"/>
              </w:rPr>
            </w:pPr>
          </w:p>
        </w:tc>
        <w:tc>
          <w:tcPr>
            <w:tcW w:w="30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5,872,210</w:t>
            </w:r>
          </w:p>
        </w:tc>
        <w:tc>
          <w:tcPr>
            <w:tcW w:w="100" w:type="dxa"/>
            <w:vAlign w:val="bottom"/>
          </w:tcPr>
          <w:p>
            <w:pPr>
              <w:spacing w:after="0"/>
              <w:rPr>
                <w:sz w:val="17"/>
                <w:szCs w:val="17"/>
                <w:color w:val="auto"/>
              </w:rPr>
            </w:pPr>
          </w:p>
        </w:tc>
        <w:tc>
          <w:tcPr>
            <w:tcW w:w="32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186,144,376</w:t>
            </w:r>
          </w:p>
        </w:tc>
        <w:tc>
          <w:tcPr>
            <w:tcW w:w="0" w:type="dxa"/>
            <w:vAlign w:val="bottom"/>
          </w:tcPr>
          <w:p>
            <w:pPr>
              <w:spacing w:after="0"/>
              <w:rPr>
                <w:sz w:val="1"/>
                <w:szCs w:val="1"/>
                <w:color w:val="auto"/>
              </w:rPr>
            </w:pPr>
          </w:p>
        </w:tc>
      </w:tr>
      <w:tr>
        <w:trPr>
          <w:trHeight w:val="209"/>
        </w:trPr>
        <w:tc>
          <w:tcPr>
            <w:tcW w:w="3720" w:type="dxa"/>
            <w:vAlign w:val="bottom"/>
            <w:shd w:val="clear" w:color="auto" w:fill="CCEEFF"/>
          </w:tcPr>
          <w:p>
            <w:pPr>
              <w:ind w:left="20"/>
              <w:spacing w:after="0" w:line="209" w:lineRule="exact"/>
              <w:rPr>
                <w:sz w:val="20"/>
                <w:szCs w:val="20"/>
                <w:color w:val="auto"/>
              </w:rPr>
            </w:pPr>
            <w:r>
              <w:rPr>
                <w:rFonts w:ascii="Times New Roman" w:cs="Times New Roman" w:eastAsia="Times New Roman" w:hAnsi="Times New Roman"/>
                <w:sz w:val="16"/>
                <w:szCs w:val="16"/>
                <w:color w:val="auto"/>
              </w:rPr>
              <w:t>Transfers out of Level 3</w:t>
            </w:r>
            <w:r>
              <w:rPr>
                <w:rFonts w:ascii="Times New Roman" w:cs="Times New Roman" w:eastAsia="Times New Roman" w:hAnsi="Times New Roman"/>
                <w:sz w:val="20"/>
                <w:szCs w:val="20"/>
                <w:color w:val="auto"/>
                <w:vertAlign w:val="superscript"/>
              </w:rPr>
              <w:t>(1)</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(31,652,675)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(155,414,652)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(5,211,120)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(1,619,463)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(193,897,910)</w:t>
            </w:r>
          </w:p>
        </w:tc>
        <w:tc>
          <w:tcPr>
            <w:tcW w:w="0" w:type="dxa"/>
            <w:vAlign w:val="bottom"/>
          </w:tcPr>
          <w:p>
            <w:pPr>
              <w:spacing w:after="0"/>
              <w:rPr>
                <w:sz w:val="1"/>
                <w:szCs w:val="1"/>
                <w:color w:val="auto"/>
              </w:rPr>
            </w:pPr>
          </w:p>
        </w:tc>
      </w:tr>
      <w:tr>
        <w:trPr>
          <w:trHeight w:val="205"/>
        </w:trPr>
        <w:tc>
          <w:tcPr>
            <w:tcW w:w="3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Purchases, capitalized fees and interest</w:t>
            </w:r>
          </w:p>
        </w:tc>
        <w:tc>
          <w:tcPr>
            <w:tcW w:w="2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36,154,823</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jc w:val="right"/>
              <w:ind w:right="5"/>
              <w:spacing w:after="0"/>
              <w:rPr>
                <w:sz w:val="20"/>
                <w:szCs w:val="20"/>
                <w:color w:val="auto"/>
              </w:rPr>
            </w:pPr>
            <w:r>
              <w:rPr>
                <w:rFonts w:ascii="Times New Roman" w:cs="Times New Roman" w:eastAsia="Times New Roman" w:hAnsi="Times New Roman"/>
                <w:sz w:val="16"/>
                <w:szCs w:val="16"/>
                <w:color w:val="auto"/>
              </w:rPr>
              <w:t>43,239,463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2,321,752</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81,716,038</w:t>
            </w:r>
          </w:p>
        </w:tc>
        <w:tc>
          <w:tcPr>
            <w:tcW w:w="0" w:type="dxa"/>
            <w:vAlign w:val="bottom"/>
          </w:tcPr>
          <w:p>
            <w:pPr>
              <w:spacing w:after="0"/>
              <w:rPr>
                <w:sz w:val="1"/>
                <w:szCs w:val="1"/>
                <w:color w:val="auto"/>
              </w:rPr>
            </w:pPr>
          </w:p>
        </w:tc>
      </w:tr>
      <w:tr>
        <w:trPr>
          <w:trHeight w:val="209"/>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Sales/Maturity of investments</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(61,675)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(10,646,457)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(2,344,979)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(13,053,111)</w:t>
            </w:r>
          </w:p>
        </w:tc>
        <w:tc>
          <w:tcPr>
            <w:tcW w:w="0" w:type="dxa"/>
            <w:vAlign w:val="bottom"/>
          </w:tcPr>
          <w:p>
            <w:pPr>
              <w:spacing w:after="0"/>
              <w:rPr>
                <w:sz w:val="1"/>
                <w:szCs w:val="1"/>
                <w:color w:val="auto"/>
              </w:rPr>
            </w:pPr>
          </w:p>
        </w:tc>
      </w:tr>
      <w:tr>
        <w:trPr>
          <w:trHeight w:val="205"/>
        </w:trPr>
        <w:tc>
          <w:tcPr>
            <w:tcW w:w="3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Realized gains/(losses)</w:t>
            </w:r>
          </w:p>
        </w:tc>
        <w:tc>
          <w:tcPr>
            <w:tcW w:w="2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204,195</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jc w:val="right"/>
              <w:ind w:right="5"/>
              <w:spacing w:after="0"/>
              <w:rPr>
                <w:sz w:val="20"/>
                <w:szCs w:val="20"/>
                <w:color w:val="auto"/>
              </w:rPr>
            </w:pPr>
            <w:r>
              <w:rPr>
                <w:rFonts w:ascii="Times New Roman" w:cs="Times New Roman" w:eastAsia="Times New Roman" w:hAnsi="Times New Roman"/>
                <w:sz w:val="16"/>
                <w:szCs w:val="16"/>
                <w:color w:val="auto"/>
              </w:rPr>
              <w:t>5,551,864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88,788</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(103,655)</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5,741,192</w:t>
            </w:r>
          </w:p>
        </w:tc>
        <w:tc>
          <w:tcPr>
            <w:tcW w:w="0" w:type="dxa"/>
            <w:vAlign w:val="bottom"/>
          </w:tcPr>
          <w:p>
            <w:pPr>
              <w:spacing w:after="0"/>
              <w:rPr>
                <w:sz w:val="1"/>
                <w:szCs w:val="1"/>
                <w:color w:val="auto"/>
              </w:rPr>
            </w:pPr>
          </w:p>
        </w:tc>
      </w:tr>
      <w:tr>
        <w:trPr>
          <w:trHeight w:val="158"/>
        </w:trPr>
        <w:tc>
          <w:tcPr>
            <w:tcW w:w="3720" w:type="dxa"/>
            <w:vAlign w:val="bottom"/>
            <w:shd w:val="clear" w:color="auto" w:fill="CCEEFF"/>
          </w:tcPr>
          <w:p>
            <w:pPr>
              <w:ind w:left="20"/>
              <w:spacing w:after="0" w:line="158" w:lineRule="exact"/>
              <w:rPr>
                <w:sz w:val="20"/>
                <w:szCs w:val="20"/>
                <w:color w:val="auto"/>
              </w:rPr>
            </w:pPr>
            <w:r>
              <w:rPr>
                <w:rFonts w:ascii="Times New Roman" w:cs="Times New Roman" w:eastAsia="Times New Roman" w:hAnsi="Times New Roman"/>
                <w:sz w:val="16"/>
                <w:szCs w:val="16"/>
                <w:color w:val="auto"/>
              </w:rPr>
              <w:t>Net change in unrealized appreciation/(depreciation)</w:t>
            </w:r>
          </w:p>
        </w:tc>
        <w:tc>
          <w:tcPr>
            <w:tcW w:w="26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4,024,649</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60" w:type="dxa"/>
            <w:vAlign w:val="bottom"/>
            <w:vMerge w:val="restart"/>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139,835,593</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5,633,409</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(1,511,732)</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147,981,919</w:t>
            </w:r>
          </w:p>
        </w:tc>
        <w:tc>
          <w:tcPr>
            <w:tcW w:w="0" w:type="dxa"/>
            <w:vAlign w:val="bottom"/>
          </w:tcPr>
          <w:p>
            <w:pPr>
              <w:spacing w:after="0"/>
              <w:rPr>
                <w:sz w:val="1"/>
                <w:szCs w:val="1"/>
                <w:color w:val="auto"/>
              </w:rPr>
            </w:pPr>
          </w:p>
        </w:tc>
      </w:tr>
      <w:tr>
        <w:trPr>
          <w:trHeight w:val="205"/>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included in earnings</w:t>
            </w:r>
          </w:p>
        </w:tc>
        <w:tc>
          <w:tcPr>
            <w:tcW w:w="26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Fair Value as of December 31, 2021</w:t>
            </w:r>
          </w:p>
        </w:tc>
        <w:tc>
          <w:tcPr>
            <w:tcW w:w="26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42,860,156</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6"/>
                <w:szCs w:val="16"/>
                <w:color w:val="auto"/>
              </w:rPr>
              <w:t>163,801,798</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3,011,438</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4,959,112</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42"/>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214,632,504</w:t>
            </w:r>
          </w:p>
        </w:tc>
        <w:tc>
          <w:tcPr>
            <w:tcW w:w="0" w:type="dxa"/>
            <w:vAlign w:val="bottom"/>
          </w:tcPr>
          <w:p>
            <w:pPr>
              <w:spacing w:after="0"/>
              <w:rPr>
                <w:sz w:val="1"/>
                <w:szCs w:val="1"/>
                <w:color w:val="auto"/>
              </w:rPr>
            </w:pPr>
          </w:p>
        </w:tc>
      </w:tr>
      <w:tr>
        <w:trPr>
          <w:trHeight w:val="20"/>
        </w:trPr>
        <w:tc>
          <w:tcPr>
            <w:tcW w:w="37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3720" w:type="dxa"/>
            <w:vAlign w:val="bottom"/>
            <w:shd w:val="clear" w:color="auto" w:fill="CCEEFF"/>
          </w:tcPr>
          <w:p>
            <w:pPr>
              <w:ind w:left="20"/>
              <w:spacing w:after="0" w:line="121" w:lineRule="exact"/>
              <w:rPr>
                <w:sz w:val="20"/>
                <w:szCs w:val="20"/>
                <w:color w:val="auto"/>
              </w:rPr>
            </w:pPr>
            <w:r>
              <w:rPr>
                <w:rFonts w:ascii="Times New Roman" w:cs="Times New Roman" w:eastAsia="Times New Roman" w:hAnsi="Times New Roman"/>
                <w:sz w:val="14"/>
                <w:szCs w:val="14"/>
                <w:color w:val="auto"/>
              </w:rPr>
              <w:t>Net change in unrealized appreciation/ (depreciation) of</w:t>
            </w:r>
          </w:p>
        </w:tc>
        <w:tc>
          <w:tcPr>
            <w:tcW w:w="260" w:type="dxa"/>
            <w:vAlign w:val="bottom"/>
            <w:vMerge w:val="restart"/>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6,117,069</w:t>
            </w:r>
          </w:p>
        </w:tc>
        <w:tc>
          <w:tcPr>
            <w:tcW w:w="100" w:type="dxa"/>
            <w:vAlign w:val="bottom"/>
            <w:shd w:val="clear" w:color="auto" w:fill="CCEEFF"/>
          </w:tcPr>
          <w:p>
            <w:pPr>
              <w:spacing w:after="0"/>
              <w:rPr>
                <w:sz w:val="10"/>
                <w:szCs w:val="10"/>
                <w:color w:val="auto"/>
              </w:rPr>
            </w:pPr>
          </w:p>
        </w:tc>
        <w:tc>
          <w:tcPr>
            <w:tcW w:w="280" w:type="dxa"/>
            <w:vAlign w:val="bottom"/>
            <w:vMerge w:val="restart"/>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vMerge w:val="restart"/>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46,943,434</w:t>
            </w:r>
          </w:p>
        </w:tc>
        <w:tc>
          <w:tcPr>
            <w:tcW w:w="100" w:type="dxa"/>
            <w:vAlign w:val="bottom"/>
            <w:shd w:val="clear" w:color="auto" w:fill="CCEEFF"/>
          </w:tcPr>
          <w:p>
            <w:pPr>
              <w:spacing w:after="0"/>
              <w:rPr>
                <w:sz w:val="10"/>
                <w:szCs w:val="10"/>
                <w:color w:val="auto"/>
              </w:rPr>
            </w:pPr>
          </w:p>
        </w:tc>
        <w:tc>
          <w:tcPr>
            <w:tcW w:w="220" w:type="dxa"/>
            <w:vAlign w:val="bottom"/>
            <w:vMerge w:val="restart"/>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vMerge w:val="restart"/>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(586,899)</w:t>
            </w:r>
          </w:p>
        </w:tc>
        <w:tc>
          <w:tcPr>
            <w:tcW w:w="100" w:type="dxa"/>
            <w:vAlign w:val="bottom"/>
            <w:shd w:val="clear" w:color="auto" w:fill="CCEEFF"/>
          </w:tcPr>
          <w:p>
            <w:pPr>
              <w:spacing w:after="0"/>
              <w:rPr>
                <w:sz w:val="10"/>
                <w:szCs w:val="10"/>
                <w:color w:val="auto"/>
              </w:rPr>
            </w:pPr>
          </w:p>
        </w:tc>
        <w:tc>
          <w:tcPr>
            <w:tcW w:w="320" w:type="dxa"/>
            <w:vAlign w:val="bottom"/>
            <w:vMerge w:val="restart"/>
            <w:shd w:val="clear" w:color="auto" w:fill="CCEEFF"/>
          </w:tcPr>
          <w:p>
            <w:pPr>
              <w:jc w:val="right"/>
              <w:ind w:right="142"/>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52,473,604</w:t>
            </w:r>
          </w:p>
        </w:tc>
        <w:tc>
          <w:tcPr>
            <w:tcW w:w="0" w:type="dxa"/>
            <w:vAlign w:val="bottom"/>
          </w:tcPr>
          <w:p>
            <w:pPr>
              <w:spacing w:after="0"/>
              <w:rPr>
                <w:sz w:val="1"/>
                <w:szCs w:val="1"/>
                <w:color w:val="auto"/>
              </w:rPr>
            </w:pPr>
          </w:p>
        </w:tc>
      </w:tr>
      <w:tr>
        <w:trPr>
          <w:trHeight w:val="201"/>
        </w:trPr>
        <w:tc>
          <w:tcPr>
            <w:tcW w:w="372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6"/>
                <w:szCs w:val="16"/>
                <w:color w:val="auto"/>
              </w:rPr>
              <w:t>Level 3 investments still held as of December 31, 2021</w:t>
            </w:r>
          </w:p>
        </w:tc>
        <w:tc>
          <w:tcPr>
            <w:tcW w:w="260" w:type="dxa"/>
            <w:vAlign w:val="bottom"/>
            <w:vMerge w:val="continue"/>
            <w:shd w:val="clear" w:color="auto" w:fill="CCEEFF"/>
          </w:tcPr>
          <w:p>
            <w:pPr>
              <w:spacing w:after="0"/>
              <w:rPr>
                <w:sz w:val="17"/>
                <w:szCs w:val="17"/>
                <w:color w:val="auto"/>
              </w:rPr>
            </w:pPr>
          </w:p>
        </w:tc>
        <w:tc>
          <w:tcPr>
            <w:tcW w:w="11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vMerge w:val="continue"/>
            <w:shd w:val="clear" w:color="auto" w:fill="CCEEFF"/>
          </w:tcPr>
          <w:p>
            <w:pPr>
              <w:spacing w:after="0"/>
              <w:rPr>
                <w:sz w:val="17"/>
                <w:szCs w:val="17"/>
                <w:color w:val="auto"/>
              </w:rPr>
            </w:pPr>
          </w:p>
        </w:tc>
        <w:tc>
          <w:tcPr>
            <w:tcW w:w="11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vMerge w:val="continue"/>
            <w:shd w:val="clear" w:color="auto" w:fill="CCEEFF"/>
          </w:tcPr>
          <w:p>
            <w:pPr>
              <w:spacing w:after="0"/>
              <w:rPr>
                <w:sz w:val="17"/>
                <w:szCs w:val="17"/>
                <w:color w:val="auto"/>
              </w:rPr>
            </w:pPr>
          </w:p>
        </w:tc>
        <w:tc>
          <w:tcPr>
            <w:tcW w:w="1300" w:type="dxa"/>
            <w:vAlign w:val="bottom"/>
            <w:gridSpan w:val="2"/>
            <w:vMerge w:val="continue"/>
            <w:shd w:val="clear" w:color="auto" w:fill="CCEEFF"/>
          </w:tcPr>
          <w:p>
            <w:pPr>
              <w:spacing w:after="0"/>
              <w:rPr>
                <w:sz w:val="17"/>
                <w:szCs w:val="17"/>
                <w:color w:val="auto"/>
              </w:rPr>
            </w:pPr>
          </w:p>
        </w:tc>
        <w:tc>
          <w:tcPr>
            <w:tcW w:w="300" w:type="dxa"/>
            <w:vAlign w:val="bottom"/>
            <w:vMerge w:val="continue"/>
            <w:shd w:val="clear" w:color="auto" w:fill="CCEEFF"/>
          </w:tcPr>
          <w:p>
            <w:pPr>
              <w:spacing w:after="0"/>
              <w:rPr>
                <w:sz w:val="17"/>
                <w:szCs w:val="17"/>
                <w:color w:val="auto"/>
              </w:rPr>
            </w:pPr>
          </w:p>
        </w:tc>
        <w:tc>
          <w:tcPr>
            <w:tcW w:w="11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vMerge w:val="continue"/>
            <w:shd w:val="clear" w:color="auto" w:fill="CCEEFF"/>
          </w:tcPr>
          <w:p>
            <w:pPr>
              <w:spacing w:after="0"/>
              <w:rPr>
                <w:sz w:val="17"/>
                <w:szCs w:val="17"/>
                <w:color w:val="auto"/>
              </w:rPr>
            </w:pPr>
          </w:p>
        </w:tc>
        <w:tc>
          <w:tcPr>
            <w:tcW w:w="11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7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32</w:t>
      </w:r>
    </w:p>
    <w:p>
      <w:pPr>
        <w:sectPr>
          <w:pgSz w:w="11900" w:h="16838" w:orient="portrait"/>
          <w:cols w:equalWidth="0" w:num="1">
            <w:col w:w="11240"/>
          </w:cols>
          <w:pgMar w:left="320" w:top="118"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4"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7"/>
          <w:szCs w:val="17"/>
          <w:b w:val="1"/>
          <w:bCs w:val="1"/>
          <w:color w:val="auto"/>
        </w:rPr>
        <w:t>SURO CAPITAL CORP. AND SUBSIDIARIES</w:t>
      </w:r>
    </w:p>
    <w:p>
      <w:pPr>
        <w:spacing w:after="0" w:line="244"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32"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7"/>
          <w:szCs w:val="17"/>
          <w:b w:val="1"/>
          <w:bCs w:val="1"/>
          <w:color w:val="auto"/>
        </w:rPr>
        <w:t>June 30, 2022</w:t>
      </w:r>
    </w:p>
    <w:p>
      <w:pPr>
        <w:spacing w:after="0" w:line="368" w:lineRule="exact"/>
        <w:rPr>
          <w:sz w:val="20"/>
          <w:szCs w:val="20"/>
          <w:color w:val="auto"/>
        </w:rPr>
      </w:pPr>
    </w:p>
    <w:p>
      <w:pPr>
        <w:ind w:left="340" w:hanging="337"/>
        <w:spacing w:after="0"/>
        <w:tabs>
          <w:tab w:leader="none" w:pos="340" w:val="left"/>
        </w:tabs>
        <w:numPr>
          <w:ilvl w:val="0"/>
          <w:numId w:val="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During the year ended </w:t>
      </w:r>
      <w:r>
        <w:rPr>
          <w:rFonts w:ascii="Times New Roman" w:cs="Times New Roman" w:eastAsia="Times New Roman" w:hAnsi="Times New Roman"/>
          <w:sz w:val="16"/>
          <w:szCs w:val="16"/>
          <w:color w:val="auto"/>
        </w:rPr>
        <w:t>December 31, 2021</w:t>
      </w:r>
      <w:r>
        <w:rPr>
          <w:rFonts w:ascii="Times New Roman" w:cs="Times New Roman" w:eastAsia="Times New Roman" w:hAnsi="Times New Roman"/>
          <w:sz w:val="15"/>
          <w:szCs w:val="15"/>
          <w:color w:val="auto"/>
        </w:rPr>
        <w:t>, the Company’s portfolio investments had the following corporate actions which are reflected above:</w:t>
      </w:r>
    </w:p>
    <w:p>
      <w:pPr>
        <w:sectPr>
          <w:pgSz w:w="11900" w:h="16838" w:orient="portrait"/>
          <w:cols w:equalWidth="0" w:num="1">
            <w:col w:w="10720"/>
          </w:cols>
          <w:pgMar w:left="320" w:top="118" w:right="859" w:bottom="1440" w:gutter="0" w:footer="0" w:header="0"/>
        </w:sectPr>
      </w:pPr>
    </w:p>
    <w:p>
      <w:pPr>
        <w:spacing w:after="0" w:line="1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Portfolio Company</w:t>
      </w:r>
    </w:p>
    <w:p>
      <w:pPr>
        <w:spacing w:after="0" w:line="1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Coursera, Inc.</w:t>
      </w:r>
    </w:p>
    <w:p>
      <w:pPr>
        <w:spacing w:after="0" w:line="10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Churchill Capital Corp. II</w:t>
      </w:r>
    </w:p>
    <w:p>
      <w:pPr>
        <w:spacing w:after="0" w:line="23" w:lineRule="exact"/>
        <w:rPr>
          <w:sz w:val="20"/>
          <w:szCs w:val="20"/>
          <w:color w:val="auto"/>
        </w:rPr>
      </w:pPr>
    </w:p>
    <w:p>
      <w:pPr>
        <w:ind w:left="20" w:right="580"/>
        <w:spacing w:after="0" w:line="293" w:lineRule="auto"/>
        <w:rPr>
          <w:sz w:val="20"/>
          <w:szCs w:val="20"/>
          <w:color w:val="auto"/>
        </w:rPr>
      </w:pPr>
      <w:r>
        <w:rPr>
          <w:rFonts w:ascii="Times New Roman" w:cs="Times New Roman" w:eastAsia="Times New Roman" w:hAnsi="Times New Roman"/>
          <w:sz w:val="14"/>
          <w:szCs w:val="14"/>
          <w:color w:val="auto"/>
        </w:rPr>
        <w:t>NewLake Capital Partners, Inc. (f/k/a GreenAcreage Real Estate Corp.)</w:t>
      </w:r>
    </w:p>
    <w:p>
      <w:pPr>
        <w:spacing w:after="0" w:line="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 Place for Rover, Inc. (f/k/a DogVacay, Inc.)</w:t>
      </w:r>
    </w:p>
    <w:p>
      <w:pPr>
        <w:spacing w:after="0" w:line="2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Enjoy Technology, Inc.</w:t>
      </w:r>
    </w:p>
    <w:p>
      <w:pPr>
        <w:spacing w:after="0" w:line="17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Nextdoor Holdings, Inc.</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Rent the Runway, Inc.</w:t>
      </w:r>
    </w:p>
    <w:p>
      <w:pPr>
        <w:spacing w:after="0" w:line="20" w:lineRule="exact"/>
        <w:rPr>
          <w:sz w:val="20"/>
          <w:szCs w:val="20"/>
          <w:color w:val="auto"/>
        </w:rPr>
      </w:pPr>
      <w:r>
        <w:rPr>
          <w:sz w:val="20"/>
          <w:szCs w:val="20"/>
          <w:color w:val="auto"/>
        </w:rPr>
        <w:br w:type="column"/>
      </w:r>
    </w:p>
    <w:p>
      <w:pPr>
        <w:spacing w:after="0" w:line="13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6"/>
          <w:szCs w:val="16"/>
          <w:b w:val="1"/>
          <w:bCs w:val="1"/>
          <w:color w:val="auto"/>
        </w:rPr>
        <w:t>Conversion 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-2308860</wp:posOffset>
            </wp:positionH>
            <wp:positionV relativeFrom="paragraph">
              <wp:posOffset>16510</wp:posOffset>
            </wp:positionV>
            <wp:extent cx="7138035" cy="23812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8035" cy="238125"/>
                    </a:xfrm>
                    <a:prstGeom prst="rect">
                      <a:avLst/>
                    </a:prstGeom>
                    <a:noFill/>
                  </pic:spPr>
                </pic:pic>
              </a:graphicData>
            </a:graphic>
          </wp:anchor>
        </w:drawing>
      </w:r>
    </w:p>
    <w:p>
      <w:pPr>
        <w:spacing w:after="0" w:line="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6"/>
          <w:szCs w:val="16"/>
          <w:color w:val="auto"/>
        </w:rPr>
        <w:t>Preferred shares, Series F 8%</w:t>
      </w:r>
    </w:p>
    <w:p>
      <w:pPr>
        <w:jc w:val="center"/>
        <w:ind w:right="260"/>
        <w:spacing w:after="0"/>
        <w:rPr>
          <w:sz w:val="20"/>
          <w:szCs w:val="20"/>
          <w:color w:val="auto"/>
        </w:rPr>
      </w:pPr>
      <w:r>
        <w:rPr>
          <w:rFonts w:ascii="Times New Roman" w:cs="Times New Roman" w:eastAsia="Times New Roman" w:hAnsi="Times New Roman"/>
          <w:sz w:val="16"/>
          <w:szCs w:val="16"/>
          <w:color w:val="auto"/>
        </w:rPr>
        <w:t>Preferred shares, Series B 8%</w:t>
      </w:r>
    </w:p>
    <w:p>
      <w:pPr>
        <w:spacing w:after="0" w:line="5"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6"/>
          <w:szCs w:val="16"/>
          <w:color w:val="auto"/>
        </w:rPr>
        <w:t>Common shares, Class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-2308860</wp:posOffset>
            </wp:positionH>
            <wp:positionV relativeFrom="paragraph">
              <wp:posOffset>15240</wp:posOffset>
            </wp:positionV>
            <wp:extent cx="7138035" cy="22987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8035" cy="229870"/>
                    </a:xfrm>
                    <a:prstGeom prst="rect">
                      <a:avLst/>
                    </a:prstGeom>
                    <a:noFill/>
                  </pic:spPr>
                </pic:pic>
              </a:graphicData>
            </a:graphic>
          </wp:anchor>
        </w:drawing>
      </w:r>
    </w:p>
    <w:p>
      <w:pPr>
        <w:spacing w:after="0" w:line="81"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6"/>
          <w:szCs w:val="16"/>
          <w:color w:val="auto"/>
        </w:rPr>
        <w:t>Common shares</w:t>
      </w:r>
    </w:p>
    <w:p>
      <w:pPr>
        <w:spacing w:after="0" w:line="178"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6"/>
          <w:szCs w:val="16"/>
          <w:color w:val="auto"/>
        </w:rPr>
        <w:t>Common shares</w:t>
      </w:r>
    </w:p>
    <w:p>
      <w:pPr>
        <w:spacing w:after="0" w:line="9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color w:val="auto"/>
        </w:rPr>
        <w:t>Preferred shares, Series B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-2308860</wp:posOffset>
            </wp:positionH>
            <wp:positionV relativeFrom="paragraph">
              <wp:posOffset>-108585</wp:posOffset>
            </wp:positionV>
            <wp:extent cx="7138035" cy="3282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8035" cy="328295"/>
                    </a:xfrm>
                    <a:prstGeom prst="rect">
                      <a:avLst/>
                    </a:prstGeom>
                    <a:noFill/>
                  </pic:spPr>
                </pic:pic>
              </a:graphicData>
            </a:graphic>
          </wp:anchor>
        </w:drawing>
      </w:r>
    </w:p>
    <w:p>
      <w:pPr>
        <w:ind w:left="620"/>
        <w:spacing w:after="0" w:line="202" w:lineRule="auto"/>
        <w:rPr>
          <w:sz w:val="20"/>
          <w:szCs w:val="20"/>
          <w:color w:val="auto"/>
        </w:rPr>
      </w:pPr>
      <w:r>
        <w:rPr>
          <w:rFonts w:ascii="Times New Roman" w:cs="Times New Roman" w:eastAsia="Times New Roman" w:hAnsi="Times New Roman"/>
          <w:sz w:val="16"/>
          <w:szCs w:val="16"/>
          <w:color w:val="auto"/>
        </w:rPr>
        <w:t>Preferred shares, Series A 6%</w:t>
      </w:r>
    </w:p>
    <w:p>
      <w:pPr>
        <w:jc w:val="center"/>
        <w:ind w:right="260"/>
        <w:spacing w:after="0"/>
        <w:rPr>
          <w:sz w:val="20"/>
          <w:szCs w:val="20"/>
          <w:color w:val="auto"/>
        </w:rPr>
      </w:pPr>
      <w:r>
        <w:rPr>
          <w:rFonts w:ascii="Times New Roman" w:cs="Times New Roman" w:eastAsia="Times New Roman" w:hAnsi="Times New Roman"/>
          <w:sz w:val="14"/>
          <w:szCs w:val="14"/>
          <w:color w:val="auto"/>
        </w:rPr>
        <w:t>Convertible Promissory Note 14% Due 1/30/2024</w:t>
      </w:r>
    </w:p>
    <w:p>
      <w:pPr>
        <w:spacing w:after="0" w:line="28"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6"/>
          <w:szCs w:val="16"/>
          <w:color w:val="auto"/>
        </w:rPr>
        <w:t>Common shares</w:t>
      </w:r>
    </w:p>
    <w:p>
      <w:pPr>
        <w:spacing w:after="0" w:line="23"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6"/>
          <w:szCs w:val="16"/>
          <w:color w:val="auto"/>
        </w:rPr>
        <w:t>Preferred shares, Series 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-2308860</wp:posOffset>
            </wp:positionH>
            <wp:positionV relativeFrom="paragraph">
              <wp:posOffset>-115570</wp:posOffset>
            </wp:positionV>
            <wp:extent cx="7138035" cy="1314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8035" cy="1314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5"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6"/>
          <w:szCs w:val="16"/>
          <w:b w:val="1"/>
          <w:bCs w:val="1"/>
          <w:color w:val="auto"/>
        </w:rPr>
        <w:t>Conversion to</w:t>
      </w:r>
    </w:p>
    <w:p>
      <w:pPr>
        <w:spacing w:after="0" w:line="11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Public Common shares (Level 2)</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Skillsoft Corp. Public Common shares (Level 2)</w:t>
      </w:r>
    </w:p>
    <w:p>
      <w:pPr>
        <w:spacing w:after="0" w:line="12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Public Common shares (Level 2)</w:t>
      </w:r>
    </w:p>
    <w:p>
      <w:pPr>
        <w:spacing w:after="0" w:line="9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Rover Group, Inc. Public Common shares</w:t>
      </w:r>
    </w:p>
    <w:p>
      <w:pPr>
        <w:jc w:val="center"/>
        <w:spacing w:after="0"/>
        <w:rPr>
          <w:sz w:val="20"/>
          <w:szCs w:val="20"/>
          <w:color w:val="auto"/>
        </w:rPr>
      </w:pPr>
      <w:r>
        <w:rPr>
          <w:rFonts w:ascii="Times New Roman" w:cs="Times New Roman" w:eastAsia="Times New Roman" w:hAnsi="Times New Roman"/>
          <w:sz w:val="16"/>
          <w:szCs w:val="16"/>
          <w:color w:val="auto"/>
        </w:rPr>
        <w:t>(Level 2)</w:t>
      </w:r>
    </w:p>
    <w:p>
      <w:pPr>
        <w:spacing w:after="0" w:line="1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Public Common shares (Level 2)</w:t>
      </w:r>
    </w:p>
    <w:p>
      <w:pPr>
        <w:spacing w:after="0" w:line="17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Public Common shares (Level 2)</w:t>
      </w:r>
    </w:p>
    <w:p>
      <w:pPr>
        <w:spacing w:after="0" w:line="2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Public Common shares (Level 2)</w:t>
      </w:r>
    </w:p>
    <w:p>
      <w:pPr>
        <w:spacing w:after="0" w:line="200" w:lineRule="exact"/>
        <w:rPr>
          <w:sz w:val="20"/>
          <w:szCs w:val="20"/>
          <w:color w:val="auto"/>
        </w:rPr>
      </w:pPr>
    </w:p>
    <w:p>
      <w:pPr>
        <w:sectPr>
          <w:pgSz w:w="11900" w:h="16838" w:orient="portrait"/>
          <w:cols w:equalWidth="0" w:num="3">
            <w:col w:w="2920" w:space="720"/>
            <w:col w:w="3360" w:space="720"/>
            <w:col w:w="3000"/>
          </w:cols>
          <w:pgMar w:left="320" w:top="118" w:right="859" w:bottom="1440" w:gutter="0" w:footer="0" w:header="0"/>
          <w:type w:val="continuous"/>
        </w:sectPr>
      </w:pPr>
    </w:p>
    <w:p>
      <w:pPr>
        <w:spacing w:after="0" w:line="200" w:lineRule="exact"/>
        <w:rPr>
          <w:sz w:val="20"/>
          <w:szCs w:val="20"/>
          <w:color w:val="auto"/>
        </w:rPr>
      </w:pPr>
    </w:p>
    <w:p>
      <w:pPr>
        <w:spacing w:after="0" w:line="252"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7"/>
          <w:szCs w:val="17"/>
          <w:color w:val="auto"/>
        </w:rPr>
        <w:t>33</w:t>
      </w:r>
    </w:p>
    <w:p>
      <w:pPr>
        <w:sectPr>
          <w:pgSz w:w="11900" w:h="16838" w:orient="portrait"/>
          <w:cols w:equalWidth="0" w:num="1">
            <w:col w:w="10720"/>
          </w:cols>
          <w:pgMar w:left="320" w:top="118" w:right="859" w:bottom="144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SURO CAPITAL CORP. AND SUBSIDIARIES</w:t>
      </w:r>
    </w:p>
    <w:p>
      <w:pPr>
        <w:spacing w:after="0" w:line="24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3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June 30, 2022</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Schedule of Investments In, and Advances to, Affiliates</w:t>
      </w:r>
    </w:p>
    <w:p>
      <w:pPr>
        <w:spacing w:after="0" w:line="246" w:lineRule="exact"/>
        <w:rPr>
          <w:sz w:val="20"/>
          <w:szCs w:val="20"/>
          <w:color w:val="auto"/>
        </w:rPr>
      </w:pPr>
    </w:p>
    <w:p>
      <w:pPr>
        <w:ind w:right="360" w:firstLine="349"/>
        <w:spacing w:after="0" w:line="274" w:lineRule="auto"/>
        <w:rPr>
          <w:sz w:val="20"/>
          <w:szCs w:val="20"/>
          <w:color w:val="auto"/>
        </w:rPr>
      </w:pPr>
      <w:r>
        <w:rPr>
          <w:rFonts w:ascii="Times New Roman" w:cs="Times New Roman" w:eastAsia="Times New Roman" w:hAnsi="Times New Roman"/>
          <w:sz w:val="17"/>
          <w:szCs w:val="17"/>
          <w:color w:val="auto"/>
        </w:rPr>
        <w:t>Transactions during the six months ended June 30, 2022 involving the Company’s controlled investments and non-controlled/affiliate investments were as follows:</w:t>
      </w:r>
    </w:p>
    <w:tbl>
      <w:tblPr>
        <w:tblLayout w:type="fixed"/>
        <w:tblInd w:w="360" w:type="dxa"/>
        <w:tblCellMar>
          <w:top w:w="0" w:type="dxa"/>
          <w:left w:w="0" w:type="dxa"/>
          <w:bottom w:w="0" w:type="dxa"/>
          <w:right w:w="0" w:type="dxa"/>
        </w:tblCellMar>
      </w:tblPr>
      <w:tr>
        <w:trPr>
          <w:trHeight w:val="143"/>
        </w:trPr>
        <w:tc>
          <w:tcPr>
            <w:tcW w:w="1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center"/>
              <w:ind w:right="160"/>
              <w:spacing w:after="0" w:line="143" w:lineRule="exact"/>
              <w:rPr>
                <w:sz w:val="20"/>
                <w:szCs w:val="20"/>
                <w:color w:val="auto"/>
              </w:rPr>
            </w:pPr>
            <w:r>
              <w:rPr>
                <w:rFonts w:ascii="Times New Roman" w:cs="Times New Roman" w:eastAsia="Times New Roman" w:hAnsi="Times New Roman"/>
                <w:sz w:val="14"/>
                <w:szCs w:val="14"/>
                <w:b w:val="1"/>
                <w:bCs w:val="1"/>
                <w:color w:val="auto"/>
                <w:w w:val="99"/>
              </w:rPr>
              <w:t>Interest,</w:t>
            </w: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center"/>
              <w:ind w:right="160"/>
              <w:spacing w:after="0" w:line="143" w:lineRule="exact"/>
              <w:rPr>
                <w:sz w:val="20"/>
                <w:szCs w:val="20"/>
                <w:color w:val="auto"/>
              </w:rPr>
            </w:pPr>
            <w:r>
              <w:rPr>
                <w:rFonts w:ascii="Times New Roman" w:cs="Times New Roman" w:eastAsia="Times New Roman" w:hAnsi="Times New Roman"/>
                <w:sz w:val="14"/>
                <w:szCs w:val="14"/>
                <w:b w:val="1"/>
                <w:bCs w:val="1"/>
                <w:color w:val="auto"/>
                <w:w w:val="96"/>
              </w:rPr>
              <w:t>Purchases,</w:t>
            </w: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1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center"/>
              <w:ind w:right="160"/>
              <w:spacing w:after="0" w:line="141" w:lineRule="exact"/>
              <w:rPr>
                <w:sz w:val="20"/>
                <w:szCs w:val="20"/>
                <w:color w:val="auto"/>
              </w:rPr>
            </w:pPr>
            <w:r>
              <w:rPr>
                <w:rFonts w:ascii="Times New Roman" w:cs="Times New Roman" w:eastAsia="Times New Roman" w:hAnsi="Times New Roman"/>
                <w:sz w:val="14"/>
                <w:szCs w:val="14"/>
                <w:b w:val="1"/>
                <w:bCs w:val="1"/>
                <w:color w:val="auto"/>
                <w:w w:val="98"/>
              </w:rPr>
              <w:t>Fees, or</w:t>
            </w:r>
          </w:p>
        </w:tc>
        <w:tc>
          <w:tcPr>
            <w:tcW w:w="98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Fair Value at</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3"/>
          </w:tcPr>
          <w:p>
            <w:pPr>
              <w:jc w:val="center"/>
              <w:ind w:right="100"/>
              <w:spacing w:after="0" w:line="141" w:lineRule="exact"/>
              <w:rPr>
                <w:sz w:val="20"/>
                <w:szCs w:val="20"/>
                <w:color w:val="auto"/>
              </w:rPr>
            </w:pPr>
            <w:r>
              <w:rPr>
                <w:rFonts w:ascii="Times New Roman" w:cs="Times New Roman" w:eastAsia="Times New Roman" w:hAnsi="Times New Roman"/>
                <w:sz w:val="14"/>
                <w:szCs w:val="14"/>
                <w:b w:val="1"/>
                <w:bCs w:val="1"/>
                <w:color w:val="auto"/>
                <w:w w:val="99"/>
              </w:rPr>
              <w:t>Capitalized</w:t>
            </w: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Percenta</w:t>
            </w:r>
          </w:p>
        </w:tc>
        <w:tc>
          <w:tcPr>
            <w:tcW w:w="0" w:type="dxa"/>
            <w:vAlign w:val="bottom"/>
          </w:tcPr>
          <w:p>
            <w:pPr>
              <w:spacing w:after="0"/>
              <w:rPr>
                <w:sz w:val="1"/>
                <w:szCs w:val="1"/>
                <w:color w:val="auto"/>
              </w:rPr>
            </w:pPr>
          </w:p>
        </w:tc>
      </w:tr>
      <w:tr>
        <w:trPr>
          <w:trHeight w:val="131"/>
        </w:trPr>
        <w:tc>
          <w:tcPr>
            <w:tcW w:w="23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Type/Industry/Portfolio</w:t>
            </w:r>
          </w:p>
        </w:tc>
        <w:tc>
          <w:tcPr>
            <w:tcW w:w="80" w:type="dxa"/>
            <w:vAlign w:val="bottom"/>
          </w:tcPr>
          <w:p>
            <w:pPr>
              <w:spacing w:after="0"/>
              <w:rPr>
                <w:sz w:val="11"/>
                <w:szCs w:val="11"/>
                <w:color w:val="auto"/>
              </w:rPr>
            </w:pPr>
          </w:p>
        </w:tc>
        <w:tc>
          <w:tcPr>
            <w:tcW w:w="96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8"/>
              </w:rPr>
              <w:t>Principal/</w:t>
            </w:r>
          </w:p>
        </w:tc>
        <w:tc>
          <w:tcPr>
            <w:tcW w:w="760" w:type="dxa"/>
            <w:vAlign w:val="bottom"/>
            <w:gridSpan w:val="3"/>
          </w:tcPr>
          <w:p>
            <w:pPr>
              <w:jc w:val="center"/>
              <w:ind w:right="60"/>
              <w:spacing w:after="0" w:line="131" w:lineRule="exact"/>
              <w:rPr>
                <w:sz w:val="20"/>
                <w:szCs w:val="20"/>
                <w:color w:val="auto"/>
              </w:rPr>
            </w:pPr>
            <w:r>
              <w:rPr>
                <w:rFonts w:ascii="Times New Roman" w:cs="Times New Roman" w:eastAsia="Times New Roman" w:hAnsi="Times New Roman"/>
                <w:sz w:val="14"/>
                <w:szCs w:val="14"/>
                <w:b w:val="1"/>
                <w:bCs w:val="1"/>
                <w:color w:val="auto"/>
                <w:w w:val="96"/>
              </w:rPr>
              <w:t>Dividends</w:t>
            </w:r>
          </w:p>
        </w:tc>
        <w:tc>
          <w:tcPr>
            <w:tcW w:w="98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Transfer</w:t>
            </w:r>
          </w:p>
        </w:tc>
        <w:tc>
          <w:tcPr>
            <w:tcW w:w="80" w:type="dxa"/>
            <w:vAlign w:val="bottom"/>
          </w:tcPr>
          <w:p>
            <w:pPr>
              <w:spacing w:after="0"/>
              <w:rPr>
                <w:sz w:val="11"/>
                <w:szCs w:val="11"/>
                <w:color w:val="auto"/>
              </w:rPr>
            </w:pPr>
          </w:p>
        </w:tc>
        <w:tc>
          <w:tcPr>
            <w:tcW w:w="820" w:type="dxa"/>
            <w:vAlign w:val="bottom"/>
            <w:gridSpan w:val="2"/>
          </w:tcPr>
          <w:p>
            <w:pPr>
              <w:jc w:val="center"/>
              <w:ind w:right="160"/>
              <w:spacing w:after="0" w:line="131" w:lineRule="exact"/>
              <w:rPr>
                <w:sz w:val="20"/>
                <w:szCs w:val="20"/>
                <w:color w:val="auto"/>
              </w:rPr>
            </w:pPr>
            <w:r>
              <w:rPr>
                <w:rFonts w:ascii="Times New Roman" w:cs="Times New Roman" w:eastAsia="Times New Roman" w:hAnsi="Times New Roman"/>
                <w:sz w:val="14"/>
                <w:szCs w:val="14"/>
                <w:b w:val="1"/>
                <w:bCs w:val="1"/>
                <w:color w:val="auto"/>
              </w:rPr>
              <w:t>Fees,</w:t>
            </w: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Realized</w:t>
            </w:r>
          </w:p>
        </w:tc>
        <w:tc>
          <w:tcPr>
            <w:tcW w:w="120" w:type="dxa"/>
            <w:vAlign w:val="bottom"/>
          </w:tcPr>
          <w:p>
            <w:pPr>
              <w:spacing w:after="0"/>
              <w:rPr>
                <w:sz w:val="11"/>
                <w:szCs w:val="11"/>
                <w:color w:val="auto"/>
              </w:rPr>
            </w:pPr>
          </w:p>
        </w:tc>
        <w:tc>
          <w:tcPr>
            <w:tcW w:w="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96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Fair Value at</w:t>
            </w:r>
          </w:p>
        </w:tc>
        <w:tc>
          <w:tcPr>
            <w:tcW w:w="6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30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760" w:type="dxa"/>
            <w:vAlign w:val="bottom"/>
            <w:gridSpan w:val="3"/>
          </w:tcPr>
          <w:p>
            <w:pPr>
              <w:jc w:val="center"/>
              <w:ind w:right="80"/>
              <w:spacing w:after="0" w:line="141" w:lineRule="exact"/>
              <w:rPr>
                <w:sz w:val="20"/>
                <w:szCs w:val="20"/>
                <w:color w:val="auto"/>
              </w:rPr>
            </w:pPr>
            <w:r>
              <w:rPr>
                <w:rFonts w:ascii="Times New Roman" w:cs="Times New Roman" w:eastAsia="Times New Roman" w:hAnsi="Times New Roman"/>
                <w:sz w:val="14"/>
                <w:szCs w:val="14"/>
                <w:b w:val="1"/>
                <w:bCs w:val="1"/>
                <w:color w:val="auto"/>
                <w:w w:val="98"/>
              </w:rPr>
              <w:t>Credited</w:t>
            </w:r>
          </w:p>
        </w:tc>
        <w:tc>
          <w:tcPr>
            <w:tcW w:w="980" w:type="dxa"/>
            <w:vAlign w:val="bottom"/>
            <w:gridSpan w:val="3"/>
          </w:tcPr>
          <w:p>
            <w:pPr>
              <w:jc w:val="center"/>
              <w:ind w:right="60"/>
              <w:spacing w:after="0" w:line="141" w:lineRule="exact"/>
              <w:rPr>
                <w:sz w:val="20"/>
                <w:szCs w:val="20"/>
                <w:color w:val="auto"/>
              </w:rPr>
            </w:pPr>
            <w:r>
              <w:rPr>
                <w:rFonts w:ascii="Times New Roman" w:cs="Times New Roman" w:eastAsia="Times New Roman" w:hAnsi="Times New Roman"/>
                <w:sz w:val="14"/>
                <w:szCs w:val="14"/>
                <w:b w:val="1"/>
                <w:bCs w:val="1"/>
                <w:color w:val="auto"/>
                <w:w w:val="97"/>
              </w:rPr>
              <w:t>December 31,</w:t>
            </w:r>
          </w:p>
        </w:tc>
        <w:tc>
          <w:tcPr>
            <w:tcW w:w="10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900" w:type="dxa"/>
            <w:vAlign w:val="bottom"/>
            <w:gridSpan w:val="3"/>
          </w:tcPr>
          <w:p>
            <w:pPr>
              <w:jc w:val="center"/>
              <w:ind w:right="100"/>
              <w:spacing w:after="0" w:line="141" w:lineRule="exact"/>
              <w:rPr>
                <w:sz w:val="20"/>
                <w:szCs w:val="20"/>
                <w:color w:val="auto"/>
              </w:rPr>
            </w:pPr>
            <w:r>
              <w:rPr>
                <w:rFonts w:ascii="Times New Roman" w:cs="Times New Roman" w:eastAsia="Times New Roman" w:hAnsi="Times New Roman"/>
                <w:sz w:val="14"/>
                <w:szCs w:val="14"/>
                <w:b w:val="1"/>
                <w:bCs w:val="1"/>
                <w:color w:val="auto"/>
                <w:w w:val="98"/>
              </w:rPr>
              <w:t>Interest and</w:t>
            </w:r>
          </w:p>
        </w:tc>
        <w:tc>
          <w:tcPr>
            <w:tcW w:w="120" w:type="dxa"/>
            <w:vAlign w:val="bottom"/>
          </w:tcPr>
          <w:p>
            <w:pPr>
              <w:spacing w:after="0"/>
              <w:rPr>
                <w:sz w:val="12"/>
                <w:szCs w:val="12"/>
                <w:color w:val="auto"/>
              </w:rPr>
            </w:pPr>
          </w:p>
        </w:tc>
        <w:tc>
          <w:tcPr>
            <w:tcW w:w="5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Sales</w:t>
            </w:r>
          </w:p>
        </w:tc>
        <w:tc>
          <w:tcPr>
            <w:tcW w:w="14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62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b w:val="1"/>
                <w:bCs w:val="1"/>
                <w:color w:val="auto"/>
              </w:rPr>
              <w:t>of Net</w:t>
            </w:r>
          </w:p>
        </w:tc>
        <w:tc>
          <w:tcPr>
            <w:tcW w:w="0" w:type="dxa"/>
            <w:vAlign w:val="bottom"/>
          </w:tcPr>
          <w:p>
            <w:pPr>
              <w:spacing w:after="0"/>
              <w:rPr>
                <w:sz w:val="1"/>
                <w:szCs w:val="1"/>
                <w:color w:val="auto"/>
              </w:rPr>
            </w:pPr>
          </w:p>
        </w:tc>
      </w:tr>
      <w:tr>
        <w:trPr>
          <w:trHeight w:val="189"/>
        </w:trPr>
        <w:tc>
          <w:tcPr>
            <w:tcW w:w="23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Company/Investment</w:t>
            </w:r>
          </w:p>
        </w:tc>
        <w:tc>
          <w:tcPr>
            <w:tcW w:w="80" w:type="dxa"/>
            <w:vAlign w:val="bottom"/>
          </w:tcPr>
          <w:p>
            <w:pPr>
              <w:spacing w:after="0"/>
              <w:rPr>
                <w:sz w:val="16"/>
                <w:szCs w:val="16"/>
                <w:color w:val="auto"/>
              </w:rPr>
            </w:pPr>
          </w:p>
        </w:tc>
        <w:tc>
          <w:tcPr>
            <w:tcW w:w="9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Quantity</w:t>
            </w:r>
          </w:p>
        </w:tc>
        <w:tc>
          <w:tcPr>
            <w:tcW w:w="76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7"/>
              </w:rPr>
              <w:t>in Income</w:t>
            </w:r>
          </w:p>
        </w:tc>
        <w:tc>
          <w:tcPr>
            <w:tcW w:w="120" w:type="dxa"/>
            <w:vAlign w:val="bottom"/>
          </w:tcPr>
          <w:p>
            <w:pPr>
              <w:spacing w:after="0"/>
              <w:rPr>
                <w:sz w:val="16"/>
                <w:szCs w:val="16"/>
                <w:color w:val="auto"/>
              </w:rPr>
            </w:pPr>
          </w:p>
        </w:tc>
        <w:tc>
          <w:tcPr>
            <w:tcW w:w="780" w:type="dxa"/>
            <w:vAlign w:val="bottom"/>
          </w:tcPr>
          <w:p>
            <w:pPr>
              <w:jc w:val="center"/>
              <w:ind w:right="23"/>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(Out)</w:t>
            </w:r>
          </w:p>
        </w:tc>
        <w:tc>
          <w:tcPr>
            <w:tcW w:w="90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7"/>
              </w:rPr>
              <w:t>Amortization</w:t>
            </w:r>
          </w:p>
        </w:tc>
        <w:tc>
          <w:tcPr>
            <w:tcW w:w="120" w:type="dxa"/>
            <w:vAlign w:val="bottom"/>
          </w:tcPr>
          <w:p>
            <w:pPr>
              <w:spacing w:after="0"/>
              <w:rPr>
                <w:sz w:val="16"/>
                <w:szCs w:val="16"/>
                <w:color w:val="auto"/>
              </w:rPr>
            </w:pPr>
          </w:p>
        </w:tc>
        <w:tc>
          <w:tcPr>
            <w:tcW w:w="540" w:type="dxa"/>
            <w:vAlign w:val="bottom"/>
            <w:gridSpan w:val="2"/>
            <w:vMerge w:val="continue"/>
          </w:tcPr>
          <w:p>
            <w:pPr>
              <w:spacing w:after="0"/>
              <w:rPr>
                <w:sz w:val="16"/>
                <w:szCs w:val="16"/>
                <w:color w:val="auto"/>
              </w:rPr>
            </w:pPr>
          </w:p>
        </w:tc>
        <w:tc>
          <w:tcPr>
            <w:tcW w:w="9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Gains/(Losses)</w:t>
            </w:r>
          </w:p>
        </w:tc>
        <w:tc>
          <w:tcPr>
            <w:tcW w:w="9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Gains/(Losses)</w:t>
            </w:r>
          </w:p>
        </w:tc>
        <w:tc>
          <w:tcPr>
            <w:tcW w:w="9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0" w:type="dxa"/>
            <w:vAlign w:val="bottom"/>
          </w:tcPr>
          <w:p>
            <w:pPr>
              <w:spacing w:after="0"/>
              <w:rPr>
                <w:sz w:val="1"/>
                <w:szCs w:val="1"/>
                <w:color w:val="auto"/>
              </w:rPr>
            </w:pPr>
          </w:p>
        </w:tc>
      </w:tr>
      <w:tr>
        <w:trPr>
          <w:trHeight w:val="166"/>
        </w:trPr>
        <w:tc>
          <w:tcPr>
            <w:tcW w:w="2300" w:type="dxa"/>
            <w:vAlign w:val="bottom"/>
            <w:tcBorders>
              <w:top w:val="single" w:sz="8" w:color="auto"/>
            </w:tcBorders>
            <w:gridSpan w:val="3"/>
            <w:shd w:val="clear" w:color="auto" w:fill="CCEEFF"/>
          </w:tcPr>
          <w:p>
            <w:pPr>
              <w:ind w:left="20"/>
              <w:spacing w:after="0" w:line="166" w:lineRule="exact"/>
              <w:rPr>
                <w:sz w:val="20"/>
                <w:szCs w:val="20"/>
                <w:color w:val="auto"/>
              </w:rPr>
            </w:pPr>
            <w:r>
              <w:rPr>
                <w:rFonts w:ascii="Times New Roman" w:cs="Times New Roman" w:eastAsia="Times New Roman" w:hAnsi="Times New Roman"/>
                <w:sz w:val="16"/>
                <w:szCs w:val="16"/>
                <w:b w:val="1"/>
                <w:bCs w:val="1"/>
                <w:color w:val="auto"/>
              </w:rPr>
              <w:t>CONTROLLED</w:t>
            </w:r>
          </w:p>
        </w:tc>
        <w:tc>
          <w:tcPr>
            <w:tcW w:w="80" w:type="dxa"/>
            <w:vAlign w:val="bottom"/>
            <w:tcBorders>
              <w:top w:val="single" w:sz="8" w:color="CCEEFF"/>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1120" w:type="dxa"/>
            <w:vAlign w:val="bottom"/>
            <w:tcBorders>
              <w:top w:val="single" w:sz="8" w:color="auto"/>
            </w:tcBorders>
            <w:shd w:val="clear" w:color="auto" w:fill="CCEEFF"/>
          </w:tcPr>
          <w:p>
            <w:pPr>
              <w:ind w:left="20"/>
              <w:spacing w:after="0" w:line="135" w:lineRule="exact"/>
              <w:rPr>
                <w:sz w:val="20"/>
                <w:szCs w:val="20"/>
                <w:color w:val="auto"/>
              </w:rPr>
            </w:pPr>
            <w:r>
              <w:rPr>
                <w:rFonts w:ascii="Times New Roman" w:cs="Times New Roman" w:eastAsia="Times New Roman" w:hAnsi="Times New Roman"/>
                <w:sz w:val="14"/>
                <w:szCs w:val="14"/>
                <w:b w:val="1"/>
                <w:bCs w:val="1"/>
                <w:color w:val="auto"/>
              </w:rPr>
              <w:t>INVESTMENTS</w:t>
            </w:r>
          </w:p>
        </w:tc>
        <w:tc>
          <w:tcPr>
            <w:tcW w:w="1180" w:type="dxa"/>
            <w:vAlign w:val="bottom"/>
            <w:tcBorders>
              <w:top w:val="single" w:sz="8" w:color="CCEEFF"/>
            </w:tcBorders>
            <w:gridSpan w:val="2"/>
            <w:shd w:val="clear" w:color="auto" w:fill="CCEEFF"/>
          </w:tcPr>
          <w:p>
            <w:pPr>
              <w:jc w:val="right"/>
              <w:ind w:right="960"/>
              <w:spacing w:after="0" w:line="136" w:lineRule="exact"/>
              <w:rPr>
                <w:sz w:val="20"/>
                <w:szCs w:val="20"/>
                <w:color w:val="auto"/>
              </w:rPr>
            </w:pPr>
            <w:r>
              <w:rPr>
                <w:rFonts w:ascii="Times New Roman" w:cs="Times New Roman" w:eastAsia="Times New Roman" w:hAnsi="Times New Roman"/>
                <w:sz w:val="15"/>
                <w:szCs w:val="15"/>
                <w:b w:val="1"/>
                <w:bCs w:val="1"/>
                <w:color w:val="auto"/>
                <w:vertAlign w:val="subscript"/>
              </w:rPr>
              <w:t>*</w:t>
            </w:r>
            <w:r>
              <w:rPr>
                <w:rFonts w:ascii="Times New Roman" w:cs="Times New Roman" w:eastAsia="Times New Roman" w:hAnsi="Times New Roman"/>
                <w:sz w:val="7"/>
                <w:szCs w:val="7"/>
                <w:b w:val="1"/>
                <w:bCs w:val="1"/>
                <w:color w:val="auto"/>
              </w:rPr>
              <w:t>(2)</w:t>
            </w:r>
          </w:p>
        </w:tc>
        <w:tc>
          <w:tcPr>
            <w:tcW w:w="80" w:type="dxa"/>
            <w:vAlign w:val="bottom"/>
            <w:tcBorders>
              <w:top w:val="single" w:sz="8" w:color="CCEEFF"/>
            </w:tcBorders>
            <w:shd w:val="clear" w:color="auto" w:fill="CCEEFF"/>
          </w:tcPr>
          <w:p>
            <w:pPr>
              <w:spacing w:after="0"/>
              <w:rPr>
                <w:sz w:val="13"/>
                <w:szCs w:val="13"/>
                <w:color w:val="auto"/>
              </w:rPr>
            </w:pPr>
          </w:p>
        </w:tc>
        <w:tc>
          <w:tcPr>
            <w:tcW w:w="8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5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6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7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4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7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114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Options</w:t>
            </w:r>
          </w:p>
        </w:tc>
        <w:tc>
          <w:tcPr>
            <w:tcW w:w="11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8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5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7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6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7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4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7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7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7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62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2300" w:type="dxa"/>
            <w:vAlign w:val="bottom"/>
            <w:gridSpan w:val="3"/>
            <w:shd w:val="clear" w:color="auto" w:fill="CCEEFF"/>
          </w:tcPr>
          <w:p>
            <w:pPr>
              <w:ind w:left="120"/>
              <w:spacing w:after="0" w:line="157" w:lineRule="exact"/>
              <w:rPr>
                <w:sz w:val="20"/>
                <w:szCs w:val="20"/>
                <w:color w:val="auto"/>
              </w:rPr>
            </w:pPr>
            <w:r>
              <w:rPr>
                <w:rFonts w:ascii="Times New Roman" w:cs="Times New Roman" w:eastAsia="Times New Roman" w:hAnsi="Times New Roman"/>
                <w:sz w:val="16"/>
                <w:szCs w:val="16"/>
                <w:i w:val="1"/>
                <w:iCs w:val="1"/>
                <w:color w:val="auto"/>
              </w:rPr>
              <w:t>Special Purpose Acquisition</w:t>
            </w: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7"/>
        </w:trPr>
        <w:tc>
          <w:tcPr>
            <w:tcW w:w="23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i w:val="1"/>
                <w:iCs w:val="1"/>
                <w:color w:val="auto"/>
              </w:rPr>
              <w:t>Company</w:t>
            </w: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2300" w:type="dxa"/>
            <w:vAlign w:val="bottom"/>
            <w:gridSpan w:val="3"/>
          </w:tcPr>
          <w:p>
            <w:pPr>
              <w:ind w:left="200"/>
              <w:spacing w:after="0" w:line="155" w:lineRule="exact"/>
              <w:rPr>
                <w:sz w:val="20"/>
                <w:szCs w:val="20"/>
                <w:color w:val="auto"/>
              </w:rPr>
            </w:pPr>
            <w:r>
              <w:rPr>
                <w:rFonts w:ascii="Times New Roman" w:cs="Times New Roman" w:eastAsia="Times New Roman" w:hAnsi="Times New Roman"/>
                <w:sz w:val="16"/>
                <w:szCs w:val="16"/>
                <w:color w:val="auto"/>
              </w:rPr>
              <w:t>Colombier Sponsor LLC**–</w:t>
            </w:r>
          </w:p>
        </w:tc>
        <w:tc>
          <w:tcPr>
            <w:tcW w:w="9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2,700,000</w:t>
            </w:r>
          </w:p>
        </w:tc>
        <w:tc>
          <w:tcPr>
            <w:tcW w:w="80" w:type="dxa"/>
            <w:vAlign w:val="bottom"/>
          </w:tcPr>
          <w:p>
            <w:pPr>
              <w:spacing w:after="0"/>
              <w:rPr>
                <w:sz w:val="13"/>
                <w:szCs w:val="13"/>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1,157,487</w:t>
            </w:r>
          </w:p>
        </w:tc>
        <w:tc>
          <w:tcPr>
            <w:tcW w:w="80" w:type="dxa"/>
            <w:vAlign w:val="bottom"/>
          </w:tcPr>
          <w:p>
            <w:pPr>
              <w:spacing w:after="0"/>
              <w:rPr>
                <w:sz w:val="13"/>
                <w:szCs w:val="13"/>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gridSpan w:val="2"/>
            <w:vMerge w:val="restart"/>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vMerge w:val="restart"/>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gridSpan w:val="2"/>
            <w:vMerge w:val="restart"/>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vMerge w:val="restart"/>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1,157,487</w:t>
            </w:r>
          </w:p>
        </w:tc>
        <w:tc>
          <w:tcPr>
            <w:tcW w:w="80" w:type="dxa"/>
            <w:vAlign w:val="bottom"/>
          </w:tcPr>
          <w:p>
            <w:pPr>
              <w:spacing w:after="0"/>
              <w:rPr>
                <w:sz w:val="13"/>
                <w:szCs w:val="13"/>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0.41</w:t>
            </w:r>
          </w:p>
        </w:tc>
        <w:tc>
          <w:tcPr>
            <w:tcW w:w="0" w:type="dxa"/>
            <w:vAlign w:val="bottom"/>
          </w:tcPr>
          <w:p>
            <w:pPr>
              <w:spacing w:after="0"/>
              <w:rPr>
                <w:sz w:val="1"/>
                <w:szCs w:val="1"/>
                <w:color w:val="auto"/>
              </w:rPr>
            </w:pPr>
          </w:p>
        </w:tc>
      </w:tr>
      <w:tr>
        <w:trPr>
          <w:trHeight w:val="207"/>
        </w:trPr>
        <w:tc>
          <w:tcPr>
            <w:tcW w:w="2300" w:type="dxa"/>
            <w:vAlign w:val="bottom"/>
            <w:gridSpan w:val="3"/>
          </w:tcPr>
          <w:p>
            <w:pPr>
              <w:ind w:left="200"/>
              <w:spacing w:after="0" w:line="207" w:lineRule="exact"/>
              <w:rPr>
                <w:sz w:val="20"/>
                <w:szCs w:val="20"/>
                <w:color w:val="auto"/>
              </w:rPr>
            </w:pPr>
            <w:r>
              <w:rPr>
                <w:rFonts w:ascii="Times New Roman" w:cs="Times New Roman" w:eastAsia="Times New Roman" w:hAnsi="Times New Roman"/>
                <w:sz w:val="16"/>
                <w:szCs w:val="16"/>
                <w:color w:val="auto"/>
              </w:rPr>
              <w:t>Class W Units</w:t>
            </w:r>
            <w:r>
              <w:rPr>
                <w:rFonts w:ascii="Times New Roman" w:cs="Times New Roman" w:eastAsia="Times New Roman" w:hAnsi="Times New Roman"/>
                <w:sz w:val="20"/>
                <w:szCs w:val="20"/>
                <w:color w:val="auto"/>
                <w:vertAlign w:val="superscript"/>
              </w:rPr>
              <w:t>(7)</w:t>
            </w:r>
          </w:p>
        </w:tc>
        <w:tc>
          <w:tcPr>
            <w:tcW w:w="96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vMerge w:val="continue"/>
          </w:tcPr>
          <w:p>
            <w:pPr>
              <w:spacing w:after="0"/>
              <w:rPr>
                <w:sz w:val="17"/>
                <w:szCs w:val="17"/>
                <w:color w:val="auto"/>
              </w:rPr>
            </w:pPr>
          </w:p>
        </w:tc>
        <w:tc>
          <w:tcPr>
            <w:tcW w:w="660" w:type="dxa"/>
            <w:vAlign w:val="bottom"/>
            <w:gridSpan w:val="2"/>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7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vMerge w:val="continue"/>
          </w:tcPr>
          <w:p>
            <w:pPr>
              <w:spacing w:after="0"/>
              <w:rPr>
                <w:sz w:val="17"/>
                <w:szCs w:val="17"/>
                <w:color w:val="auto"/>
              </w:rPr>
            </w:pPr>
          </w:p>
        </w:tc>
        <w:tc>
          <w:tcPr>
            <w:tcW w:w="720" w:type="dxa"/>
            <w:vAlign w:val="bottom"/>
            <w:gridSpan w:val="2"/>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540" w:type="dxa"/>
            <w:vAlign w:val="bottom"/>
            <w:gridSpan w:val="2"/>
            <w:vMerge w:val="continue"/>
          </w:tcPr>
          <w:p>
            <w:pPr>
              <w:spacing w:after="0"/>
              <w:rPr>
                <w:sz w:val="17"/>
                <w:szCs w:val="17"/>
                <w:color w:val="auto"/>
              </w:rPr>
            </w:pPr>
          </w:p>
        </w:tc>
        <w:tc>
          <w:tcPr>
            <w:tcW w:w="140" w:type="dxa"/>
            <w:vAlign w:val="bottom"/>
            <w:vMerge w:val="continue"/>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7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3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Options</w:t>
            </w: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1,157,487</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5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1,157,487</w:t>
            </w: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0.41</w:t>
            </w:r>
          </w:p>
        </w:tc>
        <w:tc>
          <w:tcPr>
            <w:tcW w:w="0" w:type="dxa"/>
            <w:vAlign w:val="bottom"/>
          </w:tcPr>
          <w:p>
            <w:pPr>
              <w:spacing w:after="0"/>
              <w:rPr>
                <w:sz w:val="1"/>
                <w:szCs w:val="1"/>
                <w:color w:val="auto"/>
              </w:rPr>
            </w:pPr>
          </w:p>
        </w:tc>
      </w:tr>
      <w:tr>
        <w:trPr>
          <w:trHeight w:val="206"/>
        </w:trPr>
        <w:tc>
          <w:tcPr>
            <w:tcW w:w="230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Preferred Stock</w:t>
            </w: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3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i w:val="1"/>
                <w:iCs w:val="1"/>
                <w:color w:val="auto"/>
              </w:rPr>
              <w:t>Clean Technology</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300" w:type="dxa"/>
            <w:vAlign w:val="bottom"/>
            <w:gridSpan w:val="3"/>
          </w:tcPr>
          <w:p>
            <w:pPr>
              <w:ind w:left="200"/>
              <w:spacing w:after="0" w:line="155" w:lineRule="exact"/>
              <w:rPr>
                <w:sz w:val="20"/>
                <w:szCs w:val="20"/>
                <w:color w:val="auto"/>
              </w:rPr>
            </w:pPr>
            <w:r>
              <w:rPr>
                <w:rFonts w:ascii="Times New Roman" w:cs="Times New Roman" w:eastAsia="Times New Roman" w:hAnsi="Times New Roman"/>
                <w:sz w:val="16"/>
                <w:szCs w:val="16"/>
                <w:color w:val="auto"/>
              </w:rPr>
              <w:t>SPBRX, INC. (f/k/a GSV</w:t>
            </w: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300" w:type="dxa"/>
            <w:vAlign w:val="bottom"/>
            <w:gridSpan w:val="3"/>
          </w:tcPr>
          <w:p>
            <w:pPr>
              <w:ind w:left="200"/>
              <w:spacing w:after="0" w:line="155" w:lineRule="exact"/>
              <w:rPr>
                <w:sz w:val="20"/>
                <w:szCs w:val="20"/>
                <w:color w:val="auto"/>
              </w:rPr>
            </w:pPr>
            <w:r>
              <w:rPr>
                <w:rFonts w:ascii="Times New Roman" w:cs="Times New Roman" w:eastAsia="Times New Roman" w:hAnsi="Times New Roman"/>
                <w:sz w:val="16"/>
                <w:szCs w:val="16"/>
                <w:color w:val="auto"/>
              </w:rPr>
              <w:t>Sustainability Partners, Inc.)–</w:t>
            </w:r>
          </w:p>
        </w:tc>
        <w:tc>
          <w:tcPr>
            <w:tcW w:w="9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14,300,000</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1,047,033</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vMerge w:val="restart"/>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3"/>
                <w:szCs w:val="13"/>
                <w:color w:val="auto"/>
              </w:rPr>
            </w:pPr>
          </w:p>
        </w:tc>
        <w:tc>
          <w:tcPr>
            <w:tcW w:w="820" w:type="dxa"/>
            <w:vAlign w:val="bottom"/>
            <w:gridSpan w:val="2"/>
            <w:vMerge w:val="restart"/>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3"/>
                <w:szCs w:val="13"/>
                <w:color w:val="auto"/>
              </w:rPr>
            </w:pPr>
          </w:p>
        </w:tc>
        <w:tc>
          <w:tcPr>
            <w:tcW w:w="540" w:type="dxa"/>
            <w:vAlign w:val="bottom"/>
            <w:gridSpan w:val="2"/>
            <w:vMerge w:val="restart"/>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3"/>
                <w:szCs w:val="13"/>
                <w:color w:val="auto"/>
              </w:rPr>
            </w:pPr>
          </w:p>
        </w:tc>
        <w:tc>
          <w:tcPr>
            <w:tcW w:w="820" w:type="dxa"/>
            <w:vAlign w:val="bottom"/>
            <w:gridSpan w:val="2"/>
            <w:vMerge w:val="restart"/>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260,000</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1,307,033</w:t>
            </w:r>
          </w:p>
        </w:tc>
        <w:tc>
          <w:tcPr>
            <w:tcW w:w="80" w:type="dxa"/>
            <w:vAlign w:val="bottom"/>
          </w:tcPr>
          <w:p>
            <w:pPr>
              <w:spacing w:after="0"/>
              <w:rPr>
                <w:sz w:val="13"/>
                <w:szCs w:val="13"/>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0.47</w:t>
            </w:r>
          </w:p>
        </w:tc>
        <w:tc>
          <w:tcPr>
            <w:tcW w:w="0" w:type="dxa"/>
            <w:vAlign w:val="bottom"/>
          </w:tcPr>
          <w:p>
            <w:pPr>
              <w:spacing w:after="0"/>
              <w:rPr>
                <w:sz w:val="1"/>
                <w:szCs w:val="1"/>
                <w:color w:val="auto"/>
              </w:rPr>
            </w:pPr>
          </w:p>
        </w:tc>
      </w:tr>
      <w:tr>
        <w:trPr>
          <w:trHeight w:val="207"/>
        </w:trPr>
        <w:tc>
          <w:tcPr>
            <w:tcW w:w="2300" w:type="dxa"/>
            <w:vAlign w:val="bottom"/>
            <w:gridSpan w:val="3"/>
          </w:tcPr>
          <w:p>
            <w:pPr>
              <w:ind w:left="200"/>
              <w:spacing w:after="0" w:line="207" w:lineRule="exact"/>
              <w:rPr>
                <w:sz w:val="20"/>
                <w:szCs w:val="20"/>
                <w:color w:val="auto"/>
              </w:rPr>
            </w:pPr>
            <w:r>
              <w:rPr>
                <w:rFonts w:ascii="Times New Roman" w:cs="Times New Roman" w:eastAsia="Times New Roman" w:hAnsi="Times New Roman"/>
                <w:sz w:val="16"/>
                <w:szCs w:val="16"/>
                <w:color w:val="auto"/>
              </w:rPr>
              <w:t>Preferred shares, Class A</w:t>
            </w:r>
            <w:r>
              <w:rPr>
                <w:rFonts w:ascii="Times New Roman" w:cs="Times New Roman" w:eastAsia="Times New Roman" w:hAnsi="Times New Roman"/>
                <w:sz w:val="20"/>
                <w:szCs w:val="20"/>
                <w:color w:val="auto"/>
                <w:vertAlign w:val="superscript"/>
              </w:rPr>
              <w:t>(4)</w:t>
            </w:r>
          </w:p>
        </w:tc>
        <w:tc>
          <w:tcPr>
            <w:tcW w:w="96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3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Preferred Stock</w:t>
            </w: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1,047,033</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5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260,000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1,307,033</w:t>
            </w: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0.47</w:t>
            </w:r>
          </w:p>
        </w:tc>
        <w:tc>
          <w:tcPr>
            <w:tcW w:w="0" w:type="dxa"/>
            <w:vAlign w:val="bottom"/>
          </w:tcPr>
          <w:p>
            <w:pPr>
              <w:spacing w:after="0"/>
              <w:rPr>
                <w:sz w:val="1"/>
                <w:szCs w:val="1"/>
                <w:color w:val="auto"/>
              </w:rPr>
            </w:pPr>
          </w:p>
        </w:tc>
      </w:tr>
      <w:tr>
        <w:trPr>
          <w:trHeight w:val="206"/>
        </w:trPr>
        <w:tc>
          <w:tcPr>
            <w:tcW w:w="230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3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i w:val="1"/>
                <w:iCs w:val="1"/>
                <w:color w:val="auto"/>
              </w:rPr>
              <w:t>Clean Technology</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300" w:type="dxa"/>
            <w:vAlign w:val="bottom"/>
            <w:gridSpan w:val="3"/>
          </w:tcPr>
          <w:p>
            <w:pPr>
              <w:ind w:left="200"/>
              <w:spacing w:after="0" w:line="155" w:lineRule="exact"/>
              <w:rPr>
                <w:sz w:val="20"/>
                <w:szCs w:val="20"/>
                <w:color w:val="auto"/>
              </w:rPr>
            </w:pPr>
            <w:r>
              <w:rPr>
                <w:rFonts w:ascii="Times New Roman" w:cs="Times New Roman" w:eastAsia="Times New Roman" w:hAnsi="Times New Roman"/>
                <w:sz w:val="16"/>
                <w:szCs w:val="16"/>
                <w:color w:val="auto"/>
              </w:rPr>
              <w:t>SPBRX, INC. (f/k/a GSV</w:t>
            </w: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300" w:type="dxa"/>
            <w:vAlign w:val="bottom"/>
            <w:gridSpan w:val="3"/>
          </w:tcPr>
          <w:p>
            <w:pPr>
              <w:ind w:left="200"/>
              <w:spacing w:after="0" w:line="155" w:lineRule="exact"/>
              <w:rPr>
                <w:sz w:val="20"/>
                <w:szCs w:val="20"/>
                <w:color w:val="auto"/>
              </w:rPr>
            </w:pPr>
            <w:r>
              <w:rPr>
                <w:rFonts w:ascii="Times New Roman" w:cs="Times New Roman" w:eastAsia="Times New Roman" w:hAnsi="Times New Roman"/>
                <w:sz w:val="16"/>
                <w:szCs w:val="16"/>
                <w:color w:val="auto"/>
              </w:rPr>
              <w:t>Sustainability Partners, Inc.)–</w:t>
            </w:r>
          </w:p>
        </w:tc>
        <w:tc>
          <w:tcPr>
            <w:tcW w:w="9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3"/>
                <w:szCs w:val="13"/>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3"/>
                <w:szCs w:val="13"/>
                <w:color w:val="auto"/>
              </w:rPr>
            </w:pPr>
          </w:p>
        </w:tc>
        <w:tc>
          <w:tcPr>
            <w:tcW w:w="720" w:type="dxa"/>
            <w:vAlign w:val="bottom"/>
            <w:gridSpan w:val="2"/>
            <w:vMerge w:val="restart"/>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3"/>
                <w:szCs w:val="13"/>
                <w:color w:val="auto"/>
              </w:rPr>
            </w:pPr>
          </w:p>
        </w:tc>
        <w:tc>
          <w:tcPr>
            <w:tcW w:w="820" w:type="dxa"/>
            <w:vAlign w:val="bottom"/>
            <w:gridSpan w:val="2"/>
            <w:vMerge w:val="restart"/>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3"/>
                <w:szCs w:val="13"/>
                <w:color w:val="auto"/>
              </w:rPr>
            </w:pPr>
          </w:p>
        </w:tc>
        <w:tc>
          <w:tcPr>
            <w:tcW w:w="540" w:type="dxa"/>
            <w:vAlign w:val="bottom"/>
            <w:gridSpan w:val="2"/>
            <w:vMerge w:val="restart"/>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3"/>
                <w:szCs w:val="13"/>
                <w:color w:val="auto"/>
              </w:rPr>
            </w:pPr>
          </w:p>
        </w:tc>
        <w:tc>
          <w:tcPr>
            <w:tcW w:w="820" w:type="dxa"/>
            <w:vAlign w:val="bottom"/>
            <w:gridSpan w:val="2"/>
            <w:vMerge w:val="restart"/>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3"/>
                <w:szCs w:val="13"/>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3"/>
                <w:szCs w:val="13"/>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5"/>
        </w:trPr>
        <w:tc>
          <w:tcPr>
            <w:tcW w:w="2300" w:type="dxa"/>
            <w:vAlign w:val="bottom"/>
            <w:gridSpan w:val="3"/>
          </w:tcPr>
          <w:p>
            <w:pPr>
              <w:ind w:left="200"/>
              <w:spacing w:after="0"/>
              <w:rPr>
                <w:sz w:val="20"/>
                <w:szCs w:val="20"/>
                <w:color w:val="auto"/>
              </w:rPr>
            </w:pPr>
            <w:r>
              <w:rPr>
                <w:rFonts w:ascii="Times New Roman" w:cs="Times New Roman" w:eastAsia="Times New Roman" w:hAnsi="Times New Roman"/>
                <w:sz w:val="16"/>
                <w:szCs w:val="16"/>
                <w:color w:val="auto"/>
              </w:rPr>
              <w:t>Common shares</w:t>
            </w:r>
          </w:p>
        </w:tc>
        <w:tc>
          <w:tcPr>
            <w:tcW w:w="96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6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3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i w:val="1"/>
                <w:iCs w:val="1"/>
                <w:color w:val="auto"/>
              </w:rPr>
              <w:t>Mobile Finance Technology</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300" w:type="dxa"/>
            <w:vAlign w:val="bottom"/>
            <w:gridSpan w:val="3"/>
          </w:tcPr>
          <w:p>
            <w:pPr>
              <w:ind w:left="200"/>
              <w:spacing w:after="0" w:line="155" w:lineRule="exact"/>
              <w:rPr>
                <w:sz w:val="20"/>
                <w:szCs w:val="20"/>
                <w:color w:val="auto"/>
              </w:rPr>
            </w:pPr>
            <w:r>
              <w:rPr>
                <w:rFonts w:ascii="Times New Roman" w:cs="Times New Roman" w:eastAsia="Times New Roman" w:hAnsi="Times New Roman"/>
                <w:sz w:val="16"/>
                <w:szCs w:val="16"/>
                <w:color w:val="auto"/>
              </w:rPr>
              <w:t>Architect Capital PayJoy SPV,</w:t>
            </w: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300" w:type="dxa"/>
            <w:vAlign w:val="bottom"/>
            <w:gridSpan w:val="3"/>
          </w:tcPr>
          <w:p>
            <w:pPr>
              <w:ind w:left="200"/>
              <w:spacing w:after="0" w:line="155" w:lineRule="exact"/>
              <w:rPr>
                <w:sz w:val="20"/>
                <w:szCs w:val="20"/>
                <w:color w:val="auto"/>
              </w:rPr>
            </w:pPr>
            <w:r>
              <w:rPr>
                <w:rFonts w:ascii="Times New Roman" w:cs="Times New Roman" w:eastAsia="Times New Roman" w:hAnsi="Times New Roman"/>
                <w:sz w:val="16"/>
                <w:szCs w:val="16"/>
                <w:color w:val="auto"/>
              </w:rPr>
              <w:t>LLC**–Membership Interest in</w:t>
            </w:r>
          </w:p>
        </w:tc>
        <w:tc>
          <w:tcPr>
            <w:tcW w:w="9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$ 10,000,000</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6"/>
              </w:rPr>
              <w:t>840,000</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7"/>
              </w:rPr>
              <w:t>10,000,000</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vMerge w:val="restart"/>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3"/>
                <w:szCs w:val="13"/>
                <w:color w:val="auto"/>
              </w:rPr>
            </w:pPr>
          </w:p>
        </w:tc>
        <w:tc>
          <w:tcPr>
            <w:tcW w:w="820" w:type="dxa"/>
            <w:vAlign w:val="bottom"/>
            <w:gridSpan w:val="2"/>
            <w:vMerge w:val="restart"/>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3"/>
                <w:szCs w:val="13"/>
                <w:color w:val="auto"/>
              </w:rPr>
            </w:pPr>
          </w:p>
        </w:tc>
        <w:tc>
          <w:tcPr>
            <w:tcW w:w="540" w:type="dxa"/>
            <w:vAlign w:val="bottom"/>
            <w:gridSpan w:val="2"/>
            <w:vMerge w:val="restart"/>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3"/>
                <w:szCs w:val="13"/>
                <w:color w:val="auto"/>
              </w:rPr>
            </w:pPr>
          </w:p>
        </w:tc>
        <w:tc>
          <w:tcPr>
            <w:tcW w:w="820" w:type="dxa"/>
            <w:vAlign w:val="bottom"/>
            <w:gridSpan w:val="2"/>
            <w:vMerge w:val="restart"/>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3"/>
                <w:szCs w:val="13"/>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7"/>
              </w:rPr>
              <w:t>10,000,000</w:t>
            </w:r>
          </w:p>
        </w:tc>
        <w:tc>
          <w:tcPr>
            <w:tcW w:w="80" w:type="dxa"/>
            <w:vAlign w:val="bottom"/>
          </w:tcPr>
          <w:p>
            <w:pPr>
              <w:spacing w:after="0"/>
              <w:rPr>
                <w:sz w:val="13"/>
                <w:szCs w:val="13"/>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3.57</w:t>
            </w:r>
          </w:p>
        </w:tc>
        <w:tc>
          <w:tcPr>
            <w:tcW w:w="0" w:type="dxa"/>
            <w:vAlign w:val="bottom"/>
          </w:tcPr>
          <w:p>
            <w:pPr>
              <w:spacing w:after="0"/>
              <w:rPr>
                <w:sz w:val="1"/>
                <w:szCs w:val="1"/>
                <w:color w:val="auto"/>
              </w:rPr>
            </w:pPr>
          </w:p>
        </w:tc>
      </w:tr>
      <w:tr>
        <w:trPr>
          <w:trHeight w:val="207"/>
        </w:trPr>
        <w:tc>
          <w:tcPr>
            <w:tcW w:w="2300" w:type="dxa"/>
            <w:vAlign w:val="bottom"/>
            <w:gridSpan w:val="3"/>
          </w:tcPr>
          <w:p>
            <w:pPr>
              <w:ind w:left="200"/>
              <w:spacing w:after="0" w:line="207" w:lineRule="exact"/>
              <w:rPr>
                <w:sz w:val="20"/>
                <w:szCs w:val="20"/>
                <w:color w:val="auto"/>
              </w:rPr>
            </w:pPr>
            <w:r>
              <w:rPr>
                <w:rFonts w:ascii="Times New Roman" w:cs="Times New Roman" w:eastAsia="Times New Roman" w:hAnsi="Times New Roman"/>
                <w:sz w:val="16"/>
                <w:szCs w:val="16"/>
                <w:color w:val="auto"/>
              </w:rPr>
              <w:t>Lending SPV***</w:t>
            </w:r>
            <w:r>
              <w:rPr>
                <w:rFonts w:ascii="Times New Roman" w:cs="Times New Roman" w:eastAsia="Times New Roman" w:hAnsi="Times New Roman"/>
                <w:sz w:val="20"/>
                <w:szCs w:val="20"/>
                <w:color w:val="auto"/>
                <w:vertAlign w:val="superscript"/>
              </w:rPr>
              <w:t>(7)</w:t>
            </w:r>
          </w:p>
        </w:tc>
        <w:tc>
          <w:tcPr>
            <w:tcW w:w="96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2300" w:type="dxa"/>
            <w:vAlign w:val="bottom"/>
            <w:gridSpan w:val="3"/>
            <w:shd w:val="clear" w:color="auto" w:fill="CCEEFF"/>
          </w:tcPr>
          <w:p>
            <w:pPr>
              <w:ind w:left="120"/>
              <w:spacing w:after="0" w:line="155" w:lineRule="exact"/>
              <w:rPr>
                <w:sz w:val="20"/>
                <w:szCs w:val="20"/>
                <w:color w:val="auto"/>
              </w:rPr>
            </w:pPr>
            <w:r>
              <w:rPr>
                <w:rFonts w:ascii="Times New Roman" w:cs="Times New Roman" w:eastAsia="Times New Roman" w:hAnsi="Times New Roman"/>
                <w:sz w:val="16"/>
                <w:szCs w:val="16"/>
                <w:i w:val="1"/>
                <w:iCs w:val="1"/>
                <w:color w:val="auto"/>
              </w:rPr>
              <w:t>Special Purpose Acquisition</w:t>
            </w: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7"/>
        </w:trPr>
        <w:tc>
          <w:tcPr>
            <w:tcW w:w="23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i w:val="1"/>
                <w:iCs w:val="1"/>
                <w:color w:val="auto"/>
              </w:rPr>
              <w:t>Company</w:t>
            </w: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2300" w:type="dxa"/>
            <w:vAlign w:val="bottom"/>
            <w:gridSpan w:val="3"/>
          </w:tcPr>
          <w:p>
            <w:pPr>
              <w:ind w:left="200"/>
              <w:spacing w:after="0" w:line="155" w:lineRule="exact"/>
              <w:rPr>
                <w:sz w:val="20"/>
                <w:szCs w:val="20"/>
                <w:color w:val="auto"/>
              </w:rPr>
            </w:pPr>
            <w:r>
              <w:rPr>
                <w:rFonts w:ascii="Times New Roman" w:cs="Times New Roman" w:eastAsia="Times New Roman" w:hAnsi="Times New Roman"/>
                <w:sz w:val="16"/>
                <w:szCs w:val="16"/>
                <w:color w:val="auto"/>
              </w:rPr>
              <w:t>Colombier Sponsor LLC**–</w:t>
            </w:r>
          </w:p>
        </w:tc>
        <w:tc>
          <w:tcPr>
            <w:tcW w:w="9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1,976,033</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1,554,354</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vMerge w:val="restart"/>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3"/>
                <w:szCs w:val="13"/>
                <w:color w:val="auto"/>
              </w:rPr>
            </w:pPr>
          </w:p>
        </w:tc>
        <w:tc>
          <w:tcPr>
            <w:tcW w:w="820" w:type="dxa"/>
            <w:vAlign w:val="bottom"/>
            <w:gridSpan w:val="2"/>
            <w:vMerge w:val="restart"/>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3"/>
                <w:szCs w:val="13"/>
                <w:color w:val="auto"/>
              </w:rPr>
            </w:pPr>
          </w:p>
        </w:tc>
        <w:tc>
          <w:tcPr>
            <w:tcW w:w="540" w:type="dxa"/>
            <w:vAlign w:val="bottom"/>
            <w:gridSpan w:val="2"/>
            <w:vMerge w:val="restart"/>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3"/>
                <w:szCs w:val="13"/>
                <w:color w:val="auto"/>
              </w:rPr>
            </w:pPr>
          </w:p>
        </w:tc>
        <w:tc>
          <w:tcPr>
            <w:tcW w:w="820" w:type="dxa"/>
            <w:vAlign w:val="bottom"/>
            <w:gridSpan w:val="2"/>
            <w:vMerge w:val="restart"/>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3"/>
                <w:szCs w:val="13"/>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1,554,354</w:t>
            </w:r>
          </w:p>
        </w:tc>
        <w:tc>
          <w:tcPr>
            <w:tcW w:w="80" w:type="dxa"/>
            <w:vAlign w:val="bottom"/>
          </w:tcPr>
          <w:p>
            <w:pPr>
              <w:spacing w:after="0"/>
              <w:rPr>
                <w:sz w:val="13"/>
                <w:szCs w:val="13"/>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0.55</w:t>
            </w:r>
          </w:p>
        </w:tc>
        <w:tc>
          <w:tcPr>
            <w:tcW w:w="0" w:type="dxa"/>
            <w:vAlign w:val="bottom"/>
          </w:tcPr>
          <w:p>
            <w:pPr>
              <w:spacing w:after="0"/>
              <w:rPr>
                <w:sz w:val="1"/>
                <w:szCs w:val="1"/>
                <w:color w:val="auto"/>
              </w:rPr>
            </w:pPr>
          </w:p>
        </w:tc>
      </w:tr>
      <w:tr>
        <w:trPr>
          <w:trHeight w:val="207"/>
        </w:trPr>
        <w:tc>
          <w:tcPr>
            <w:tcW w:w="2300" w:type="dxa"/>
            <w:vAlign w:val="bottom"/>
            <w:gridSpan w:val="3"/>
          </w:tcPr>
          <w:p>
            <w:pPr>
              <w:ind w:left="200"/>
              <w:spacing w:after="0" w:line="207" w:lineRule="exact"/>
              <w:rPr>
                <w:sz w:val="20"/>
                <w:szCs w:val="20"/>
                <w:color w:val="auto"/>
              </w:rPr>
            </w:pPr>
            <w:r>
              <w:rPr>
                <w:rFonts w:ascii="Times New Roman" w:cs="Times New Roman" w:eastAsia="Times New Roman" w:hAnsi="Times New Roman"/>
                <w:sz w:val="16"/>
                <w:szCs w:val="16"/>
                <w:color w:val="auto"/>
              </w:rPr>
              <w:t>Class B Units</w:t>
            </w:r>
            <w:r>
              <w:rPr>
                <w:rFonts w:ascii="Times New Roman" w:cs="Times New Roman" w:eastAsia="Times New Roman" w:hAnsi="Times New Roman"/>
                <w:sz w:val="20"/>
                <w:szCs w:val="20"/>
                <w:color w:val="auto"/>
                <w:vertAlign w:val="superscript"/>
              </w:rPr>
              <w:t>(7)</w:t>
            </w:r>
          </w:p>
        </w:tc>
        <w:tc>
          <w:tcPr>
            <w:tcW w:w="96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3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Common Stock</w:t>
            </w:r>
          </w:p>
        </w:tc>
        <w:tc>
          <w:tcPr>
            <w:tcW w:w="8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840,000</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11,554,354</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11,554,354</w:t>
            </w:r>
          </w:p>
        </w:tc>
        <w:tc>
          <w:tcPr>
            <w:tcW w:w="80" w:type="dxa"/>
            <w:vAlign w:val="bottom"/>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4.12</w:t>
            </w:r>
          </w:p>
        </w:tc>
        <w:tc>
          <w:tcPr>
            <w:tcW w:w="0" w:type="dxa"/>
            <w:vAlign w:val="bottom"/>
          </w:tcPr>
          <w:p>
            <w:pPr>
              <w:spacing w:after="0"/>
              <w:rPr>
                <w:sz w:val="1"/>
                <w:szCs w:val="1"/>
                <w:color w:val="auto"/>
              </w:rPr>
            </w:pPr>
          </w:p>
        </w:tc>
      </w:tr>
      <w:tr>
        <w:trPr>
          <w:trHeight w:val="149"/>
        </w:trPr>
        <w:tc>
          <w:tcPr>
            <w:tcW w:w="2300" w:type="dxa"/>
            <w:vAlign w:val="bottom"/>
            <w:gridSpan w:val="3"/>
          </w:tcPr>
          <w:p>
            <w:pPr>
              <w:ind w:left="20"/>
              <w:spacing w:after="0" w:line="150" w:lineRule="exact"/>
              <w:rPr>
                <w:sz w:val="20"/>
                <w:szCs w:val="20"/>
                <w:color w:val="auto"/>
              </w:rPr>
            </w:pPr>
            <w:r>
              <w:rPr>
                <w:rFonts w:ascii="Times New Roman" w:cs="Times New Roman" w:eastAsia="Times New Roman" w:hAnsi="Times New Roman"/>
                <w:sz w:val="16"/>
                <w:szCs w:val="16"/>
                <w:b w:val="1"/>
                <w:bCs w:val="1"/>
                <w:color w:val="auto"/>
              </w:rPr>
              <w:t>TOTAL CONTROLLED</w:t>
            </w: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w w:val="96"/>
              </w:rPr>
              <w:t>840,000</w:t>
            </w:r>
          </w:p>
        </w:tc>
        <w:tc>
          <w:tcPr>
            <w:tcW w:w="8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w w:val="97"/>
              </w:rPr>
              <w:t>13,758,874</w:t>
            </w:r>
          </w:p>
        </w:tc>
        <w:tc>
          <w:tcPr>
            <w:tcW w:w="80" w:type="dxa"/>
            <w:vAlign w:val="bottom"/>
          </w:tcPr>
          <w:p>
            <w:pPr>
              <w:spacing w:after="0"/>
              <w:rPr>
                <w:sz w:val="12"/>
                <w:szCs w:val="12"/>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20" w:type="dxa"/>
            <w:vAlign w:val="bottom"/>
            <w:gridSpan w:val="2"/>
            <w:vMerge w:val="restart"/>
          </w:tcPr>
          <w:p>
            <w:pPr>
              <w:ind w:left="420"/>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20" w:type="dxa"/>
            <w:vAlign w:val="bottom"/>
            <w:gridSpan w:val="2"/>
            <w:vMerge w:val="restart"/>
          </w:tcPr>
          <w:p>
            <w:pPr>
              <w:ind w:left="52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40" w:type="dxa"/>
            <w:vAlign w:val="bottom"/>
            <w:gridSpan w:val="2"/>
            <w:vMerge w:val="restart"/>
          </w:tcPr>
          <w:p>
            <w:pPr>
              <w:ind w:left="240"/>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820" w:type="dxa"/>
            <w:vAlign w:val="bottom"/>
            <w:gridSpan w:val="2"/>
            <w:vMerge w:val="restart"/>
          </w:tcPr>
          <w:p>
            <w:pPr>
              <w:ind w:left="52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260,000</w:t>
            </w:r>
          </w:p>
        </w:tc>
        <w:tc>
          <w:tcPr>
            <w:tcW w:w="80" w:type="dxa"/>
            <w:vAlign w:val="bottom"/>
          </w:tcPr>
          <w:p>
            <w:pPr>
              <w:spacing w:after="0"/>
              <w:rPr>
                <w:sz w:val="12"/>
                <w:szCs w:val="12"/>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w w:val="97"/>
              </w:rPr>
              <w:t>14,018,874</w:t>
            </w:r>
          </w:p>
        </w:tc>
        <w:tc>
          <w:tcPr>
            <w:tcW w:w="8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5.00</w:t>
            </w:r>
          </w:p>
        </w:tc>
        <w:tc>
          <w:tcPr>
            <w:tcW w:w="0" w:type="dxa"/>
            <w:vAlign w:val="bottom"/>
          </w:tcPr>
          <w:p>
            <w:pPr>
              <w:spacing w:after="0"/>
              <w:rPr>
                <w:sz w:val="1"/>
                <w:szCs w:val="1"/>
                <w:color w:val="auto"/>
              </w:rPr>
            </w:pPr>
          </w:p>
        </w:tc>
      </w:tr>
      <w:tr>
        <w:trPr>
          <w:trHeight w:val="268"/>
        </w:trPr>
        <w:tc>
          <w:tcPr>
            <w:tcW w:w="230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INVESTMENTS*</w:t>
            </w:r>
            <w:r>
              <w:rPr>
                <w:rFonts w:ascii="Times New Roman" w:cs="Times New Roman" w:eastAsia="Times New Roman" w:hAnsi="Times New Roman"/>
                <w:sz w:val="20"/>
                <w:szCs w:val="20"/>
                <w:b w:val="1"/>
                <w:bCs w:val="1"/>
                <w:color w:val="auto"/>
                <w:vertAlign w:val="superscript"/>
              </w:rPr>
              <w:t>(2)</w:t>
            </w:r>
          </w:p>
        </w:tc>
        <w:tc>
          <w:tcPr>
            <w:tcW w:w="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vMerge w:val="continue"/>
          </w:tcPr>
          <w:p>
            <w:pPr>
              <w:spacing w:after="0"/>
              <w:rPr>
                <w:sz w:val="23"/>
                <w:szCs w:val="23"/>
                <w:color w:val="auto"/>
              </w:rPr>
            </w:pPr>
          </w:p>
        </w:tc>
        <w:tc>
          <w:tcPr>
            <w:tcW w:w="580" w:type="dxa"/>
            <w:vAlign w:val="bottom"/>
            <w:vMerge w:val="continue"/>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vMerge w:val="continue"/>
          </w:tcPr>
          <w:p>
            <w:pPr>
              <w:spacing w:after="0"/>
              <w:rPr>
                <w:sz w:val="23"/>
                <w:szCs w:val="23"/>
                <w:color w:val="auto"/>
              </w:rPr>
            </w:pPr>
          </w:p>
        </w:tc>
        <w:tc>
          <w:tcPr>
            <w:tcW w:w="780" w:type="dxa"/>
            <w:vAlign w:val="bottom"/>
            <w:vMerge w:val="continue"/>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vMerge w:val="continue"/>
          </w:tcPr>
          <w:p>
            <w:pPr>
              <w:spacing w:after="0"/>
              <w:rPr>
                <w:sz w:val="23"/>
                <w:szCs w:val="23"/>
                <w:color w:val="auto"/>
              </w:rPr>
            </w:pPr>
          </w:p>
        </w:tc>
        <w:tc>
          <w:tcPr>
            <w:tcW w:w="720" w:type="dxa"/>
            <w:vAlign w:val="bottom"/>
            <w:gridSpan w:val="2"/>
            <w:vMerge w:val="continue"/>
          </w:tcPr>
          <w:p>
            <w:pPr>
              <w:spacing w:after="0"/>
              <w:rPr>
                <w:sz w:val="23"/>
                <w:szCs w:val="23"/>
                <w:color w:val="auto"/>
              </w:rPr>
            </w:pPr>
          </w:p>
        </w:tc>
        <w:tc>
          <w:tcPr>
            <w:tcW w:w="80" w:type="dxa"/>
            <w:vAlign w:val="bottom"/>
            <w:vMerge w:val="continue"/>
          </w:tcPr>
          <w:p>
            <w:pPr>
              <w:spacing w:after="0"/>
              <w:rPr>
                <w:sz w:val="23"/>
                <w:szCs w:val="23"/>
                <w:color w:val="auto"/>
              </w:rPr>
            </w:pPr>
          </w:p>
        </w:tc>
        <w:tc>
          <w:tcPr>
            <w:tcW w:w="820" w:type="dxa"/>
            <w:vAlign w:val="bottom"/>
            <w:gridSpan w:val="2"/>
            <w:vMerge w:val="continue"/>
          </w:tcPr>
          <w:p>
            <w:pPr>
              <w:spacing w:after="0"/>
              <w:rPr>
                <w:sz w:val="23"/>
                <w:szCs w:val="23"/>
                <w:color w:val="auto"/>
              </w:rPr>
            </w:pPr>
          </w:p>
        </w:tc>
        <w:tc>
          <w:tcPr>
            <w:tcW w:w="120" w:type="dxa"/>
            <w:vAlign w:val="bottom"/>
            <w:vMerge w:val="continue"/>
          </w:tcPr>
          <w:p>
            <w:pPr>
              <w:spacing w:after="0"/>
              <w:rPr>
                <w:sz w:val="23"/>
                <w:szCs w:val="23"/>
                <w:color w:val="auto"/>
              </w:rPr>
            </w:pPr>
          </w:p>
        </w:tc>
        <w:tc>
          <w:tcPr>
            <w:tcW w:w="540" w:type="dxa"/>
            <w:vAlign w:val="bottom"/>
            <w:gridSpan w:val="2"/>
            <w:vMerge w:val="continue"/>
          </w:tcPr>
          <w:p>
            <w:pPr>
              <w:spacing w:after="0"/>
              <w:rPr>
                <w:sz w:val="23"/>
                <w:szCs w:val="23"/>
                <w:color w:val="auto"/>
              </w:rPr>
            </w:pPr>
          </w:p>
        </w:tc>
        <w:tc>
          <w:tcPr>
            <w:tcW w:w="140" w:type="dxa"/>
            <w:vAlign w:val="bottom"/>
            <w:vMerge w:val="continue"/>
          </w:tcPr>
          <w:p>
            <w:pPr>
              <w:spacing w:after="0"/>
              <w:rPr>
                <w:sz w:val="23"/>
                <w:szCs w:val="23"/>
                <w:color w:val="auto"/>
              </w:rPr>
            </w:pPr>
          </w:p>
        </w:tc>
        <w:tc>
          <w:tcPr>
            <w:tcW w:w="820" w:type="dxa"/>
            <w:vAlign w:val="bottom"/>
            <w:gridSpan w:val="2"/>
            <w:vMerge w:val="continue"/>
          </w:tcPr>
          <w:p>
            <w:pPr>
              <w:spacing w:after="0"/>
              <w:rPr>
                <w:sz w:val="23"/>
                <w:szCs w:val="23"/>
                <w:color w:val="auto"/>
              </w:rPr>
            </w:pPr>
          </w:p>
        </w:tc>
        <w:tc>
          <w:tcPr>
            <w:tcW w:w="120" w:type="dxa"/>
            <w:vAlign w:val="bottom"/>
            <w:vMerge w:val="continue"/>
          </w:tcPr>
          <w:p>
            <w:pPr>
              <w:spacing w:after="0"/>
              <w:rPr>
                <w:sz w:val="23"/>
                <w:szCs w:val="23"/>
                <w:color w:val="auto"/>
              </w:rPr>
            </w:pPr>
          </w:p>
        </w:tc>
        <w:tc>
          <w:tcPr>
            <w:tcW w:w="780" w:type="dxa"/>
            <w:vAlign w:val="bottom"/>
            <w:vMerge w:val="continue"/>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vMerge w:val="continue"/>
          </w:tcPr>
          <w:p>
            <w:pPr>
              <w:spacing w:after="0"/>
              <w:rPr>
                <w:sz w:val="23"/>
                <w:szCs w:val="23"/>
                <w:color w:val="auto"/>
              </w:rPr>
            </w:pPr>
          </w:p>
        </w:tc>
        <w:tc>
          <w:tcPr>
            <w:tcW w:w="780" w:type="dxa"/>
            <w:vAlign w:val="bottom"/>
            <w:vMerge w:val="continue"/>
          </w:tcPr>
          <w:p>
            <w:pPr>
              <w:spacing w:after="0"/>
              <w:rPr>
                <w:sz w:val="23"/>
                <w:szCs w:val="23"/>
                <w:color w:val="auto"/>
              </w:rPr>
            </w:pPr>
          </w:p>
        </w:tc>
        <w:tc>
          <w:tcPr>
            <w:tcW w:w="80" w:type="dxa"/>
            <w:vAlign w:val="bottom"/>
          </w:tcPr>
          <w:p>
            <w:pPr>
              <w:spacing w:after="0"/>
              <w:rPr>
                <w:sz w:val="23"/>
                <w:szCs w:val="23"/>
                <w:color w:val="auto"/>
              </w:rPr>
            </w:pPr>
          </w:p>
        </w:tc>
        <w:tc>
          <w:tcPr>
            <w:tcW w:w="62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8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34</w:t>
      </w:r>
    </w:p>
    <w:p>
      <w:pPr>
        <w:sectPr>
          <w:pgSz w:w="11900" w:h="16838" w:orient="portrait"/>
          <w:cols w:equalWidth="0" w:num="1">
            <w:col w:w="11340"/>
          </w:cols>
          <w:pgMar w:left="320" w:top="118" w:right="2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SURO CAPITAL CORP. AND SUBSIDIARIES</w:t>
      </w:r>
    </w:p>
    <w:p>
      <w:pPr>
        <w:spacing w:after="0" w:line="24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3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June 30, 2022</w:t>
      </w:r>
    </w:p>
    <w:p>
      <w:pPr>
        <w:spacing w:after="0" w:line="227" w:lineRule="exact"/>
        <w:rPr>
          <w:sz w:val="20"/>
          <w:szCs w:val="20"/>
          <w:color w:val="auto"/>
        </w:rPr>
      </w:pPr>
    </w:p>
    <w:tbl>
      <w:tblPr>
        <w:tblLayout w:type="fixed"/>
        <w:tblInd w:w="360" w:type="dxa"/>
        <w:tblCellMar>
          <w:top w:w="0" w:type="dxa"/>
          <w:left w:w="0" w:type="dxa"/>
          <w:bottom w:w="0" w:type="dxa"/>
          <w:right w:w="0" w:type="dxa"/>
        </w:tblCellMar>
      </w:tblPr>
      <w:tr>
        <w:trPr>
          <w:trHeight w:val="161"/>
        </w:trPr>
        <w:tc>
          <w:tcPr>
            <w:tcW w:w="11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5"/>
              </w:rPr>
              <w:t>Interest,</w:t>
            </w: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Purchases,</w:t>
            </w: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11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center"/>
              <w:ind w:right="160"/>
              <w:spacing w:after="0" w:line="141" w:lineRule="exact"/>
              <w:rPr>
                <w:sz w:val="20"/>
                <w:szCs w:val="20"/>
                <w:color w:val="auto"/>
              </w:rPr>
            </w:pPr>
            <w:r>
              <w:rPr>
                <w:rFonts w:ascii="Times New Roman" w:cs="Times New Roman" w:eastAsia="Times New Roman" w:hAnsi="Times New Roman"/>
                <w:sz w:val="14"/>
                <w:szCs w:val="14"/>
                <w:b w:val="1"/>
                <w:bCs w:val="1"/>
                <w:color w:val="auto"/>
                <w:w w:val="98"/>
              </w:rPr>
              <w:t>Fees, or</w:t>
            </w:r>
          </w:p>
        </w:tc>
        <w:tc>
          <w:tcPr>
            <w:tcW w:w="9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5"/>
              </w:rPr>
              <w:t>Fair Value at</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gridSpan w:val="3"/>
          </w:tcPr>
          <w:p>
            <w:pPr>
              <w:jc w:val="center"/>
              <w:ind w:right="80"/>
              <w:spacing w:after="0" w:line="141" w:lineRule="exact"/>
              <w:rPr>
                <w:sz w:val="20"/>
                <w:szCs w:val="20"/>
                <w:color w:val="auto"/>
              </w:rPr>
            </w:pPr>
            <w:r>
              <w:rPr>
                <w:rFonts w:ascii="Times New Roman" w:cs="Times New Roman" w:eastAsia="Times New Roman" w:hAnsi="Times New Roman"/>
                <w:sz w:val="14"/>
                <w:szCs w:val="14"/>
                <w:b w:val="1"/>
                <w:bCs w:val="1"/>
                <w:color w:val="auto"/>
                <w:w w:val="99"/>
              </w:rPr>
              <w:t>Capitalized</w:t>
            </w: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Percenta</w:t>
            </w:r>
          </w:p>
        </w:tc>
        <w:tc>
          <w:tcPr>
            <w:tcW w:w="0" w:type="dxa"/>
            <w:vAlign w:val="bottom"/>
          </w:tcPr>
          <w:p>
            <w:pPr>
              <w:spacing w:after="0"/>
              <w:rPr>
                <w:sz w:val="1"/>
                <w:szCs w:val="1"/>
                <w:color w:val="auto"/>
              </w:rPr>
            </w:pPr>
          </w:p>
        </w:tc>
      </w:tr>
      <w:tr>
        <w:trPr>
          <w:trHeight w:val="131"/>
        </w:trPr>
        <w:tc>
          <w:tcPr>
            <w:tcW w:w="256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Type/Industry/Portfolio</w:t>
            </w:r>
          </w:p>
        </w:tc>
        <w:tc>
          <w:tcPr>
            <w:tcW w:w="92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8"/>
              </w:rPr>
              <w:t>Principal/</w:t>
            </w:r>
          </w:p>
        </w:tc>
        <w:tc>
          <w:tcPr>
            <w:tcW w:w="760" w:type="dxa"/>
            <w:vAlign w:val="bottom"/>
            <w:gridSpan w:val="3"/>
          </w:tcPr>
          <w:p>
            <w:pPr>
              <w:jc w:val="center"/>
              <w:ind w:right="80"/>
              <w:spacing w:after="0" w:line="131" w:lineRule="exact"/>
              <w:rPr>
                <w:sz w:val="20"/>
                <w:szCs w:val="20"/>
                <w:color w:val="auto"/>
              </w:rPr>
            </w:pPr>
            <w:r>
              <w:rPr>
                <w:rFonts w:ascii="Times New Roman" w:cs="Times New Roman" w:eastAsia="Times New Roman" w:hAnsi="Times New Roman"/>
                <w:sz w:val="14"/>
                <w:szCs w:val="14"/>
                <w:b w:val="1"/>
                <w:bCs w:val="1"/>
                <w:color w:val="auto"/>
              </w:rPr>
              <w:t>Dividends</w:t>
            </w:r>
          </w:p>
        </w:tc>
        <w:tc>
          <w:tcPr>
            <w:tcW w:w="9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Transfer</w:t>
            </w:r>
          </w:p>
        </w:tc>
        <w:tc>
          <w:tcPr>
            <w:tcW w:w="100" w:type="dxa"/>
            <w:vAlign w:val="bottom"/>
          </w:tcPr>
          <w:p>
            <w:pPr>
              <w:spacing w:after="0"/>
              <w:rPr>
                <w:sz w:val="11"/>
                <w:szCs w:val="11"/>
                <w:color w:val="auto"/>
              </w:rPr>
            </w:pPr>
          </w:p>
        </w:tc>
        <w:tc>
          <w:tcPr>
            <w:tcW w:w="820" w:type="dxa"/>
            <w:vAlign w:val="bottom"/>
            <w:gridSpan w:val="2"/>
          </w:tcPr>
          <w:p>
            <w:pPr>
              <w:jc w:val="center"/>
              <w:ind w:right="160"/>
              <w:spacing w:after="0" w:line="131" w:lineRule="exact"/>
              <w:rPr>
                <w:sz w:val="20"/>
                <w:szCs w:val="20"/>
                <w:color w:val="auto"/>
              </w:rPr>
            </w:pPr>
            <w:r>
              <w:rPr>
                <w:rFonts w:ascii="Times New Roman" w:cs="Times New Roman" w:eastAsia="Times New Roman" w:hAnsi="Times New Roman"/>
                <w:sz w:val="14"/>
                <w:szCs w:val="14"/>
                <w:b w:val="1"/>
                <w:bCs w:val="1"/>
                <w:color w:val="auto"/>
              </w:rPr>
              <w:t>Fees,</w:t>
            </w: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Realized</w:t>
            </w:r>
          </w:p>
        </w:tc>
        <w:tc>
          <w:tcPr>
            <w:tcW w:w="100" w:type="dxa"/>
            <w:vAlign w:val="bottom"/>
          </w:tcPr>
          <w:p>
            <w:pPr>
              <w:spacing w:after="0"/>
              <w:rPr>
                <w:sz w:val="11"/>
                <w:szCs w:val="11"/>
                <w:color w:val="auto"/>
              </w:rPr>
            </w:pPr>
          </w:p>
        </w:tc>
        <w:tc>
          <w:tcPr>
            <w:tcW w:w="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9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Fair Value at</w:t>
            </w:r>
          </w:p>
        </w:tc>
        <w:tc>
          <w:tcPr>
            <w:tcW w:w="5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560" w:type="dxa"/>
            <w:vAlign w:val="bottom"/>
            <w:gridSpan w:val="4"/>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760" w:type="dxa"/>
            <w:vAlign w:val="bottom"/>
            <w:gridSpan w:val="3"/>
          </w:tcPr>
          <w:p>
            <w:pPr>
              <w:jc w:val="center"/>
              <w:ind w:right="80"/>
              <w:spacing w:after="0" w:line="141" w:lineRule="exact"/>
              <w:rPr>
                <w:sz w:val="20"/>
                <w:szCs w:val="20"/>
                <w:color w:val="auto"/>
              </w:rPr>
            </w:pPr>
            <w:r>
              <w:rPr>
                <w:rFonts w:ascii="Times New Roman" w:cs="Times New Roman" w:eastAsia="Times New Roman" w:hAnsi="Times New Roman"/>
                <w:sz w:val="14"/>
                <w:szCs w:val="14"/>
                <w:b w:val="1"/>
                <w:bCs w:val="1"/>
                <w:color w:val="auto"/>
                <w:w w:val="98"/>
              </w:rPr>
              <w:t>Credited</w:t>
            </w:r>
          </w:p>
        </w:tc>
        <w:tc>
          <w:tcPr>
            <w:tcW w:w="920" w:type="dxa"/>
            <w:vAlign w:val="bottom"/>
            <w:gridSpan w:val="2"/>
          </w:tcPr>
          <w:p>
            <w:pPr>
              <w:jc w:val="center"/>
              <w:ind w:right="80"/>
              <w:spacing w:after="0" w:line="141" w:lineRule="exact"/>
              <w:rPr>
                <w:sz w:val="20"/>
                <w:szCs w:val="20"/>
                <w:color w:val="auto"/>
              </w:rPr>
            </w:pPr>
            <w:r>
              <w:rPr>
                <w:rFonts w:ascii="Times New Roman" w:cs="Times New Roman" w:eastAsia="Times New Roman" w:hAnsi="Times New Roman"/>
                <w:sz w:val="14"/>
                <w:szCs w:val="14"/>
                <w:b w:val="1"/>
                <w:bCs w:val="1"/>
                <w:color w:val="auto"/>
                <w:w w:val="97"/>
              </w:rPr>
              <w:t>December 31,</w:t>
            </w:r>
          </w:p>
        </w:tc>
        <w:tc>
          <w:tcPr>
            <w:tcW w:w="10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920" w:type="dxa"/>
            <w:vAlign w:val="bottom"/>
            <w:gridSpan w:val="3"/>
          </w:tcPr>
          <w:p>
            <w:pPr>
              <w:jc w:val="center"/>
              <w:ind w:right="80"/>
              <w:spacing w:after="0" w:line="141" w:lineRule="exact"/>
              <w:rPr>
                <w:sz w:val="20"/>
                <w:szCs w:val="20"/>
                <w:color w:val="auto"/>
              </w:rPr>
            </w:pPr>
            <w:r>
              <w:rPr>
                <w:rFonts w:ascii="Times New Roman" w:cs="Times New Roman" w:eastAsia="Times New Roman" w:hAnsi="Times New Roman"/>
                <w:sz w:val="14"/>
                <w:szCs w:val="14"/>
                <w:b w:val="1"/>
                <w:bCs w:val="1"/>
                <w:color w:val="auto"/>
                <w:w w:val="98"/>
              </w:rPr>
              <w:t>Interest and</w:t>
            </w:r>
          </w:p>
        </w:tc>
        <w:tc>
          <w:tcPr>
            <w:tcW w:w="6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Sales</w:t>
            </w:r>
          </w:p>
        </w:tc>
        <w:tc>
          <w:tcPr>
            <w:tcW w:w="14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58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b w:val="1"/>
                <w:bCs w:val="1"/>
                <w:color w:val="auto"/>
              </w:rPr>
              <w:t>of Net</w:t>
            </w:r>
          </w:p>
        </w:tc>
        <w:tc>
          <w:tcPr>
            <w:tcW w:w="0" w:type="dxa"/>
            <w:vAlign w:val="bottom"/>
          </w:tcPr>
          <w:p>
            <w:pPr>
              <w:spacing w:after="0"/>
              <w:rPr>
                <w:sz w:val="1"/>
                <w:szCs w:val="1"/>
                <w:color w:val="auto"/>
              </w:rPr>
            </w:pPr>
          </w:p>
        </w:tc>
      </w:tr>
      <w:tr>
        <w:trPr>
          <w:trHeight w:val="189"/>
        </w:trPr>
        <w:tc>
          <w:tcPr>
            <w:tcW w:w="256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Company/Investment</w:t>
            </w:r>
          </w:p>
        </w:tc>
        <w:tc>
          <w:tcPr>
            <w:tcW w:w="92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Quantity</w:t>
            </w:r>
          </w:p>
        </w:tc>
        <w:tc>
          <w:tcPr>
            <w:tcW w:w="76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in Income</w:t>
            </w: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(Out)</w:t>
            </w:r>
          </w:p>
        </w:tc>
        <w:tc>
          <w:tcPr>
            <w:tcW w:w="92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Amortization</w:t>
            </w:r>
          </w:p>
        </w:tc>
        <w:tc>
          <w:tcPr>
            <w:tcW w:w="640" w:type="dxa"/>
            <w:vAlign w:val="bottom"/>
            <w:gridSpan w:val="2"/>
            <w:vMerge w:val="continue"/>
          </w:tcPr>
          <w:p>
            <w:pPr>
              <w:spacing w:after="0"/>
              <w:rPr>
                <w:sz w:val="16"/>
                <w:szCs w:val="16"/>
                <w:color w:val="auto"/>
              </w:rPr>
            </w:pPr>
          </w:p>
        </w:tc>
        <w:tc>
          <w:tcPr>
            <w:tcW w:w="9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Gains/(Losses)</w:t>
            </w:r>
          </w:p>
        </w:tc>
        <w:tc>
          <w:tcPr>
            <w:tcW w:w="9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Gains/(Losses)</w:t>
            </w:r>
          </w:p>
        </w:tc>
        <w:tc>
          <w:tcPr>
            <w:tcW w:w="9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0" w:type="dxa"/>
            <w:vAlign w:val="bottom"/>
          </w:tcPr>
          <w:p>
            <w:pPr>
              <w:spacing w:after="0"/>
              <w:rPr>
                <w:sz w:val="1"/>
                <w:szCs w:val="1"/>
                <w:color w:val="auto"/>
              </w:rPr>
            </w:pPr>
          </w:p>
        </w:tc>
      </w:tr>
      <w:tr>
        <w:trPr>
          <w:trHeight w:val="166"/>
        </w:trPr>
        <w:tc>
          <w:tcPr>
            <w:tcW w:w="2480" w:type="dxa"/>
            <w:vAlign w:val="bottom"/>
            <w:tcBorders>
              <w:top w:val="single" w:sz="8" w:color="auto"/>
            </w:tcBorders>
            <w:gridSpan w:val="3"/>
            <w:shd w:val="clear" w:color="auto" w:fill="CCEEFF"/>
          </w:tcPr>
          <w:p>
            <w:pPr>
              <w:ind w:left="20"/>
              <w:spacing w:after="0" w:line="166" w:lineRule="exact"/>
              <w:rPr>
                <w:sz w:val="20"/>
                <w:szCs w:val="20"/>
                <w:color w:val="auto"/>
              </w:rPr>
            </w:pPr>
            <w:r>
              <w:rPr>
                <w:rFonts w:ascii="Times New Roman" w:cs="Times New Roman" w:eastAsia="Times New Roman" w:hAnsi="Times New Roman"/>
                <w:sz w:val="16"/>
                <w:szCs w:val="16"/>
                <w:b w:val="1"/>
                <w:bCs w:val="1"/>
                <w:color w:val="auto"/>
                <w:w w:val="99"/>
              </w:rPr>
              <w:t>NON-CONTROLLED/AFFILIATE</w:t>
            </w:r>
          </w:p>
        </w:tc>
        <w:tc>
          <w:tcPr>
            <w:tcW w:w="80" w:type="dxa"/>
            <w:vAlign w:val="bottom"/>
            <w:tcBorders>
              <w:top w:val="single" w:sz="8" w:color="CCEEFF"/>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380" w:type="dxa"/>
            <w:vAlign w:val="bottom"/>
            <w:tcBorders>
              <w:top w:val="single" w:sz="8" w:color="auto"/>
            </w:tcBorders>
            <w:gridSpan w:val="2"/>
            <w:shd w:val="clear" w:color="auto" w:fill="CCEEFF"/>
          </w:tcPr>
          <w:p>
            <w:pPr>
              <w:ind w:left="20"/>
              <w:spacing w:after="0" w:line="136" w:lineRule="exact"/>
              <w:rPr>
                <w:sz w:val="20"/>
                <w:szCs w:val="20"/>
                <w:color w:val="auto"/>
              </w:rPr>
            </w:pPr>
            <w:r>
              <w:rPr>
                <w:rFonts w:ascii="Times New Roman" w:cs="Times New Roman" w:eastAsia="Times New Roman" w:hAnsi="Times New Roman"/>
                <w:sz w:val="12"/>
                <w:szCs w:val="12"/>
                <w:b w:val="1"/>
                <w:bCs w:val="1"/>
                <w:color w:val="auto"/>
              </w:rPr>
              <w:t>INVESTMENTS*</w:t>
            </w:r>
            <w:r>
              <w:rPr>
                <w:rFonts w:ascii="Times New Roman" w:cs="Times New Roman" w:eastAsia="Times New Roman" w:hAnsi="Times New Roman"/>
                <w:sz w:val="15"/>
                <w:szCs w:val="15"/>
                <w:b w:val="1"/>
                <w:bCs w:val="1"/>
                <w:color w:val="auto"/>
                <w:vertAlign w:val="superscript"/>
              </w:rPr>
              <w:t>(1)</w:t>
            </w:r>
          </w:p>
        </w:tc>
        <w:tc>
          <w:tcPr>
            <w:tcW w:w="180" w:type="dxa"/>
            <w:vAlign w:val="bottom"/>
            <w:tcBorders>
              <w:top w:val="single" w:sz="8" w:color="CCEEFF"/>
            </w:tcBorders>
            <w:gridSpan w:val="2"/>
            <w:shd w:val="clear" w:color="auto" w:fill="CCEEFF"/>
          </w:tcPr>
          <w:p>
            <w:pPr>
              <w:spacing w:after="0"/>
              <w:rPr>
                <w:sz w:val="11"/>
                <w:szCs w:val="11"/>
                <w:color w:val="auto"/>
              </w:rPr>
            </w:pPr>
          </w:p>
        </w:tc>
        <w:tc>
          <w:tcPr>
            <w:tcW w:w="8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7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39"/>
        </w:trPr>
        <w:tc>
          <w:tcPr>
            <w:tcW w:w="1140" w:type="dxa"/>
            <w:vAlign w:val="bottom"/>
            <w:shd w:val="clear" w:color="auto" w:fill="000000"/>
          </w:tcPr>
          <w:p>
            <w:pPr>
              <w:spacing w:after="0"/>
              <w:rPr>
                <w:sz w:val="3"/>
                <w:szCs w:val="3"/>
                <w:color w:val="auto"/>
              </w:rPr>
            </w:pPr>
          </w:p>
        </w:tc>
        <w:tc>
          <w:tcPr>
            <w:tcW w:w="12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6"/>
        </w:trPr>
        <w:tc>
          <w:tcPr>
            <w:tcW w:w="2560" w:type="dxa"/>
            <w:vAlign w:val="bottom"/>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Debt Investments</w:t>
            </w: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5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6"/>
                <w:szCs w:val="16"/>
                <w:i w:val="1"/>
                <w:iCs w:val="1"/>
                <w:color w:val="auto"/>
              </w:rPr>
              <w:t>Global Innovation Platform</w:t>
            </w: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560" w:type="dxa"/>
            <w:vAlign w:val="bottom"/>
            <w:gridSpan w:val="4"/>
          </w:tcPr>
          <w:p>
            <w:pPr>
              <w:ind w:left="200"/>
              <w:spacing w:after="0" w:line="155" w:lineRule="exact"/>
              <w:rPr>
                <w:sz w:val="20"/>
                <w:szCs w:val="20"/>
                <w:color w:val="auto"/>
              </w:rPr>
            </w:pPr>
            <w:r>
              <w:rPr>
                <w:rFonts w:ascii="Times New Roman" w:cs="Times New Roman" w:eastAsia="Times New Roman" w:hAnsi="Times New Roman"/>
                <w:sz w:val="16"/>
                <w:szCs w:val="16"/>
                <w:color w:val="auto"/>
              </w:rPr>
              <w:t>OneValley, Inc. (f/k/a NestGSV,</w:t>
            </w: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560" w:type="dxa"/>
            <w:vAlign w:val="bottom"/>
            <w:gridSpan w:val="4"/>
          </w:tcPr>
          <w:p>
            <w:pPr>
              <w:ind w:left="200"/>
              <w:spacing w:after="0" w:line="155" w:lineRule="exact"/>
              <w:rPr>
                <w:sz w:val="20"/>
                <w:szCs w:val="20"/>
                <w:color w:val="auto"/>
              </w:rPr>
            </w:pPr>
            <w:r>
              <w:rPr>
                <w:rFonts w:ascii="Times New Roman" w:cs="Times New Roman" w:eastAsia="Times New Roman" w:hAnsi="Times New Roman"/>
                <w:sz w:val="16"/>
                <w:szCs w:val="16"/>
                <w:color w:val="auto"/>
              </w:rPr>
              <w:t>Inc.) –Convertible Promissory Note</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$ 1,010,198</w:t>
            </w:r>
          </w:p>
        </w:tc>
        <w:tc>
          <w:tcPr>
            <w:tcW w:w="80" w:type="dxa"/>
            <w:vAlign w:val="bottom"/>
          </w:tcPr>
          <w:p>
            <w:pPr>
              <w:spacing w:after="0"/>
              <w:rPr>
                <w:sz w:val="13"/>
                <w:szCs w:val="13"/>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gridSpan w:val="2"/>
            <w:vMerge w:val="restart"/>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   505,099</w:t>
            </w:r>
          </w:p>
        </w:tc>
        <w:tc>
          <w:tcPr>
            <w:tcW w:w="80" w:type="dxa"/>
            <w:vAlign w:val="bottom"/>
          </w:tcPr>
          <w:p>
            <w:pPr>
              <w:spacing w:after="0"/>
              <w:rPr>
                <w:sz w:val="13"/>
                <w:szCs w:val="13"/>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gridSpan w:val="2"/>
            <w:vMerge w:val="restart"/>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gridSpan w:val="2"/>
            <w:vMerge w:val="restart"/>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   —</w:t>
            </w:r>
          </w:p>
        </w:tc>
        <w:tc>
          <w:tcPr>
            <w:tcW w:w="14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vMerge w:val="restart"/>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gridSpan w:val="2"/>
            <w:vMerge w:val="restart"/>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   505,099</w:t>
            </w:r>
          </w:p>
        </w:tc>
        <w:tc>
          <w:tcPr>
            <w:tcW w:w="80" w:type="dxa"/>
            <w:vAlign w:val="bottom"/>
          </w:tcPr>
          <w:p>
            <w:pPr>
              <w:spacing w:after="0"/>
              <w:rPr>
                <w:sz w:val="13"/>
                <w:szCs w:val="13"/>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207"/>
        </w:trPr>
        <w:tc>
          <w:tcPr>
            <w:tcW w:w="2560" w:type="dxa"/>
            <w:vAlign w:val="bottom"/>
            <w:gridSpan w:val="4"/>
          </w:tcPr>
          <w:p>
            <w:pPr>
              <w:ind w:left="200"/>
              <w:spacing w:after="0" w:line="207" w:lineRule="exact"/>
              <w:rPr>
                <w:sz w:val="20"/>
                <w:szCs w:val="20"/>
                <w:color w:val="auto"/>
              </w:rPr>
            </w:pPr>
            <w:r>
              <w:rPr>
                <w:rFonts w:ascii="Times New Roman" w:cs="Times New Roman" w:eastAsia="Times New Roman" w:hAnsi="Times New Roman"/>
                <w:sz w:val="16"/>
                <w:szCs w:val="16"/>
                <w:color w:val="auto"/>
              </w:rPr>
              <w:t>8%, Due 8/23/2024</w:t>
            </w:r>
            <w:r>
              <w:rPr>
                <w:rFonts w:ascii="Times New Roman" w:cs="Times New Roman" w:eastAsia="Times New Roman" w:hAnsi="Times New Roman"/>
                <w:sz w:val="20"/>
                <w:szCs w:val="20"/>
                <w:color w:val="auto"/>
                <w:vertAlign w:val="superscript"/>
              </w:rPr>
              <w:t>(3)(6)</w:t>
            </w:r>
          </w:p>
        </w:tc>
        <w:tc>
          <w:tcPr>
            <w:tcW w:w="8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vMerge w:val="continue"/>
          </w:tcPr>
          <w:p>
            <w:pPr>
              <w:spacing w:after="0"/>
              <w:rPr>
                <w:sz w:val="17"/>
                <w:szCs w:val="17"/>
                <w:color w:val="auto"/>
              </w:rPr>
            </w:pPr>
          </w:p>
        </w:tc>
        <w:tc>
          <w:tcPr>
            <w:tcW w:w="660" w:type="dxa"/>
            <w:vAlign w:val="bottom"/>
            <w:gridSpan w:val="2"/>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vMerge w:val="continue"/>
          </w:tcPr>
          <w:p>
            <w:pPr>
              <w:spacing w:after="0"/>
              <w:rPr>
                <w:sz w:val="17"/>
                <w:szCs w:val="17"/>
                <w:color w:val="auto"/>
              </w:rPr>
            </w:pPr>
          </w:p>
        </w:tc>
        <w:tc>
          <w:tcPr>
            <w:tcW w:w="700" w:type="dxa"/>
            <w:vAlign w:val="bottom"/>
            <w:gridSpan w:val="2"/>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640" w:type="dxa"/>
            <w:vAlign w:val="bottom"/>
            <w:gridSpan w:val="2"/>
            <w:vMerge w:val="continue"/>
          </w:tcPr>
          <w:p>
            <w:pPr>
              <w:spacing w:after="0"/>
              <w:rPr>
                <w:sz w:val="17"/>
                <w:szCs w:val="17"/>
                <w:color w:val="auto"/>
              </w:rPr>
            </w:pPr>
          </w:p>
        </w:tc>
        <w:tc>
          <w:tcPr>
            <w:tcW w:w="140" w:type="dxa"/>
            <w:vAlign w:val="bottom"/>
            <w:vMerge w:val="continue"/>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5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Debt Investments</w:t>
            </w: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505,099</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505,099</w:t>
            </w: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206"/>
        </w:trPr>
        <w:tc>
          <w:tcPr>
            <w:tcW w:w="2560" w:type="dxa"/>
            <w:vAlign w:val="bottom"/>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Preferred Stock</w:t>
            </w: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5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6"/>
                <w:szCs w:val="16"/>
                <w:i w:val="1"/>
                <w:iCs w:val="1"/>
                <w:color w:val="auto"/>
              </w:rPr>
              <w:t>Knowledge Networks</w:t>
            </w: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560" w:type="dxa"/>
            <w:vAlign w:val="bottom"/>
            <w:gridSpan w:val="4"/>
          </w:tcPr>
          <w:p>
            <w:pPr>
              <w:ind w:left="200"/>
              <w:spacing w:after="0" w:line="155" w:lineRule="exact"/>
              <w:rPr>
                <w:sz w:val="20"/>
                <w:szCs w:val="20"/>
                <w:color w:val="auto"/>
              </w:rPr>
            </w:pPr>
            <w:r>
              <w:rPr>
                <w:rFonts w:ascii="Times New Roman" w:cs="Times New Roman" w:eastAsia="Times New Roman" w:hAnsi="Times New Roman"/>
                <w:sz w:val="16"/>
                <w:szCs w:val="16"/>
                <w:color w:val="auto"/>
              </w:rPr>
              <w:t>Maven Research, Inc.–Preferred</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318,979</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2"/>
            <w:vMerge w:val="restart"/>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3"/>
                <w:szCs w:val="13"/>
                <w:color w:val="auto"/>
              </w:rPr>
            </w:pPr>
          </w:p>
        </w:tc>
        <w:tc>
          <w:tcPr>
            <w:tcW w:w="700" w:type="dxa"/>
            <w:vAlign w:val="bottom"/>
            <w:gridSpan w:val="2"/>
            <w:vMerge w:val="restart"/>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3"/>
                <w:szCs w:val="13"/>
                <w:color w:val="auto"/>
              </w:rPr>
            </w:pPr>
          </w:p>
        </w:tc>
        <w:tc>
          <w:tcPr>
            <w:tcW w:w="820" w:type="dxa"/>
            <w:vAlign w:val="bottom"/>
            <w:gridSpan w:val="2"/>
            <w:vMerge w:val="restart"/>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3"/>
                <w:szCs w:val="13"/>
                <w:color w:val="auto"/>
              </w:rPr>
            </w:pPr>
          </w:p>
        </w:tc>
        <w:tc>
          <w:tcPr>
            <w:tcW w:w="840" w:type="dxa"/>
            <w:vAlign w:val="bottom"/>
            <w:gridSpan w:val="2"/>
            <w:vMerge w:val="restart"/>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3"/>
                <w:szCs w:val="13"/>
                <w:color w:val="auto"/>
              </w:rPr>
            </w:pPr>
          </w:p>
        </w:tc>
        <w:tc>
          <w:tcPr>
            <w:tcW w:w="860" w:type="dxa"/>
            <w:vAlign w:val="bottom"/>
            <w:gridSpan w:val="2"/>
            <w:vMerge w:val="restart"/>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5"/>
        </w:trPr>
        <w:tc>
          <w:tcPr>
            <w:tcW w:w="2560" w:type="dxa"/>
            <w:vAlign w:val="bottom"/>
            <w:gridSpan w:val="4"/>
          </w:tcPr>
          <w:p>
            <w:pPr>
              <w:ind w:left="200"/>
              <w:spacing w:after="0"/>
              <w:rPr>
                <w:sz w:val="20"/>
                <w:szCs w:val="20"/>
                <w:color w:val="auto"/>
              </w:rPr>
            </w:pPr>
            <w:r>
              <w:rPr>
                <w:rFonts w:ascii="Times New Roman" w:cs="Times New Roman" w:eastAsia="Times New Roman" w:hAnsi="Times New Roman"/>
                <w:sz w:val="16"/>
                <w:szCs w:val="16"/>
                <w:color w:val="auto"/>
              </w:rPr>
              <w:t>shares, Series C</w:t>
            </w:r>
          </w:p>
        </w:tc>
        <w:tc>
          <w:tcPr>
            <w:tcW w:w="8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vMerge w:val="continue"/>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64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5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2560" w:type="dxa"/>
            <w:vAlign w:val="bottom"/>
            <w:gridSpan w:val="4"/>
            <w:shd w:val="clear" w:color="auto" w:fill="CCEEFF"/>
          </w:tcPr>
          <w:p>
            <w:pPr>
              <w:ind w:left="200"/>
              <w:spacing w:after="0" w:line="158" w:lineRule="exact"/>
              <w:rPr>
                <w:sz w:val="20"/>
                <w:szCs w:val="20"/>
                <w:color w:val="auto"/>
              </w:rPr>
            </w:pPr>
            <w:r>
              <w:rPr>
                <w:rFonts w:ascii="Times New Roman" w:cs="Times New Roman" w:eastAsia="Times New Roman" w:hAnsi="Times New Roman"/>
                <w:sz w:val="16"/>
                <w:szCs w:val="16"/>
                <w:color w:val="auto"/>
              </w:rPr>
              <w:t>Maven Research, Inc.–Preferred</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49,505</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gridSpan w:val="2"/>
            <w:vMerge w:val="restart"/>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3"/>
                <w:szCs w:val="13"/>
                <w:color w:val="auto"/>
              </w:rPr>
            </w:pPr>
          </w:p>
        </w:tc>
        <w:tc>
          <w:tcPr>
            <w:tcW w:w="700" w:type="dxa"/>
            <w:vAlign w:val="bottom"/>
            <w:gridSpan w:val="2"/>
            <w:vMerge w:val="restart"/>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3"/>
                <w:szCs w:val="13"/>
                <w:color w:val="auto"/>
              </w:rPr>
            </w:pPr>
          </w:p>
        </w:tc>
        <w:tc>
          <w:tcPr>
            <w:tcW w:w="820" w:type="dxa"/>
            <w:vAlign w:val="bottom"/>
            <w:gridSpan w:val="2"/>
            <w:vMerge w:val="restart"/>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3"/>
                <w:szCs w:val="13"/>
                <w:color w:val="auto"/>
              </w:rPr>
            </w:pPr>
          </w:p>
        </w:tc>
        <w:tc>
          <w:tcPr>
            <w:tcW w:w="840" w:type="dxa"/>
            <w:vAlign w:val="bottom"/>
            <w:gridSpan w:val="2"/>
            <w:vMerge w:val="restart"/>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3"/>
                <w:szCs w:val="13"/>
                <w:color w:val="auto"/>
              </w:rPr>
            </w:pPr>
          </w:p>
        </w:tc>
        <w:tc>
          <w:tcPr>
            <w:tcW w:w="860" w:type="dxa"/>
            <w:vAlign w:val="bottom"/>
            <w:gridSpan w:val="2"/>
            <w:vMerge w:val="restart"/>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7"/>
        </w:trPr>
        <w:tc>
          <w:tcPr>
            <w:tcW w:w="2560" w:type="dxa"/>
            <w:vAlign w:val="bottom"/>
            <w:gridSpan w:val="4"/>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shares, Series B</w:t>
            </w:r>
          </w:p>
        </w:tc>
        <w:tc>
          <w:tcPr>
            <w:tcW w:w="8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2"/>
            <w:vMerge w:val="continue"/>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64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vMerge w:val="continue"/>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5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560" w:type="dxa"/>
            <w:vAlign w:val="bottom"/>
            <w:gridSpan w:val="4"/>
          </w:tcPr>
          <w:p>
            <w:pPr>
              <w:ind w:left="120"/>
              <w:spacing w:after="0"/>
              <w:rPr>
                <w:sz w:val="20"/>
                <w:szCs w:val="20"/>
                <w:color w:val="auto"/>
              </w:rPr>
            </w:pPr>
            <w:r>
              <w:rPr>
                <w:rFonts w:ascii="Times New Roman" w:cs="Times New Roman" w:eastAsia="Times New Roman" w:hAnsi="Times New Roman"/>
                <w:sz w:val="16"/>
                <w:szCs w:val="16"/>
                <w:i w:val="1"/>
                <w:iCs w:val="1"/>
                <w:color w:val="auto"/>
              </w:rPr>
              <w:t>Total Knowledge Networks</w:t>
            </w:r>
          </w:p>
        </w:tc>
        <w:tc>
          <w:tcPr>
            <w:tcW w:w="8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9"/>
        </w:trPr>
        <w:tc>
          <w:tcPr>
            <w:tcW w:w="25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6"/>
                <w:szCs w:val="16"/>
                <w:i w:val="1"/>
                <w:iCs w:val="1"/>
                <w:color w:val="auto"/>
              </w:rPr>
              <w:t>Digital Media Platform</w:t>
            </w: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560" w:type="dxa"/>
            <w:vAlign w:val="bottom"/>
            <w:gridSpan w:val="4"/>
          </w:tcPr>
          <w:p>
            <w:pPr>
              <w:ind w:left="200"/>
              <w:spacing w:after="0" w:line="155" w:lineRule="exact"/>
              <w:rPr>
                <w:sz w:val="20"/>
                <w:szCs w:val="20"/>
                <w:color w:val="auto"/>
              </w:rPr>
            </w:pPr>
            <w:r>
              <w:rPr>
                <w:rFonts w:ascii="Times New Roman" w:cs="Times New Roman" w:eastAsia="Times New Roman" w:hAnsi="Times New Roman"/>
                <w:sz w:val="16"/>
                <w:szCs w:val="16"/>
                <w:color w:val="auto"/>
              </w:rPr>
              <w:t>Ozy Media, Inc.–Preferred shares,</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683,482</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2"/>
            <w:vMerge w:val="restart"/>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3"/>
                <w:szCs w:val="13"/>
                <w:color w:val="auto"/>
              </w:rPr>
            </w:pPr>
          </w:p>
        </w:tc>
        <w:tc>
          <w:tcPr>
            <w:tcW w:w="700" w:type="dxa"/>
            <w:vAlign w:val="bottom"/>
            <w:gridSpan w:val="2"/>
            <w:vMerge w:val="restart"/>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3"/>
                <w:szCs w:val="13"/>
                <w:color w:val="auto"/>
              </w:rPr>
            </w:pPr>
          </w:p>
        </w:tc>
        <w:tc>
          <w:tcPr>
            <w:tcW w:w="820" w:type="dxa"/>
            <w:vAlign w:val="bottom"/>
            <w:gridSpan w:val="2"/>
            <w:vMerge w:val="restart"/>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2"/>
            <w:vMerge w:val="restart"/>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3"/>
                <w:szCs w:val="13"/>
                <w:color w:val="auto"/>
              </w:rPr>
            </w:pPr>
          </w:p>
        </w:tc>
        <w:tc>
          <w:tcPr>
            <w:tcW w:w="860" w:type="dxa"/>
            <w:vAlign w:val="bottom"/>
            <w:gridSpan w:val="2"/>
            <w:vMerge w:val="restart"/>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5"/>
        </w:trPr>
        <w:tc>
          <w:tcPr>
            <w:tcW w:w="2560" w:type="dxa"/>
            <w:vAlign w:val="bottom"/>
            <w:gridSpan w:val="4"/>
          </w:tcPr>
          <w:p>
            <w:pPr>
              <w:ind w:left="200"/>
              <w:spacing w:after="0"/>
              <w:rPr>
                <w:sz w:val="20"/>
                <w:szCs w:val="20"/>
                <w:color w:val="auto"/>
              </w:rPr>
            </w:pPr>
            <w:r>
              <w:rPr>
                <w:rFonts w:ascii="Times New Roman" w:cs="Times New Roman" w:eastAsia="Times New Roman" w:hAnsi="Times New Roman"/>
                <w:sz w:val="16"/>
                <w:szCs w:val="16"/>
                <w:color w:val="auto"/>
              </w:rPr>
              <w:t>Series C-2 6%</w:t>
            </w:r>
          </w:p>
        </w:tc>
        <w:tc>
          <w:tcPr>
            <w:tcW w:w="8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vMerge w:val="continue"/>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5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2560" w:type="dxa"/>
            <w:vAlign w:val="bottom"/>
            <w:gridSpan w:val="4"/>
            <w:shd w:val="clear" w:color="auto" w:fill="CCEEFF"/>
          </w:tcPr>
          <w:p>
            <w:pPr>
              <w:ind w:left="200"/>
              <w:spacing w:after="0" w:line="158" w:lineRule="exact"/>
              <w:rPr>
                <w:sz w:val="20"/>
                <w:szCs w:val="20"/>
                <w:color w:val="auto"/>
              </w:rPr>
            </w:pPr>
            <w:r>
              <w:rPr>
                <w:rFonts w:ascii="Times New Roman" w:cs="Times New Roman" w:eastAsia="Times New Roman" w:hAnsi="Times New Roman"/>
                <w:sz w:val="16"/>
                <w:szCs w:val="16"/>
                <w:color w:val="auto"/>
              </w:rPr>
              <w:t>Ozy Media, Inc.–Preferred shares,</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922,509</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gridSpan w:val="2"/>
            <w:vMerge w:val="restart"/>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3"/>
                <w:szCs w:val="13"/>
                <w:color w:val="auto"/>
              </w:rPr>
            </w:pPr>
          </w:p>
        </w:tc>
        <w:tc>
          <w:tcPr>
            <w:tcW w:w="700" w:type="dxa"/>
            <w:vAlign w:val="bottom"/>
            <w:gridSpan w:val="2"/>
            <w:vMerge w:val="restart"/>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3"/>
                <w:szCs w:val="13"/>
                <w:color w:val="auto"/>
              </w:rPr>
            </w:pPr>
          </w:p>
        </w:tc>
        <w:tc>
          <w:tcPr>
            <w:tcW w:w="820" w:type="dxa"/>
            <w:vAlign w:val="bottom"/>
            <w:gridSpan w:val="2"/>
            <w:vMerge w:val="restart"/>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3"/>
                <w:szCs w:val="13"/>
                <w:color w:val="auto"/>
              </w:rPr>
            </w:pPr>
          </w:p>
        </w:tc>
        <w:tc>
          <w:tcPr>
            <w:tcW w:w="840" w:type="dxa"/>
            <w:vAlign w:val="bottom"/>
            <w:gridSpan w:val="2"/>
            <w:vMerge w:val="restart"/>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3"/>
                <w:szCs w:val="13"/>
                <w:color w:val="auto"/>
              </w:rPr>
            </w:pPr>
          </w:p>
        </w:tc>
        <w:tc>
          <w:tcPr>
            <w:tcW w:w="860" w:type="dxa"/>
            <w:vAlign w:val="bottom"/>
            <w:gridSpan w:val="2"/>
            <w:vMerge w:val="restart"/>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7"/>
        </w:trPr>
        <w:tc>
          <w:tcPr>
            <w:tcW w:w="2560" w:type="dxa"/>
            <w:vAlign w:val="bottom"/>
            <w:gridSpan w:val="4"/>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Series B 6%</w:t>
            </w:r>
          </w:p>
        </w:tc>
        <w:tc>
          <w:tcPr>
            <w:tcW w:w="8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2"/>
            <w:vMerge w:val="continue"/>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64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vMerge w:val="continue"/>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5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2560" w:type="dxa"/>
            <w:vAlign w:val="bottom"/>
            <w:gridSpan w:val="4"/>
          </w:tcPr>
          <w:p>
            <w:pPr>
              <w:ind w:left="200"/>
              <w:spacing w:after="0" w:line="155" w:lineRule="exact"/>
              <w:rPr>
                <w:sz w:val="20"/>
                <w:szCs w:val="20"/>
                <w:color w:val="auto"/>
              </w:rPr>
            </w:pPr>
            <w:r>
              <w:rPr>
                <w:rFonts w:ascii="Times New Roman" w:cs="Times New Roman" w:eastAsia="Times New Roman" w:hAnsi="Times New Roman"/>
                <w:sz w:val="16"/>
                <w:szCs w:val="16"/>
                <w:color w:val="auto"/>
              </w:rPr>
              <w:t>Ozy Media, Inc.–Preferred shares,</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1,090,909</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2"/>
            <w:vMerge w:val="restart"/>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3"/>
                <w:szCs w:val="13"/>
                <w:color w:val="auto"/>
              </w:rPr>
            </w:pPr>
          </w:p>
        </w:tc>
        <w:tc>
          <w:tcPr>
            <w:tcW w:w="700" w:type="dxa"/>
            <w:vAlign w:val="bottom"/>
            <w:gridSpan w:val="2"/>
            <w:vMerge w:val="restart"/>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3"/>
                <w:szCs w:val="13"/>
                <w:color w:val="auto"/>
              </w:rPr>
            </w:pPr>
          </w:p>
        </w:tc>
        <w:tc>
          <w:tcPr>
            <w:tcW w:w="820" w:type="dxa"/>
            <w:vAlign w:val="bottom"/>
            <w:gridSpan w:val="2"/>
            <w:vMerge w:val="restart"/>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3"/>
                <w:szCs w:val="13"/>
                <w:color w:val="auto"/>
              </w:rPr>
            </w:pPr>
          </w:p>
        </w:tc>
        <w:tc>
          <w:tcPr>
            <w:tcW w:w="840" w:type="dxa"/>
            <w:vAlign w:val="bottom"/>
            <w:gridSpan w:val="2"/>
            <w:vMerge w:val="restart"/>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3"/>
                <w:szCs w:val="13"/>
                <w:color w:val="auto"/>
              </w:rPr>
            </w:pPr>
          </w:p>
        </w:tc>
        <w:tc>
          <w:tcPr>
            <w:tcW w:w="860" w:type="dxa"/>
            <w:vAlign w:val="bottom"/>
            <w:gridSpan w:val="2"/>
            <w:vMerge w:val="restart"/>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5"/>
        </w:trPr>
        <w:tc>
          <w:tcPr>
            <w:tcW w:w="2560" w:type="dxa"/>
            <w:vAlign w:val="bottom"/>
            <w:gridSpan w:val="4"/>
          </w:tcPr>
          <w:p>
            <w:pPr>
              <w:ind w:left="200"/>
              <w:spacing w:after="0"/>
              <w:rPr>
                <w:sz w:val="20"/>
                <w:szCs w:val="20"/>
                <w:color w:val="auto"/>
              </w:rPr>
            </w:pPr>
            <w:r>
              <w:rPr>
                <w:rFonts w:ascii="Times New Roman" w:cs="Times New Roman" w:eastAsia="Times New Roman" w:hAnsi="Times New Roman"/>
                <w:sz w:val="16"/>
                <w:szCs w:val="16"/>
                <w:color w:val="auto"/>
              </w:rPr>
              <w:t>Series A 6%</w:t>
            </w:r>
          </w:p>
        </w:tc>
        <w:tc>
          <w:tcPr>
            <w:tcW w:w="8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vMerge w:val="continue"/>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64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5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2560" w:type="dxa"/>
            <w:vAlign w:val="bottom"/>
            <w:gridSpan w:val="4"/>
            <w:shd w:val="clear" w:color="auto" w:fill="CCEEFF"/>
          </w:tcPr>
          <w:p>
            <w:pPr>
              <w:ind w:left="200"/>
              <w:spacing w:after="0" w:line="158" w:lineRule="exact"/>
              <w:rPr>
                <w:sz w:val="20"/>
                <w:szCs w:val="20"/>
                <w:color w:val="auto"/>
              </w:rPr>
            </w:pPr>
            <w:r>
              <w:rPr>
                <w:rFonts w:ascii="Times New Roman" w:cs="Times New Roman" w:eastAsia="Times New Roman" w:hAnsi="Times New Roman"/>
                <w:sz w:val="16"/>
                <w:szCs w:val="16"/>
                <w:color w:val="auto"/>
              </w:rPr>
              <w:t>Ozy Media, Inc.–Preferred shares,</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500,000</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gridSpan w:val="2"/>
            <w:vMerge w:val="restart"/>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3"/>
                <w:szCs w:val="13"/>
                <w:color w:val="auto"/>
              </w:rPr>
            </w:pPr>
          </w:p>
        </w:tc>
        <w:tc>
          <w:tcPr>
            <w:tcW w:w="700" w:type="dxa"/>
            <w:vAlign w:val="bottom"/>
            <w:gridSpan w:val="2"/>
            <w:vMerge w:val="restart"/>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3"/>
                <w:szCs w:val="13"/>
                <w:color w:val="auto"/>
              </w:rPr>
            </w:pPr>
          </w:p>
        </w:tc>
        <w:tc>
          <w:tcPr>
            <w:tcW w:w="820" w:type="dxa"/>
            <w:vAlign w:val="bottom"/>
            <w:gridSpan w:val="2"/>
            <w:vMerge w:val="restart"/>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3"/>
                <w:szCs w:val="13"/>
                <w:color w:val="auto"/>
              </w:rPr>
            </w:pPr>
          </w:p>
        </w:tc>
        <w:tc>
          <w:tcPr>
            <w:tcW w:w="840" w:type="dxa"/>
            <w:vAlign w:val="bottom"/>
            <w:gridSpan w:val="2"/>
            <w:vMerge w:val="restart"/>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3"/>
                <w:szCs w:val="13"/>
                <w:color w:val="auto"/>
              </w:rPr>
            </w:pPr>
          </w:p>
        </w:tc>
        <w:tc>
          <w:tcPr>
            <w:tcW w:w="860" w:type="dxa"/>
            <w:vAlign w:val="bottom"/>
            <w:gridSpan w:val="2"/>
            <w:vMerge w:val="restart"/>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7"/>
        </w:trPr>
        <w:tc>
          <w:tcPr>
            <w:tcW w:w="2560" w:type="dxa"/>
            <w:vAlign w:val="bottom"/>
            <w:gridSpan w:val="4"/>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Series Seed 6%</w:t>
            </w:r>
          </w:p>
        </w:tc>
        <w:tc>
          <w:tcPr>
            <w:tcW w:w="8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2"/>
            <w:vMerge w:val="continue"/>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64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vMerge w:val="continue"/>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5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560" w:type="dxa"/>
            <w:vAlign w:val="bottom"/>
            <w:gridSpan w:val="4"/>
          </w:tcPr>
          <w:p>
            <w:pPr>
              <w:ind w:left="120"/>
              <w:spacing w:after="0"/>
              <w:rPr>
                <w:sz w:val="20"/>
                <w:szCs w:val="20"/>
                <w:color w:val="auto"/>
              </w:rPr>
            </w:pPr>
            <w:r>
              <w:rPr>
                <w:rFonts w:ascii="Times New Roman" w:cs="Times New Roman" w:eastAsia="Times New Roman" w:hAnsi="Times New Roman"/>
                <w:sz w:val="16"/>
                <w:szCs w:val="16"/>
                <w:i w:val="1"/>
                <w:iCs w:val="1"/>
                <w:color w:val="auto"/>
              </w:rPr>
              <w:t>Total Digital Media Platform</w:t>
            </w: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9"/>
        </w:trPr>
        <w:tc>
          <w:tcPr>
            <w:tcW w:w="25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6"/>
                <w:szCs w:val="16"/>
                <w:i w:val="1"/>
                <w:iCs w:val="1"/>
                <w:color w:val="auto"/>
              </w:rPr>
              <w:t>Interactive Learning</w:t>
            </w: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560" w:type="dxa"/>
            <w:vAlign w:val="bottom"/>
            <w:gridSpan w:val="4"/>
          </w:tcPr>
          <w:p>
            <w:pPr>
              <w:ind w:left="200"/>
              <w:spacing w:after="0" w:line="155" w:lineRule="exact"/>
              <w:rPr>
                <w:sz w:val="20"/>
                <w:szCs w:val="20"/>
                <w:color w:val="auto"/>
              </w:rPr>
            </w:pPr>
            <w:r>
              <w:rPr>
                <w:rFonts w:ascii="Times New Roman" w:cs="Times New Roman" w:eastAsia="Times New Roman" w:hAnsi="Times New Roman"/>
                <w:sz w:val="16"/>
                <w:szCs w:val="16"/>
                <w:color w:val="auto"/>
              </w:rPr>
              <w:t>StormWind, LLC–Preferred shares,</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329,337</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2"/>
            <w:vMerge w:val="restart"/>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621,093</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2"/>
            <w:vMerge w:val="restart"/>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3"/>
                <w:szCs w:val="13"/>
                <w:color w:val="auto"/>
              </w:rPr>
            </w:pPr>
          </w:p>
        </w:tc>
        <w:tc>
          <w:tcPr>
            <w:tcW w:w="820" w:type="dxa"/>
            <w:vAlign w:val="bottom"/>
            <w:gridSpan w:val="2"/>
            <w:vMerge w:val="restart"/>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2"/>
            <w:vMerge w:val="restart"/>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(27,743)</w:t>
            </w:r>
          </w:p>
        </w:tc>
        <w:tc>
          <w:tcPr>
            <w:tcW w:w="8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593,350</w:t>
            </w:r>
          </w:p>
        </w:tc>
        <w:tc>
          <w:tcPr>
            <w:tcW w:w="80" w:type="dxa"/>
            <w:vAlign w:val="bottom"/>
          </w:tcPr>
          <w:p>
            <w:pPr>
              <w:spacing w:after="0"/>
              <w:rPr>
                <w:sz w:val="13"/>
                <w:szCs w:val="13"/>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0" w:type="dxa"/>
            <w:vAlign w:val="bottom"/>
          </w:tcPr>
          <w:p>
            <w:pPr>
              <w:spacing w:after="0"/>
              <w:rPr>
                <w:sz w:val="1"/>
                <w:szCs w:val="1"/>
                <w:color w:val="auto"/>
              </w:rPr>
            </w:pPr>
          </w:p>
        </w:tc>
      </w:tr>
      <w:tr>
        <w:trPr>
          <w:trHeight w:val="207"/>
        </w:trPr>
        <w:tc>
          <w:tcPr>
            <w:tcW w:w="2560" w:type="dxa"/>
            <w:vAlign w:val="bottom"/>
            <w:gridSpan w:val="4"/>
          </w:tcPr>
          <w:p>
            <w:pPr>
              <w:ind w:left="200"/>
              <w:spacing w:after="0" w:line="207" w:lineRule="exact"/>
              <w:rPr>
                <w:sz w:val="20"/>
                <w:szCs w:val="20"/>
                <w:color w:val="auto"/>
              </w:rPr>
            </w:pPr>
            <w:r>
              <w:rPr>
                <w:rFonts w:ascii="Times New Roman" w:cs="Times New Roman" w:eastAsia="Times New Roman" w:hAnsi="Times New Roman"/>
                <w:sz w:val="16"/>
                <w:szCs w:val="16"/>
                <w:color w:val="auto"/>
              </w:rPr>
              <w:t>Series D 8%</w:t>
            </w:r>
            <w:r>
              <w:rPr>
                <w:rFonts w:ascii="Times New Roman" w:cs="Times New Roman" w:eastAsia="Times New Roman" w:hAnsi="Times New Roman"/>
                <w:sz w:val="20"/>
                <w:szCs w:val="20"/>
                <w:color w:val="auto"/>
                <w:vertAlign w:val="superscript"/>
              </w:rPr>
              <w:t>(5)</w:t>
            </w:r>
          </w:p>
        </w:tc>
        <w:tc>
          <w:tcPr>
            <w:tcW w:w="8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2560" w:type="dxa"/>
            <w:vAlign w:val="bottom"/>
            <w:gridSpan w:val="4"/>
            <w:shd w:val="clear" w:color="auto" w:fill="CCEEFF"/>
          </w:tcPr>
          <w:p>
            <w:pPr>
              <w:ind w:left="200"/>
              <w:spacing w:after="0" w:line="155" w:lineRule="exact"/>
              <w:rPr>
                <w:sz w:val="20"/>
                <w:szCs w:val="20"/>
                <w:color w:val="auto"/>
              </w:rPr>
            </w:pPr>
            <w:r>
              <w:rPr>
                <w:rFonts w:ascii="Times New Roman" w:cs="Times New Roman" w:eastAsia="Times New Roman" w:hAnsi="Times New Roman"/>
                <w:sz w:val="16"/>
                <w:szCs w:val="16"/>
                <w:color w:val="auto"/>
              </w:rPr>
              <w:t>StormWind, LLC–Preferred shares,</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2,779,134</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gridSpan w:val="2"/>
            <w:vMerge w:val="restart"/>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6,496,729</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gridSpan w:val="2"/>
            <w:vMerge w:val="restart"/>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3"/>
                <w:szCs w:val="13"/>
                <w:color w:val="auto"/>
              </w:rPr>
            </w:pPr>
          </w:p>
        </w:tc>
        <w:tc>
          <w:tcPr>
            <w:tcW w:w="820" w:type="dxa"/>
            <w:vAlign w:val="bottom"/>
            <w:gridSpan w:val="2"/>
            <w:vMerge w:val="restart"/>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3"/>
                <w:szCs w:val="13"/>
                <w:color w:val="auto"/>
              </w:rPr>
            </w:pPr>
          </w:p>
        </w:tc>
        <w:tc>
          <w:tcPr>
            <w:tcW w:w="840" w:type="dxa"/>
            <w:vAlign w:val="bottom"/>
            <w:gridSpan w:val="2"/>
            <w:vMerge w:val="restart"/>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(260,027)</w:t>
            </w:r>
          </w:p>
        </w:tc>
        <w:tc>
          <w:tcPr>
            <w:tcW w:w="8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6,236,702</w:t>
            </w:r>
          </w:p>
        </w:tc>
        <w:tc>
          <w:tcPr>
            <w:tcW w:w="80" w:type="dxa"/>
            <w:vAlign w:val="bottom"/>
            <w:shd w:val="clear" w:color="auto" w:fill="CCEEFF"/>
          </w:tcPr>
          <w:p>
            <w:pPr>
              <w:spacing w:after="0"/>
              <w:rPr>
                <w:sz w:val="13"/>
                <w:szCs w:val="13"/>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0" w:type="dxa"/>
            <w:vAlign w:val="bottom"/>
          </w:tcPr>
          <w:p>
            <w:pPr>
              <w:spacing w:after="0"/>
              <w:rPr>
                <w:sz w:val="1"/>
                <w:szCs w:val="1"/>
                <w:color w:val="auto"/>
              </w:rPr>
            </w:pPr>
          </w:p>
        </w:tc>
      </w:tr>
      <w:tr>
        <w:trPr>
          <w:trHeight w:val="207"/>
        </w:trPr>
        <w:tc>
          <w:tcPr>
            <w:tcW w:w="2560" w:type="dxa"/>
            <w:vAlign w:val="bottom"/>
            <w:gridSpan w:val="4"/>
            <w:shd w:val="clear" w:color="auto" w:fill="CCEEFF"/>
          </w:tcPr>
          <w:p>
            <w:pPr>
              <w:ind w:left="200"/>
              <w:spacing w:after="0" w:line="207" w:lineRule="exact"/>
              <w:rPr>
                <w:sz w:val="20"/>
                <w:szCs w:val="20"/>
                <w:color w:val="auto"/>
              </w:rPr>
            </w:pPr>
            <w:r>
              <w:rPr>
                <w:rFonts w:ascii="Times New Roman" w:cs="Times New Roman" w:eastAsia="Times New Roman" w:hAnsi="Times New Roman"/>
                <w:sz w:val="16"/>
                <w:szCs w:val="16"/>
                <w:color w:val="auto"/>
              </w:rPr>
              <w:t>Series C 8%</w:t>
            </w:r>
            <w:r>
              <w:rPr>
                <w:rFonts w:ascii="Times New Roman" w:cs="Times New Roman" w:eastAsia="Times New Roman" w:hAnsi="Times New Roman"/>
                <w:sz w:val="20"/>
                <w:szCs w:val="20"/>
                <w:color w:val="auto"/>
                <w:vertAlign w:val="superscript"/>
              </w:rPr>
              <w:t>(5)</w:t>
            </w:r>
          </w:p>
        </w:tc>
        <w:tc>
          <w:tcPr>
            <w:tcW w:w="8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2"/>
            <w:vMerge w:val="continue"/>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64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2560" w:type="dxa"/>
            <w:vAlign w:val="bottom"/>
            <w:gridSpan w:val="4"/>
          </w:tcPr>
          <w:p>
            <w:pPr>
              <w:ind w:left="200"/>
              <w:spacing w:after="0" w:line="155" w:lineRule="exact"/>
              <w:rPr>
                <w:sz w:val="20"/>
                <w:szCs w:val="20"/>
                <w:color w:val="auto"/>
              </w:rPr>
            </w:pPr>
            <w:r>
              <w:rPr>
                <w:rFonts w:ascii="Times New Roman" w:cs="Times New Roman" w:eastAsia="Times New Roman" w:hAnsi="Times New Roman"/>
                <w:sz w:val="16"/>
                <w:szCs w:val="16"/>
                <w:color w:val="auto"/>
              </w:rPr>
              <w:t>StormWind, LLC–Preferred shares,</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3,279,629</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2"/>
            <w:vMerge w:val="restart"/>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4,423,607</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2"/>
            <w:vMerge w:val="restart"/>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3"/>
                <w:szCs w:val="13"/>
                <w:color w:val="auto"/>
              </w:rPr>
            </w:pPr>
          </w:p>
        </w:tc>
        <w:tc>
          <w:tcPr>
            <w:tcW w:w="820" w:type="dxa"/>
            <w:vAlign w:val="bottom"/>
            <w:gridSpan w:val="2"/>
            <w:vMerge w:val="restart"/>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3"/>
                <w:szCs w:val="13"/>
                <w:color w:val="auto"/>
              </w:rPr>
            </w:pPr>
          </w:p>
        </w:tc>
        <w:tc>
          <w:tcPr>
            <w:tcW w:w="840" w:type="dxa"/>
            <w:vAlign w:val="bottom"/>
            <w:gridSpan w:val="2"/>
            <w:vMerge w:val="restart"/>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(276,271)</w:t>
            </w:r>
          </w:p>
        </w:tc>
        <w:tc>
          <w:tcPr>
            <w:tcW w:w="8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4,147,336</w:t>
            </w:r>
          </w:p>
        </w:tc>
        <w:tc>
          <w:tcPr>
            <w:tcW w:w="80" w:type="dxa"/>
            <w:vAlign w:val="bottom"/>
          </w:tcPr>
          <w:p>
            <w:pPr>
              <w:spacing w:after="0"/>
              <w:rPr>
                <w:sz w:val="13"/>
                <w:szCs w:val="13"/>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207"/>
        </w:trPr>
        <w:tc>
          <w:tcPr>
            <w:tcW w:w="2560" w:type="dxa"/>
            <w:vAlign w:val="bottom"/>
            <w:gridSpan w:val="4"/>
          </w:tcPr>
          <w:p>
            <w:pPr>
              <w:ind w:left="200"/>
              <w:spacing w:after="0" w:line="207" w:lineRule="exact"/>
              <w:rPr>
                <w:sz w:val="20"/>
                <w:szCs w:val="20"/>
                <w:color w:val="auto"/>
              </w:rPr>
            </w:pPr>
            <w:r>
              <w:rPr>
                <w:rFonts w:ascii="Times New Roman" w:cs="Times New Roman" w:eastAsia="Times New Roman" w:hAnsi="Times New Roman"/>
                <w:sz w:val="16"/>
                <w:szCs w:val="16"/>
                <w:color w:val="auto"/>
              </w:rPr>
              <w:t>Series B 8%</w:t>
            </w:r>
            <w:r>
              <w:rPr>
                <w:rFonts w:ascii="Times New Roman" w:cs="Times New Roman" w:eastAsia="Times New Roman" w:hAnsi="Times New Roman"/>
                <w:sz w:val="20"/>
                <w:szCs w:val="20"/>
                <w:color w:val="auto"/>
                <w:vertAlign w:val="superscript"/>
              </w:rPr>
              <w:t>(5)</w:t>
            </w:r>
          </w:p>
        </w:tc>
        <w:tc>
          <w:tcPr>
            <w:tcW w:w="8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64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2560" w:type="dxa"/>
            <w:vAlign w:val="bottom"/>
            <w:gridSpan w:val="4"/>
            <w:shd w:val="clear" w:color="auto" w:fill="CCEEFF"/>
          </w:tcPr>
          <w:p>
            <w:pPr>
              <w:ind w:left="200"/>
              <w:spacing w:after="0" w:line="155" w:lineRule="exact"/>
              <w:rPr>
                <w:sz w:val="20"/>
                <w:szCs w:val="20"/>
                <w:color w:val="auto"/>
              </w:rPr>
            </w:pPr>
            <w:r>
              <w:rPr>
                <w:rFonts w:ascii="Times New Roman" w:cs="Times New Roman" w:eastAsia="Times New Roman" w:hAnsi="Times New Roman"/>
                <w:sz w:val="16"/>
                <w:szCs w:val="16"/>
                <w:color w:val="auto"/>
              </w:rPr>
              <w:t>StormWind, LLC–Preferred shares,</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366,666</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gridSpan w:val="2"/>
            <w:vMerge w:val="restart"/>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289,293</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gridSpan w:val="2"/>
            <w:vMerge w:val="restart"/>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3"/>
                <w:szCs w:val="13"/>
                <w:color w:val="auto"/>
              </w:rPr>
            </w:pPr>
          </w:p>
        </w:tc>
        <w:tc>
          <w:tcPr>
            <w:tcW w:w="820" w:type="dxa"/>
            <w:vAlign w:val="bottom"/>
            <w:gridSpan w:val="2"/>
            <w:vMerge w:val="restart"/>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3"/>
                <w:szCs w:val="13"/>
                <w:color w:val="auto"/>
              </w:rPr>
            </w:pPr>
          </w:p>
        </w:tc>
        <w:tc>
          <w:tcPr>
            <w:tcW w:w="840" w:type="dxa"/>
            <w:vAlign w:val="bottom"/>
            <w:gridSpan w:val="2"/>
            <w:vMerge w:val="restart"/>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(30,887)</w:t>
            </w:r>
          </w:p>
        </w:tc>
        <w:tc>
          <w:tcPr>
            <w:tcW w:w="8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258,406</w:t>
            </w:r>
          </w:p>
        </w:tc>
        <w:tc>
          <w:tcPr>
            <w:tcW w:w="80" w:type="dxa"/>
            <w:vAlign w:val="bottom"/>
            <w:shd w:val="clear" w:color="auto" w:fill="CCEEFF"/>
          </w:tcPr>
          <w:p>
            <w:pPr>
              <w:spacing w:after="0"/>
              <w:rPr>
                <w:sz w:val="13"/>
                <w:szCs w:val="13"/>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w:t>
            </w:r>
          </w:p>
        </w:tc>
        <w:tc>
          <w:tcPr>
            <w:tcW w:w="0" w:type="dxa"/>
            <w:vAlign w:val="bottom"/>
          </w:tcPr>
          <w:p>
            <w:pPr>
              <w:spacing w:after="0"/>
              <w:rPr>
                <w:sz w:val="1"/>
                <w:szCs w:val="1"/>
                <w:color w:val="auto"/>
              </w:rPr>
            </w:pPr>
          </w:p>
        </w:tc>
      </w:tr>
      <w:tr>
        <w:trPr>
          <w:trHeight w:val="207"/>
        </w:trPr>
        <w:tc>
          <w:tcPr>
            <w:tcW w:w="2560" w:type="dxa"/>
            <w:vAlign w:val="bottom"/>
            <w:gridSpan w:val="4"/>
            <w:shd w:val="clear" w:color="auto" w:fill="CCEEFF"/>
          </w:tcPr>
          <w:p>
            <w:pPr>
              <w:ind w:left="200"/>
              <w:spacing w:after="0" w:line="207" w:lineRule="exact"/>
              <w:rPr>
                <w:sz w:val="20"/>
                <w:szCs w:val="20"/>
                <w:color w:val="auto"/>
              </w:rPr>
            </w:pPr>
            <w:r>
              <w:rPr>
                <w:rFonts w:ascii="Times New Roman" w:cs="Times New Roman" w:eastAsia="Times New Roman" w:hAnsi="Times New Roman"/>
                <w:sz w:val="16"/>
                <w:szCs w:val="16"/>
                <w:color w:val="auto"/>
              </w:rPr>
              <w:t>Series A 8%</w:t>
            </w:r>
            <w:r>
              <w:rPr>
                <w:rFonts w:ascii="Times New Roman" w:cs="Times New Roman" w:eastAsia="Times New Roman" w:hAnsi="Times New Roman"/>
                <w:sz w:val="20"/>
                <w:szCs w:val="20"/>
                <w:color w:val="auto"/>
                <w:vertAlign w:val="superscript"/>
              </w:rPr>
              <w:t>(5)</w:t>
            </w:r>
          </w:p>
        </w:tc>
        <w:tc>
          <w:tcPr>
            <w:tcW w:w="8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2"/>
            <w:vMerge w:val="continue"/>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64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560" w:type="dxa"/>
            <w:vAlign w:val="bottom"/>
            <w:gridSpan w:val="4"/>
          </w:tcPr>
          <w:p>
            <w:pPr>
              <w:ind w:left="120"/>
              <w:spacing w:after="0"/>
              <w:rPr>
                <w:sz w:val="20"/>
                <w:szCs w:val="20"/>
                <w:color w:val="auto"/>
              </w:rPr>
            </w:pPr>
            <w:r>
              <w:rPr>
                <w:rFonts w:ascii="Times New Roman" w:cs="Times New Roman" w:eastAsia="Times New Roman" w:hAnsi="Times New Roman"/>
                <w:sz w:val="16"/>
                <w:szCs w:val="16"/>
                <w:i w:val="1"/>
                <w:iCs w:val="1"/>
                <w:color w:val="auto"/>
              </w:rPr>
              <w:t>Total Interactive Learning</w:t>
            </w: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11,830,722</w:t>
            </w: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(594,928)</w:t>
            </w:r>
          </w:p>
        </w:tc>
        <w:tc>
          <w:tcPr>
            <w:tcW w:w="80" w:type="dxa"/>
            <w:vAlign w:val="bottom"/>
          </w:tcPr>
          <w:p>
            <w:pPr>
              <w:spacing w:after="0"/>
              <w:rPr>
                <w:sz w:val="17"/>
                <w:szCs w:val="17"/>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11,235,794</w:t>
            </w:r>
          </w:p>
        </w:tc>
        <w:tc>
          <w:tcPr>
            <w:tcW w:w="80" w:type="dxa"/>
            <w:vAlign w:val="bottom"/>
            <w:tcBorders>
              <w:top w:val="single" w:sz="8" w:color="CCEEFF"/>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0" w:type="dxa"/>
            <w:vAlign w:val="bottom"/>
          </w:tcPr>
          <w:p>
            <w:pPr>
              <w:spacing w:after="0"/>
              <w:rPr>
                <w:sz w:val="1"/>
                <w:szCs w:val="1"/>
                <w:color w:val="auto"/>
              </w:rPr>
            </w:pPr>
          </w:p>
        </w:tc>
      </w:tr>
      <w:tr>
        <w:trPr>
          <w:trHeight w:val="209"/>
        </w:trPr>
        <w:tc>
          <w:tcPr>
            <w:tcW w:w="25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Preferred Stock</w:t>
            </w: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11,830,722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(594,928)</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11,235,794</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35</w:t>
      </w:r>
    </w:p>
    <w:p>
      <w:pPr>
        <w:sectPr>
          <w:pgSz w:w="11900" w:h="16838" w:orient="portrait"/>
          <w:cols w:equalWidth="0" w:num="1">
            <w:col w:w="11340"/>
          </w:cols>
          <w:pgMar w:left="320" w:top="118" w:right="2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SURO CAPITAL CORP. AND SUBSIDIARIES</w:t>
      </w:r>
    </w:p>
    <w:p>
      <w:pPr>
        <w:spacing w:after="0" w:line="24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3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June 30, 2022</w:t>
      </w:r>
    </w:p>
    <w:p>
      <w:pPr>
        <w:spacing w:after="0" w:line="227" w:lineRule="exact"/>
        <w:rPr>
          <w:sz w:val="20"/>
          <w:szCs w:val="20"/>
          <w:color w:val="auto"/>
        </w:rPr>
      </w:pPr>
    </w:p>
    <w:tbl>
      <w:tblPr>
        <w:tblLayout w:type="fixed"/>
        <w:tblInd w:w="360" w:type="dxa"/>
        <w:tblCellMar>
          <w:top w:w="0" w:type="dxa"/>
          <w:left w:w="0" w:type="dxa"/>
          <w:bottom w:w="0" w:type="dxa"/>
          <w:right w:w="0" w:type="dxa"/>
        </w:tblCellMar>
      </w:tblPr>
      <w:tr>
        <w:trPr>
          <w:trHeight w:val="161"/>
        </w:trPr>
        <w:tc>
          <w:tcPr>
            <w:tcW w:w="2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5"/>
              </w:rPr>
              <w:t>Interest,</w:t>
            </w: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6"/>
              </w:rPr>
              <w:t>Purchases,</w:t>
            </w: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2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center"/>
              <w:ind w:right="160"/>
              <w:spacing w:after="0" w:line="141" w:lineRule="exact"/>
              <w:rPr>
                <w:sz w:val="20"/>
                <w:szCs w:val="20"/>
                <w:color w:val="auto"/>
              </w:rPr>
            </w:pPr>
            <w:r>
              <w:rPr>
                <w:rFonts w:ascii="Times New Roman" w:cs="Times New Roman" w:eastAsia="Times New Roman" w:hAnsi="Times New Roman"/>
                <w:sz w:val="14"/>
                <w:szCs w:val="14"/>
                <w:b w:val="1"/>
                <w:bCs w:val="1"/>
                <w:color w:val="auto"/>
                <w:w w:val="98"/>
              </w:rPr>
              <w:t>Fees, or</w:t>
            </w:r>
          </w:p>
        </w:tc>
        <w:tc>
          <w:tcPr>
            <w:tcW w:w="96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5"/>
              </w:rPr>
              <w:t>Fair Value at</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3"/>
          </w:tcPr>
          <w:p>
            <w:pPr>
              <w:jc w:val="center"/>
              <w:ind w:right="80"/>
              <w:spacing w:after="0" w:line="141" w:lineRule="exact"/>
              <w:rPr>
                <w:sz w:val="20"/>
                <w:szCs w:val="20"/>
                <w:color w:val="auto"/>
              </w:rPr>
            </w:pPr>
            <w:r>
              <w:rPr>
                <w:rFonts w:ascii="Times New Roman" w:cs="Times New Roman" w:eastAsia="Times New Roman" w:hAnsi="Times New Roman"/>
                <w:sz w:val="14"/>
                <w:szCs w:val="14"/>
                <w:b w:val="1"/>
                <w:bCs w:val="1"/>
                <w:color w:val="auto"/>
                <w:w w:val="96"/>
              </w:rPr>
              <w:t>Capitalized</w:t>
            </w: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Percenta</w:t>
            </w:r>
          </w:p>
        </w:tc>
        <w:tc>
          <w:tcPr>
            <w:tcW w:w="0" w:type="dxa"/>
            <w:vAlign w:val="bottom"/>
          </w:tcPr>
          <w:p>
            <w:pPr>
              <w:spacing w:after="0"/>
              <w:rPr>
                <w:sz w:val="1"/>
                <w:szCs w:val="1"/>
                <w:color w:val="auto"/>
              </w:rPr>
            </w:pPr>
          </w:p>
        </w:tc>
      </w:tr>
      <w:tr>
        <w:trPr>
          <w:trHeight w:val="131"/>
        </w:trPr>
        <w:tc>
          <w:tcPr>
            <w:tcW w:w="24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Type/Industry/Portfolio</w:t>
            </w:r>
          </w:p>
        </w:tc>
        <w:tc>
          <w:tcPr>
            <w:tcW w:w="80" w:type="dxa"/>
            <w:vAlign w:val="bottom"/>
          </w:tcPr>
          <w:p>
            <w:pPr>
              <w:spacing w:after="0"/>
              <w:rPr>
                <w:sz w:val="11"/>
                <w:szCs w:val="11"/>
                <w:color w:val="auto"/>
              </w:rPr>
            </w:pPr>
          </w:p>
        </w:tc>
        <w:tc>
          <w:tcPr>
            <w:tcW w:w="88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8"/>
              </w:rPr>
              <w:t>Principal/</w:t>
            </w:r>
          </w:p>
        </w:tc>
        <w:tc>
          <w:tcPr>
            <w:tcW w:w="760" w:type="dxa"/>
            <w:vAlign w:val="bottom"/>
            <w:gridSpan w:val="3"/>
          </w:tcPr>
          <w:p>
            <w:pPr>
              <w:jc w:val="center"/>
              <w:ind w:right="80"/>
              <w:spacing w:after="0" w:line="131" w:lineRule="exact"/>
              <w:rPr>
                <w:sz w:val="20"/>
                <w:szCs w:val="20"/>
                <w:color w:val="auto"/>
              </w:rPr>
            </w:pPr>
            <w:r>
              <w:rPr>
                <w:rFonts w:ascii="Times New Roman" w:cs="Times New Roman" w:eastAsia="Times New Roman" w:hAnsi="Times New Roman"/>
                <w:sz w:val="14"/>
                <w:szCs w:val="14"/>
                <w:b w:val="1"/>
                <w:bCs w:val="1"/>
                <w:color w:val="auto"/>
              </w:rPr>
              <w:t>Dividends</w:t>
            </w:r>
          </w:p>
        </w:tc>
        <w:tc>
          <w:tcPr>
            <w:tcW w:w="96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Transfer</w:t>
            </w:r>
          </w:p>
        </w:tc>
        <w:tc>
          <w:tcPr>
            <w:tcW w:w="100" w:type="dxa"/>
            <w:vAlign w:val="bottom"/>
          </w:tcPr>
          <w:p>
            <w:pPr>
              <w:spacing w:after="0"/>
              <w:rPr>
                <w:sz w:val="11"/>
                <w:szCs w:val="11"/>
                <w:color w:val="auto"/>
              </w:rPr>
            </w:pPr>
          </w:p>
        </w:tc>
        <w:tc>
          <w:tcPr>
            <w:tcW w:w="800" w:type="dxa"/>
            <w:vAlign w:val="bottom"/>
            <w:gridSpan w:val="2"/>
          </w:tcPr>
          <w:p>
            <w:pPr>
              <w:jc w:val="center"/>
              <w:ind w:right="180"/>
              <w:spacing w:after="0" w:line="131" w:lineRule="exact"/>
              <w:rPr>
                <w:sz w:val="20"/>
                <w:szCs w:val="20"/>
                <w:color w:val="auto"/>
              </w:rPr>
            </w:pPr>
            <w:r>
              <w:rPr>
                <w:rFonts w:ascii="Times New Roman" w:cs="Times New Roman" w:eastAsia="Times New Roman" w:hAnsi="Times New Roman"/>
                <w:sz w:val="14"/>
                <w:szCs w:val="14"/>
                <w:b w:val="1"/>
                <w:bCs w:val="1"/>
                <w:color w:val="auto"/>
              </w:rPr>
              <w:t>Fees,</w:t>
            </w: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Realized</w:t>
            </w:r>
          </w:p>
        </w:tc>
        <w:tc>
          <w:tcPr>
            <w:tcW w:w="120" w:type="dxa"/>
            <w:vAlign w:val="bottom"/>
          </w:tcPr>
          <w:p>
            <w:pPr>
              <w:spacing w:after="0"/>
              <w:rPr>
                <w:sz w:val="11"/>
                <w:szCs w:val="11"/>
                <w:color w:val="auto"/>
              </w:rPr>
            </w:pPr>
          </w:p>
        </w:tc>
        <w:tc>
          <w:tcPr>
            <w:tcW w:w="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96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Fair Value at</w:t>
            </w:r>
          </w:p>
        </w:tc>
        <w:tc>
          <w:tcPr>
            <w:tcW w:w="6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4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760" w:type="dxa"/>
            <w:vAlign w:val="bottom"/>
            <w:gridSpan w:val="3"/>
          </w:tcPr>
          <w:p>
            <w:pPr>
              <w:jc w:val="center"/>
              <w:ind w:right="80"/>
              <w:spacing w:after="0" w:line="141" w:lineRule="exact"/>
              <w:rPr>
                <w:sz w:val="20"/>
                <w:szCs w:val="20"/>
                <w:color w:val="auto"/>
              </w:rPr>
            </w:pPr>
            <w:r>
              <w:rPr>
                <w:rFonts w:ascii="Times New Roman" w:cs="Times New Roman" w:eastAsia="Times New Roman" w:hAnsi="Times New Roman"/>
                <w:sz w:val="14"/>
                <w:szCs w:val="14"/>
                <w:b w:val="1"/>
                <w:bCs w:val="1"/>
                <w:color w:val="auto"/>
                <w:w w:val="98"/>
              </w:rPr>
              <w:t>Credited</w:t>
            </w:r>
          </w:p>
        </w:tc>
        <w:tc>
          <w:tcPr>
            <w:tcW w:w="960" w:type="dxa"/>
            <w:vAlign w:val="bottom"/>
            <w:gridSpan w:val="3"/>
          </w:tcPr>
          <w:p>
            <w:pPr>
              <w:jc w:val="center"/>
              <w:ind w:right="80"/>
              <w:spacing w:after="0" w:line="141" w:lineRule="exact"/>
              <w:rPr>
                <w:sz w:val="20"/>
                <w:szCs w:val="20"/>
                <w:color w:val="auto"/>
              </w:rPr>
            </w:pPr>
            <w:r>
              <w:rPr>
                <w:rFonts w:ascii="Times New Roman" w:cs="Times New Roman" w:eastAsia="Times New Roman" w:hAnsi="Times New Roman"/>
                <w:sz w:val="14"/>
                <w:szCs w:val="14"/>
                <w:b w:val="1"/>
                <w:bCs w:val="1"/>
                <w:color w:val="auto"/>
                <w:w w:val="97"/>
              </w:rPr>
              <w:t>December 31,</w:t>
            </w:r>
          </w:p>
        </w:tc>
        <w:tc>
          <w:tcPr>
            <w:tcW w:w="10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900" w:type="dxa"/>
            <w:vAlign w:val="bottom"/>
            <w:gridSpan w:val="3"/>
          </w:tcPr>
          <w:p>
            <w:pPr>
              <w:jc w:val="center"/>
              <w:ind w:right="80"/>
              <w:spacing w:after="0" w:line="141" w:lineRule="exact"/>
              <w:rPr>
                <w:sz w:val="20"/>
                <w:szCs w:val="20"/>
                <w:color w:val="auto"/>
              </w:rPr>
            </w:pPr>
            <w:r>
              <w:rPr>
                <w:rFonts w:ascii="Times New Roman" w:cs="Times New Roman" w:eastAsia="Times New Roman" w:hAnsi="Times New Roman"/>
                <w:sz w:val="14"/>
                <w:szCs w:val="14"/>
                <w:b w:val="1"/>
                <w:bCs w:val="1"/>
                <w:color w:val="auto"/>
                <w:w w:val="96"/>
              </w:rPr>
              <w:t>Interest and</w:t>
            </w:r>
          </w:p>
        </w:tc>
        <w:tc>
          <w:tcPr>
            <w:tcW w:w="120" w:type="dxa"/>
            <w:vAlign w:val="bottom"/>
          </w:tcPr>
          <w:p>
            <w:pPr>
              <w:spacing w:after="0"/>
              <w:rPr>
                <w:sz w:val="12"/>
                <w:szCs w:val="12"/>
                <w:color w:val="auto"/>
              </w:rPr>
            </w:pPr>
          </w:p>
        </w:tc>
        <w:tc>
          <w:tcPr>
            <w:tcW w:w="5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Sales</w:t>
            </w:r>
          </w:p>
        </w:tc>
        <w:tc>
          <w:tcPr>
            <w:tcW w:w="14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62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b w:val="1"/>
                <w:bCs w:val="1"/>
                <w:color w:val="auto"/>
              </w:rPr>
              <w:t>of Net</w:t>
            </w:r>
          </w:p>
        </w:tc>
        <w:tc>
          <w:tcPr>
            <w:tcW w:w="0" w:type="dxa"/>
            <w:vAlign w:val="bottom"/>
          </w:tcPr>
          <w:p>
            <w:pPr>
              <w:spacing w:after="0"/>
              <w:rPr>
                <w:sz w:val="1"/>
                <w:szCs w:val="1"/>
                <w:color w:val="auto"/>
              </w:rPr>
            </w:pPr>
          </w:p>
        </w:tc>
      </w:tr>
      <w:tr>
        <w:trPr>
          <w:trHeight w:val="189"/>
        </w:trPr>
        <w:tc>
          <w:tcPr>
            <w:tcW w:w="24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Company/Investment</w:t>
            </w:r>
          </w:p>
        </w:tc>
        <w:tc>
          <w:tcPr>
            <w:tcW w:w="80" w:type="dxa"/>
            <w:vAlign w:val="bottom"/>
          </w:tcPr>
          <w:p>
            <w:pPr>
              <w:spacing w:after="0"/>
              <w:rPr>
                <w:sz w:val="16"/>
                <w:szCs w:val="16"/>
                <w:color w:val="auto"/>
              </w:rPr>
            </w:pPr>
          </w:p>
        </w:tc>
        <w:tc>
          <w:tcPr>
            <w:tcW w:w="8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6"/>
              </w:rPr>
              <w:t>Quantity</w:t>
            </w:r>
          </w:p>
        </w:tc>
        <w:tc>
          <w:tcPr>
            <w:tcW w:w="76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7"/>
              </w:rPr>
              <w:t>in Income</w:t>
            </w:r>
          </w:p>
        </w:tc>
        <w:tc>
          <w:tcPr>
            <w:tcW w:w="120" w:type="dxa"/>
            <w:vAlign w:val="bottom"/>
          </w:tcPr>
          <w:p>
            <w:pPr>
              <w:spacing w:after="0"/>
              <w:rPr>
                <w:sz w:val="16"/>
                <w:szCs w:val="16"/>
                <w:color w:val="auto"/>
              </w:rPr>
            </w:pPr>
          </w:p>
        </w:tc>
        <w:tc>
          <w:tcPr>
            <w:tcW w:w="780" w:type="dxa"/>
            <w:vAlign w:val="bottom"/>
          </w:tcPr>
          <w:p>
            <w:pPr>
              <w:jc w:val="center"/>
              <w:ind w:right="63"/>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(Out)</w:t>
            </w:r>
          </w:p>
        </w:tc>
        <w:tc>
          <w:tcPr>
            <w:tcW w:w="90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7"/>
              </w:rPr>
              <w:t>Amortization</w:t>
            </w:r>
          </w:p>
        </w:tc>
        <w:tc>
          <w:tcPr>
            <w:tcW w:w="120" w:type="dxa"/>
            <w:vAlign w:val="bottom"/>
          </w:tcPr>
          <w:p>
            <w:pPr>
              <w:spacing w:after="0"/>
              <w:rPr>
                <w:sz w:val="16"/>
                <w:szCs w:val="16"/>
                <w:color w:val="auto"/>
              </w:rPr>
            </w:pPr>
          </w:p>
        </w:tc>
        <w:tc>
          <w:tcPr>
            <w:tcW w:w="520" w:type="dxa"/>
            <w:vAlign w:val="bottom"/>
            <w:gridSpan w:val="2"/>
            <w:vMerge w:val="continue"/>
          </w:tcPr>
          <w:p>
            <w:pPr>
              <w:spacing w:after="0"/>
              <w:rPr>
                <w:sz w:val="16"/>
                <w:szCs w:val="16"/>
                <w:color w:val="auto"/>
              </w:rPr>
            </w:pPr>
          </w:p>
        </w:tc>
        <w:tc>
          <w:tcPr>
            <w:tcW w:w="9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Gains/(Losses)</w:t>
            </w:r>
          </w:p>
        </w:tc>
        <w:tc>
          <w:tcPr>
            <w:tcW w:w="9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Gains/(Losses)</w:t>
            </w:r>
          </w:p>
        </w:tc>
        <w:tc>
          <w:tcPr>
            <w:tcW w:w="9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0" w:type="dxa"/>
            <w:vAlign w:val="bottom"/>
          </w:tcPr>
          <w:p>
            <w:pPr>
              <w:spacing w:after="0"/>
              <w:rPr>
                <w:sz w:val="1"/>
                <w:szCs w:val="1"/>
                <w:color w:val="auto"/>
              </w:rPr>
            </w:pPr>
          </w:p>
        </w:tc>
      </w:tr>
      <w:tr>
        <w:trPr>
          <w:trHeight w:val="218"/>
        </w:trPr>
        <w:tc>
          <w:tcPr>
            <w:tcW w:w="24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Options</w:t>
            </w:r>
          </w:p>
        </w:tc>
        <w:tc>
          <w:tcPr>
            <w:tcW w:w="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440" w:type="dxa"/>
            <w:vAlign w:val="bottom"/>
          </w:tcPr>
          <w:p>
            <w:pPr>
              <w:ind w:left="120"/>
              <w:spacing w:after="0"/>
              <w:rPr>
                <w:sz w:val="20"/>
                <w:szCs w:val="20"/>
                <w:color w:val="auto"/>
              </w:rPr>
            </w:pPr>
            <w:r>
              <w:rPr>
                <w:rFonts w:ascii="Times New Roman" w:cs="Times New Roman" w:eastAsia="Times New Roman" w:hAnsi="Times New Roman"/>
                <w:sz w:val="16"/>
                <w:szCs w:val="16"/>
                <w:i w:val="1"/>
                <w:iCs w:val="1"/>
                <w:color w:val="auto"/>
              </w:rPr>
              <w:t>Digital Media Platform</w:t>
            </w: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2440" w:type="dxa"/>
            <w:vAlign w:val="bottom"/>
            <w:shd w:val="clear" w:color="auto" w:fill="CCEEFF"/>
          </w:tcPr>
          <w:p>
            <w:pPr>
              <w:ind w:left="200"/>
              <w:spacing w:after="0" w:line="170" w:lineRule="exact"/>
              <w:rPr>
                <w:sz w:val="20"/>
                <w:szCs w:val="20"/>
                <w:color w:val="auto"/>
              </w:rPr>
            </w:pPr>
            <w:r>
              <w:rPr>
                <w:rFonts w:ascii="Times New Roman" w:cs="Times New Roman" w:eastAsia="Times New Roman" w:hAnsi="Times New Roman"/>
                <w:sz w:val="16"/>
                <w:szCs w:val="16"/>
                <w:color w:val="auto"/>
              </w:rPr>
              <w:t>Ozy Media, Inc.–Common</w:t>
            </w: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440" w:type="dxa"/>
            <w:vAlign w:val="bottom"/>
            <w:shd w:val="clear" w:color="auto" w:fill="CCEEFF"/>
          </w:tcPr>
          <w:p>
            <w:pPr>
              <w:ind w:left="200"/>
              <w:spacing w:after="0" w:line="155" w:lineRule="exact"/>
              <w:rPr>
                <w:sz w:val="20"/>
                <w:szCs w:val="20"/>
                <w:color w:val="auto"/>
              </w:rPr>
            </w:pPr>
            <w:r>
              <w:rPr>
                <w:rFonts w:ascii="Times New Roman" w:cs="Times New Roman" w:eastAsia="Times New Roman" w:hAnsi="Times New Roman"/>
                <w:sz w:val="16"/>
                <w:szCs w:val="16"/>
                <w:color w:val="auto"/>
              </w:rPr>
              <w:t>Warrants, Strike Price $0.01,</w:t>
            </w:r>
          </w:p>
        </w:tc>
        <w:tc>
          <w:tcPr>
            <w:tcW w:w="900" w:type="dxa"/>
            <w:vAlign w:val="bottom"/>
            <w:gridSpan w:val="2"/>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6"/>
                <w:szCs w:val="16"/>
                <w:color w:val="auto"/>
              </w:rPr>
              <w:t>295,565</w:t>
            </w:r>
          </w:p>
        </w:tc>
        <w:tc>
          <w:tcPr>
            <w:tcW w:w="60" w:type="dxa"/>
            <w:vAlign w:val="bottom"/>
            <w:shd w:val="clear" w:color="auto" w:fill="CCEEFF"/>
          </w:tcPr>
          <w:p>
            <w:pPr>
              <w:spacing w:after="0"/>
              <w:rPr>
                <w:sz w:val="13"/>
                <w:szCs w:val="13"/>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gridSpan w:val="2"/>
            <w:vMerge w:val="restart"/>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gridSpan w:val="2"/>
            <w:vMerge w:val="restart"/>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gridSpan w:val="2"/>
            <w:vMerge w:val="restart"/>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gridSpan w:val="2"/>
            <w:vMerge w:val="restart"/>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vMerge w:val="restart"/>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7"/>
        </w:trPr>
        <w:tc>
          <w:tcPr>
            <w:tcW w:w="24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Expiration Date 4/9/2028</w:t>
            </w:r>
          </w:p>
        </w:tc>
        <w:tc>
          <w:tcPr>
            <w:tcW w:w="900" w:type="dxa"/>
            <w:vAlign w:val="bottom"/>
            <w:gridSpan w:val="2"/>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660" w:type="dxa"/>
            <w:vAlign w:val="bottom"/>
            <w:gridSpan w:val="2"/>
            <w:vMerge w:val="continue"/>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700" w:type="dxa"/>
            <w:vAlign w:val="bottom"/>
            <w:gridSpan w:val="2"/>
            <w:vMerge w:val="continue"/>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520" w:type="dxa"/>
            <w:vAlign w:val="bottom"/>
            <w:gridSpan w:val="2"/>
            <w:vMerge w:val="continue"/>
            <w:shd w:val="clear" w:color="auto" w:fill="CCEEFF"/>
          </w:tcPr>
          <w:p>
            <w:pPr>
              <w:spacing w:after="0"/>
              <w:rPr>
                <w:sz w:val="17"/>
                <w:szCs w:val="17"/>
                <w:color w:val="auto"/>
              </w:rPr>
            </w:pPr>
          </w:p>
        </w:tc>
        <w:tc>
          <w:tcPr>
            <w:tcW w:w="140" w:type="dxa"/>
            <w:vAlign w:val="bottom"/>
            <w:vMerge w:val="continue"/>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860" w:type="dxa"/>
            <w:vAlign w:val="bottom"/>
            <w:gridSpan w:val="2"/>
            <w:vMerge w:val="continue"/>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860" w:type="dxa"/>
            <w:vAlign w:val="bottom"/>
            <w:gridSpan w:val="2"/>
            <w:vMerge w:val="continue"/>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440" w:type="dxa"/>
            <w:vAlign w:val="bottom"/>
          </w:tcPr>
          <w:p>
            <w:pPr>
              <w:ind w:left="120"/>
              <w:spacing w:after="0"/>
              <w:rPr>
                <w:sz w:val="20"/>
                <w:szCs w:val="20"/>
                <w:color w:val="auto"/>
              </w:rPr>
            </w:pPr>
            <w:r>
              <w:rPr>
                <w:rFonts w:ascii="Times New Roman" w:cs="Times New Roman" w:eastAsia="Times New Roman" w:hAnsi="Times New Roman"/>
                <w:sz w:val="16"/>
                <w:szCs w:val="16"/>
                <w:i w:val="1"/>
                <w:iCs w:val="1"/>
                <w:color w:val="auto"/>
              </w:rPr>
              <w:t>Global Innovation Platform</w:t>
            </w: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2440" w:type="dxa"/>
            <w:vAlign w:val="bottom"/>
            <w:shd w:val="clear" w:color="auto" w:fill="CCEEFF"/>
          </w:tcPr>
          <w:p>
            <w:pPr>
              <w:ind w:left="200"/>
              <w:spacing w:after="0" w:line="157" w:lineRule="exact"/>
              <w:rPr>
                <w:sz w:val="20"/>
                <w:szCs w:val="20"/>
                <w:color w:val="auto"/>
              </w:rPr>
            </w:pPr>
            <w:r>
              <w:rPr>
                <w:rFonts w:ascii="Times New Roman" w:cs="Times New Roman" w:eastAsia="Times New Roman" w:hAnsi="Times New Roman"/>
                <w:sz w:val="16"/>
                <w:szCs w:val="16"/>
                <w:color w:val="auto"/>
              </w:rPr>
              <w:t>OneValley, Inc. (f/k/a NestGSV,</w:t>
            </w: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440" w:type="dxa"/>
            <w:vAlign w:val="bottom"/>
            <w:shd w:val="clear" w:color="auto" w:fill="CCEEFF"/>
          </w:tcPr>
          <w:p>
            <w:pPr>
              <w:ind w:left="200"/>
              <w:spacing w:after="0" w:line="155" w:lineRule="exact"/>
              <w:rPr>
                <w:sz w:val="20"/>
                <w:szCs w:val="20"/>
                <w:color w:val="auto"/>
              </w:rPr>
            </w:pPr>
            <w:r>
              <w:rPr>
                <w:rFonts w:ascii="Times New Roman" w:cs="Times New Roman" w:eastAsia="Times New Roman" w:hAnsi="Times New Roman"/>
                <w:sz w:val="16"/>
                <w:szCs w:val="16"/>
                <w:color w:val="auto"/>
              </w:rPr>
              <w:t>Inc.)–Preferred Warrant Series B,</w:t>
            </w: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440" w:type="dxa"/>
            <w:vAlign w:val="bottom"/>
            <w:shd w:val="clear" w:color="auto" w:fill="CCEEFF"/>
          </w:tcPr>
          <w:p>
            <w:pPr>
              <w:ind w:left="200"/>
              <w:spacing w:after="0" w:line="155" w:lineRule="exact"/>
              <w:rPr>
                <w:sz w:val="20"/>
                <w:szCs w:val="20"/>
                <w:color w:val="auto"/>
              </w:rPr>
            </w:pPr>
            <w:r>
              <w:rPr>
                <w:rFonts w:ascii="Times New Roman" w:cs="Times New Roman" w:eastAsia="Times New Roman" w:hAnsi="Times New Roman"/>
                <w:sz w:val="16"/>
                <w:szCs w:val="16"/>
                <w:color w:val="auto"/>
                <w:w w:val="98"/>
              </w:rPr>
              <w:t>Strike Price $2.31, Expiration Date</w:t>
            </w:r>
          </w:p>
        </w:tc>
        <w:tc>
          <w:tcPr>
            <w:tcW w:w="80" w:type="dxa"/>
            <w:vAlign w:val="bottom"/>
            <w:shd w:val="clear" w:color="auto" w:fill="CCEEFF"/>
          </w:tcPr>
          <w:p>
            <w:pPr>
              <w:spacing w:after="0"/>
              <w:rPr>
                <w:sz w:val="13"/>
                <w:szCs w:val="13"/>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3"/>
                <w:szCs w:val="13"/>
                <w:color w:val="auto"/>
              </w:rPr>
            </w:pPr>
          </w:p>
        </w:tc>
        <w:tc>
          <w:tcPr>
            <w:tcW w:w="660" w:type="dxa"/>
            <w:vAlign w:val="bottom"/>
            <w:gridSpan w:val="2"/>
            <w:vMerge w:val="restart"/>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3"/>
                <w:szCs w:val="13"/>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3"/>
                <w:szCs w:val="13"/>
                <w:color w:val="auto"/>
              </w:rPr>
            </w:pPr>
          </w:p>
        </w:tc>
        <w:tc>
          <w:tcPr>
            <w:tcW w:w="700" w:type="dxa"/>
            <w:vAlign w:val="bottom"/>
            <w:gridSpan w:val="2"/>
            <w:vMerge w:val="restart"/>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vMerge w:val="restart"/>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3"/>
                <w:szCs w:val="13"/>
                <w:color w:val="auto"/>
              </w:rPr>
            </w:pPr>
          </w:p>
        </w:tc>
        <w:tc>
          <w:tcPr>
            <w:tcW w:w="520" w:type="dxa"/>
            <w:vAlign w:val="bottom"/>
            <w:gridSpan w:val="2"/>
            <w:vMerge w:val="restart"/>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w w:val="95"/>
              </w:rPr>
              <w:t>(70,379)</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70,379</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7"/>
        </w:trPr>
        <w:tc>
          <w:tcPr>
            <w:tcW w:w="24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5/29/2022</w:t>
            </w:r>
          </w:p>
        </w:tc>
        <w:tc>
          <w:tcPr>
            <w:tcW w:w="80" w:type="dxa"/>
            <w:vAlign w:val="bottom"/>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vMerge w:val="continue"/>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2440" w:type="dxa"/>
            <w:vAlign w:val="bottom"/>
          </w:tcPr>
          <w:p>
            <w:pPr>
              <w:ind w:left="200"/>
              <w:spacing w:after="0" w:line="155" w:lineRule="exact"/>
              <w:rPr>
                <w:sz w:val="20"/>
                <w:szCs w:val="20"/>
                <w:color w:val="auto"/>
              </w:rPr>
            </w:pPr>
            <w:r>
              <w:rPr>
                <w:rFonts w:ascii="Times New Roman" w:cs="Times New Roman" w:eastAsia="Times New Roman" w:hAnsi="Times New Roman"/>
                <w:sz w:val="16"/>
                <w:szCs w:val="16"/>
                <w:color w:val="auto"/>
              </w:rPr>
              <w:t>OneValley, Inc. (f/k/a NestGSV,</w:t>
            </w: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440" w:type="dxa"/>
            <w:vAlign w:val="bottom"/>
          </w:tcPr>
          <w:p>
            <w:pPr>
              <w:ind w:left="200"/>
              <w:spacing w:after="0" w:line="155" w:lineRule="exact"/>
              <w:rPr>
                <w:sz w:val="20"/>
                <w:szCs w:val="20"/>
                <w:color w:val="auto"/>
              </w:rPr>
            </w:pPr>
            <w:r>
              <w:rPr>
                <w:rFonts w:ascii="Times New Roman" w:cs="Times New Roman" w:eastAsia="Times New Roman" w:hAnsi="Times New Roman"/>
                <w:sz w:val="16"/>
                <w:szCs w:val="16"/>
                <w:color w:val="auto"/>
              </w:rPr>
              <w:t>Inc.)–Preferred Warrant Series B,</w:t>
            </w: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440" w:type="dxa"/>
            <w:vAlign w:val="bottom"/>
          </w:tcPr>
          <w:p>
            <w:pPr>
              <w:ind w:left="200"/>
              <w:spacing w:after="0" w:line="155" w:lineRule="exact"/>
              <w:rPr>
                <w:sz w:val="20"/>
                <w:szCs w:val="20"/>
                <w:color w:val="auto"/>
              </w:rPr>
            </w:pPr>
            <w:r>
              <w:rPr>
                <w:rFonts w:ascii="Times New Roman" w:cs="Times New Roman" w:eastAsia="Times New Roman" w:hAnsi="Times New Roman"/>
                <w:sz w:val="16"/>
                <w:szCs w:val="16"/>
                <w:color w:val="auto"/>
                <w:w w:val="98"/>
              </w:rPr>
              <w:t>Strike Price $2.31, Expiration Date</w:t>
            </w:r>
          </w:p>
        </w:tc>
        <w:tc>
          <w:tcPr>
            <w:tcW w:w="900" w:type="dxa"/>
            <w:vAlign w:val="bottom"/>
            <w:gridSpan w:val="2"/>
            <w:vMerge w:val="restart"/>
          </w:tcPr>
          <w:p>
            <w:pPr>
              <w:jc w:val="right"/>
              <w:ind w:right="8"/>
              <w:spacing w:after="0"/>
              <w:rPr>
                <w:sz w:val="20"/>
                <w:szCs w:val="20"/>
                <w:color w:val="auto"/>
              </w:rPr>
            </w:pPr>
            <w:r>
              <w:rPr>
                <w:rFonts w:ascii="Times New Roman" w:cs="Times New Roman" w:eastAsia="Times New Roman" w:hAnsi="Times New Roman"/>
                <w:sz w:val="16"/>
                <w:szCs w:val="16"/>
                <w:color w:val="auto"/>
              </w:rPr>
              <w:t>250,000</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2"/>
            <w:vMerge w:val="restart"/>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3"/>
                <w:szCs w:val="13"/>
                <w:color w:val="auto"/>
              </w:rPr>
            </w:pPr>
          </w:p>
        </w:tc>
        <w:tc>
          <w:tcPr>
            <w:tcW w:w="78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auto"/>
              </w:rPr>
              <w:t>5,000</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2"/>
            <w:vMerge w:val="restart"/>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3"/>
                <w:szCs w:val="13"/>
                <w:color w:val="auto"/>
              </w:rPr>
            </w:pPr>
          </w:p>
        </w:tc>
        <w:tc>
          <w:tcPr>
            <w:tcW w:w="800" w:type="dxa"/>
            <w:vAlign w:val="bottom"/>
            <w:gridSpan w:val="2"/>
            <w:vMerge w:val="restart"/>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3"/>
                <w:szCs w:val="13"/>
                <w:color w:val="auto"/>
              </w:rPr>
            </w:pPr>
          </w:p>
        </w:tc>
        <w:tc>
          <w:tcPr>
            <w:tcW w:w="520" w:type="dxa"/>
            <w:vAlign w:val="bottom"/>
            <w:gridSpan w:val="2"/>
            <w:vMerge w:val="restart"/>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3"/>
                <w:szCs w:val="13"/>
                <w:color w:val="auto"/>
              </w:rPr>
            </w:pPr>
          </w:p>
        </w:tc>
        <w:tc>
          <w:tcPr>
            <w:tcW w:w="820" w:type="dxa"/>
            <w:vAlign w:val="bottom"/>
            <w:gridSpan w:val="2"/>
            <w:vMerge w:val="restart"/>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(1,250)</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3,750</w:t>
            </w:r>
          </w:p>
        </w:tc>
        <w:tc>
          <w:tcPr>
            <w:tcW w:w="80" w:type="dxa"/>
            <w:vAlign w:val="bottom"/>
          </w:tcPr>
          <w:p>
            <w:pPr>
              <w:spacing w:after="0"/>
              <w:rPr>
                <w:sz w:val="13"/>
                <w:szCs w:val="13"/>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0.00</w:t>
            </w:r>
          </w:p>
        </w:tc>
        <w:tc>
          <w:tcPr>
            <w:tcW w:w="0" w:type="dxa"/>
            <w:vAlign w:val="bottom"/>
          </w:tcPr>
          <w:p>
            <w:pPr>
              <w:spacing w:after="0"/>
              <w:rPr>
                <w:sz w:val="1"/>
                <w:szCs w:val="1"/>
                <w:color w:val="auto"/>
              </w:rPr>
            </w:pPr>
          </w:p>
        </w:tc>
      </w:tr>
      <w:tr>
        <w:trPr>
          <w:trHeight w:val="205"/>
        </w:trPr>
        <w:tc>
          <w:tcPr>
            <w:tcW w:w="24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12/31/2023</w:t>
            </w:r>
          </w:p>
        </w:tc>
        <w:tc>
          <w:tcPr>
            <w:tcW w:w="900" w:type="dxa"/>
            <w:vAlign w:val="bottom"/>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2440" w:type="dxa"/>
            <w:vAlign w:val="bottom"/>
            <w:shd w:val="clear" w:color="auto" w:fill="CCEEFF"/>
          </w:tcPr>
          <w:p>
            <w:pPr>
              <w:ind w:left="200"/>
              <w:spacing w:after="0" w:line="158" w:lineRule="exact"/>
              <w:rPr>
                <w:sz w:val="20"/>
                <w:szCs w:val="20"/>
                <w:color w:val="auto"/>
              </w:rPr>
            </w:pPr>
            <w:r>
              <w:rPr>
                <w:rFonts w:ascii="Times New Roman" w:cs="Times New Roman" w:eastAsia="Times New Roman" w:hAnsi="Times New Roman"/>
                <w:sz w:val="16"/>
                <w:szCs w:val="16"/>
                <w:color w:val="auto"/>
              </w:rPr>
              <w:t>Derivative Security, Expiration</w:t>
            </w:r>
          </w:p>
        </w:tc>
        <w:tc>
          <w:tcPr>
            <w:tcW w:w="900" w:type="dxa"/>
            <w:vAlign w:val="bottom"/>
            <w:gridSpan w:val="2"/>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6"/>
                <w:szCs w:val="16"/>
                <w:color w:val="auto"/>
              </w:rPr>
              <w:t>1</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gridSpan w:val="2"/>
            <w:vMerge w:val="restart"/>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2,268,268</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gridSpan w:val="2"/>
            <w:vMerge w:val="restart"/>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vMerge w:val="restart"/>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3"/>
                <w:szCs w:val="13"/>
                <w:color w:val="auto"/>
              </w:rPr>
            </w:pPr>
          </w:p>
        </w:tc>
        <w:tc>
          <w:tcPr>
            <w:tcW w:w="520" w:type="dxa"/>
            <w:vAlign w:val="bottom"/>
            <w:gridSpan w:val="2"/>
            <w:vMerge w:val="restart"/>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3"/>
                <w:szCs w:val="13"/>
                <w:color w:val="auto"/>
              </w:rPr>
            </w:pPr>
          </w:p>
        </w:tc>
        <w:tc>
          <w:tcPr>
            <w:tcW w:w="820" w:type="dxa"/>
            <w:vAlign w:val="bottom"/>
            <w:gridSpan w:val="2"/>
            <w:vMerge w:val="restart"/>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164,179</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2,432,447</w:t>
            </w:r>
          </w:p>
        </w:tc>
        <w:tc>
          <w:tcPr>
            <w:tcW w:w="80" w:type="dxa"/>
            <w:vAlign w:val="bottom"/>
            <w:shd w:val="clear" w:color="auto" w:fill="CCEEFF"/>
          </w:tcPr>
          <w:p>
            <w:pPr>
              <w:spacing w:after="0"/>
              <w:rPr>
                <w:sz w:val="13"/>
                <w:szCs w:val="13"/>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0.87</w:t>
            </w:r>
          </w:p>
        </w:tc>
        <w:tc>
          <w:tcPr>
            <w:tcW w:w="0" w:type="dxa"/>
            <w:vAlign w:val="bottom"/>
          </w:tcPr>
          <w:p>
            <w:pPr>
              <w:spacing w:after="0"/>
              <w:rPr>
                <w:sz w:val="1"/>
                <w:szCs w:val="1"/>
                <w:color w:val="auto"/>
              </w:rPr>
            </w:pPr>
          </w:p>
        </w:tc>
      </w:tr>
      <w:tr>
        <w:trPr>
          <w:trHeight w:val="207"/>
        </w:trPr>
        <w:tc>
          <w:tcPr>
            <w:tcW w:w="2440" w:type="dxa"/>
            <w:vAlign w:val="bottom"/>
            <w:shd w:val="clear" w:color="auto" w:fill="CCEEFF"/>
          </w:tcPr>
          <w:p>
            <w:pPr>
              <w:ind w:left="200"/>
              <w:spacing w:after="0" w:line="207" w:lineRule="exact"/>
              <w:rPr>
                <w:sz w:val="20"/>
                <w:szCs w:val="20"/>
                <w:color w:val="auto"/>
              </w:rPr>
            </w:pPr>
            <w:r>
              <w:rPr>
                <w:rFonts w:ascii="Times New Roman" w:cs="Times New Roman" w:eastAsia="Times New Roman" w:hAnsi="Times New Roman"/>
                <w:sz w:val="16"/>
                <w:szCs w:val="16"/>
                <w:color w:val="auto"/>
              </w:rPr>
              <w:t>Date 8/23/2024</w:t>
            </w:r>
            <w:r>
              <w:rPr>
                <w:rFonts w:ascii="Times New Roman" w:cs="Times New Roman" w:eastAsia="Times New Roman" w:hAnsi="Times New Roman"/>
                <w:sz w:val="20"/>
                <w:szCs w:val="20"/>
                <w:color w:val="auto"/>
                <w:vertAlign w:val="superscript"/>
              </w:rPr>
              <w:t>(6)</w:t>
            </w:r>
          </w:p>
        </w:tc>
        <w:tc>
          <w:tcPr>
            <w:tcW w:w="900" w:type="dxa"/>
            <w:vAlign w:val="bottom"/>
            <w:gridSpan w:val="2"/>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440" w:type="dxa"/>
            <w:vAlign w:val="bottom"/>
          </w:tcPr>
          <w:p>
            <w:pPr>
              <w:ind w:left="120"/>
              <w:spacing w:after="0"/>
              <w:rPr>
                <w:sz w:val="20"/>
                <w:szCs w:val="20"/>
                <w:color w:val="auto"/>
              </w:rPr>
            </w:pPr>
            <w:r>
              <w:rPr>
                <w:rFonts w:ascii="Times New Roman" w:cs="Times New Roman" w:eastAsia="Times New Roman" w:hAnsi="Times New Roman"/>
                <w:sz w:val="16"/>
                <w:szCs w:val="16"/>
                <w:i w:val="1"/>
                <w:iCs w:val="1"/>
                <w:color w:val="auto"/>
              </w:rPr>
              <w:t>Total Global Innovation Platform</w:t>
            </w: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2,273,268</w:t>
            </w:r>
          </w:p>
        </w:tc>
        <w:tc>
          <w:tcPr>
            <w:tcW w:w="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ind w:left="200"/>
              <w:spacing w:after="0"/>
              <w:rPr>
                <w:sz w:val="20"/>
                <w:szCs w:val="20"/>
                <w:color w:val="auto"/>
              </w:rPr>
            </w:pPr>
            <w:r>
              <w:rPr>
                <w:rFonts w:ascii="Times New Roman" w:cs="Times New Roman" w:eastAsia="Times New Roman" w:hAnsi="Times New Roman"/>
                <w:sz w:val="16"/>
                <w:szCs w:val="16"/>
                <w:color w:val="auto"/>
                <w:w w:val="95"/>
              </w:rPr>
              <w:t>(70,379)</w:t>
            </w: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233,308</w:t>
            </w: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2,436,197</w:t>
            </w:r>
          </w:p>
        </w:tc>
        <w:tc>
          <w:tcPr>
            <w:tcW w:w="80" w:type="dxa"/>
            <w:vAlign w:val="bottom"/>
          </w:tcPr>
          <w:p>
            <w:pPr>
              <w:spacing w:after="0"/>
              <w:rPr>
                <w:sz w:val="17"/>
                <w:szCs w:val="17"/>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0.87</w:t>
            </w:r>
          </w:p>
        </w:tc>
        <w:tc>
          <w:tcPr>
            <w:tcW w:w="0" w:type="dxa"/>
            <w:vAlign w:val="bottom"/>
          </w:tcPr>
          <w:p>
            <w:pPr>
              <w:spacing w:after="0"/>
              <w:rPr>
                <w:sz w:val="1"/>
                <w:szCs w:val="1"/>
                <w:color w:val="auto"/>
              </w:rPr>
            </w:pPr>
          </w:p>
        </w:tc>
      </w:tr>
      <w:tr>
        <w:trPr>
          <w:trHeight w:val="222"/>
        </w:trPr>
        <w:tc>
          <w:tcPr>
            <w:tcW w:w="2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Options</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2,273,268</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5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w w:val="95"/>
              </w:rPr>
              <w:t>(70,379)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233,308</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2,436,197</w:t>
            </w: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0.87</w:t>
            </w:r>
          </w:p>
        </w:tc>
        <w:tc>
          <w:tcPr>
            <w:tcW w:w="0" w:type="dxa"/>
            <w:vAlign w:val="bottom"/>
          </w:tcPr>
          <w:p>
            <w:pPr>
              <w:spacing w:after="0"/>
              <w:rPr>
                <w:sz w:val="1"/>
                <w:szCs w:val="1"/>
                <w:color w:val="auto"/>
              </w:rPr>
            </w:pPr>
          </w:p>
        </w:tc>
      </w:tr>
      <w:tr>
        <w:trPr>
          <w:trHeight w:val="206"/>
        </w:trPr>
        <w:tc>
          <w:tcPr>
            <w:tcW w:w="24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i w:val="1"/>
                <w:iCs w:val="1"/>
                <w:color w:val="auto"/>
              </w:rPr>
              <w:t>Online Education</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440" w:type="dxa"/>
            <w:vAlign w:val="bottom"/>
          </w:tcPr>
          <w:p>
            <w:pPr>
              <w:ind w:left="200"/>
              <w:spacing w:after="0"/>
              <w:rPr>
                <w:sz w:val="20"/>
                <w:szCs w:val="20"/>
                <w:color w:val="auto"/>
              </w:rPr>
            </w:pPr>
            <w:r>
              <w:rPr>
                <w:rFonts w:ascii="Times New Roman" w:cs="Times New Roman" w:eastAsia="Times New Roman" w:hAnsi="Times New Roman"/>
                <w:sz w:val="16"/>
                <w:szCs w:val="16"/>
                <w:color w:val="auto"/>
                <w:w w:val="98"/>
              </w:rPr>
              <w:t>Curious.com, Inc.–Common shares</w:t>
            </w:r>
          </w:p>
        </w:tc>
        <w:tc>
          <w:tcPr>
            <w:tcW w:w="900" w:type="dxa"/>
            <w:vAlign w:val="bottom"/>
            <w:gridSpan w:val="2"/>
          </w:tcPr>
          <w:p>
            <w:pPr>
              <w:jc w:val="right"/>
              <w:ind w:right="8"/>
              <w:spacing w:after="0"/>
              <w:rPr>
                <w:sz w:val="20"/>
                <w:szCs w:val="20"/>
                <w:color w:val="auto"/>
              </w:rPr>
            </w:pPr>
            <w:r>
              <w:rPr>
                <w:rFonts w:ascii="Times New Roman" w:cs="Times New Roman" w:eastAsia="Times New Roman" w:hAnsi="Times New Roman"/>
                <w:sz w:val="16"/>
                <w:szCs w:val="16"/>
                <w:color w:val="auto"/>
              </w:rPr>
              <w:t>1,135,944</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700" w:type="dxa"/>
            <w:vAlign w:val="bottom"/>
            <w:gridSpan w:val="2"/>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800" w:type="dxa"/>
            <w:vAlign w:val="bottom"/>
            <w:gridSpan w:val="2"/>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52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820" w:type="dxa"/>
            <w:vAlign w:val="bottom"/>
            <w:gridSpan w:val="2"/>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8"/>
        </w:trPr>
        <w:tc>
          <w:tcPr>
            <w:tcW w:w="2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Common Stock</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49"/>
        </w:trPr>
        <w:tc>
          <w:tcPr>
            <w:tcW w:w="2440" w:type="dxa"/>
            <w:vAlign w:val="bottom"/>
            <w:tcBorders>
              <w:top w:val="single" w:sz="8" w:color="CCEEFF"/>
            </w:tcBorders>
          </w:tcPr>
          <w:p>
            <w:pPr>
              <w:ind w:left="20"/>
              <w:spacing w:after="0" w:line="150" w:lineRule="exact"/>
              <w:rPr>
                <w:sz w:val="20"/>
                <w:szCs w:val="20"/>
                <w:color w:val="auto"/>
              </w:rPr>
            </w:pPr>
            <w:r>
              <w:rPr>
                <w:rFonts w:ascii="Times New Roman" w:cs="Times New Roman" w:eastAsia="Times New Roman" w:hAnsi="Times New Roman"/>
                <w:sz w:val="16"/>
                <w:szCs w:val="16"/>
                <w:b w:val="1"/>
                <w:bCs w:val="1"/>
                <w:color w:val="auto"/>
              </w:rPr>
              <w:t>TOTAL NON-</w:t>
            </w: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440" w:type="dxa"/>
            <w:vAlign w:val="bottom"/>
          </w:tcPr>
          <w:p>
            <w:pPr>
              <w:ind w:left="20"/>
              <w:spacing w:after="0" w:line="155" w:lineRule="exact"/>
              <w:rPr>
                <w:sz w:val="20"/>
                <w:szCs w:val="20"/>
                <w:color w:val="auto"/>
              </w:rPr>
            </w:pPr>
            <w:r>
              <w:rPr>
                <w:rFonts w:ascii="Times New Roman" w:cs="Times New Roman" w:eastAsia="Times New Roman" w:hAnsi="Times New Roman"/>
                <w:sz w:val="16"/>
                <w:szCs w:val="16"/>
                <w:b w:val="1"/>
                <w:bCs w:val="1"/>
                <w:color w:val="auto"/>
              </w:rPr>
              <w:t>CONTROLLED/AFFILIATE</w:t>
            </w: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60" w:type="dxa"/>
            <w:vAlign w:val="bottom"/>
            <w:gridSpan w:val="2"/>
            <w:vMerge w:val="restart"/>
          </w:tcPr>
          <w:p>
            <w:pPr>
              <w:ind w:left="36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8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b w:val="1"/>
                <w:bCs w:val="1"/>
                <w:color w:val="auto"/>
                <w:w w:val="94"/>
              </w:rPr>
              <w:t>14,609,089</w:t>
            </w:r>
          </w:p>
        </w:tc>
        <w:tc>
          <w:tcPr>
            <w:tcW w:w="60" w:type="dxa"/>
            <w:vAlign w:val="bottom"/>
          </w:tcPr>
          <w:p>
            <w:pPr>
              <w:spacing w:after="0"/>
              <w:rPr>
                <w:sz w:val="13"/>
                <w:szCs w:val="13"/>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00" w:type="dxa"/>
            <w:vAlign w:val="bottom"/>
            <w:gridSpan w:val="2"/>
            <w:vMerge w:val="restart"/>
          </w:tcPr>
          <w:p>
            <w:pPr>
              <w:ind w:left="400"/>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00" w:type="dxa"/>
            <w:vAlign w:val="bottom"/>
            <w:gridSpan w:val="2"/>
            <w:vMerge w:val="restart"/>
          </w:tcPr>
          <w:p>
            <w:pPr>
              <w:ind w:left="50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20" w:type="dxa"/>
            <w:vAlign w:val="bottom"/>
            <w:gridSpan w:val="2"/>
            <w:vMerge w:val="restart"/>
          </w:tcPr>
          <w:p>
            <w:pPr>
              <w:ind w:left="220"/>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740" w:type="dxa"/>
            <w:vAlign w:val="bottom"/>
            <w:vMerge w:val="restart"/>
          </w:tcPr>
          <w:p>
            <w:pPr>
              <w:ind w:left="200"/>
              <w:spacing w:after="0"/>
              <w:rPr>
                <w:sz w:val="20"/>
                <w:szCs w:val="20"/>
                <w:color w:val="auto"/>
              </w:rPr>
            </w:pPr>
            <w:r>
              <w:rPr>
                <w:rFonts w:ascii="Times New Roman" w:cs="Times New Roman" w:eastAsia="Times New Roman" w:hAnsi="Times New Roman"/>
                <w:sz w:val="16"/>
                <w:szCs w:val="16"/>
                <w:b w:val="1"/>
                <w:bCs w:val="1"/>
                <w:color w:val="auto"/>
                <w:w w:val="95"/>
              </w:rPr>
              <w:t>(70,379)</w:t>
            </w:r>
          </w:p>
        </w:tc>
        <w:tc>
          <w:tcPr>
            <w:tcW w:w="80" w:type="dxa"/>
            <w:vAlign w:val="bottom"/>
          </w:tcPr>
          <w:p>
            <w:pPr>
              <w:spacing w:after="0"/>
              <w:rPr>
                <w:sz w:val="13"/>
                <w:szCs w:val="13"/>
                <w:color w:val="auto"/>
              </w:rPr>
            </w:pPr>
          </w:p>
        </w:tc>
        <w:tc>
          <w:tcPr>
            <w:tcW w:w="12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(361,620)</w:t>
            </w:r>
          </w:p>
        </w:tc>
        <w:tc>
          <w:tcPr>
            <w:tcW w:w="80" w:type="dxa"/>
            <w:vAlign w:val="bottom"/>
          </w:tcPr>
          <w:p>
            <w:pPr>
              <w:spacing w:after="0"/>
              <w:rPr>
                <w:sz w:val="13"/>
                <w:szCs w:val="13"/>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w w:val="97"/>
              </w:rPr>
              <w:t>14,177,090</w:t>
            </w:r>
          </w:p>
        </w:tc>
        <w:tc>
          <w:tcPr>
            <w:tcW w:w="80" w:type="dxa"/>
            <w:vAlign w:val="bottom"/>
          </w:tcPr>
          <w:p>
            <w:pPr>
              <w:spacing w:after="0"/>
              <w:rPr>
                <w:sz w:val="13"/>
                <w:szCs w:val="13"/>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5.06</w:t>
            </w:r>
          </w:p>
        </w:tc>
        <w:tc>
          <w:tcPr>
            <w:tcW w:w="0" w:type="dxa"/>
            <w:vAlign w:val="bottom"/>
          </w:tcPr>
          <w:p>
            <w:pPr>
              <w:spacing w:after="0"/>
              <w:rPr>
                <w:sz w:val="1"/>
                <w:szCs w:val="1"/>
                <w:color w:val="auto"/>
              </w:rPr>
            </w:pPr>
          </w:p>
        </w:tc>
      </w:tr>
      <w:tr>
        <w:trPr>
          <w:trHeight w:val="181"/>
        </w:trPr>
        <w:tc>
          <w:tcPr>
            <w:tcW w:w="2440" w:type="dxa"/>
            <w:vAlign w:val="bottom"/>
          </w:tcPr>
          <w:p>
            <w:pPr>
              <w:ind w:left="20"/>
              <w:spacing w:after="0" w:line="181" w:lineRule="exact"/>
              <w:rPr>
                <w:sz w:val="20"/>
                <w:szCs w:val="20"/>
                <w:color w:val="auto"/>
              </w:rPr>
            </w:pPr>
            <w:r>
              <w:rPr>
                <w:rFonts w:ascii="Times New Roman" w:cs="Times New Roman" w:eastAsia="Times New Roman" w:hAnsi="Times New Roman"/>
                <w:sz w:val="16"/>
                <w:szCs w:val="16"/>
                <w:b w:val="1"/>
                <w:bCs w:val="1"/>
                <w:color w:val="auto"/>
              </w:rPr>
              <w:t>INVESTMENTS*</w:t>
            </w:r>
            <w:r>
              <w:rPr>
                <w:rFonts w:ascii="Times New Roman" w:cs="Times New Roman" w:eastAsia="Times New Roman" w:hAnsi="Times New Roman"/>
                <w:sz w:val="20"/>
                <w:szCs w:val="20"/>
                <w:b w:val="1"/>
                <w:bCs w:val="1"/>
                <w:color w:val="auto"/>
                <w:vertAlign w:val="superscript"/>
              </w:rPr>
              <w:t>(1)</w:t>
            </w: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vMerge w:val="continue"/>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vMerge w:val="continue"/>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520" w:type="dxa"/>
            <w:vAlign w:val="bottom"/>
            <w:gridSpan w:val="2"/>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440" w:type="dxa"/>
            <w:vAlign w:val="bottom"/>
            <w:tcBorders>
              <w:bottom w:val="single" w:sz="8" w:color="CCEE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wp:posOffset>
            </wp:positionH>
            <wp:positionV relativeFrom="paragraph">
              <wp:posOffset>-2849880</wp:posOffset>
            </wp:positionV>
            <wp:extent cx="1552575" cy="1479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552575" cy="147955"/>
                    </a:xfrm>
                    <a:prstGeom prst="rect">
                      <a:avLst/>
                    </a:prstGeom>
                    <a:noFill/>
                  </pic:spPr>
                </pic:pic>
              </a:graphicData>
            </a:graphic>
          </wp:anchor>
        </w:drawing>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____________________</w:t>
      </w:r>
    </w:p>
    <w:p>
      <w:pPr>
        <w:spacing w:after="0" w:line="32" w:lineRule="exact"/>
        <w:rPr>
          <w:sz w:val="20"/>
          <w:szCs w:val="20"/>
          <w:color w:val="auto"/>
        </w:rPr>
      </w:pPr>
    </w:p>
    <w:p>
      <w:pPr>
        <w:jc w:val="both"/>
        <w:ind w:left="320" w:right="100" w:hanging="317"/>
        <w:spacing w:after="0" w:line="263" w:lineRule="auto"/>
        <w:tabs>
          <w:tab w:leader="none" w:pos="281"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5"/>
          <w:szCs w:val="15"/>
          <w:color w:val="auto"/>
        </w:rPr>
        <w:t>All portfolio investments are non-income-producing, unless otherwise identified. Equity investments are subject to lock-up restrictions upon their IPO. Preferred dividends are generally only payable when declared and paid by the portfolio company's board of directors. The Company’s directors, officers, employees and staff, as applicable, may serve on the board of directors of the Company’s portfolio investments. (Refer to “Note 3—Related-Party Arrangements”). All portfolio investments are considered Level 3 and valued using significant unobservable inputs, unless otherwise noted. (Refer to “Note 4—Investments at Fair Value”). All portfolio investments are considered Level 3 and valued using unobservable inputs, unless otherwise noted. All of the Company's portfolio investments are restricted as to resale, unless otherwise noted, and were valued at fair value as determined in good faith by the Company’s Board of Directors. (Refer to "Note 2—Significant Accounting Policies—Investments at Fair Value").</w:t>
      </w:r>
    </w:p>
    <w:p>
      <w:pPr>
        <w:spacing w:after="0" w:line="210" w:lineRule="exact"/>
        <w:rPr>
          <w:sz w:val="20"/>
          <w:szCs w:val="20"/>
          <w:color w:val="auto"/>
        </w:rPr>
      </w:pPr>
    </w:p>
    <w:p>
      <w:pPr>
        <w:ind w:left="320" w:right="100" w:hanging="317"/>
        <w:spacing w:after="0" w:line="260" w:lineRule="auto"/>
        <w:tabs>
          <w:tab w:leader="none" w:pos="204"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Indicates assets that SuRo Capital Corp. believes do not represent “qualifying assets” under Section 55(a) of the Investment Company Act of 1940, as amended (the “1940 Act”). Of the Company’s total investments as of June 30, 2022, 31.74% of its total investments are non-qualifying assets.</w:t>
      </w:r>
    </w:p>
    <w:p>
      <w:pPr>
        <w:spacing w:after="0" w:line="196" w:lineRule="exact"/>
        <w:rPr>
          <w:rFonts w:ascii="Times New Roman" w:cs="Times New Roman" w:eastAsia="Times New Roman" w:hAnsi="Times New Roman"/>
          <w:sz w:val="16"/>
          <w:szCs w:val="16"/>
          <w:color w:val="auto"/>
        </w:rPr>
      </w:pPr>
    </w:p>
    <w:p>
      <w:pPr>
        <w:ind w:left="400" w:hanging="397"/>
        <w:spacing w:after="0"/>
        <w:tabs>
          <w:tab w:leader="none" w:pos="40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Investment is income-producing.</w:t>
      </w:r>
    </w:p>
    <w:p>
      <w:pPr>
        <w:spacing w:after="0" w:line="243" w:lineRule="exact"/>
        <w:rPr>
          <w:sz w:val="20"/>
          <w:szCs w:val="20"/>
          <w:color w:val="auto"/>
        </w:rPr>
      </w:pPr>
    </w:p>
    <w:p>
      <w:pPr>
        <w:ind w:left="460" w:right="100" w:hanging="457"/>
        <w:spacing w:after="0" w:line="256" w:lineRule="auto"/>
        <w:tabs>
          <w:tab w:leader="none" w:pos="395"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“Affiliate Investments” are investments in those companies that are “Affiliated Companies” of SuRo Capital Corp., as defined in the 1940 Act. In general, a company is deemed to be an “Affiliate” of SuRo Capital Corp. if SuRo Capital Corp. owns 5% or more of the voting securities (</w:t>
      </w:r>
      <w:r>
        <w:rPr>
          <w:rFonts w:ascii="Times New Roman" w:cs="Times New Roman" w:eastAsia="Times New Roman" w:hAnsi="Times New Roman"/>
          <w:sz w:val="16"/>
          <w:szCs w:val="16"/>
          <w:i w:val="1"/>
          <w:iCs w:val="1"/>
          <w:color w:val="auto"/>
        </w:rPr>
        <w:t>i.e.</w:t>
      </w:r>
      <w:r>
        <w:rPr>
          <w:rFonts w:ascii="Times New Roman" w:cs="Times New Roman" w:eastAsia="Times New Roman" w:hAnsi="Times New Roman"/>
          <w:sz w:val="16"/>
          <w:szCs w:val="16"/>
          <w:color w:val="auto"/>
        </w:rPr>
        <w:t>, securities with the right to elect directors) of such company.</w:t>
      </w:r>
    </w:p>
    <w:p>
      <w:pPr>
        <w:spacing w:after="0" w:line="200" w:lineRule="exact"/>
        <w:rPr>
          <w:sz w:val="20"/>
          <w:szCs w:val="20"/>
          <w:color w:val="auto"/>
        </w:rPr>
      </w:pPr>
    </w:p>
    <w:p>
      <w:pPr>
        <w:spacing w:after="0" w:line="33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36</w:t>
      </w:r>
    </w:p>
    <w:p>
      <w:pPr>
        <w:sectPr>
          <w:pgSz w:w="11900" w:h="16838" w:orient="portrait"/>
          <w:cols w:equalWidth="0" w:num="1">
            <w:col w:w="11340"/>
          </w:cols>
          <w:pgMar w:left="320" w:top="118" w:right="2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SURO CAPITAL CORP. AND SUBSIDIARIES</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June 30, 2022</w:t>
      </w:r>
    </w:p>
    <w:p>
      <w:pPr>
        <w:spacing w:after="0" w:line="217" w:lineRule="exact"/>
        <w:rPr>
          <w:sz w:val="20"/>
          <w:szCs w:val="20"/>
          <w:color w:val="auto"/>
        </w:rPr>
      </w:pPr>
    </w:p>
    <w:p>
      <w:pPr>
        <w:ind w:left="460" w:hanging="457"/>
        <w:spacing w:after="0" w:line="256" w:lineRule="auto"/>
        <w:tabs>
          <w:tab w:leader="none" w:pos="334"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“Control Investments” are investments in those companies that are “Controlled Companies” of SuRo Capital Corp., as defined in the 1940 Act. In general, under the 1940 Act, the Company would “Control” a portfolio company if the Company owned more than 25% of its outstanding voting securities (i.e., securities with the right to elect directors) and/or had the power to exercise control over the management or policies of such portfolio company.</w:t>
      </w:r>
    </w:p>
    <w:p>
      <w:pPr>
        <w:spacing w:after="0" w:line="200" w:lineRule="exact"/>
        <w:rPr>
          <w:rFonts w:ascii="Times New Roman" w:cs="Times New Roman" w:eastAsia="Times New Roman" w:hAnsi="Times New Roman"/>
          <w:sz w:val="16"/>
          <w:szCs w:val="16"/>
          <w:color w:val="auto"/>
        </w:rPr>
      </w:pPr>
    </w:p>
    <w:p>
      <w:pPr>
        <w:ind w:left="340" w:hanging="337"/>
        <w:spacing w:after="0"/>
        <w:tabs>
          <w:tab w:leader="none" w:pos="34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June 30, 2022, the investments noted had been placed on non-accrual status.</w:t>
      </w:r>
    </w:p>
    <w:p>
      <w:pPr>
        <w:spacing w:after="0" w:line="242" w:lineRule="exact"/>
        <w:rPr>
          <w:rFonts w:ascii="Times New Roman" w:cs="Times New Roman" w:eastAsia="Times New Roman" w:hAnsi="Times New Roman"/>
          <w:sz w:val="16"/>
          <w:szCs w:val="16"/>
          <w:color w:val="auto"/>
        </w:rPr>
      </w:pPr>
    </w:p>
    <w:p>
      <w:pPr>
        <w:ind w:left="460" w:hanging="457"/>
        <w:spacing w:after="0" w:line="260" w:lineRule="auto"/>
        <w:tabs>
          <w:tab w:leader="none" w:pos="348"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SPBRX, INC. (f/k/a GSV Sustainability Partners, Inc.) preferred shares held by SuRo Capital Corp. do not entitle SuRo Capital Corp. to a preferred dividend rate. SuRo Capital Corp. does not anticipate that SPBRX, INC. will pay distributions on a quarterly or regular basis or become a predictable distributor of distributions.</w:t>
      </w:r>
    </w:p>
    <w:p>
      <w:pPr>
        <w:spacing w:after="0" w:line="196" w:lineRule="exact"/>
        <w:rPr>
          <w:rFonts w:ascii="Times New Roman" w:cs="Times New Roman" w:eastAsia="Times New Roman" w:hAnsi="Times New Roman"/>
          <w:sz w:val="16"/>
          <w:szCs w:val="16"/>
          <w:color w:val="auto"/>
        </w:rPr>
      </w:pPr>
    </w:p>
    <w:p>
      <w:pPr>
        <w:ind w:left="340" w:hanging="337"/>
        <w:spacing w:after="0"/>
        <w:tabs>
          <w:tab w:leader="none" w:pos="34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SuRo Capital Corp.’s investments in StormWind, LLC are held through SuRo Capital Corp.'s wholly owned subsidiary, GSVC SW Holdings, Inc.</w:t>
      </w:r>
    </w:p>
    <w:p>
      <w:pPr>
        <w:spacing w:after="0" w:line="242" w:lineRule="exact"/>
        <w:rPr>
          <w:rFonts w:ascii="Times New Roman" w:cs="Times New Roman" w:eastAsia="Times New Roman" w:hAnsi="Times New Roman"/>
          <w:sz w:val="16"/>
          <w:szCs w:val="16"/>
          <w:color w:val="auto"/>
        </w:rPr>
      </w:pPr>
    </w:p>
    <w:p>
      <w:pPr>
        <w:ind w:left="460" w:hanging="457"/>
        <w:spacing w:after="0" w:line="256" w:lineRule="auto"/>
        <w:tabs>
          <w:tab w:leader="none" w:pos="375"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August 23, 2019, SuRo Capital Corp. amended the structure of its investment in OneValley, Inc. (f/k/a NestGSV, Inc.). As part of the agreement, SuRo Capital Corp.’s equity holdings (warrants notwithstanding) were restructured into a derivative security. OneValley, Inc. (f/k/a NestGSV, Inc.) has the right to call the position at any time over a five year period, while SuRo Capital Corp. can put the shares to OneValley, Inc. (f/k/a NestGSV, Inc.) at the end of the five year period.</w:t>
      </w:r>
    </w:p>
    <w:p>
      <w:pPr>
        <w:spacing w:after="0" w:line="200" w:lineRule="exact"/>
        <w:rPr>
          <w:rFonts w:ascii="Times New Roman" w:cs="Times New Roman" w:eastAsia="Times New Roman" w:hAnsi="Times New Roman"/>
          <w:sz w:val="16"/>
          <w:szCs w:val="16"/>
          <w:color w:val="auto"/>
        </w:rPr>
      </w:pPr>
    </w:p>
    <w:p>
      <w:pPr>
        <w:ind w:left="460" w:hanging="457"/>
        <w:spacing w:after="0" w:line="260" w:lineRule="auto"/>
        <w:tabs>
          <w:tab w:leader="none" w:pos="375"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Colombier Sponsor LLC is the sponsor of Colombier Acquisition Corp., a special purpose acquisition company formed for the purpose of effecting a merger, capital stock exchange, asset acquisition, stock purchase, reorganization or similar business combination with one or more businesses.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37</w:t>
      </w:r>
    </w:p>
    <w:p>
      <w:pPr>
        <w:sectPr>
          <w:pgSz w:w="11900" w:h="16838" w:orient="portrait"/>
          <w:cols w:equalWidth="0" w:num="1">
            <w:col w:w="11240"/>
          </w:cols>
          <w:pgMar w:left="320" w:top="118"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SURO CAPITAL CORP. AND SUBSIDIARIES</w:t>
      </w:r>
    </w:p>
    <w:p>
      <w:pPr>
        <w:spacing w:after="0" w:line="24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3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June 30, 2022</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Schedule of Investments In, and Advances to, Affiliates</w:t>
      </w:r>
    </w:p>
    <w:p>
      <w:pPr>
        <w:spacing w:after="0" w:line="246" w:lineRule="exact"/>
        <w:rPr>
          <w:sz w:val="20"/>
          <w:szCs w:val="20"/>
          <w:color w:val="auto"/>
        </w:rPr>
      </w:pPr>
    </w:p>
    <w:p>
      <w:pPr>
        <w:ind w:right="420" w:firstLine="349"/>
        <w:spacing w:after="0" w:line="274" w:lineRule="auto"/>
        <w:rPr>
          <w:sz w:val="20"/>
          <w:szCs w:val="20"/>
          <w:color w:val="auto"/>
        </w:rPr>
      </w:pPr>
      <w:r>
        <w:rPr>
          <w:rFonts w:ascii="Times New Roman" w:cs="Times New Roman" w:eastAsia="Times New Roman" w:hAnsi="Times New Roman"/>
          <w:sz w:val="17"/>
          <w:szCs w:val="17"/>
          <w:color w:val="auto"/>
        </w:rPr>
        <w:t>Transactions during the year ended December 31, 2021 involving the Company’s controlled investments and non-controlled/affiliate investments were as follows:</w:t>
      </w:r>
    </w:p>
    <w:tbl>
      <w:tblPr>
        <w:tblLayout w:type="fixed"/>
        <w:tblInd w:w="360" w:type="dxa"/>
        <w:tblCellMar>
          <w:top w:w="0" w:type="dxa"/>
          <w:left w:w="0" w:type="dxa"/>
          <w:bottom w:w="0" w:type="dxa"/>
          <w:right w:w="0" w:type="dxa"/>
        </w:tblCellMar>
      </w:tblPr>
      <w:tr>
        <w:trPr>
          <w:trHeight w:val="143"/>
        </w:trPr>
        <w:tc>
          <w:tcPr>
            <w:tcW w:w="4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center"/>
              <w:ind w:right="180"/>
              <w:spacing w:after="0" w:line="143" w:lineRule="exact"/>
              <w:rPr>
                <w:sz w:val="20"/>
                <w:szCs w:val="20"/>
                <w:color w:val="auto"/>
              </w:rPr>
            </w:pPr>
            <w:r>
              <w:rPr>
                <w:rFonts w:ascii="Times New Roman" w:cs="Times New Roman" w:eastAsia="Times New Roman" w:hAnsi="Times New Roman"/>
                <w:sz w:val="14"/>
                <w:szCs w:val="14"/>
                <w:b w:val="1"/>
                <w:bCs w:val="1"/>
                <w:color w:val="auto"/>
                <w:w w:val="95"/>
              </w:rPr>
              <w:t>Interest,</w:t>
            </w:r>
          </w:p>
        </w:tc>
        <w:tc>
          <w:tcPr>
            <w:tcW w:w="84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6"/>
              </w:rPr>
              <w:t>Fair Value</w:t>
            </w:r>
          </w:p>
        </w:tc>
        <w:tc>
          <w:tcPr>
            <w:tcW w:w="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center"/>
              <w:ind w:right="160"/>
              <w:spacing w:after="0" w:line="143" w:lineRule="exact"/>
              <w:rPr>
                <w:sz w:val="20"/>
                <w:szCs w:val="20"/>
                <w:color w:val="auto"/>
              </w:rPr>
            </w:pPr>
            <w:r>
              <w:rPr>
                <w:rFonts w:ascii="Times New Roman" w:cs="Times New Roman" w:eastAsia="Times New Roman" w:hAnsi="Times New Roman"/>
                <w:sz w:val="14"/>
                <w:szCs w:val="14"/>
                <w:b w:val="1"/>
                <w:bCs w:val="1"/>
                <w:color w:val="auto"/>
                <w:w w:val="96"/>
              </w:rPr>
              <w:t>Purchases,</w:t>
            </w: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center"/>
              <w:ind w:right="160"/>
              <w:spacing w:after="0" w:line="141" w:lineRule="exact"/>
              <w:rPr>
                <w:sz w:val="20"/>
                <w:szCs w:val="20"/>
                <w:color w:val="auto"/>
              </w:rPr>
            </w:pPr>
            <w:r>
              <w:rPr>
                <w:rFonts w:ascii="Times New Roman" w:cs="Times New Roman" w:eastAsia="Times New Roman" w:hAnsi="Times New Roman"/>
                <w:sz w:val="14"/>
                <w:szCs w:val="14"/>
                <w:b w:val="1"/>
                <w:bCs w:val="1"/>
                <w:color w:val="auto"/>
                <w:w w:val="98"/>
              </w:rPr>
              <w:t>Fees, or</w:t>
            </w:r>
          </w:p>
        </w:tc>
        <w:tc>
          <w:tcPr>
            <w:tcW w:w="840" w:type="dxa"/>
            <w:vAlign w:val="bottom"/>
            <w:gridSpan w:val="3"/>
            <w:vMerge w:val="continue"/>
          </w:tcPr>
          <w:p>
            <w:pPr>
              <w:spacing w:after="0"/>
              <w:rPr>
                <w:sz w:val="12"/>
                <w:szCs w:val="12"/>
                <w:color w:val="auto"/>
              </w:rPr>
            </w:pPr>
          </w:p>
        </w:tc>
        <w:tc>
          <w:tcPr>
            <w:tcW w:w="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center"/>
              <w:ind w:right="160"/>
              <w:spacing w:after="0" w:line="141" w:lineRule="exact"/>
              <w:rPr>
                <w:sz w:val="20"/>
                <w:szCs w:val="20"/>
                <w:color w:val="auto"/>
              </w:rPr>
            </w:pPr>
            <w:r>
              <w:rPr>
                <w:rFonts w:ascii="Times New Roman" w:cs="Times New Roman" w:eastAsia="Times New Roman" w:hAnsi="Times New Roman"/>
                <w:sz w:val="14"/>
                <w:szCs w:val="14"/>
                <w:b w:val="1"/>
                <w:bCs w:val="1"/>
                <w:color w:val="auto"/>
                <w:w w:val="96"/>
              </w:rPr>
              <w:t>Capitalized</w:t>
            </w: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Fair Value at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Percenta</w:t>
            </w:r>
          </w:p>
        </w:tc>
        <w:tc>
          <w:tcPr>
            <w:tcW w:w="0" w:type="dxa"/>
            <w:vAlign w:val="bottom"/>
          </w:tcPr>
          <w:p>
            <w:pPr>
              <w:spacing w:after="0"/>
              <w:rPr>
                <w:sz w:val="1"/>
                <w:szCs w:val="1"/>
                <w:color w:val="auto"/>
              </w:rPr>
            </w:pPr>
          </w:p>
        </w:tc>
      </w:tr>
      <w:tr>
        <w:trPr>
          <w:trHeight w:val="129"/>
        </w:trPr>
        <w:tc>
          <w:tcPr>
            <w:tcW w:w="220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Type/Industry/Portfolio</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8"/>
              </w:rPr>
              <w:t>Principal/</w:t>
            </w:r>
          </w:p>
        </w:tc>
        <w:tc>
          <w:tcPr>
            <w:tcW w:w="760" w:type="dxa"/>
            <w:vAlign w:val="bottom"/>
            <w:gridSpan w:val="3"/>
          </w:tcPr>
          <w:p>
            <w:pPr>
              <w:jc w:val="center"/>
              <w:ind w:right="80"/>
              <w:spacing w:after="0" w:line="129" w:lineRule="exact"/>
              <w:rPr>
                <w:sz w:val="20"/>
                <w:szCs w:val="20"/>
                <w:color w:val="auto"/>
              </w:rPr>
            </w:pPr>
            <w:r>
              <w:rPr>
                <w:rFonts w:ascii="Times New Roman" w:cs="Times New Roman" w:eastAsia="Times New Roman" w:hAnsi="Times New Roman"/>
                <w:sz w:val="14"/>
                <w:szCs w:val="14"/>
                <w:b w:val="1"/>
                <w:bCs w:val="1"/>
                <w:color w:val="auto"/>
              </w:rPr>
              <w:t>Dividends</w:t>
            </w:r>
          </w:p>
        </w:tc>
        <w:tc>
          <w:tcPr>
            <w:tcW w:w="120" w:type="dxa"/>
            <w:vAlign w:val="bottom"/>
          </w:tcPr>
          <w:p>
            <w:pPr>
              <w:spacing w:after="0"/>
              <w:rPr>
                <w:sz w:val="11"/>
                <w:szCs w:val="11"/>
                <w:color w:val="auto"/>
              </w:rPr>
            </w:pPr>
          </w:p>
        </w:tc>
        <w:tc>
          <w:tcPr>
            <w:tcW w:w="720" w:type="dxa"/>
            <w:vAlign w:val="bottom"/>
            <w:gridSpan w:val="2"/>
          </w:tcPr>
          <w:p>
            <w:pPr>
              <w:jc w:val="center"/>
              <w:ind w:right="200"/>
              <w:spacing w:after="0" w:line="129" w:lineRule="exact"/>
              <w:rPr>
                <w:sz w:val="20"/>
                <w:szCs w:val="20"/>
                <w:color w:val="auto"/>
              </w:rPr>
            </w:pPr>
            <w:r>
              <w:rPr>
                <w:rFonts w:ascii="Times New Roman" w:cs="Times New Roman" w:eastAsia="Times New Roman" w:hAnsi="Times New Roman"/>
                <w:sz w:val="14"/>
                <w:szCs w:val="14"/>
                <w:b w:val="1"/>
                <w:bCs w:val="1"/>
                <w:color w:val="auto"/>
              </w:rPr>
              <w:t>at</w:t>
            </w:r>
          </w:p>
        </w:tc>
        <w:tc>
          <w:tcPr>
            <w:tcW w:w="76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Transfer</w:t>
            </w:r>
          </w:p>
        </w:tc>
        <w:tc>
          <w:tcPr>
            <w:tcW w:w="80" w:type="dxa"/>
            <w:vAlign w:val="bottom"/>
          </w:tcPr>
          <w:p>
            <w:pPr>
              <w:spacing w:after="0"/>
              <w:rPr>
                <w:sz w:val="11"/>
                <w:szCs w:val="11"/>
                <w:color w:val="auto"/>
              </w:rPr>
            </w:pPr>
          </w:p>
        </w:tc>
        <w:tc>
          <w:tcPr>
            <w:tcW w:w="860" w:type="dxa"/>
            <w:vAlign w:val="bottom"/>
            <w:gridSpan w:val="2"/>
          </w:tcPr>
          <w:p>
            <w:pPr>
              <w:jc w:val="center"/>
              <w:ind w:right="160"/>
              <w:spacing w:after="0" w:line="129" w:lineRule="exact"/>
              <w:rPr>
                <w:sz w:val="20"/>
                <w:szCs w:val="20"/>
                <w:color w:val="auto"/>
              </w:rPr>
            </w:pPr>
            <w:r>
              <w:rPr>
                <w:rFonts w:ascii="Times New Roman" w:cs="Times New Roman" w:eastAsia="Times New Roman" w:hAnsi="Times New Roman"/>
                <w:sz w:val="14"/>
                <w:szCs w:val="14"/>
                <w:b w:val="1"/>
                <w:bCs w:val="1"/>
                <w:color w:val="auto"/>
              </w:rPr>
              <w:t>Fees,</w:t>
            </w: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Realized</w:t>
            </w:r>
          </w:p>
        </w:tc>
        <w:tc>
          <w:tcPr>
            <w:tcW w:w="100" w:type="dxa"/>
            <w:vAlign w:val="bottom"/>
          </w:tcPr>
          <w:p>
            <w:pPr>
              <w:spacing w:after="0"/>
              <w:rPr>
                <w:sz w:val="11"/>
                <w:szCs w:val="11"/>
                <w:color w:val="auto"/>
              </w:rPr>
            </w:pPr>
          </w:p>
        </w:tc>
        <w:tc>
          <w:tcPr>
            <w:tcW w:w="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940" w:type="dxa"/>
            <w:vAlign w:val="bottom"/>
            <w:gridSpan w:val="3"/>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20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760" w:type="dxa"/>
            <w:vAlign w:val="bottom"/>
            <w:gridSpan w:val="3"/>
          </w:tcPr>
          <w:p>
            <w:pPr>
              <w:jc w:val="center"/>
              <w:ind w:right="80"/>
              <w:spacing w:after="0" w:line="143" w:lineRule="exact"/>
              <w:rPr>
                <w:sz w:val="20"/>
                <w:szCs w:val="20"/>
                <w:color w:val="auto"/>
              </w:rPr>
            </w:pPr>
            <w:r>
              <w:rPr>
                <w:rFonts w:ascii="Times New Roman" w:cs="Times New Roman" w:eastAsia="Times New Roman" w:hAnsi="Times New Roman"/>
                <w:sz w:val="14"/>
                <w:szCs w:val="14"/>
                <w:b w:val="1"/>
                <w:bCs w:val="1"/>
                <w:color w:val="auto"/>
                <w:w w:val="98"/>
              </w:rPr>
              <w:t>Credited</w:t>
            </w:r>
          </w:p>
        </w:tc>
        <w:tc>
          <w:tcPr>
            <w:tcW w:w="840" w:type="dxa"/>
            <w:vAlign w:val="bottom"/>
            <w:gridSpan w:val="3"/>
          </w:tcPr>
          <w:p>
            <w:pPr>
              <w:jc w:val="center"/>
              <w:ind w:right="80"/>
              <w:spacing w:after="0" w:line="143" w:lineRule="exact"/>
              <w:rPr>
                <w:sz w:val="20"/>
                <w:szCs w:val="20"/>
                <w:color w:val="auto"/>
              </w:rPr>
            </w:pPr>
            <w:r>
              <w:rPr>
                <w:rFonts w:ascii="Times New Roman" w:cs="Times New Roman" w:eastAsia="Times New Roman" w:hAnsi="Times New Roman"/>
                <w:sz w:val="14"/>
                <w:szCs w:val="14"/>
                <w:b w:val="1"/>
                <w:bCs w:val="1"/>
                <w:color w:val="auto"/>
                <w:w w:val="98"/>
              </w:rPr>
              <w:t>December</w:t>
            </w:r>
          </w:p>
        </w:tc>
        <w:tc>
          <w:tcPr>
            <w:tcW w:w="760" w:type="dxa"/>
            <w:vAlign w:val="bottom"/>
            <w:gridSpan w:val="3"/>
            <w:vMerge w:val="continue"/>
          </w:tcPr>
          <w:p>
            <w:pPr>
              <w:spacing w:after="0"/>
              <w:rPr>
                <w:sz w:val="12"/>
                <w:szCs w:val="12"/>
                <w:color w:val="auto"/>
              </w:rPr>
            </w:pPr>
          </w:p>
        </w:tc>
        <w:tc>
          <w:tcPr>
            <w:tcW w:w="940" w:type="dxa"/>
            <w:vAlign w:val="bottom"/>
            <w:gridSpan w:val="3"/>
          </w:tcPr>
          <w:p>
            <w:pPr>
              <w:jc w:val="center"/>
              <w:ind w:right="80"/>
              <w:spacing w:after="0" w:line="143" w:lineRule="exact"/>
              <w:rPr>
                <w:sz w:val="20"/>
                <w:szCs w:val="20"/>
                <w:color w:val="auto"/>
              </w:rPr>
            </w:pPr>
            <w:r>
              <w:rPr>
                <w:rFonts w:ascii="Times New Roman" w:cs="Times New Roman" w:eastAsia="Times New Roman" w:hAnsi="Times New Roman"/>
                <w:sz w:val="14"/>
                <w:szCs w:val="14"/>
                <w:b w:val="1"/>
                <w:bCs w:val="1"/>
                <w:color w:val="auto"/>
                <w:w w:val="96"/>
              </w:rPr>
              <w:t>Interest and</w:t>
            </w:r>
          </w:p>
        </w:tc>
        <w:tc>
          <w:tcPr>
            <w:tcW w:w="100" w:type="dxa"/>
            <w:vAlign w:val="bottom"/>
          </w:tcPr>
          <w:p>
            <w:pPr>
              <w:spacing w:after="0"/>
              <w:rPr>
                <w:sz w:val="12"/>
                <w:szCs w:val="12"/>
                <w:color w:val="auto"/>
              </w:rPr>
            </w:pPr>
          </w:p>
        </w:tc>
        <w:tc>
          <w:tcPr>
            <w:tcW w:w="8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Sales</w:t>
            </w:r>
          </w:p>
        </w:tc>
        <w:tc>
          <w:tcPr>
            <w:tcW w:w="14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940" w:type="dxa"/>
            <w:vAlign w:val="bottom"/>
            <w:gridSpan w:val="3"/>
          </w:tcPr>
          <w:p>
            <w:pPr>
              <w:ind w:left="40"/>
              <w:spacing w:after="0" w:line="143"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62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b w:val="1"/>
                <w:bCs w:val="1"/>
                <w:color w:val="auto"/>
              </w:rPr>
              <w:t>of Net</w:t>
            </w:r>
          </w:p>
        </w:tc>
        <w:tc>
          <w:tcPr>
            <w:tcW w:w="0" w:type="dxa"/>
            <w:vAlign w:val="bottom"/>
          </w:tcPr>
          <w:p>
            <w:pPr>
              <w:spacing w:after="0"/>
              <w:rPr>
                <w:sz w:val="1"/>
                <w:szCs w:val="1"/>
                <w:color w:val="auto"/>
              </w:rPr>
            </w:pPr>
          </w:p>
        </w:tc>
      </w:tr>
      <w:tr>
        <w:trPr>
          <w:trHeight w:val="189"/>
        </w:trPr>
        <w:tc>
          <w:tcPr>
            <w:tcW w:w="220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Company/Investment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6"/>
              </w:rPr>
              <w:t>Quantity</w:t>
            </w:r>
          </w:p>
        </w:tc>
        <w:tc>
          <w:tcPr>
            <w:tcW w:w="76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in Income</w:t>
            </w:r>
          </w:p>
        </w:tc>
        <w:tc>
          <w:tcPr>
            <w:tcW w:w="120" w:type="dxa"/>
            <w:vAlign w:val="bottom"/>
          </w:tcPr>
          <w:p>
            <w:pPr>
              <w:spacing w:after="0"/>
              <w:rPr>
                <w:sz w:val="16"/>
                <w:szCs w:val="16"/>
                <w:color w:val="auto"/>
              </w:rPr>
            </w:pPr>
          </w:p>
        </w:tc>
        <w:tc>
          <w:tcPr>
            <w:tcW w:w="640" w:type="dxa"/>
            <w:vAlign w:val="bottom"/>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w w:val="97"/>
              </w:rPr>
              <w:t>31, 2020</w:t>
            </w:r>
          </w:p>
        </w:tc>
        <w:tc>
          <w:tcPr>
            <w:tcW w:w="80" w:type="dxa"/>
            <w:vAlign w:val="bottom"/>
          </w:tcPr>
          <w:p>
            <w:pPr>
              <w:spacing w:after="0"/>
              <w:rPr>
                <w:sz w:val="16"/>
                <w:szCs w:val="16"/>
                <w:color w:val="auto"/>
              </w:rPr>
            </w:pPr>
          </w:p>
        </w:tc>
        <w:tc>
          <w:tcPr>
            <w:tcW w:w="76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In/ (Out)</w:t>
            </w:r>
          </w:p>
        </w:tc>
        <w:tc>
          <w:tcPr>
            <w:tcW w:w="9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7"/>
              </w:rPr>
              <w:t>Amortization</w:t>
            </w:r>
          </w:p>
        </w:tc>
        <w:tc>
          <w:tcPr>
            <w:tcW w:w="1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9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Gains/(Losses)</w:t>
            </w:r>
          </w:p>
        </w:tc>
        <w:tc>
          <w:tcPr>
            <w:tcW w:w="9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Gains/(Losses)</w:t>
            </w:r>
          </w:p>
        </w:tc>
        <w:tc>
          <w:tcPr>
            <w:tcW w:w="100" w:type="dxa"/>
            <w:vAlign w:val="bottom"/>
          </w:tcPr>
          <w:p>
            <w:pPr>
              <w:spacing w:after="0"/>
              <w:rPr>
                <w:sz w:val="16"/>
                <w:szCs w:val="16"/>
                <w:color w:val="auto"/>
              </w:rPr>
            </w:pPr>
          </w:p>
        </w:tc>
        <w:tc>
          <w:tcPr>
            <w:tcW w:w="760" w:type="dxa"/>
            <w:vAlign w:val="bottom"/>
          </w:tcPr>
          <w:p>
            <w:pPr>
              <w:jc w:val="right"/>
              <w:ind w:right="203"/>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0" w:type="dxa"/>
            <w:vAlign w:val="bottom"/>
          </w:tcPr>
          <w:p>
            <w:pPr>
              <w:spacing w:after="0"/>
              <w:rPr>
                <w:sz w:val="1"/>
                <w:szCs w:val="1"/>
                <w:color w:val="auto"/>
              </w:rPr>
            </w:pPr>
          </w:p>
        </w:tc>
      </w:tr>
      <w:tr>
        <w:trPr>
          <w:trHeight w:val="166"/>
        </w:trPr>
        <w:tc>
          <w:tcPr>
            <w:tcW w:w="2200" w:type="dxa"/>
            <w:vAlign w:val="bottom"/>
            <w:tcBorders>
              <w:top w:val="single" w:sz="8" w:color="auto"/>
            </w:tcBorders>
            <w:gridSpan w:val="4"/>
            <w:shd w:val="clear" w:color="auto" w:fill="CCEEFF"/>
          </w:tcPr>
          <w:p>
            <w:pPr>
              <w:ind w:left="20"/>
              <w:spacing w:after="0" w:line="166" w:lineRule="exact"/>
              <w:rPr>
                <w:sz w:val="20"/>
                <w:szCs w:val="20"/>
                <w:color w:val="auto"/>
              </w:rPr>
            </w:pPr>
            <w:r>
              <w:rPr>
                <w:rFonts w:ascii="Times New Roman" w:cs="Times New Roman" w:eastAsia="Times New Roman" w:hAnsi="Times New Roman"/>
                <w:sz w:val="16"/>
                <w:szCs w:val="16"/>
                <w:b w:val="1"/>
                <w:bCs w:val="1"/>
                <w:color w:val="auto"/>
              </w:rPr>
              <w:t>CONTROLLED</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1140" w:type="dxa"/>
            <w:vAlign w:val="bottom"/>
            <w:tcBorders>
              <w:top w:val="single" w:sz="8" w:color="auto"/>
              <w:right w:val="single" w:sz="8" w:color="CCEEFF"/>
            </w:tcBorders>
            <w:gridSpan w:val="2"/>
            <w:shd w:val="clear" w:color="auto" w:fill="CCEEFF"/>
          </w:tcPr>
          <w:p>
            <w:pPr>
              <w:ind w:left="20"/>
              <w:spacing w:after="0" w:line="135" w:lineRule="exact"/>
              <w:rPr>
                <w:sz w:val="20"/>
                <w:szCs w:val="20"/>
                <w:color w:val="auto"/>
              </w:rPr>
            </w:pPr>
            <w:r>
              <w:rPr>
                <w:rFonts w:ascii="Times New Roman" w:cs="Times New Roman" w:eastAsia="Times New Roman" w:hAnsi="Times New Roman"/>
                <w:sz w:val="14"/>
                <w:szCs w:val="14"/>
                <w:b w:val="1"/>
                <w:bCs w:val="1"/>
                <w:color w:val="auto"/>
              </w:rPr>
              <w:t>INVESTMENTS</w:t>
            </w:r>
          </w:p>
        </w:tc>
        <w:tc>
          <w:tcPr>
            <w:tcW w:w="860" w:type="dxa"/>
            <w:vAlign w:val="bottom"/>
            <w:tcBorders>
              <w:top w:val="single" w:sz="8" w:color="CCEEFF"/>
            </w:tcBorders>
            <w:shd w:val="clear" w:color="auto" w:fill="CCEEFF"/>
          </w:tcPr>
          <w:p>
            <w:pPr>
              <w:jc w:val="right"/>
              <w:ind w:right="623"/>
              <w:spacing w:after="0" w:line="136" w:lineRule="exact"/>
              <w:rPr>
                <w:sz w:val="20"/>
                <w:szCs w:val="20"/>
                <w:color w:val="auto"/>
              </w:rPr>
            </w:pPr>
            <w:r>
              <w:rPr>
                <w:rFonts w:ascii="Times New Roman" w:cs="Times New Roman" w:eastAsia="Times New Roman" w:hAnsi="Times New Roman"/>
                <w:sz w:val="15"/>
                <w:szCs w:val="15"/>
                <w:b w:val="1"/>
                <w:bCs w:val="1"/>
                <w:color w:val="auto"/>
                <w:vertAlign w:val="subscript"/>
              </w:rPr>
              <w:t>*</w:t>
            </w:r>
            <w:r>
              <w:rPr>
                <w:rFonts w:ascii="Times New Roman" w:cs="Times New Roman" w:eastAsia="Times New Roman" w:hAnsi="Times New Roman"/>
                <w:sz w:val="7"/>
                <w:szCs w:val="7"/>
                <w:b w:val="1"/>
                <w:bCs w:val="1"/>
                <w:color w:val="auto"/>
              </w:rPr>
              <w:t>(2)</w:t>
            </w:r>
          </w:p>
        </w:tc>
        <w:tc>
          <w:tcPr>
            <w:tcW w:w="2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5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6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CCEEFF"/>
            </w:tcBorders>
            <w:shd w:val="clear" w:color="auto" w:fill="CCEEFF"/>
          </w:tcPr>
          <w:p>
            <w:pPr>
              <w:spacing w:after="0"/>
              <w:rPr>
                <w:sz w:val="13"/>
                <w:szCs w:val="13"/>
                <w:color w:val="auto"/>
              </w:rPr>
            </w:pPr>
          </w:p>
        </w:tc>
        <w:tc>
          <w:tcPr>
            <w:tcW w:w="4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7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114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Options</w:t>
            </w:r>
          </w:p>
        </w:tc>
        <w:tc>
          <w:tcPr>
            <w:tcW w:w="1060" w:type="dxa"/>
            <w:vAlign w:val="bottom"/>
            <w:tcBorders>
              <w:top w:val="single" w:sz="8" w:color="CCEEFF"/>
            </w:tcBorders>
            <w:gridSpan w:val="2"/>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7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5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6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4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7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7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7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7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7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62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2200" w:type="dxa"/>
            <w:vAlign w:val="bottom"/>
            <w:gridSpan w:val="4"/>
            <w:shd w:val="clear" w:color="auto" w:fill="CCEEFF"/>
          </w:tcPr>
          <w:p>
            <w:pPr>
              <w:ind w:left="120"/>
              <w:spacing w:after="0" w:line="157" w:lineRule="exact"/>
              <w:rPr>
                <w:sz w:val="20"/>
                <w:szCs w:val="20"/>
                <w:color w:val="auto"/>
              </w:rPr>
            </w:pPr>
            <w:r>
              <w:rPr>
                <w:rFonts w:ascii="Times New Roman" w:cs="Times New Roman" w:eastAsia="Times New Roman" w:hAnsi="Times New Roman"/>
                <w:sz w:val="16"/>
                <w:szCs w:val="16"/>
                <w:i w:val="1"/>
                <w:iCs w:val="1"/>
                <w:color w:val="auto"/>
              </w:rPr>
              <w:t>Special Purpose Acquisition</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7"/>
        </w:trPr>
        <w:tc>
          <w:tcPr>
            <w:tcW w:w="220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6"/>
                <w:szCs w:val="16"/>
                <w:i w:val="1"/>
                <w:iCs w:val="1"/>
                <w:color w:val="auto"/>
              </w:rPr>
              <w:t>Company</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2200" w:type="dxa"/>
            <w:vAlign w:val="bottom"/>
            <w:gridSpan w:val="4"/>
          </w:tcPr>
          <w:p>
            <w:pPr>
              <w:ind w:left="200"/>
              <w:spacing w:after="0" w:line="155" w:lineRule="exact"/>
              <w:rPr>
                <w:sz w:val="20"/>
                <w:szCs w:val="20"/>
                <w:color w:val="auto"/>
              </w:rPr>
            </w:pPr>
            <w:r>
              <w:rPr>
                <w:rFonts w:ascii="Times New Roman" w:cs="Times New Roman" w:eastAsia="Times New Roman" w:hAnsi="Times New Roman"/>
                <w:sz w:val="16"/>
                <w:szCs w:val="16"/>
                <w:color w:val="auto"/>
              </w:rPr>
              <w:t>Colombier Sponsor LLC**–</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2,700,000</w:t>
            </w:r>
          </w:p>
        </w:tc>
        <w:tc>
          <w:tcPr>
            <w:tcW w:w="80" w:type="dxa"/>
            <w:vAlign w:val="bottom"/>
          </w:tcPr>
          <w:p>
            <w:pPr>
              <w:spacing w:after="0"/>
              <w:rPr>
                <w:sz w:val="13"/>
                <w:szCs w:val="13"/>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vMerge w:val="restart"/>
          </w:tcPr>
          <w:p>
            <w:pPr>
              <w:jc w:val="right"/>
              <w:ind w:right="126"/>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1,159,150</w:t>
            </w:r>
          </w:p>
        </w:tc>
        <w:tc>
          <w:tcPr>
            <w:tcW w:w="80" w:type="dxa"/>
            <w:vAlign w:val="bottom"/>
          </w:tcPr>
          <w:p>
            <w:pPr>
              <w:spacing w:after="0"/>
              <w:rPr>
                <w:sz w:val="13"/>
                <w:szCs w:val="13"/>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vMerge w:val="restart"/>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(1,663)</w:t>
            </w:r>
          </w:p>
        </w:tc>
        <w:tc>
          <w:tcPr>
            <w:tcW w:w="80" w:type="dxa"/>
            <w:vAlign w:val="bottom"/>
          </w:tcPr>
          <w:p>
            <w:pPr>
              <w:spacing w:after="0"/>
              <w:rPr>
                <w:sz w:val="13"/>
                <w:szCs w:val="13"/>
                <w:color w:val="auto"/>
              </w:rPr>
            </w:pPr>
          </w:p>
        </w:tc>
        <w:tc>
          <w:tcPr>
            <w:tcW w:w="1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1,157,487</w:t>
            </w:r>
          </w:p>
        </w:tc>
        <w:tc>
          <w:tcPr>
            <w:tcW w:w="80" w:type="dxa"/>
            <w:vAlign w:val="bottom"/>
          </w:tcPr>
          <w:p>
            <w:pPr>
              <w:spacing w:after="0"/>
              <w:rPr>
                <w:sz w:val="13"/>
                <w:szCs w:val="13"/>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0.32</w:t>
            </w:r>
          </w:p>
        </w:tc>
        <w:tc>
          <w:tcPr>
            <w:tcW w:w="0" w:type="dxa"/>
            <w:vAlign w:val="bottom"/>
          </w:tcPr>
          <w:p>
            <w:pPr>
              <w:spacing w:after="0"/>
              <w:rPr>
                <w:sz w:val="1"/>
                <w:szCs w:val="1"/>
                <w:color w:val="auto"/>
              </w:rPr>
            </w:pPr>
          </w:p>
        </w:tc>
      </w:tr>
      <w:tr>
        <w:trPr>
          <w:trHeight w:val="207"/>
        </w:trPr>
        <w:tc>
          <w:tcPr>
            <w:tcW w:w="2200" w:type="dxa"/>
            <w:vAlign w:val="bottom"/>
            <w:gridSpan w:val="4"/>
          </w:tcPr>
          <w:p>
            <w:pPr>
              <w:ind w:left="200"/>
              <w:spacing w:after="0" w:line="207" w:lineRule="exact"/>
              <w:rPr>
                <w:sz w:val="20"/>
                <w:szCs w:val="20"/>
                <w:color w:val="auto"/>
              </w:rPr>
            </w:pPr>
            <w:r>
              <w:rPr>
                <w:rFonts w:ascii="Times New Roman" w:cs="Times New Roman" w:eastAsia="Times New Roman" w:hAnsi="Times New Roman"/>
                <w:sz w:val="16"/>
                <w:szCs w:val="16"/>
                <w:color w:val="auto"/>
              </w:rPr>
              <w:t>Class W Units</w:t>
            </w:r>
            <w:r>
              <w:rPr>
                <w:rFonts w:ascii="Times New Roman" w:cs="Times New Roman" w:eastAsia="Times New Roman" w:hAnsi="Times New Roman"/>
                <w:sz w:val="20"/>
                <w:szCs w:val="20"/>
                <w:color w:val="auto"/>
                <w:vertAlign w:val="superscript"/>
              </w:rPr>
              <w:t>(9)</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vMerge w:val="continue"/>
          </w:tcPr>
          <w:p>
            <w:pPr>
              <w:spacing w:after="0"/>
              <w:rPr>
                <w:sz w:val="17"/>
                <w:szCs w:val="17"/>
                <w:color w:val="auto"/>
              </w:rPr>
            </w:pPr>
          </w:p>
        </w:tc>
        <w:tc>
          <w:tcPr>
            <w:tcW w:w="660" w:type="dxa"/>
            <w:vAlign w:val="bottom"/>
            <w:gridSpan w:val="2"/>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720" w:type="dxa"/>
            <w:vAlign w:val="bottom"/>
            <w:gridSpan w:val="2"/>
            <w:vMerge w:val="continue"/>
          </w:tcPr>
          <w:p>
            <w:pPr>
              <w:spacing w:after="0"/>
              <w:rPr>
                <w:sz w:val="17"/>
                <w:szCs w:val="17"/>
                <w:color w:val="auto"/>
              </w:rPr>
            </w:pPr>
          </w:p>
        </w:tc>
        <w:tc>
          <w:tcPr>
            <w:tcW w:w="280" w:type="dxa"/>
            <w:vAlign w:val="bottom"/>
            <w:vMerge w:val="continue"/>
          </w:tcPr>
          <w:p>
            <w:pPr>
              <w:spacing w:after="0"/>
              <w:rPr>
                <w:sz w:val="17"/>
                <w:szCs w:val="17"/>
                <w:color w:val="auto"/>
              </w:rPr>
            </w:pPr>
          </w:p>
        </w:tc>
        <w:tc>
          <w:tcPr>
            <w:tcW w:w="480" w:type="dxa"/>
            <w:vAlign w:val="bottom"/>
            <w:gridSpan w:val="2"/>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7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vMerge w:val="continue"/>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140" w:type="dxa"/>
            <w:vAlign w:val="bottom"/>
            <w:vMerge w:val="continue"/>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7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vMerge w:val="continue"/>
          </w:tcPr>
          <w:p>
            <w:pPr>
              <w:spacing w:after="0"/>
              <w:rPr>
                <w:sz w:val="17"/>
                <w:szCs w:val="17"/>
                <w:color w:val="auto"/>
              </w:rPr>
            </w:pPr>
          </w:p>
        </w:tc>
        <w:tc>
          <w:tcPr>
            <w:tcW w:w="7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2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Options</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7"/>
                <w:szCs w:val="17"/>
                <w:color w:val="auto"/>
              </w:rPr>
            </w:pPr>
          </w:p>
        </w:tc>
        <w:tc>
          <w:tcPr>
            <w:tcW w:w="4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1,159,150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(1,663)</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1,157,487</w:t>
            </w: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0.32</w:t>
            </w:r>
          </w:p>
        </w:tc>
        <w:tc>
          <w:tcPr>
            <w:tcW w:w="0" w:type="dxa"/>
            <w:vAlign w:val="bottom"/>
          </w:tcPr>
          <w:p>
            <w:pPr>
              <w:spacing w:after="0"/>
              <w:rPr>
                <w:sz w:val="1"/>
                <w:szCs w:val="1"/>
                <w:color w:val="auto"/>
              </w:rPr>
            </w:pPr>
          </w:p>
        </w:tc>
      </w:tr>
      <w:tr>
        <w:trPr>
          <w:trHeight w:val="206"/>
        </w:trPr>
        <w:tc>
          <w:tcPr>
            <w:tcW w:w="2200" w:type="dxa"/>
            <w:vAlign w:val="bottom"/>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Preferred Stock</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20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6"/>
                <w:szCs w:val="16"/>
                <w:i w:val="1"/>
                <w:iCs w:val="1"/>
                <w:color w:val="auto"/>
              </w:rPr>
              <w:t>Clean Technology</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200" w:type="dxa"/>
            <w:vAlign w:val="bottom"/>
            <w:gridSpan w:val="4"/>
          </w:tcPr>
          <w:p>
            <w:pPr>
              <w:ind w:left="200"/>
              <w:spacing w:after="0" w:line="155" w:lineRule="exact"/>
              <w:rPr>
                <w:sz w:val="20"/>
                <w:szCs w:val="20"/>
                <w:color w:val="auto"/>
              </w:rPr>
            </w:pPr>
            <w:r>
              <w:rPr>
                <w:rFonts w:ascii="Times New Roman" w:cs="Times New Roman" w:eastAsia="Times New Roman" w:hAnsi="Times New Roman"/>
                <w:sz w:val="16"/>
                <w:szCs w:val="16"/>
                <w:color w:val="auto"/>
              </w:rPr>
              <w:t>SPBRX, INC. (f/k/a GSV</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200" w:type="dxa"/>
            <w:vAlign w:val="bottom"/>
            <w:gridSpan w:val="4"/>
          </w:tcPr>
          <w:p>
            <w:pPr>
              <w:ind w:left="200"/>
              <w:spacing w:after="0" w:line="155" w:lineRule="exact"/>
              <w:rPr>
                <w:sz w:val="20"/>
                <w:szCs w:val="20"/>
                <w:color w:val="auto"/>
              </w:rPr>
            </w:pPr>
            <w:r>
              <w:rPr>
                <w:rFonts w:ascii="Times New Roman" w:cs="Times New Roman" w:eastAsia="Times New Roman" w:hAnsi="Times New Roman"/>
                <w:sz w:val="16"/>
                <w:szCs w:val="16"/>
                <w:color w:val="auto"/>
              </w:rPr>
              <w:t>Sustainability Partners, Inc.)–</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7"/>
              </w:rPr>
              <w:t>14,300,000</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3"/>
                <w:szCs w:val="13"/>
                <w:color w:val="auto"/>
              </w:rPr>
            </w:pPr>
          </w:p>
        </w:tc>
        <w:tc>
          <w:tcPr>
            <w:tcW w:w="640" w:type="dxa"/>
            <w:vAlign w:val="bottom"/>
            <w:vMerge w:val="restart"/>
          </w:tcPr>
          <w:p>
            <w:pPr>
              <w:jc w:val="right"/>
              <w:ind w:right="4"/>
              <w:spacing w:after="0"/>
              <w:rPr>
                <w:sz w:val="20"/>
                <w:szCs w:val="20"/>
                <w:color w:val="auto"/>
              </w:rPr>
            </w:pPr>
            <w:r>
              <w:rPr>
                <w:rFonts w:ascii="Times New Roman" w:cs="Times New Roman" w:eastAsia="Times New Roman" w:hAnsi="Times New Roman"/>
                <w:sz w:val="16"/>
                <w:szCs w:val="16"/>
                <w:color w:val="auto"/>
              </w:rPr>
              <w:t>809,198</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3"/>
                <w:szCs w:val="13"/>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3"/>
                <w:szCs w:val="13"/>
                <w:color w:val="auto"/>
              </w:rPr>
            </w:pPr>
          </w:p>
        </w:tc>
        <w:tc>
          <w:tcPr>
            <w:tcW w:w="840" w:type="dxa"/>
            <w:vAlign w:val="bottom"/>
            <w:gridSpan w:val="2"/>
            <w:vMerge w:val="restart"/>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3"/>
                <w:szCs w:val="13"/>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237,835</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1,047,033</w:t>
            </w:r>
          </w:p>
        </w:tc>
        <w:tc>
          <w:tcPr>
            <w:tcW w:w="80" w:type="dxa"/>
            <w:vAlign w:val="bottom"/>
          </w:tcPr>
          <w:p>
            <w:pPr>
              <w:spacing w:after="0"/>
              <w:rPr>
                <w:sz w:val="13"/>
                <w:szCs w:val="13"/>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0.29</w:t>
            </w:r>
          </w:p>
        </w:tc>
        <w:tc>
          <w:tcPr>
            <w:tcW w:w="0" w:type="dxa"/>
            <w:vAlign w:val="bottom"/>
          </w:tcPr>
          <w:p>
            <w:pPr>
              <w:spacing w:after="0"/>
              <w:rPr>
                <w:sz w:val="1"/>
                <w:szCs w:val="1"/>
                <w:color w:val="auto"/>
              </w:rPr>
            </w:pPr>
          </w:p>
        </w:tc>
      </w:tr>
      <w:tr>
        <w:trPr>
          <w:trHeight w:val="207"/>
        </w:trPr>
        <w:tc>
          <w:tcPr>
            <w:tcW w:w="2200" w:type="dxa"/>
            <w:vAlign w:val="bottom"/>
            <w:gridSpan w:val="4"/>
          </w:tcPr>
          <w:p>
            <w:pPr>
              <w:ind w:left="200"/>
              <w:spacing w:after="0" w:line="207" w:lineRule="exact"/>
              <w:rPr>
                <w:sz w:val="20"/>
                <w:szCs w:val="20"/>
                <w:color w:val="auto"/>
              </w:rPr>
            </w:pPr>
            <w:r>
              <w:rPr>
                <w:rFonts w:ascii="Times New Roman" w:cs="Times New Roman" w:eastAsia="Times New Roman" w:hAnsi="Times New Roman"/>
                <w:sz w:val="16"/>
                <w:szCs w:val="16"/>
                <w:color w:val="auto"/>
              </w:rPr>
              <w:t>Preferred shares, Class A</w:t>
            </w:r>
            <w:r>
              <w:rPr>
                <w:rFonts w:ascii="Times New Roman" w:cs="Times New Roman" w:eastAsia="Times New Roman" w:hAnsi="Times New Roman"/>
                <w:sz w:val="20"/>
                <w:szCs w:val="20"/>
                <w:color w:val="auto"/>
                <w:vertAlign w:val="superscript"/>
              </w:rPr>
              <w:t>(4)</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2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Preferred Stock</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809,198</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237,835</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1,047,033</w:t>
            </w: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0.29</w:t>
            </w:r>
          </w:p>
        </w:tc>
        <w:tc>
          <w:tcPr>
            <w:tcW w:w="0" w:type="dxa"/>
            <w:vAlign w:val="bottom"/>
          </w:tcPr>
          <w:p>
            <w:pPr>
              <w:spacing w:after="0"/>
              <w:rPr>
                <w:sz w:val="1"/>
                <w:szCs w:val="1"/>
                <w:color w:val="auto"/>
              </w:rPr>
            </w:pPr>
          </w:p>
        </w:tc>
      </w:tr>
      <w:tr>
        <w:trPr>
          <w:trHeight w:val="206"/>
        </w:trPr>
        <w:tc>
          <w:tcPr>
            <w:tcW w:w="2200" w:type="dxa"/>
            <w:vAlign w:val="bottom"/>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20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6"/>
                <w:szCs w:val="16"/>
                <w:i w:val="1"/>
                <w:iCs w:val="1"/>
                <w:color w:val="auto"/>
              </w:rPr>
              <w:t>Clean Technology</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200" w:type="dxa"/>
            <w:vAlign w:val="bottom"/>
            <w:gridSpan w:val="4"/>
          </w:tcPr>
          <w:p>
            <w:pPr>
              <w:ind w:left="200"/>
              <w:spacing w:after="0" w:line="155" w:lineRule="exact"/>
              <w:rPr>
                <w:sz w:val="20"/>
                <w:szCs w:val="20"/>
                <w:color w:val="auto"/>
              </w:rPr>
            </w:pPr>
            <w:r>
              <w:rPr>
                <w:rFonts w:ascii="Times New Roman" w:cs="Times New Roman" w:eastAsia="Times New Roman" w:hAnsi="Times New Roman"/>
                <w:sz w:val="16"/>
                <w:szCs w:val="16"/>
                <w:color w:val="auto"/>
              </w:rPr>
              <w:t>SPBRX, INC. (f/k/a GSV</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200" w:type="dxa"/>
            <w:vAlign w:val="bottom"/>
            <w:gridSpan w:val="4"/>
          </w:tcPr>
          <w:p>
            <w:pPr>
              <w:ind w:left="200"/>
              <w:spacing w:after="0" w:line="155" w:lineRule="exact"/>
              <w:rPr>
                <w:sz w:val="20"/>
                <w:szCs w:val="20"/>
                <w:color w:val="auto"/>
              </w:rPr>
            </w:pPr>
            <w:r>
              <w:rPr>
                <w:rFonts w:ascii="Times New Roman" w:cs="Times New Roman" w:eastAsia="Times New Roman" w:hAnsi="Times New Roman"/>
                <w:sz w:val="16"/>
                <w:szCs w:val="16"/>
                <w:color w:val="auto"/>
              </w:rPr>
              <w:t>Sustainability Partners, Inc.)–</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3"/>
                <w:szCs w:val="13"/>
                <w:color w:val="auto"/>
              </w:rPr>
            </w:pP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3"/>
                <w:szCs w:val="13"/>
                <w:color w:val="auto"/>
              </w:rPr>
            </w:pPr>
          </w:p>
        </w:tc>
        <w:tc>
          <w:tcPr>
            <w:tcW w:w="4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3"/>
                <w:szCs w:val="13"/>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3"/>
                <w:szCs w:val="13"/>
                <w:color w:val="auto"/>
              </w:rPr>
            </w:pPr>
          </w:p>
        </w:tc>
        <w:tc>
          <w:tcPr>
            <w:tcW w:w="840" w:type="dxa"/>
            <w:vAlign w:val="bottom"/>
            <w:gridSpan w:val="2"/>
            <w:vMerge w:val="restart"/>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3"/>
                <w:szCs w:val="13"/>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3"/>
                <w:szCs w:val="13"/>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3"/>
                <w:szCs w:val="13"/>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5"/>
        </w:trPr>
        <w:tc>
          <w:tcPr>
            <w:tcW w:w="2200" w:type="dxa"/>
            <w:vAlign w:val="bottom"/>
            <w:gridSpan w:val="4"/>
          </w:tcPr>
          <w:p>
            <w:pPr>
              <w:ind w:left="200"/>
              <w:spacing w:after="0"/>
              <w:rPr>
                <w:sz w:val="20"/>
                <w:szCs w:val="20"/>
                <w:color w:val="auto"/>
              </w:rPr>
            </w:pPr>
            <w:r>
              <w:rPr>
                <w:rFonts w:ascii="Times New Roman" w:cs="Times New Roman" w:eastAsia="Times New Roman" w:hAnsi="Times New Roman"/>
                <w:sz w:val="16"/>
                <w:szCs w:val="16"/>
                <w:color w:val="auto"/>
              </w:rPr>
              <w:t>Common shares</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6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20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6"/>
                <w:szCs w:val="16"/>
                <w:i w:val="1"/>
                <w:iCs w:val="1"/>
                <w:color w:val="auto"/>
              </w:rPr>
              <w:t>Mobile Finance Technology</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200" w:type="dxa"/>
            <w:vAlign w:val="bottom"/>
            <w:gridSpan w:val="4"/>
          </w:tcPr>
          <w:p>
            <w:pPr>
              <w:ind w:left="200"/>
              <w:spacing w:after="0" w:line="155" w:lineRule="exact"/>
              <w:rPr>
                <w:sz w:val="20"/>
                <w:szCs w:val="20"/>
                <w:color w:val="auto"/>
              </w:rPr>
            </w:pPr>
            <w:r>
              <w:rPr>
                <w:rFonts w:ascii="Times New Roman" w:cs="Times New Roman" w:eastAsia="Times New Roman" w:hAnsi="Times New Roman"/>
                <w:sz w:val="16"/>
                <w:szCs w:val="16"/>
                <w:color w:val="auto"/>
              </w:rPr>
              <w:t>Architect Capital PayJoy SPV,</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200" w:type="dxa"/>
            <w:vAlign w:val="bottom"/>
            <w:gridSpan w:val="4"/>
          </w:tcPr>
          <w:p>
            <w:pPr>
              <w:ind w:left="200"/>
              <w:spacing w:after="0" w:line="155" w:lineRule="exact"/>
              <w:rPr>
                <w:sz w:val="20"/>
                <w:szCs w:val="20"/>
                <w:color w:val="auto"/>
              </w:rPr>
            </w:pPr>
            <w:r>
              <w:rPr>
                <w:rFonts w:ascii="Times New Roman" w:cs="Times New Roman" w:eastAsia="Times New Roman" w:hAnsi="Times New Roman"/>
                <w:sz w:val="16"/>
                <w:szCs w:val="16"/>
                <w:color w:val="auto"/>
                <w:w w:val="97"/>
              </w:rPr>
              <w:t>LLC**–Membership Interest in</w:t>
            </w: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7"/>
              </w:rPr>
              <w:t>10,000,000</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6"/>
              </w:rPr>
              <w:t>390,000</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3"/>
                <w:szCs w:val="13"/>
                <w:color w:val="auto"/>
              </w:rPr>
            </w:pPr>
          </w:p>
        </w:tc>
        <w:tc>
          <w:tcPr>
            <w:tcW w:w="4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7"/>
              </w:rPr>
              <w:t>10,006,745</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vMerge w:val="restart"/>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3"/>
                <w:szCs w:val="13"/>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(6,745)</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4"/>
              </w:rPr>
              <w:t>10,000,000</w:t>
            </w:r>
          </w:p>
        </w:tc>
        <w:tc>
          <w:tcPr>
            <w:tcW w:w="80" w:type="dxa"/>
            <w:vAlign w:val="bottom"/>
          </w:tcPr>
          <w:p>
            <w:pPr>
              <w:spacing w:after="0"/>
              <w:rPr>
                <w:sz w:val="13"/>
                <w:szCs w:val="13"/>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2.74</w:t>
            </w:r>
          </w:p>
        </w:tc>
        <w:tc>
          <w:tcPr>
            <w:tcW w:w="0" w:type="dxa"/>
            <w:vAlign w:val="bottom"/>
          </w:tcPr>
          <w:p>
            <w:pPr>
              <w:spacing w:after="0"/>
              <w:rPr>
                <w:sz w:val="1"/>
                <w:szCs w:val="1"/>
                <w:color w:val="auto"/>
              </w:rPr>
            </w:pPr>
          </w:p>
        </w:tc>
      </w:tr>
      <w:tr>
        <w:trPr>
          <w:trHeight w:val="207"/>
        </w:trPr>
        <w:tc>
          <w:tcPr>
            <w:tcW w:w="2200" w:type="dxa"/>
            <w:vAlign w:val="bottom"/>
            <w:gridSpan w:val="4"/>
          </w:tcPr>
          <w:p>
            <w:pPr>
              <w:ind w:left="200"/>
              <w:spacing w:after="0" w:line="207" w:lineRule="exact"/>
              <w:rPr>
                <w:sz w:val="20"/>
                <w:szCs w:val="20"/>
                <w:color w:val="auto"/>
              </w:rPr>
            </w:pPr>
            <w:r>
              <w:rPr>
                <w:rFonts w:ascii="Times New Roman" w:cs="Times New Roman" w:eastAsia="Times New Roman" w:hAnsi="Times New Roman"/>
                <w:sz w:val="16"/>
                <w:szCs w:val="16"/>
                <w:color w:val="auto"/>
              </w:rPr>
              <w:t>Lending SPV***</w:t>
            </w:r>
            <w:r>
              <w:rPr>
                <w:rFonts w:ascii="Times New Roman" w:cs="Times New Roman" w:eastAsia="Times New Roman" w:hAnsi="Times New Roman"/>
                <w:sz w:val="20"/>
                <w:szCs w:val="20"/>
                <w:color w:val="auto"/>
                <w:vertAlign w:val="superscript"/>
              </w:rPr>
              <w:t>(7)</w:t>
            </w:r>
          </w:p>
        </w:tc>
        <w:tc>
          <w:tcPr>
            <w:tcW w:w="180" w:type="dxa"/>
            <w:vAlign w:val="bottom"/>
            <w:gridSpan w:val="2"/>
            <w:vMerge w:val="continue"/>
          </w:tcPr>
          <w:p>
            <w:pPr>
              <w:spacing w:after="0"/>
              <w:rPr>
                <w:sz w:val="17"/>
                <w:szCs w:val="17"/>
                <w:color w:val="auto"/>
              </w:rPr>
            </w:pPr>
          </w:p>
        </w:tc>
        <w:tc>
          <w:tcPr>
            <w:tcW w:w="7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2200" w:type="dxa"/>
            <w:vAlign w:val="bottom"/>
            <w:gridSpan w:val="4"/>
            <w:shd w:val="clear" w:color="auto" w:fill="CCEEFF"/>
          </w:tcPr>
          <w:p>
            <w:pPr>
              <w:ind w:left="120"/>
              <w:spacing w:after="0" w:line="155" w:lineRule="exact"/>
              <w:rPr>
                <w:sz w:val="20"/>
                <w:szCs w:val="20"/>
                <w:color w:val="auto"/>
              </w:rPr>
            </w:pPr>
            <w:r>
              <w:rPr>
                <w:rFonts w:ascii="Times New Roman" w:cs="Times New Roman" w:eastAsia="Times New Roman" w:hAnsi="Times New Roman"/>
                <w:sz w:val="16"/>
                <w:szCs w:val="16"/>
                <w:i w:val="1"/>
                <w:iCs w:val="1"/>
                <w:color w:val="auto"/>
              </w:rPr>
              <w:t>Special Purpose Acquisition</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7"/>
        </w:trPr>
        <w:tc>
          <w:tcPr>
            <w:tcW w:w="220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6"/>
                <w:szCs w:val="16"/>
                <w:i w:val="1"/>
                <w:iCs w:val="1"/>
                <w:color w:val="auto"/>
              </w:rPr>
              <w:t>Company</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2200" w:type="dxa"/>
            <w:vAlign w:val="bottom"/>
            <w:gridSpan w:val="4"/>
          </w:tcPr>
          <w:p>
            <w:pPr>
              <w:ind w:left="200"/>
              <w:spacing w:after="0" w:line="155" w:lineRule="exact"/>
              <w:rPr>
                <w:sz w:val="20"/>
                <w:szCs w:val="20"/>
                <w:color w:val="auto"/>
              </w:rPr>
            </w:pPr>
            <w:r>
              <w:rPr>
                <w:rFonts w:ascii="Times New Roman" w:cs="Times New Roman" w:eastAsia="Times New Roman" w:hAnsi="Times New Roman"/>
                <w:sz w:val="16"/>
                <w:szCs w:val="16"/>
                <w:color w:val="auto"/>
              </w:rPr>
              <w:t>Colombier Sponsor LLC**–</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1,976,033</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3"/>
                <w:szCs w:val="13"/>
                <w:color w:val="auto"/>
              </w:rPr>
            </w:pP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3"/>
                <w:szCs w:val="13"/>
                <w:color w:val="auto"/>
              </w:rPr>
            </w:pPr>
          </w:p>
        </w:tc>
        <w:tc>
          <w:tcPr>
            <w:tcW w:w="4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1,556,587</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vMerge w:val="restart"/>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3"/>
                <w:szCs w:val="13"/>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(2,233)</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1,554,354</w:t>
            </w:r>
          </w:p>
        </w:tc>
        <w:tc>
          <w:tcPr>
            <w:tcW w:w="80" w:type="dxa"/>
            <w:vAlign w:val="bottom"/>
          </w:tcPr>
          <w:p>
            <w:pPr>
              <w:spacing w:after="0"/>
              <w:rPr>
                <w:sz w:val="13"/>
                <w:szCs w:val="13"/>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0.43</w:t>
            </w:r>
          </w:p>
        </w:tc>
        <w:tc>
          <w:tcPr>
            <w:tcW w:w="0" w:type="dxa"/>
            <w:vAlign w:val="bottom"/>
          </w:tcPr>
          <w:p>
            <w:pPr>
              <w:spacing w:after="0"/>
              <w:rPr>
                <w:sz w:val="1"/>
                <w:szCs w:val="1"/>
                <w:color w:val="auto"/>
              </w:rPr>
            </w:pPr>
          </w:p>
        </w:tc>
      </w:tr>
      <w:tr>
        <w:trPr>
          <w:trHeight w:val="207"/>
        </w:trPr>
        <w:tc>
          <w:tcPr>
            <w:tcW w:w="2200" w:type="dxa"/>
            <w:vAlign w:val="bottom"/>
            <w:gridSpan w:val="4"/>
          </w:tcPr>
          <w:p>
            <w:pPr>
              <w:ind w:left="200"/>
              <w:spacing w:after="0" w:line="207" w:lineRule="exact"/>
              <w:rPr>
                <w:sz w:val="20"/>
                <w:szCs w:val="20"/>
                <w:color w:val="auto"/>
              </w:rPr>
            </w:pPr>
            <w:r>
              <w:rPr>
                <w:rFonts w:ascii="Times New Roman" w:cs="Times New Roman" w:eastAsia="Times New Roman" w:hAnsi="Times New Roman"/>
                <w:sz w:val="16"/>
                <w:szCs w:val="16"/>
                <w:color w:val="auto"/>
              </w:rPr>
              <w:t>Class B Units</w:t>
            </w:r>
            <w:r>
              <w:rPr>
                <w:rFonts w:ascii="Times New Roman" w:cs="Times New Roman" w:eastAsia="Times New Roman" w:hAnsi="Times New Roman"/>
                <w:sz w:val="20"/>
                <w:szCs w:val="20"/>
                <w:color w:val="auto"/>
                <w:vertAlign w:val="superscript"/>
              </w:rPr>
              <w:t>(9)</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20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Common Stock</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390,000</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11,563,332</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(8,978)</w:t>
            </w: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4"/>
              </w:rPr>
              <w:t>11,554,354</w:t>
            </w:r>
          </w:p>
        </w:tc>
        <w:tc>
          <w:tcPr>
            <w:tcW w:w="80" w:type="dxa"/>
            <w:vAlign w:val="bottom"/>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w:t>
            </w:r>
          </w:p>
        </w:tc>
        <w:tc>
          <w:tcPr>
            <w:tcW w:w="0" w:type="dxa"/>
            <w:vAlign w:val="bottom"/>
          </w:tcPr>
          <w:p>
            <w:pPr>
              <w:spacing w:after="0"/>
              <w:rPr>
                <w:sz w:val="1"/>
                <w:szCs w:val="1"/>
                <w:color w:val="auto"/>
              </w:rPr>
            </w:pPr>
          </w:p>
        </w:tc>
      </w:tr>
      <w:tr>
        <w:trPr>
          <w:trHeight w:val="149"/>
        </w:trPr>
        <w:tc>
          <w:tcPr>
            <w:tcW w:w="2200" w:type="dxa"/>
            <w:vAlign w:val="bottom"/>
            <w:gridSpan w:val="4"/>
          </w:tcPr>
          <w:p>
            <w:pPr>
              <w:ind w:left="20"/>
              <w:spacing w:after="0" w:line="150" w:lineRule="exact"/>
              <w:rPr>
                <w:sz w:val="20"/>
                <w:szCs w:val="20"/>
                <w:color w:val="auto"/>
              </w:rPr>
            </w:pPr>
            <w:r>
              <w:rPr>
                <w:rFonts w:ascii="Times New Roman" w:cs="Times New Roman" w:eastAsia="Times New Roman" w:hAnsi="Times New Roman"/>
                <w:sz w:val="16"/>
                <w:szCs w:val="16"/>
                <w:b w:val="1"/>
                <w:bCs w:val="1"/>
                <w:color w:val="auto"/>
              </w:rPr>
              <w:t>TOTAL CONTROLLED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w w:val="96"/>
              </w:rPr>
              <w:t>390,000</w:t>
            </w:r>
          </w:p>
        </w:tc>
        <w:tc>
          <w:tcPr>
            <w:tcW w:w="8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40" w:type="dxa"/>
            <w:vAlign w:val="bottom"/>
            <w:vMerge w:val="restart"/>
          </w:tcPr>
          <w:p>
            <w:pPr>
              <w:jc w:val="right"/>
              <w:ind w:right="4"/>
              <w:spacing w:after="0"/>
              <w:rPr>
                <w:sz w:val="20"/>
                <w:szCs w:val="20"/>
                <w:color w:val="auto"/>
              </w:rPr>
            </w:pPr>
            <w:r>
              <w:rPr>
                <w:rFonts w:ascii="Times New Roman" w:cs="Times New Roman" w:eastAsia="Times New Roman" w:hAnsi="Times New Roman"/>
                <w:sz w:val="16"/>
                <w:szCs w:val="16"/>
                <w:b w:val="1"/>
                <w:bCs w:val="1"/>
                <w:color w:val="auto"/>
              </w:rPr>
              <w:t>809,198</w:t>
            </w:r>
          </w:p>
        </w:tc>
        <w:tc>
          <w:tcPr>
            <w:tcW w:w="80" w:type="dxa"/>
            <w:vAlign w:val="bottom"/>
          </w:tcPr>
          <w:p>
            <w:pPr>
              <w:spacing w:after="0"/>
              <w:rPr>
                <w:sz w:val="12"/>
                <w:szCs w:val="12"/>
                <w:color w:val="auto"/>
              </w:rPr>
            </w:pPr>
          </w:p>
        </w:tc>
        <w:tc>
          <w:tcPr>
            <w:tcW w:w="280" w:type="dxa"/>
            <w:vAlign w:val="bottom"/>
            <w:vMerge w:val="restart"/>
          </w:tcPr>
          <w:p>
            <w:pPr>
              <w:jc w:val="right"/>
              <w:ind w:right="126"/>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4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u w:val="single" w:color="auto"/>
                <w:color w:val="auto"/>
                <w:w w:val="74"/>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w w:val="97"/>
              </w:rPr>
              <w:t>12,722,482</w:t>
            </w:r>
          </w:p>
        </w:tc>
        <w:tc>
          <w:tcPr>
            <w:tcW w:w="80" w:type="dxa"/>
            <w:vAlign w:val="bottom"/>
          </w:tcPr>
          <w:p>
            <w:pPr>
              <w:spacing w:after="0"/>
              <w:rPr>
                <w:sz w:val="12"/>
                <w:szCs w:val="12"/>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40" w:type="dxa"/>
            <w:vAlign w:val="bottom"/>
            <w:gridSpan w:val="2"/>
            <w:vMerge w:val="restart"/>
          </w:tcPr>
          <w:p>
            <w:pPr>
              <w:ind w:left="540"/>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227,194</w:t>
            </w:r>
          </w:p>
        </w:tc>
        <w:tc>
          <w:tcPr>
            <w:tcW w:w="80" w:type="dxa"/>
            <w:vAlign w:val="bottom"/>
          </w:tcPr>
          <w:p>
            <w:pPr>
              <w:spacing w:after="0"/>
              <w:rPr>
                <w:sz w:val="12"/>
                <w:szCs w:val="12"/>
                <w:color w:val="auto"/>
              </w:rPr>
            </w:pPr>
          </w:p>
        </w:tc>
        <w:tc>
          <w:tcPr>
            <w:tcW w:w="10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u w:val="single" w:color="auto"/>
                <w:color w:val="auto"/>
                <w:w w:val="74"/>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w w:val="94"/>
              </w:rPr>
              <w:t>13,758,874</w:t>
            </w:r>
          </w:p>
        </w:tc>
        <w:tc>
          <w:tcPr>
            <w:tcW w:w="8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3.78</w:t>
            </w:r>
          </w:p>
        </w:tc>
        <w:tc>
          <w:tcPr>
            <w:tcW w:w="0" w:type="dxa"/>
            <w:vAlign w:val="bottom"/>
          </w:tcPr>
          <w:p>
            <w:pPr>
              <w:spacing w:after="0"/>
              <w:rPr>
                <w:sz w:val="1"/>
                <w:szCs w:val="1"/>
                <w:color w:val="auto"/>
              </w:rPr>
            </w:pPr>
          </w:p>
        </w:tc>
      </w:tr>
      <w:tr>
        <w:trPr>
          <w:trHeight w:val="181"/>
        </w:trPr>
        <w:tc>
          <w:tcPr>
            <w:tcW w:w="2200" w:type="dxa"/>
            <w:vAlign w:val="bottom"/>
            <w:gridSpan w:val="4"/>
          </w:tcPr>
          <w:p>
            <w:pPr>
              <w:ind w:left="20"/>
              <w:spacing w:after="0" w:line="181" w:lineRule="exact"/>
              <w:rPr>
                <w:sz w:val="20"/>
                <w:szCs w:val="20"/>
                <w:color w:val="auto"/>
              </w:rPr>
            </w:pPr>
            <w:r>
              <w:rPr>
                <w:rFonts w:ascii="Times New Roman" w:cs="Times New Roman" w:eastAsia="Times New Roman" w:hAnsi="Times New Roman"/>
                <w:sz w:val="16"/>
                <w:szCs w:val="16"/>
                <w:b w:val="1"/>
                <w:bCs w:val="1"/>
                <w:color w:val="auto"/>
              </w:rPr>
              <w:t>INVESTMENTS*</w:t>
            </w:r>
            <w:r>
              <w:rPr>
                <w:rFonts w:ascii="Times New Roman" w:cs="Times New Roman" w:eastAsia="Times New Roman" w:hAnsi="Times New Roman"/>
                <w:sz w:val="20"/>
                <w:szCs w:val="20"/>
                <w:b w:val="1"/>
                <w:bCs w:val="1"/>
                <w:color w:val="auto"/>
                <w:vertAlign w:val="superscript"/>
              </w:rPr>
              <w:t>(2)</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vMerge w:val="continue"/>
          </w:tcPr>
          <w:p>
            <w:pPr>
              <w:spacing w:after="0"/>
              <w:rPr>
                <w:sz w:val="15"/>
                <w:szCs w:val="15"/>
                <w:color w:val="auto"/>
              </w:rPr>
            </w:pPr>
          </w:p>
        </w:tc>
        <w:tc>
          <w:tcPr>
            <w:tcW w:w="5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vMerge w:val="continue"/>
          </w:tcPr>
          <w:p>
            <w:pPr>
              <w:spacing w:after="0"/>
              <w:rPr>
                <w:sz w:val="15"/>
                <w:szCs w:val="15"/>
                <w:color w:val="auto"/>
              </w:rPr>
            </w:pPr>
          </w:p>
        </w:tc>
        <w:tc>
          <w:tcPr>
            <w:tcW w:w="480" w:type="dxa"/>
            <w:vAlign w:val="bottom"/>
            <w:gridSpan w:val="2"/>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vMerge w:val="continue"/>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2200" w:type="dxa"/>
            <w:vAlign w:val="bottom"/>
            <w:gridSpan w:val="4"/>
            <w:shd w:val="clear" w:color="auto" w:fill="CCEEFF"/>
          </w:tcPr>
          <w:p>
            <w:pPr>
              <w:ind w:left="20"/>
              <w:spacing w:after="0" w:line="134" w:lineRule="exact"/>
              <w:rPr>
                <w:sz w:val="20"/>
                <w:szCs w:val="20"/>
                <w:color w:val="auto"/>
              </w:rPr>
            </w:pPr>
            <w:r>
              <w:rPr>
                <w:rFonts w:ascii="Times New Roman" w:cs="Times New Roman" w:eastAsia="Times New Roman" w:hAnsi="Times New Roman"/>
                <w:sz w:val="14"/>
                <w:szCs w:val="14"/>
                <w:b w:val="1"/>
                <w:bCs w:val="1"/>
                <w:color w:val="auto"/>
              </w:rPr>
              <w:t>NON-</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0" w:type="dxa"/>
            <w:vAlign w:val="bottom"/>
            <w:tcBorders>
              <w:top w:val="single" w:sz="8" w:color="auto"/>
            </w:tcBorders>
            <w:shd w:val="clear" w:color="auto" w:fill="CCEEFF"/>
          </w:tcPr>
          <w:p>
            <w:pPr>
              <w:spacing w:after="0"/>
              <w:rPr>
                <w:sz w:val="11"/>
                <w:szCs w:val="11"/>
                <w:color w:val="auto"/>
              </w:rPr>
            </w:pPr>
          </w:p>
        </w:tc>
        <w:tc>
          <w:tcPr>
            <w:tcW w:w="1800" w:type="dxa"/>
            <w:vAlign w:val="bottom"/>
            <w:tcBorders>
              <w:top w:val="single" w:sz="8" w:color="CCEEFF"/>
            </w:tcBorders>
            <w:gridSpan w:val="3"/>
            <w:shd w:val="clear" w:color="auto" w:fill="CCEEFF"/>
          </w:tcPr>
          <w:p>
            <w:pPr>
              <w:spacing w:after="0" w:line="135" w:lineRule="exact"/>
              <w:rPr>
                <w:sz w:val="20"/>
                <w:szCs w:val="20"/>
                <w:color w:val="auto"/>
              </w:rPr>
            </w:pPr>
            <w:r>
              <w:rPr>
                <w:rFonts w:ascii="Times New Roman" w:cs="Times New Roman" w:eastAsia="Times New Roman" w:hAnsi="Times New Roman"/>
                <w:sz w:val="14"/>
                <w:szCs w:val="14"/>
                <w:b w:val="1"/>
                <w:bCs w:val="1"/>
                <w:color w:val="auto"/>
                <w:w w:val="99"/>
              </w:rPr>
              <w:t>CONTROLLED/AFFILIATE</w:t>
            </w: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4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00" w:type="dxa"/>
            <w:vAlign w:val="bottom"/>
            <w:tcBorders>
              <w:top w:val="single" w:sz="8" w:color="auto"/>
            </w:tcBorders>
            <w:gridSpan w:val="3"/>
            <w:shd w:val="clear" w:color="auto" w:fill="CCEEFF"/>
          </w:tcPr>
          <w:p>
            <w:pPr>
              <w:ind w:left="20"/>
              <w:spacing w:after="0" w:line="136" w:lineRule="exact"/>
              <w:rPr>
                <w:sz w:val="20"/>
                <w:szCs w:val="20"/>
                <w:color w:val="auto"/>
              </w:rPr>
            </w:pPr>
            <w:r>
              <w:rPr>
                <w:rFonts w:ascii="Times New Roman" w:cs="Times New Roman" w:eastAsia="Times New Roman" w:hAnsi="Times New Roman"/>
                <w:sz w:val="12"/>
                <w:szCs w:val="12"/>
                <w:b w:val="1"/>
                <w:bCs w:val="1"/>
                <w:color w:val="auto"/>
              </w:rPr>
              <w:t>INVESTMENTS*</w:t>
            </w:r>
            <w:r>
              <w:rPr>
                <w:rFonts w:ascii="Times New Roman" w:cs="Times New Roman" w:eastAsia="Times New Roman" w:hAnsi="Times New Roman"/>
                <w:sz w:val="15"/>
                <w:szCs w:val="15"/>
                <w:b w:val="1"/>
                <w:bCs w:val="1"/>
                <w:color w:val="auto"/>
                <w:vertAlign w:val="superscript"/>
              </w:rPr>
              <w:t>(1)</w:t>
            </w:r>
          </w:p>
        </w:tc>
        <w:tc>
          <w:tcPr>
            <w:tcW w:w="2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4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39"/>
        </w:trPr>
        <w:tc>
          <w:tcPr>
            <w:tcW w:w="400" w:type="dxa"/>
            <w:vAlign w:val="bottom"/>
            <w:shd w:val="clear" w:color="auto" w:fill="000000"/>
          </w:tcPr>
          <w:p>
            <w:pPr>
              <w:spacing w:after="0"/>
              <w:rPr>
                <w:sz w:val="3"/>
                <w:szCs w:val="3"/>
                <w:color w:val="auto"/>
              </w:rPr>
            </w:pPr>
          </w:p>
        </w:tc>
        <w:tc>
          <w:tcPr>
            <w:tcW w:w="740" w:type="dxa"/>
            <w:vAlign w:val="bottom"/>
            <w:tcBorders>
              <w:right w:val="single" w:sz="8" w:color="auto"/>
            </w:tcBorders>
            <w:shd w:val="clear" w:color="auto" w:fill="000000"/>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6"/>
        </w:trPr>
        <w:tc>
          <w:tcPr>
            <w:tcW w:w="2200" w:type="dxa"/>
            <w:vAlign w:val="bottom"/>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Debt Investments</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20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6"/>
                <w:szCs w:val="16"/>
                <w:i w:val="1"/>
                <w:iCs w:val="1"/>
                <w:color w:val="auto"/>
              </w:rPr>
              <w:t>Corporate Education</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200" w:type="dxa"/>
            <w:vAlign w:val="bottom"/>
            <w:gridSpan w:val="4"/>
          </w:tcPr>
          <w:p>
            <w:pPr>
              <w:ind w:left="200"/>
              <w:spacing w:after="0" w:line="155" w:lineRule="exact"/>
              <w:rPr>
                <w:sz w:val="20"/>
                <w:szCs w:val="20"/>
                <w:color w:val="auto"/>
              </w:rPr>
            </w:pPr>
            <w:r>
              <w:rPr>
                <w:rFonts w:ascii="Times New Roman" w:cs="Times New Roman" w:eastAsia="Times New Roman" w:hAnsi="Times New Roman"/>
                <w:sz w:val="16"/>
                <w:szCs w:val="16"/>
                <w:color w:val="auto"/>
              </w:rPr>
              <w:t>CUX, Inc. (d/b/a CorpU)–</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200" w:type="dxa"/>
            <w:vAlign w:val="bottom"/>
            <w:gridSpan w:val="4"/>
          </w:tcPr>
          <w:p>
            <w:pPr>
              <w:ind w:left="200"/>
              <w:spacing w:after="0" w:line="155" w:lineRule="exact"/>
              <w:rPr>
                <w:sz w:val="20"/>
                <w:szCs w:val="20"/>
                <w:color w:val="auto"/>
              </w:rPr>
            </w:pPr>
            <w:r>
              <w:rPr>
                <w:rFonts w:ascii="Times New Roman" w:cs="Times New Roman" w:eastAsia="Times New Roman" w:hAnsi="Times New Roman"/>
                <w:sz w:val="16"/>
                <w:szCs w:val="16"/>
                <w:color w:val="auto"/>
              </w:rPr>
              <w:t>Senior Subordinated</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200" w:type="dxa"/>
            <w:vAlign w:val="bottom"/>
            <w:gridSpan w:val="4"/>
          </w:tcPr>
          <w:p>
            <w:pPr>
              <w:ind w:left="200"/>
              <w:spacing w:after="0" w:line="155" w:lineRule="exact"/>
              <w:rPr>
                <w:sz w:val="20"/>
                <w:szCs w:val="20"/>
                <w:color w:val="auto"/>
              </w:rPr>
            </w:pPr>
            <w:r>
              <w:rPr>
                <w:rFonts w:ascii="Times New Roman" w:cs="Times New Roman" w:eastAsia="Times New Roman" w:hAnsi="Times New Roman"/>
                <w:sz w:val="16"/>
                <w:szCs w:val="16"/>
                <w:color w:val="auto"/>
              </w:rPr>
              <w:t>Convertible Promissory Note</w:t>
            </w: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vMerge w:val="restart"/>
          </w:tcPr>
          <w:p>
            <w:pPr>
              <w:jc w:val="right"/>
              <w:ind w:right="4"/>
              <w:spacing w:after="0"/>
              <w:rPr>
                <w:sz w:val="20"/>
                <w:szCs w:val="20"/>
                <w:color w:val="auto"/>
              </w:rPr>
            </w:pPr>
            <w:r>
              <w:rPr>
                <w:rFonts w:ascii="Times New Roman" w:cs="Times New Roman" w:eastAsia="Times New Roman" w:hAnsi="Times New Roman"/>
                <w:sz w:val="16"/>
                <w:szCs w:val="16"/>
                <w:color w:val="auto"/>
              </w:rPr>
              <w:t>312,790</w:t>
            </w:r>
          </w:p>
        </w:tc>
        <w:tc>
          <w:tcPr>
            <w:tcW w:w="80" w:type="dxa"/>
            <w:vAlign w:val="bottom"/>
          </w:tcPr>
          <w:p>
            <w:pPr>
              <w:spacing w:after="0"/>
              <w:rPr>
                <w:sz w:val="13"/>
                <w:szCs w:val="13"/>
                <w:color w:val="auto"/>
              </w:rPr>
            </w:pPr>
          </w:p>
        </w:tc>
        <w:tc>
          <w:tcPr>
            <w:tcW w:w="280" w:type="dxa"/>
            <w:vAlign w:val="bottom"/>
            <w:vMerge w:val="restart"/>
          </w:tcPr>
          <w:p>
            <w:pPr>
              <w:jc w:val="right"/>
              <w:ind w:right="126"/>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w w:val="96"/>
              </w:rPr>
              <w:t>(1,344,981)</w:t>
            </w:r>
          </w:p>
        </w:tc>
        <w:tc>
          <w:tcPr>
            <w:tcW w:w="80" w:type="dxa"/>
            <w:vAlign w:val="bottom"/>
          </w:tcPr>
          <w:p>
            <w:pPr>
              <w:spacing w:after="0"/>
              <w:rPr>
                <w:sz w:val="13"/>
                <w:szCs w:val="13"/>
                <w:color w:val="auto"/>
              </w:rPr>
            </w:pPr>
          </w:p>
        </w:tc>
        <w:tc>
          <w:tcPr>
            <w:tcW w:w="14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88,789</w:t>
            </w:r>
          </w:p>
        </w:tc>
        <w:tc>
          <w:tcPr>
            <w:tcW w:w="80" w:type="dxa"/>
            <w:vAlign w:val="bottom"/>
          </w:tcPr>
          <w:p>
            <w:pPr>
              <w:spacing w:after="0"/>
              <w:rPr>
                <w:sz w:val="13"/>
                <w:szCs w:val="13"/>
                <w:color w:val="auto"/>
              </w:rPr>
            </w:pPr>
          </w:p>
        </w:tc>
        <w:tc>
          <w:tcPr>
            <w:tcW w:w="1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943,402</w:t>
            </w:r>
          </w:p>
        </w:tc>
        <w:tc>
          <w:tcPr>
            <w:tcW w:w="80" w:type="dxa"/>
            <w:vAlign w:val="bottom"/>
          </w:tcPr>
          <w:p>
            <w:pPr>
              <w:spacing w:after="0"/>
              <w:rPr>
                <w:sz w:val="13"/>
                <w:szCs w:val="13"/>
                <w:color w:val="auto"/>
              </w:rPr>
            </w:pPr>
          </w:p>
        </w:tc>
        <w:tc>
          <w:tcPr>
            <w:tcW w:w="1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2"/>
        </w:trPr>
        <w:tc>
          <w:tcPr>
            <w:tcW w:w="2200" w:type="dxa"/>
            <w:vAlign w:val="bottom"/>
            <w:gridSpan w:val="4"/>
          </w:tcPr>
          <w:p>
            <w:pPr>
              <w:ind w:left="200"/>
              <w:spacing w:after="0"/>
              <w:rPr>
                <w:sz w:val="20"/>
                <w:szCs w:val="20"/>
                <w:color w:val="auto"/>
              </w:rPr>
            </w:pPr>
            <w:r>
              <w:rPr>
                <w:rFonts w:ascii="Times New Roman" w:cs="Times New Roman" w:eastAsia="Times New Roman" w:hAnsi="Times New Roman"/>
                <w:sz w:val="16"/>
                <w:szCs w:val="16"/>
                <w:color w:val="auto"/>
              </w:rPr>
              <w:t>4% Due 2/14/2023</w:t>
            </w:r>
          </w:p>
        </w:tc>
        <w:tc>
          <w:tcPr>
            <w:tcW w:w="180" w:type="dxa"/>
            <w:vAlign w:val="bottom"/>
            <w:gridSpan w:val="2"/>
            <w:vMerge w:val="continue"/>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660" w:type="dxa"/>
            <w:vAlign w:val="bottom"/>
            <w:gridSpan w:val="2"/>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6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vMerge w:val="continue"/>
          </w:tcPr>
          <w:p>
            <w:pPr>
              <w:spacing w:after="0"/>
              <w:rPr>
                <w:sz w:val="17"/>
                <w:szCs w:val="17"/>
                <w:color w:val="auto"/>
              </w:rPr>
            </w:pPr>
          </w:p>
        </w:tc>
        <w:tc>
          <w:tcPr>
            <w:tcW w:w="480" w:type="dxa"/>
            <w:vAlign w:val="bottom"/>
            <w:gridSpan w:val="2"/>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7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vMerge w:val="continue"/>
          </w:tcPr>
          <w:p>
            <w:pPr>
              <w:spacing w:after="0"/>
              <w:rPr>
                <w:sz w:val="17"/>
                <w:szCs w:val="17"/>
                <w:color w:val="auto"/>
              </w:rPr>
            </w:pPr>
          </w:p>
        </w:tc>
        <w:tc>
          <w:tcPr>
            <w:tcW w:w="7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vMerge w:val="continue"/>
          </w:tcPr>
          <w:p>
            <w:pPr>
              <w:spacing w:after="0"/>
              <w:rPr>
                <w:sz w:val="17"/>
                <w:szCs w:val="17"/>
                <w:color w:val="auto"/>
              </w:rPr>
            </w:pPr>
          </w:p>
        </w:tc>
        <w:tc>
          <w:tcPr>
            <w:tcW w:w="7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vMerge w:val="continue"/>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6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38</w:t>
      </w:r>
    </w:p>
    <w:p>
      <w:pPr>
        <w:sectPr>
          <w:pgSz w:w="11900" w:h="16838" w:orient="portrait"/>
          <w:cols w:equalWidth="0" w:num="1">
            <w:col w:w="11340"/>
          </w:cols>
          <w:pgMar w:left="320" w:top="118" w:right="2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SURO CAPITAL CORP. AND SUBSIDIARIES</w:t>
      </w:r>
    </w:p>
    <w:p>
      <w:pPr>
        <w:spacing w:after="0" w:line="24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3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June 30, 2022</w:t>
      </w:r>
    </w:p>
    <w:p>
      <w:pPr>
        <w:spacing w:after="0" w:line="227" w:lineRule="exact"/>
        <w:rPr>
          <w:sz w:val="20"/>
          <w:szCs w:val="20"/>
          <w:color w:val="auto"/>
        </w:rPr>
      </w:pPr>
    </w:p>
    <w:tbl>
      <w:tblPr>
        <w:tblLayout w:type="fixed"/>
        <w:tblInd w:w="360" w:type="dxa"/>
        <w:tblCellMar>
          <w:top w:w="0" w:type="dxa"/>
          <w:left w:w="0" w:type="dxa"/>
          <w:bottom w:w="0" w:type="dxa"/>
          <w:right w:w="0" w:type="dxa"/>
        </w:tblCellMar>
      </w:tblPr>
      <w:tr>
        <w:trPr>
          <w:trHeight w:val="161"/>
        </w:trPr>
        <w:tc>
          <w:tcPr>
            <w:tcW w:w="2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5"/>
              </w:rPr>
              <w:t>Interest,</w:t>
            </w: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Purchases,</w:t>
            </w: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2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center"/>
              <w:ind w:right="160"/>
              <w:spacing w:after="0" w:line="141" w:lineRule="exact"/>
              <w:rPr>
                <w:sz w:val="20"/>
                <w:szCs w:val="20"/>
                <w:color w:val="auto"/>
              </w:rPr>
            </w:pPr>
            <w:r>
              <w:rPr>
                <w:rFonts w:ascii="Times New Roman" w:cs="Times New Roman" w:eastAsia="Times New Roman" w:hAnsi="Times New Roman"/>
                <w:sz w:val="14"/>
                <w:szCs w:val="14"/>
                <w:b w:val="1"/>
                <w:bCs w:val="1"/>
                <w:color w:val="auto"/>
                <w:w w:val="98"/>
              </w:rPr>
              <w:t>Fees, or</w:t>
            </w:r>
          </w:p>
        </w:tc>
        <w:tc>
          <w:tcPr>
            <w:tcW w:w="9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Fair Value at</w:t>
            </w: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3"/>
          </w:tcPr>
          <w:p>
            <w:pPr>
              <w:jc w:val="center"/>
              <w:ind w:right="100"/>
              <w:spacing w:after="0" w:line="141" w:lineRule="exact"/>
              <w:rPr>
                <w:sz w:val="20"/>
                <w:szCs w:val="20"/>
                <w:color w:val="auto"/>
              </w:rPr>
            </w:pPr>
            <w:r>
              <w:rPr>
                <w:rFonts w:ascii="Times New Roman" w:cs="Times New Roman" w:eastAsia="Times New Roman" w:hAnsi="Times New Roman"/>
                <w:sz w:val="14"/>
                <w:szCs w:val="14"/>
                <w:b w:val="1"/>
                <w:bCs w:val="1"/>
                <w:color w:val="auto"/>
                <w:w w:val="99"/>
              </w:rPr>
              <w:t>Capitalized</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Fair Value at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Percenta</w:t>
            </w:r>
          </w:p>
        </w:tc>
        <w:tc>
          <w:tcPr>
            <w:tcW w:w="0" w:type="dxa"/>
            <w:vAlign w:val="bottom"/>
          </w:tcPr>
          <w:p>
            <w:pPr>
              <w:spacing w:after="0"/>
              <w:rPr>
                <w:sz w:val="1"/>
                <w:szCs w:val="1"/>
                <w:color w:val="auto"/>
              </w:rPr>
            </w:pPr>
          </w:p>
        </w:tc>
      </w:tr>
      <w:tr>
        <w:trPr>
          <w:trHeight w:val="131"/>
        </w:trPr>
        <w:tc>
          <w:tcPr>
            <w:tcW w:w="22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Type/Industry/Portfolio</w:t>
            </w:r>
          </w:p>
        </w:tc>
        <w:tc>
          <w:tcPr>
            <w:tcW w:w="9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Principal/</w:t>
            </w:r>
          </w:p>
        </w:tc>
        <w:tc>
          <w:tcPr>
            <w:tcW w:w="760" w:type="dxa"/>
            <w:vAlign w:val="bottom"/>
            <w:gridSpan w:val="3"/>
          </w:tcPr>
          <w:p>
            <w:pPr>
              <w:jc w:val="center"/>
              <w:ind w:right="80"/>
              <w:spacing w:after="0" w:line="131" w:lineRule="exact"/>
              <w:rPr>
                <w:sz w:val="20"/>
                <w:szCs w:val="20"/>
                <w:color w:val="auto"/>
              </w:rPr>
            </w:pPr>
            <w:r>
              <w:rPr>
                <w:rFonts w:ascii="Times New Roman" w:cs="Times New Roman" w:eastAsia="Times New Roman" w:hAnsi="Times New Roman"/>
                <w:sz w:val="14"/>
                <w:szCs w:val="14"/>
                <w:b w:val="1"/>
                <w:bCs w:val="1"/>
                <w:color w:val="auto"/>
              </w:rPr>
              <w:t>Dividends</w:t>
            </w:r>
          </w:p>
        </w:tc>
        <w:tc>
          <w:tcPr>
            <w:tcW w:w="900" w:type="dxa"/>
            <w:vAlign w:val="bottom"/>
            <w:gridSpan w:val="2"/>
            <w:vMerge w:val="continue"/>
          </w:tcPr>
          <w:p>
            <w:pPr>
              <w:spacing w:after="0"/>
              <w:rPr>
                <w:sz w:val="11"/>
                <w:szCs w:val="11"/>
                <w:color w:val="auto"/>
              </w:rPr>
            </w:pPr>
          </w:p>
        </w:tc>
        <w:tc>
          <w:tcPr>
            <w:tcW w:w="8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Transfer In/</w:t>
            </w:r>
          </w:p>
        </w:tc>
        <w:tc>
          <w:tcPr>
            <w:tcW w:w="80" w:type="dxa"/>
            <w:vAlign w:val="bottom"/>
          </w:tcPr>
          <w:p>
            <w:pPr>
              <w:spacing w:after="0"/>
              <w:rPr>
                <w:sz w:val="11"/>
                <w:szCs w:val="11"/>
                <w:color w:val="auto"/>
              </w:rPr>
            </w:pPr>
          </w:p>
        </w:tc>
        <w:tc>
          <w:tcPr>
            <w:tcW w:w="820" w:type="dxa"/>
            <w:vAlign w:val="bottom"/>
            <w:gridSpan w:val="2"/>
          </w:tcPr>
          <w:p>
            <w:pPr>
              <w:jc w:val="center"/>
              <w:ind w:right="160"/>
              <w:spacing w:after="0" w:line="131" w:lineRule="exact"/>
              <w:rPr>
                <w:sz w:val="20"/>
                <w:szCs w:val="20"/>
                <w:color w:val="auto"/>
              </w:rPr>
            </w:pPr>
            <w:r>
              <w:rPr>
                <w:rFonts w:ascii="Times New Roman" w:cs="Times New Roman" w:eastAsia="Times New Roman" w:hAnsi="Times New Roman"/>
                <w:sz w:val="14"/>
                <w:szCs w:val="14"/>
                <w:b w:val="1"/>
                <w:bCs w:val="1"/>
                <w:color w:val="auto"/>
              </w:rPr>
              <w:t>Fees,</w:t>
            </w: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Realized</w:t>
            </w:r>
          </w:p>
        </w:tc>
        <w:tc>
          <w:tcPr>
            <w:tcW w:w="120" w:type="dxa"/>
            <w:vAlign w:val="bottom"/>
          </w:tcPr>
          <w:p>
            <w:pPr>
              <w:spacing w:after="0"/>
              <w:rPr>
                <w:sz w:val="11"/>
                <w:szCs w:val="11"/>
                <w:color w:val="auto"/>
              </w:rPr>
            </w:pPr>
          </w:p>
        </w:tc>
        <w:tc>
          <w:tcPr>
            <w:tcW w:w="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900" w:type="dxa"/>
            <w:vAlign w:val="bottom"/>
            <w:gridSpan w:val="2"/>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280" w:type="dxa"/>
            <w:vAlign w:val="bottom"/>
            <w:gridSpan w:val="2"/>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760" w:type="dxa"/>
            <w:vAlign w:val="bottom"/>
            <w:gridSpan w:val="3"/>
          </w:tcPr>
          <w:p>
            <w:pPr>
              <w:jc w:val="center"/>
              <w:ind w:right="80"/>
              <w:spacing w:after="0" w:line="141" w:lineRule="exact"/>
              <w:rPr>
                <w:sz w:val="20"/>
                <w:szCs w:val="20"/>
                <w:color w:val="auto"/>
              </w:rPr>
            </w:pPr>
            <w:r>
              <w:rPr>
                <w:rFonts w:ascii="Times New Roman" w:cs="Times New Roman" w:eastAsia="Times New Roman" w:hAnsi="Times New Roman"/>
                <w:sz w:val="14"/>
                <w:szCs w:val="14"/>
                <w:b w:val="1"/>
                <w:bCs w:val="1"/>
                <w:color w:val="auto"/>
                <w:w w:val="98"/>
              </w:rPr>
              <w:t>Credited</w:t>
            </w:r>
          </w:p>
        </w:tc>
        <w:tc>
          <w:tcPr>
            <w:tcW w:w="900" w:type="dxa"/>
            <w:vAlign w:val="bottom"/>
            <w:gridSpan w:val="2"/>
          </w:tcPr>
          <w:p>
            <w:pPr>
              <w:jc w:val="center"/>
              <w:ind w:right="80"/>
              <w:spacing w:after="0" w:line="141" w:lineRule="exact"/>
              <w:rPr>
                <w:sz w:val="20"/>
                <w:szCs w:val="20"/>
                <w:color w:val="auto"/>
              </w:rPr>
            </w:pPr>
            <w:r>
              <w:rPr>
                <w:rFonts w:ascii="Times New Roman" w:cs="Times New Roman" w:eastAsia="Times New Roman" w:hAnsi="Times New Roman"/>
                <w:sz w:val="14"/>
                <w:szCs w:val="14"/>
                <w:b w:val="1"/>
                <w:bCs w:val="1"/>
                <w:color w:val="auto"/>
                <w:w w:val="95"/>
              </w:rPr>
              <w:t>December</w:t>
            </w:r>
          </w:p>
        </w:tc>
        <w:tc>
          <w:tcPr>
            <w:tcW w:w="840" w:type="dxa"/>
            <w:vAlign w:val="bottom"/>
            <w:gridSpan w:val="3"/>
            <w:vMerge w:val="continue"/>
          </w:tcPr>
          <w:p>
            <w:pPr>
              <w:spacing w:after="0"/>
              <w:rPr>
                <w:sz w:val="12"/>
                <w:szCs w:val="12"/>
                <w:color w:val="auto"/>
              </w:rPr>
            </w:pPr>
          </w:p>
        </w:tc>
        <w:tc>
          <w:tcPr>
            <w:tcW w:w="900" w:type="dxa"/>
            <w:vAlign w:val="bottom"/>
            <w:gridSpan w:val="3"/>
          </w:tcPr>
          <w:p>
            <w:pPr>
              <w:jc w:val="center"/>
              <w:ind w:right="100"/>
              <w:spacing w:after="0" w:line="141" w:lineRule="exact"/>
              <w:rPr>
                <w:sz w:val="20"/>
                <w:szCs w:val="20"/>
                <w:color w:val="auto"/>
              </w:rPr>
            </w:pPr>
            <w:r>
              <w:rPr>
                <w:rFonts w:ascii="Times New Roman" w:cs="Times New Roman" w:eastAsia="Times New Roman" w:hAnsi="Times New Roman"/>
                <w:sz w:val="14"/>
                <w:szCs w:val="14"/>
                <w:b w:val="1"/>
                <w:bCs w:val="1"/>
                <w:color w:val="auto"/>
                <w:w w:val="98"/>
              </w:rPr>
              <w:t>Interest and</w:t>
            </w:r>
          </w:p>
        </w:tc>
        <w:tc>
          <w:tcPr>
            <w:tcW w:w="100" w:type="dxa"/>
            <w:vAlign w:val="bottom"/>
          </w:tcPr>
          <w:p>
            <w:pPr>
              <w:spacing w:after="0"/>
              <w:rPr>
                <w:sz w:val="12"/>
                <w:szCs w:val="12"/>
                <w:color w:val="auto"/>
              </w:rPr>
            </w:pPr>
          </w:p>
        </w:tc>
        <w:tc>
          <w:tcPr>
            <w:tcW w:w="8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Sales</w:t>
            </w:r>
          </w:p>
        </w:tc>
        <w:tc>
          <w:tcPr>
            <w:tcW w:w="14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900" w:type="dxa"/>
            <w:vAlign w:val="bottom"/>
            <w:gridSpan w:val="2"/>
          </w:tcPr>
          <w:p>
            <w:pPr>
              <w:jc w:val="center"/>
              <w:ind w:right="80"/>
              <w:spacing w:after="0" w:line="141" w:lineRule="exact"/>
              <w:rPr>
                <w:sz w:val="20"/>
                <w:szCs w:val="20"/>
                <w:color w:val="auto"/>
              </w:rPr>
            </w:pPr>
            <w:r>
              <w:rPr>
                <w:rFonts w:ascii="Times New Roman" w:cs="Times New Roman" w:eastAsia="Times New Roman" w:hAnsi="Times New Roman"/>
                <w:sz w:val="14"/>
                <w:szCs w:val="14"/>
                <w:b w:val="1"/>
                <w:bCs w:val="1"/>
                <w:color w:val="auto"/>
                <w:w w:val="95"/>
              </w:rPr>
              <w:t>December</w:t>
            </w:r>
          </w:p>
        </w:tc>
        <w:tc>
          <w:tcPr>
            <w:tcW w:w="60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b w:val="1"/>
                <w:bCs w:val="1"/>
                <w:color w:val="auto"/>
              </w:rPr>
              <w:t>of Net</w:t>
            </w:r>
          </w:p>
        </w:tc>
        <w:tc>
          <w:tcPr>
            <w:tcW w:w="0" w:type="dxa"/>
            <w:vAlign w:val="bottom"/>
          </w:tcPr>
          <w:p>
            <w:pPr>
              <w:spacing w:after="0"/>
              <w:rPr>
                <w:sz w:val="1"/>
                <w:szCs w:val="1"/>
                <w:color w:val="auto"/>
              </w:rPr>
            </w:pPr>
          </w:p>
        </w:tc>
      </w:tr>
      <w:tr>
        <w:trPr>
          <w:trHeight w:val="189"/>
        </w:trPr>
        <w:tc>
          <w:tcPr>
            <w:tcW w:w="22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Company/Investment</w:t>
            </w:r>
          </w:p>
        </w:tc>
        <w:tc>
          <w:tcPr>
            <w:tcW w:w="9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6"/>
              </w:rPr>
              <w:t>Quantity</w:t>
            </w:r>
          </w:p>
        </w:tc>
        <w:tc>
          <w:tcPr>
            <w:tcW w:w="76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7"/>
              </w:rPr>
              <w:t>in Income</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31, 2020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(Out)</w:t>
            </w:r>
          </w:p>
        </w:tc>
        <w:tc>
          <w:tcPr>
            <w:tcW w:w="9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Amortization</w:t>
            </w:r>
          </w:p>
        </w:tc>
        <w:tc>
          <w:tcPr>
            <w:tcW w:w="10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9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Gains/(Losses)</w:t>
            </w:r>
          </w:p>
        </w:tc>
        <w:tc>
          <w:tcPr>
            <w:tcW w:w="9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Gains/(Losses)</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31, 2021</w:t>
            </w:r>
          </w:p>
        </w:tc>
        <w:tc>
          <w:tcPr>
            <w:tcW w:w="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0" w:type="dxa"/>
            <w:vAlign w:val="bottom"/>
          </w:tcPr>
          <w:p>
            <w:pPr>
              <w:spacing w:after="0"/>
              <w:rPr>
                <w:sz w:val="1"/>
                <w:szCs w:val="1"/>
                <w:color w:val="auto"/>
              </w:rPr>
            </w:pPr>
          </w:p>
        </w:tc>
      </w:tr>
      <w:tr>
        <w:trPr>
          <w:trHeight w:val="205"/>
        </w:trPr>
        <w:tc>
          <w:tcPr>
            <w:tcW w:w="220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6"/>
                <w:szCs w:val="16"/>
                <w:i w:val="1"/>
                <w:iCs w:val="1"/>
                <w:color w:val="auto"/>
              </w:rPr>
              <w:t>Global Innovation Platform</w:t>
            </w:r>
          </w:p>
        </w:tc>
        <w:tc>
          <w:tcPr>
            <w:tcW w:w="8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2280" w:type="dxa"/>
            <w:vAlign w:val="bottom"/>
            <w:gridSpan w:val="2"/>
          </w:tcPr>
          <w:p>
            <w:pPr>
              <w:ind w:left="200"/>
              <w:spacing w:after="0" w:line="155" w:lineRule="exact"/>
              <w:rPr>
                <w:sz w:val="20"/>
                <w:szCs w:val="20"/>
                <w:color w:val="auto"/>
              </w:rPr>
            </w:pPr>
            <w:r>
              <w:rPr>
                <w:rFonts w:ascii="Times New Roman" w:cs="Times New Roman" w:eastAsia="Times New Roman" w:hAnsi="Times New Roman"/>
                <w:sz w:val="16"/>
                <w:szCs w:val="16"/>
                <w:color w:val="auto"/>
              </w:rPr>
              <w:t>OneValley, Inc. (f/k/a</w:t>
            </w: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280" w:type="dxa"/>
            <w:vAlign w:val="bottom"/>
            <w:gridSpan w:val="2"/>
          </w:tcPr>
          <w:p>
            <w:pPr>
              <w:ind w:left="200"/>
              <w:spacing w:after="0" w:line="155" w:lineRule="exact"/>
              <w:rPr>
                <w:sz w:val="20"/>
                <w:szCs w:val="20"/>
                <w:color w:val="auto"/>
              </w:rPr>
            </w:pPr>
            <w:r>
              <w:rPr>
                <w:rFonts w:ascii="Times New Roman" w:cs="Times New Roman" w:eastAsia="Times New Roman" w:hAnsi="Times New Roman"/>
                <w:sz w:val="16"/>
                <w:szCs w:val="16"/>
                <w:color w:val="auto"/>
              </w:rPr>
              <w:t>NestGSV, Inc.) –Convertible</w:t>
            </w: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280" w:type="dxa"/>
            <w:vAlign w:val="bottom"/>
            <w:gridSpan w:val="2"/>
          </w:tcPr>
          <w:p>
            <w:pPr>
              <w:ind w:left="200"/>
              <w:spacing w:after="0" w:line="155" w:lineRule="exact"/>
              <w:rPr>
                <w:sz w:val="20"/>
                <w:szCs w:val="20"/>
                <w:color w:val="auto"/>
              </w:rPr>
            </w:pPr>
            <w:r>
              <w:rPr>
                <w:rFonts w:ascii="Times New Roman" w:cs="Times New Roman" w:eastAsia="Times New Roman" w:hAnsi="Times New Roman"/>
                <w:sz w:val="16"/>
                <w:szCs w:val="16"/>
                <w:color w:val="auto"/>
              </w:rPr>
              <w:t>Promissory Note 8% Due</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$ 1,010,198</w:t>
            </w:r>
          </w:p>
        </w:tc>
        <w:tc>
          <w:tcPr>
            <w:tcW w:w="80" w:type="dxa"/>
            <w:vAlign w:val="bottom"/>
          </w:tcPr>
          <w:p>
            <w:pPr>
              <w:spacing w:after="0"/>
              <w:rPr>
                <w:sz w:val="13"/>
                <w:szCs w:val="13"/>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gridSpan w:val="2"/>
            <w:vMerge w:val="restart"/>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  505,099</w:t>
            </w:r>
          </w:p>
        </w:tc>
        <w:tc>
          <w:tcPr>
            <w:tcW w:w="80" w:type="dxa"/>
            <w:vAlign w:val="bottom"/>
          </w:tcPr>
          <w:p>
            <w:pPr>
              <w:spacing w:after="0"/>
              <w:rPr>
                <w:sz w:val="13"/>
                <w:szCs w:val="13"/>
                <w:color w:val="auto"/>
              </w:rPr>
            </w:pPr>
          </w:p>
        </w:tc>
        <w:tc>
          <w:tcPr>
            <w:tcW w:w="16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vMerge w:val="restart"/>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vMerge w:val="restart"/>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gridSpan w:val="2"/>
            <w:vMerge w:val="restart"/>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  505,099</w:t>
            </w:r>
          </w:p>
        </w:tc>
        <w:tc>
          <w:tcPr>
            <w:tcW w:w="80" w:type="dxa"/>
            <w:vAlign w:val="bottom"/>
          </w:tcPr>
          <w:p>
            <w:pPr>
              <w:spacing w:after="0"/>
              <w:rPr>
                <w:sz w:val="13"/>
                <w:szCs w:val="13"/>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207"/>
        </w:trPr>
        <w:tc>
          <w:tcPr>
            <w:tcW w:w="2200" w:type="dxa"/>
            <w:vAlign w:val="bottom"/>
          </w:tcPr>
          <w:p>
            <w:pPr>
              <w:ind w:left="200"/>
              <w:spacing w:after="0" w:line="207" w:lineRule="exact"/>
              <w:rPr>
                <w:sz w:val="20"/>
                <w:szCs w:val="20"/>
                <w:color w:val="auto"/>
              </w:rPr>
            </w:pPr>
            <w:r>
              <w:rPr>
                <w:rFonts w:ascii="Times New Roman" w:cs="Times New Roman" w:eastAsia="Times New Roman" w:hAnsi="Times New Roman"/>
                <w:sz w:val="16"/>
                <w:szCs w:val="16"/>
                <w:color w:val="auto"/>
              </w:rPr>
              <w:t>8/23/2024</w:t>
            </w:r>
            <w:r>
              <w:rPr>
                <w:rFonts w:ascii="Times New Roman" w:cs="Times New Roman" w:eastAsia="Times New Roman" w:hAnsi="Times New Roman"/>
                <w:sz w:val="20"/>
                <w:szCs w:val="20"/>
                <w:color w:val="auto"/>
                <w:vertAlign w:val="superscript"/>
              </w:rPr>
              <w:t>(3)(6)</w:t>
            </w:r>
          </w:p>
        </w:tc>
        <w:tc>
          <w:tcPr>
            <w:tcW w:w="8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vMerge w:val="continue"/>
          </w:tcPr>
          <w:p>
            <w:pPr>
              <w:spacing w:after="0"/>
              <w:rPr>
                <w:sz w:val="17"/>
                <w:szCs w:val="17"/>
                <w:color w:val="auto"/>
              </w:rPr>
            </w:pPr>
          </w:p>
        </w:tc>
        <w:tc>
          <w:tcPr>
            <w:tcW w:w="660" w:type="dxa"/>
            <w:vAlign w:val="bottom"/>
            <w:gridSpan w:val="2"/>
            <w:vMerge w:val="continue"/>
          </w:tcPr>
          <w:p>
            <w:pPr>
              <w:spacing w:after="0"/>
              <w:rPr>
                <w:sz w:val="17"/>
                <w:szCs w:val="17"/>
                <w:color w:val="auto"/>
              </w:rPr>
            </w:pPr>
          </w:p>
        </w:tc>
        <w:tc>
          <w:tcPr>
            <w:tcW w:w="8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vMerge w:val="continue"/>
          </w:tcPr>
          <w:p>
            <w:pPr>
              <w:spacing w:after="0"/>
              <w:rPr>
                <w:sz w:val="17"/>
                <w:szCs w:val="17"/>
                <w:color w:val="auto"/>
              </w:rPr>
            </w:pPr>
          </w:p>
        </w:tc>
        <w:tc>
          <w:tcPr>
            <w:tcW w:w="680" w:type="dxa"/>
            <w:vAlign w:val="bottom"/>
            <w:gridSpan w:val="2"/>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140" w:type="dxa"/>
            <w:vAlign w:val="bottom"/>
            <w:vMerge w:val="continue"/>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8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Debt Investments</w:t>
            </w: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817,889</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(1,344,981)</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88,789</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943,402</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505,099</w:t>
            </w: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206"/>
        </w:trPr>
        <w:tc>
          <w:tcPr>
            <w:tcW w:w="22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Preferred Stock</w:t>
            </w: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i w:val="1"/>
                <w:iCs w:val="1"/>
                <w:color w:val="auto"/>
              </w:rPr>
              <w:t>Corporate Education</w:t>
            </w: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280" w:type="dxa"/>
            <w:vAlign w:val="bottom"/>
            <w:gridSpan w:val="2"/>
          </w:tcPr>
          <w:p>
            <w:pPr>
              <w:ind w:left="200"/>
              <w:spacing w:after="0" w:line="155" w:lineRule="exact"/>
              <w:rPr>
                <w:sz w:val="20"/>
                <w:szCs w:val="20"/>
                <w:color w:val="auto"/>
              </w:rPr>
            </w:pPr>
            <w:r>
              <w:rPr>
                <w:rFonts w:ascii="Times New Roman" w:cs="Times New Roman" w:eastAsia="Times New Roman" w:hAnsi="Times New Roman"/>
                <w:sz w:val="16"/>
                <w:szCs w:val="16"/>
                <w:color w:val="auto"/>
              </w:rPr>
              <w:t>CUX, Inc. (d/b/a CorpU)–</w:t>
            </w: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280" w:type="dxa"/>
            <w:vAlign w:val="bottom"/>
            <w:gridSpan w:val="2"/>
          </w:tcPr>
          <w:p>
            <w:pPr>
              <w:ind w:left="200"/>
              <w:spacing w:after="0" w:line="155" w:lineRule="exact"/>
              <w:rPr>
                <w:sz w:val="20"/>
                <w:szCs w:val="20"/>
                <w:color w:val="auto"/>
              </w:rPr>
            </w:pPr>
            <w:r>
              <w:rPr>
                <w:rFonts w:ascii="Times New Roman" w:cs="Times New Roman" w:eastAsia="Times New Roman" w:hAnsi="Times New Roman"/>
                <w:sz w:val="16"/>
                <w:szCs w:val="16"/>
                <w:color w:val="auto"/>
              </w:rPr>
              <w:t>Convertible preferred shares,</w:t>
            </w: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3"/>
                <w:szCs w:val="13"/>
                <w:color w:val="auto"/>
              </w:rPr>
            </w:pPr>
          </w:p>
        </w:tc>
        <w:tc>
          <w:tcPr>
            <w:tcW w:w="660" w:type="dxa"/>
            <w:vAlign w:val="bottom"/>
            <w:gridSpan w:val="2"/>
            <w:vMerge w:val="restart"/>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73,882</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gridSpan w:val="2"/>
            <w:vMerge w:val="restart"/>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3"/>
                <w:szCs w:val="13"/>
                <w:color w:val="auto"/>
              </w:rPr>
            </w:pPr>
          </w:p>
        </w:tc>
        <w:tc>
          <w:tcPr>
            <w:tcW w:w="820" w:type="dxa"/>
            <w:vAlign w:val="bottom"/>
            <w:gridSpan w:val="2"/>
            <w:vMerge w:val="restart"/>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(1,159,243)</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380,636</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704,725</w:t>
            </w:r>
          </w:p>
        </w:tc>
        <w:tc>
          <w:tcPr>
            <w:tcW w:w="80" w:type="dxa"/>
            <w:vAlign w:val="bottom"/>
          </w:tcPr>
          <w:p>
            <w:pPr>
              <w:spacing w:after="0"/>
              <w:rPr>
                <w:sz w:val="13"/>
                <w:szCs w:val="13"/>
                <w:color w:val="auto"/>
              </w:rPr>
            </w:pP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5"/>
        </w:trPr>
        <w:tc>
          <w:tcPr>
            <w:tcW w:w="228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Series D 6%</w:t>
            </w:r>
          </w:p>
        </w:tc>
        <w:tc>
          <w:tcPr>
            <w:tcW w:w="94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vMerge w:val="continue"/>
          </w:tcPr>
          <w:p>
            <w:pPr>
              <w:spacing w:after="0"/>
              <w:rPr>
                <w:sz w:val="17"/>
                <w:szCs w:val="17"/>
                <w:color w:val="auto"/>
              </w:rPr>
            </w:pPr>
          </w:p>
        </w:tc>
        <w:tc>
          <w:tcPr>
            <w:tcW w:w="8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6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2200" w:type="dxa"/>
            <w:vAlign w:val="bottom"/>
            <w:shd w:val="clear" w:color="auto" w:fill="CCEEFF"/>
          </w:tcPr>
          <w:p>
            <w:pPr>
              <w:ind w:left="200"/>
              <w:spacing w:after="0" w:line="158" w:lineRule="exact"/>
              <w:rPr>
                <w:sz w:val="20"/>
                <w:szCs w:val="20"/>
                <w:color w:val="auto"/>
              </w:rPr>
            </w:pPr>
            <w:r>
              <w:rPr>
                <w:rFonts w:ascii="Times New Roman" w:cs="Times New Roman" w:eastAsia="Times New Roman" w:hAnsi="Times New Roman"/>
                <w:sz w:val="16"/>
                <w:szCs w:val="16"/>
                <w:color w:val="auto"/>
              </w:rPr>
              <w:t>CUX, Inc. (d/b/a CorpU) -</w:t>
            </w:r>
          </w:p>
        </w:tc>
        <w:tc>
          <w:tcPr>
            <w:tcW w:w="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200" w:type="dxa"/>
            <w:vAlign w:val="bottom"/>
            <w:shd w:val="clear" w:color="auto" w:fill="CCEEFF"/>
          </w:tcPr>
          <w:p>
            <w:pPr>
              <w:ind w:left="200"/>
              <w:spacing w:after="0" w:line="155" w:lineRule="exact"/>
              <w:rPr>
                <w:sz w:val="20"/>
                <w:szCs w:val="20"/>
                <w:color w:val="auto"/>
              </w:rPr>
            </w:pPr>
            <w:r>
              <w:rPr>
                <w:rFonts w:ascii="Times New Roman" w:cs="Times New Roman" w:eastAsia="Times New Roman" w:hAnsi="Times New Roman"/>
                <w:sz w:val="16"/>
                <w:szCs w:val="16"/>
                <w:color w:val="auto"/>
              </w:rPr>
              <w:t>Convertible preferred shares,</w:t>
            </w:r>
          </w:p>
        </w:tc>
        <w:tc>
          <w:tcPr>
            <w:tcW w:w="80" w:type="dxa"/>
            <w:vAlign w:val="bottom"/>
            <w:shd w:val="clear" w:color="auto" w:fill="CCEEFF"/>
          </w:tcPr>
          <w:p>
            <w:pPr>
              <w:spacing w:after="0"/>
              <w:rPr>
                <w:sz w:val="13"/>
                <w:szCs w:val="13"/>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3"/>
                <w:szCs w:val="13"/>
                <w:color w:val="auto"/>
              </w:rPr>
            </w:pPr>
          </w:p>
        </w:tc>
        <w:tc>
          <w:tcPr>
            <w:tcW w:w="660" w:type="dxa"/>
            <w:vAlign w:val="bottom"/>
            <w:gridSpan w:val="2"/>
            <w:vMerge w:val="restart"/>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3"/>
                <w:szCs w:val="13"/>
                <w:color w:val="auto"/>
              </w:rPr>
            </w:pPr>
          </w:p>
        </w:tc>
        <w:tc>
          <w:tcPr>
            <w:tcW w:w="680" w:type="dxa"/>
            <w:vAlign w:val="bottom"/>
            <w:gridSpan w:val="2"/>
            <w:vMerge w:val="restart"/>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3"/>
                <w:szCs w:val="13"/>
                <w:color w:val="auto"/>
              </w:rPr>
            </w:pPr>
          </w:p>
        </w:tc>
        <w:tc>
          <w:tcPr>
            <w:tcW w:w="820" w:type="dxa"/>
            <w:vAlign w:val="bottom"/>
            <w:gridSpan w:val="2"/>
            <w:vMerge w:val="restart"/>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(3,504,871)</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1,498,794</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2,006,077</w:t>
            </w:r>
          </w:p>
        </w:tc>
        <w:tc>
          <w:tcPr>
            <w:tcW w:w="80" w:type="dxa"/>
            <w:vAlign w:val="bottom"/>
            <w:shd w:val="clear" w:color="auto" w:fill="CCEEFF"/>
          </w:tcPr>
          <w:p>
            <w:pPr>
              <w:spacing w:after="0"/>
              <w:rPr>
                <w:sz w:val="13"/>
                <w:szCs w:val="13"/>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7"/>
        </w:trPr>
        <w:tc>
          <w:tcPr>
            <w:tcW w:w="22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Series C 8%</w:t>
            </w:r>
          </w:p>
        </w:tc>
        <w:tc>
          <w:tcPr>
            <w:tcW w:w="80" w:type="dxa"/>
            <w:vAlign w:val="bottom"/>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2"/>
            <w:vMerge w:val="continue"/>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200" w:type="dxa"/>
            <w:vAlign w:val="bottom"/>
            <w:tcBorders>
              <w:top w:val="single" w:sz="8" w:color="CCEEFF"/>
            </w:tcBorders>
          </w:tcPr>
          <w:p>
            <w:pPr>
              <w:ind w:left="120"/>
              <w:spacing w:after="0"/>
              <w:rPr>
                <w:sz w:val="20"/>
                <w:szCs w:val="20"/>
                <w:color w:val="auto"/>
              </w:rPr>
            </w:pPr>
            <w:r>
              <w:rPr>
                <w:rFonts w:ascii="Times New Roman" w:cs="Times New Roman" w:eastAsia="Times New Roman" w:hAnsi="Times New Roman"/>
                <w:sz w:val="16"/>
                <w:szCs w:val="16"/>
                <w:i w:val="1"/>
                <w:iCs w:val="1"/>
                <w:color w:val="auto"/>
              </w:rPr>
              <w:t>Total Corporate Education</w:t>
            </w:r>
          </w:p>
        </w:tc>
        <w:tc>
          <w:tcPr>
            <w:tcW w:w="80" w:type="dxa"/>
            <w:vAlign w:val="bottom"/>
            <w:tcBorders>
              <w:top w:val="single" w:sz="8" w:color="CCEEFF"/>
            </w:tcBorders>
          </w:tcPr>
          <w:p>
            <w:pPr>
              <w:spacing w:after="0"/>
              <w:rPr>
                <w:sz w:val="17"/>
                <w:szCs w:val="17"/>
                <w:color w:val="auto"/>
              </w:rPr>
            </w:pPr>
          </w:p>
        </w:tc>
        <w:tc>
          <w:tcPr>
            <w:tcW w:w="860" w:type="dxa"/>
            <w:vAlign w:val="bottom"/>
            <w:tcBorders>
              <w:top w:val="single" w:sz="8" w:color="CCEEFF"/>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73,882</w:t>
            </w:r>
          </w:p>
        </w:tc>
        <w:tc>
          <w:tcPr>
            <w:tcW w:w="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3"/>
              </w:rPr>
              <w:t>(4,664,114)</w:t>
            </w: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1,879,430</w:t>
            </w: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2,710,802</w:t>
            </w:r>
          </w:p>
        </w:tc>
        <w:tc>
          <w:tcPr>
            <w:tcW w:w="80" w:type="dxa"/>
            <w:vAlign w:val="bottom"/>
            <w:tcBorders>
              <w:top w:val="single" w:sz="8" w:color="CCEEFF"/>
            </w:tcBorders>
          </w:tcPr>
          <w:p>
            <w:pPr>
              <w:spacing w:after="0"/>
              <w:rPr>
                <w:sz w:val="17"/>
                <w:szCs w:val="17"/>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tcPr>
          <w:p>
            <w:pPr>
              <w:spacing w:after="0"/>
              <w:rPr>
                <w:sz w:val="17"/>
                <w:szCs w:val="17"/>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8"/>
        </w:trPr>
        <w:tc>
          <w:tcPr>
            <w:tcW w:w="2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i w:val="1"/>
                <w:iCs w:val="1"/>
                <w:color w:val="auto"/>
              </w:rPr>
              <w:t>Knowledge Networks</w:t>
            </w: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280" w:type="dxa"/>
            <w:vAlign w:val="bottom"/>
            <w:gridSpan w:val="2"/>
          </w:tcPr>
          <w:p>
            <w:pPr>
              <w:ind w:left="200"/>
              <w:spacing w:after="0" w:line="155" w:lineRule="exact"/>
              <w:rPr>
                <w:sz w:val="20"/>
                <w:szCs w:val="20"/>
                <w:color w:val="auto"/>
              </w:rPr>
            </w:pPr>
            <w:r>
              <w:rPr>
                <w:rFonts w:ascii="Times New Roman" w:cs="Times New Roman" w:eastAsia="Times New Roman" w:hAnsi="Times New Roman"/>
                <w:sz w:val="16"/>
                <w:szCs w:val="16"/>
                <w:color w:val="auto"/>
              </w:rPr>
              <w:t>Maven Research, Inc.–</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318,979</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2"/>
            <w:vMerge w:val="restart"/>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3"/>
                <w:szCs w:val="13"/>
                <w:color w:val="auto"/>
              </w:rPr>
            </w:pPr>
          </w:p>
        </w:tc>
        <w:tc>
          <w:tcPr>
            <w:tcW w:w="680" w:type="dxa"/>
            <w:vAlign w:val="bottom"/>
            <w:gridSpan w:val="2"/>
            <w:vMerge w:val="restart"/>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3"/>
                <w:szCs w:val="13"/>
                <w:color w:val="auto"/>
              </w:rPr>
            </w:pPr>
          </w:p>
        </w:tc>
        <w:tc>
          <w:tcPr>
            <w:tcW w:w="820" w:type="dxa"/>
            <w:vAlign w:val="bottom"/>
            <w:gridSpan w:val="2"/>
            <w:vMerge w:val="restart"/>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3"/>
                <w:szCs w:val="13"/>
                <w:color w:val="auto"/>
              </w:rPr>
            </w:pPr>
          </w:p>
        </w:tc>
        <w:tc>
          <w:tcPr>
            <w:tcW w:w="820" w:type="dxa"/>
            <w:vAlign w:val="bottom"/>
            <w:gridSpan w:val="2"/>
            <w:vMerge w:val="restart"/>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3"/>
                <w:szCs w:val="13"/>
                <w:color w:val="auto"/>
              </w:rPr>
            </w:pP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3"/>
                <w:szCs w:val="13"/>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5"/>
        </w:trPr>
        <w:tc>
          <w:tcPr>
            <w:tcW w:w="228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Preferred shares, Series C</w:t>
            </w:r>
          </w:p>
        </w:tc>
        <w:tc>
          <w:tcPr>
            <w:tcW w:w="8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vMerge w:val="continue"/>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6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2280" w:type="dxa"/>
            <w:vAlign w:val="bottom"/>
            <w:gridSpan w:val="2"/>
            <w:shd w:val="clear" w:color="auto" w:fill="CCEEFF"/>
          </w:tcPr>
          <w:p>
            <w:pPr>
              <w:ind w:left="200"/>
              <w:spacing w:after="0" w:line="158" w:lineRule="exact"/>
              <w:rPr>
                <w:sz w:val="20"/>
                <w:szCs w:val="20"/>
                <w:color w:val="auto"/>
              </w:rPr>
            </w:pPr>
            <w:r>
              <w:rPr>
                <w:rFonts w:ascii="Times New Roman" w:cs="Times New Roman" w:eastAsia="Times New Roman" w:hAnsi="Times New Roman"/>
                <w:sz w:val="16"/>
                <w:szCs w:val="16"/>
                <w:color w:val="auto"/>
              </w:rPr>
              <w:t>Maven Research, Inc.–</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49,505</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gridSpan w:val="2"/>
            <w:vMerge w:val="restart"/>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3"/>
                <w:szCs w:val="13"/>
                <w:color w:val="auto"/>
              </w:rPr>
            </w:pPr>
          </w:p>
        </w:tc>
        <w:tc>
          <w:tcPr>
            <w:tcW w:w="680" w:type="dxa"/>
            <w:vAlign w:val="bottom"/>
            <w:gridSpan w:val="2"/>
            <w:vMerge w:val="restart"/>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3"/>
                <w:szCs w:val="13"/>
                <w:color w:val="auto"/>
              </w:rPr>
            </w:pPr>
          </w:p>
        </w:tc>
        <w:tc>
          <w:tcPr>
            <w:tcW w:w="820" w:type="dxa"/>
            <w:vAlign w:val="bottom"/>
            <w:gridSpan w:val="2"/>
            <w:vMerge w:val="restart"/>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3"/>
                <w:szCs w:val="13"/>
                <w:color w:val="auto"/>
              </w:rPr>
            </w:pPr>
          </w:p>
        </w:tc>
        <w:tc>
          <w:tcPr>
            <w:tcW w:w="820" w:type="dxa"/>
            <w:vAlign w:val="bottom"/>
            <w:gridSpan w:val="2"/>
            <w:vMerge w:val="restart"/>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3"/>
                <w:szCs w:val="13"/>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3"/>
                <w:szCs w:val="13"/>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7"/>
        </w:trPr>
        <w:tc>
          <w:tcPr>
            <w:tcW w:w="22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Preferred shares, Series B</w:t>
            </w:r>
          </w:p>
        </w:tc>
        <w:tc>
          <w:tcPr>
            <w:tcW w:w="8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2"/>
            <w:vMerge w:val="continue"/>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vMerge w:val="continue"/>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280" w:type="dxa"/>
            <w:vAlign w:val="bottom"/>
            <w:gridSpan w:val="2"/>
          </w:tcPr>
          <w:p>
            <w:pPr>
              <w:ind w:left="120"/>
              <w:spacing w:after="0"/>
              <w:rPr>
                <w:sz w:val="20"/>
                <w:szCs w:val="20"/>
                <w:color w:val="auto"/>
              </w:rPr>
            </w:pPr>
            <w:r>
              <w:rPr>
                <w:rFonts w:ascii="Times New Roman" w:cs="Times New Roman" w:eastAsia="Times New Roman" w:hAnsi="Times New Roman"/>
                <w:sz w:val="16"/>
                <w:szCs w:val="16"/>
                <w:i w:val="1"/>
                <w:iCs w:val="1"/>
                <w:color w:val="auto"/>
              </w:rPr>
              <w:t>Total Knowledge Networks</w:t>
            </w:r>
          </w:p>
        </w:tc>
        <w:tc>
          <w:tcPr>
            <w:tcW w:w="8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tcPr>
          <w:p>
            <w:pPr>
              <w:spacing w:after="0"/>
              <w:rPr>
                <w:sz w:val="17"/>
                <w:szCs w:val="17"/>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9"/>
        </w:trPr>
        <w:tc>
          <w:tcPr>
            <w:tcW w:w="2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i w:val="1"/>
                <w:iCs w:val="1"/>
                <w:color w:val="auto"/>
              </w:rPr>
              <w:t>Digital Media Platform</w:t>
            </w: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280" w:type="dxa"/>
            <w:vAlign w:val="bottom"/>
            <w:gridSpan w:val="2"/>
          </w:tcPr>
          <w:p>
            <w:pPr>
              <w:ind w:left="200"/>
              <w:spacing w:after="0" w:line="155" w:lineRule="exact"/>
              <w:rPr>
                <w:sz w:val="20"/>
                <w:szCs w:val="20"/>
                <w:color w:val="auto"/>
              </w:rPr>
            </w:pPr>
            <w:r>
              <w:rPr>
                <w:rFonts w:ascii="Times New Roman" w:cs="Times New Roman" w:eastAsia="Times New Roman" w:hAnsi="Times New Roman"/>
                <w:sz w:val="16"/>
                <w:szCs w:val="16"/>
                <w:color w:val="auto"/>
              </w:rPr>
              <w:t>Ozy Media, Inc.–Preferred</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683,482</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2"/>
            <w:vMerge w:val="restart"/>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1,865,547</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gridSpan w:val="2"/>
            <w:vMerge w:val="restart"/>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3"/>
                <w:szCs w:val="13"/>
                <w:color w:val="auto"/>
              </w:rPr>
            </w:pPr>
          </w:p>
        </w:tc>
        <w:tc>
          <w:tcPr>
            <w:tcW w:w="820" w:type="dxa"/>
            <w:vAlign w:val="bottom"/>
            <w:gridSpan w:val="2"/>
            <w:vMerge w:val="restart"/>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(1,865,547)</w:t>
            </w:r>
          </w:p>
        </w:tc>
        <w:tc>
          <w:tcPr>
            <w:tcW w:w="80" w:type="dxa"/>
            <w:vAlign w:val="bottom"/>
          </w:tcPr>
          <w:p>
            <w:pPr>
              <w:spacing w:after="0"/>
              <w:rPr>
                <w:sz w:val="13"/>
                <w:szCs w:val="13"/>
                <w:color w:val="auto"/>
              </w:rPr>
            </w:pP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5"/>
        </w:trPr>
        <w:tc>
          <w:tcPr>
            <w:tcW w:w="228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shares, Series C-2 6%</w:t>
            </w:r>
          </w:p>
        </w:tc>
        <w:tc>
          <w:tcPr>
            <w:tcW w:w="8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vMerge w:val="continue"/>
          </w:tcPr>
          <w:p>
            <w:pPr>
              <w:spacing w:after="0"/>
              <w:rPr>
                <w:sz w:val="17"/>
                <w:szCs w:val="17"/>
                <w:color w:val="auto"/>
              </w:rPr>
            </w:pPr>
          </w:p>
        </w:tc>
        <w:tc>
          <w:tcPr>
            <w:tcW w:w="8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6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2280" w:type="dxa"/>
            <w:vAlign w:val="bottom"/>
            <w:gridSpan w:val="2"/>
            <w:shd w:val="clear" w:color="auto" w:fill="CCEEFF"/>
          </w:tcPr>
          <w:p>
            <w:pPr>
              <w:ind w:left="200"/>
              <w:spacing w:after="0" w:line="158" w:lineRule="exact"/>
              <w:rPr>
                <w:sz w:val="20"/>
                <w:szCs w:val="20"/>
                <w:color w:val="auto"/>
              </w:rPr>
            </w:pPr>
            <w:r>
              <w:rPr>
                <w:rFonts w:ascii="Times New Roman" w:cs="Times New Roman" w:eastAsia="Times New Roman" w:hAnsi="Times New Roman"/>
                <w:sz w:val="16"/>
                <w:szCs w:val="16"/>
                <w:color w:val="auto"/>
              </w:rPr>
              <w:t>Ozy Media, Inc.–Preferred</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922,509</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gridSpan w:val="2"/>
            <w:vMerge w:val="restart"/>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3,350,952</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gridSpan w:val="2"/>
            <w:vMerge w:val="restart"/>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3"/>
                <w:szCs w:val="13"/>
                <w:color w:val="auto"/>
              </w:rPr>
            </w:pPr>
          </w:p>
        </w:tc>
        <w:tc>
          <w:tcPr>
            <w:tcW w:w="820" w:type="dxa"/>
            <w:vAlign w:val="bottom"/>
            <w:gridSpan w:val="2"/>
            <w:vMerge w:val="restart"/>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3"/>
                <w:szCs w:val="13"/>
                <w:color w:val="auto"/>
              </w:rPr>
            </w:pPr>
          </w:p>
        </w:tc>
        <w:tc>
          <w:tcPr>
            <w:tcW w:w="820" w:type="dxa"/>
            <w:vAlign w:val="bottom"/>
            <w:gridSpan w:val="2"/>
            <w:vMerge w:val="restart"/>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3"/>
                <w:szCs w:val="13"/>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(3,350,952)</w:t>
            </w:r>
          </w:p>
        </w:tc>
        <w:tc>
          <w:tcPr>
            <w:tcW w:w="80" w:type="dxa"/>
            <w:vAlign w:val="bottom"/>
            <w:shd w:val="clear" w:color="auto" w:fill="CCEEFF"/>
          </w:tcPr>
          <w:p>
            <w:pPr>
              <w:spacing w:after="0"/>
              <w:rPr>
                <w:sz w:val="13"/>
                <w:szCs w:val="13"/>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7"/>
        </w:trPr>
        <w:tc>
          <w:tcPr>
            <w:tcW w:w="22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shares, Series B 6%</w:t>
            </w:r>
          </w:p>
        </w:tc>
        <w:tc>
          <w:tcPr>
            <w:tcW w:w="8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2"/>
            <w:vMerge w:val="continue"/>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2280" w:type="dxa"/>
            <w:vAlign w:val="bottom"/>
            <w:gridSpan w:val="2"/>
          </w:tcPr>
          <w:p>
            <w:pPr>
              <w:ind w:left="200"/>
              <w:spacing w:after="0" w:line="155" w:lineRule="exact"/>
              <w:rPr>
                <w:sz w:val="20"/>
                <w:szCs w:val="20"/>
                <w:color w:val="auto"/>
              </w:rPr>
            </w:pPr>
            <w:r>
              <w:rPr>
                <w:rFonts w:ascii="Times New Roman" w:cs="Times New Roman" w:eastAsia="Times New Roman" w:hAnsi="Times New Roman"/>
                <w:sz w:val="16"/>
                <w:szCs w:val="16"/>
                <w:color w:val="auto"/>
              </w:rPr>
              <w:t>Ozy Media, Inc.–Preferred</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1,090,909</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2"/>
            <w:vMerge w:val="restart"/>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2,824,679</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gridSpan w:val="2"/>
            <w:vMerge w:val="restart"/>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3"/>
                <w:szCs w:val="13"/>
                <w:color w:val="auto"/>
              </w:rPr>
            </w:pPr>
          </w:p>
        </w:tc>
        <w:tc>
          <w:tcPr>
            <w:tcW w:w="820" w:type="dxa"/>
            <w:vAlign w:val="bottom"/>
            <w:gridSpan w:val="2"/>
            <w:vMerge w:val="restart"/>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3"/>
                <w:szCs w:val="13"/>
                <w:color w:val="auto"/>
              </w:rPr>
            </w:pPr>
          </w:p>
        </w:tc>
        <w:tc>
          <w:tcPr>
            <w:tcW w:w="820" w:type="dxa"/>
            <w:vAlign w:val="bottom"/>
            <w:gridSpan w:val="2"/>
            <w:vMerge w:val="restart"/>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3"/>
                <w:szCs w:val="13"/>
                <w:color w:val="auto"/>
              </w:rPr>
            </w:pP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(2,824,679)</w:t>
            </w:r>
          </w:p>
        </w:tc>
        <w:tc>
          <w:tcPr>
            <w:tcW w:w="80" w:type="dxa"/>
            <w:vAlign w:val="bottom"/>
          </w:tcPr>
          <w:p>
            <w:pPr>
              <w:spacing w:after="0"/>
              <w:rPr>
                <w:sz w:val="13"/>
                <w:szCs w:val="13"/>
                <w:color w:val="auto"/>
              </w:rPr>
            </w:pP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5"/>
        </w:trPr>
        <w:tc>
          <w:tcPr>
            <w:tcW w:w="228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shares, Series A 6%</w:t>
            </w:r>
          </w:p>
        </w:tc>
        <w:tc>
          <w:tcPr>
            <w:tcW w:w="8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vMerge w:val="continue"/>
          </w:tcPr>
          <w:p>
            <w:pPr>
              <w:spacing w:after="0"/>
              <w:rPr>
                <w:sz w:val="17"/>
                <w:szCs w:val="17"/>
                <w:color w:val="auto"/>
              </w:rPr>
            </w:pPr>
          </w:p>
        </w:tc>
        <w:tc>
          <w:tcPr>
            <w:tcW w:w="8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6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2280" w:type="dxa"/>
            <w:vAlign w:val="bottom"/>
            <w:gridSpan w:val="2"/>
            <w:shd w:val="clear" w:color="auto" w:fill="CCEEFF"/>
          </w:tcPr>
          <w:p>
            <w:pPr>
              <w:ind w:left="200"/>
              <w:spacing w:after="0" w:line="158" w:lineRule="exact"/>
              <w:rPr>
                <w:sz w:val="20"/>
                <w:szCs w:val="20"/>
                <w:color w:val="auto"/>
              </w:rPr>
            </w:pPr>
            <w:r>
              <w:rPr>
                <w:rFonts w:ascii="Times New Roman" w:cs="Times New Roman" w:eastAsia="Times New Roman" w:hAnsi="Times New Roman"/>
                <w:sz w:val="16"/>
                <w:szCs w:val="16"/>
                <w:color w:val="auto"/>
              </w:rPr>
              <w:t>Ozy Media, Inc.–Preferred</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500,000</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gridSpan w:val="2"/>
            <w:vMerge w:val="restart"/>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1,294,645</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gridSpan w:val="2"/>
            <w:vMerge w:val="restart"/>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3"/>
                <w:szCs w:val="13"/>
                <w:color w:val="auto"/>
              </w:rPr>
            </w:pPr>
          </w:p>
        </w:tc>
        <w:tc>
          <w:tcPr>
            <w:tcW w:w="820" w:type="dxa"/>
            <w:vAlign w:val="bottom"/>
            <w:gridSpan w:val="2"/>
            <w:vMerge w:val="restart"/>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3"/>
                <w:szCs w:val="13"/>
                <w:color w:val="auto"/>
              </w:rPr>
            </w:pPr>
          </w:p>
        </w:tc>
        <w:tc>
          <w:tcPr>
            <w:tcW w:w="820" w:type="dxa"/>
            <w:vAlign w:val="bottom"/>
            <w:gridSpan w:val="2"/>
            <w:vMerge w:val="restart"/>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3"/>
                <w:szCs w:val="13"/>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(1,294,645)</w:t>
            </w:r>
          </w:p>
        </w:tc>
        <w:tc>
          <w:tcPr>
            <w:tcW w:w="80" w:type="dxa"/>
            <w:vAlign w:val="bottom"/>
            <w:shd w:val="clear" w:color="auto" w:fill="CCEEFF"/>
          </w:tcPr>
          <w:p>
            <w:pPr>
              <w:spacing w:after="0"/>
              <w:rPr>
                <w:sz w:val="13"/>
                <w:szCs w:val="13"/>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7"/>
        </w:trPr>
        <w:tc>
          <w:tcPr>
            <w:tcW w:w="22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shares, Series Seed 6%</w:t>
            </w:r>
          </w:p>
        </w:tc>
        <w:tc>
          <w:tcPr>
            <w:tcW w:w="8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2"/>
            <w:vMerge w:val="continue"/>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280" w:type="dxa"/>
            <w:vAlign w:val="bottom"/>
            <w:gridSpan w:val="2"/>
          </w:tcPr>
          <w:p>
            <w:pPr>
              <w:ind w:left="120"/>
              <w:spacing w:after="0"/>
              <w:rPr>
                <w:sz w:val="20"/>
                <w:szCs w:val="20"/>
                <w:color w:val="auto"/>
              </w:rPr>
            </w:pPr>
            <w:r>
              <w:rPr>
                <w:rFonts w:ascii="Times New Roman" w:cs="Times New Roman" w:eastAsia="Times New Roman" w:hAnsi="Times New Roman"/>
                <w:sz w:val="16"/>
                <w:szCs w:val="16"/>
                <w:i w:val="1"/>
                <w:iCs w:val="1"/>
                <w:color w:val="auto"/>
              </w:rPr>
              <w:t>Total Digital Media Platform</w:t>
            </w: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9,335,823</w:t>
            </w: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(9,335,823)</w:t>
            </w:r>
          </w:p>
        </w:tc>
        <w:tc>
          <w:tcPr>
            <w:tcW w:w="80" w:type="dxa"/>
            <w:vAlign w:val="bottom"/>
          </w:tcPr>
          <w:p>
            <w:pPr>
              <w:spacing w:after="0"/>
              <w:rPr>
                <w:sz w:val="17"/>
                <w:szCs w:val="17"/>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9"/>
        </w:trPr>
        <w:tc>
          <w:tcPr>
            <w:tcW w:w="2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i w:val="1"/>
                <w:iCs w:val="1"/>
                <w:color w:val="auto"/>
              </w:rPr>
              <w:t>Interactive Learning</w:t>
            </w: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280" w:type="dxa"/>
            <w:vAlign w:val="bottom"/>
            <w:gridSpan w:val="2"/>
          </w:tcPr>
          <w:p>
            <w:pPr>
              <w:ind w:left="200"/>
              <w:spacing w:after="0" w:line="155" w:lineRule="exact"/>
              <w:rPr>
                <w:sz w:val="20"/>
                <w:szCs w:val="20"/>
                <w:color w:val="auto"/>
              </w:rPr>
            </w:pPr>
            <w:r>
              <w:rPr>
                <w:rFonts w:ascii="Times New Roman" w:cs="Times New Roman" w:eastAsia="Times New Roman" w:hAnsi="Times New Roman"/>
                <w:sz w:val="16"/>
                <w:szCs w:val="16"/>
                <w:color w:val="auto"/>
              </w:rPr>
              <w:t>StormWind, LLC–Preferred</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329,337</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2"/>
            <w:vMerge w:val="restart"/>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440,515</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gridSpan w:val="2"/>
            <w:vMerge w:val="restart"/>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3"/>
                <w:szCs w:val="13"/>
                <w:color w:val="auto"/>
              </w:rPr>
            </w:pPr>
          </w:p>
        </w:tc>
        <w:tc>
          <w:tcPr>
            <w:tcW w:w="820" w:type="dxa"/>
            <w:vAlign w:val="bottom"/>
            <w:gridSpan w:val="2"/>
            <w:vMerge w:val="restart"/>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180,578</w:t>
            </w:r>
          </w:p>
        </w:tc>
        <w:tc>
          <w:tcPr>
            <w:tcW w:w="8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621,093</w:t>
            </w:r>
          </w:p>
        </w:tc>
        <w:tc>
          <w:tcPr>
            <w:tcW w:w="80" w:type="dxa"/>
            <w:vAlign w:val="bottom"/>
          </w:tcPr>
          <w:p>
            <w:pPr>
              <w:spacing w:after="0"/>
              <w:rPr>
                <w:sz w:val="13"/>
                <w:szCs w:val="13"/>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207"/>
        </w:trPr>
        <w:tc>
          <w:tcPr>
            <w:tcW w:w="2280" w:type="dxa"/>
            <w:vAlign w:val="bottom"/>
            <w:gridSpan w:val="2"/>
          </w:tcPr>
          <w:p>
            <w:pPr>
              <w:ind w:left="200"/>
              <w:spacing w:after="0" w:line="207" w:lineRule="exact"/>
              <w:rPr>
                <w:sz w:val="20"/>
                <w:szCs w:val="20"/>
                <w:color w:val="auto"/>
              </w:rPr>
            </w:pPr>
            <w:r>
              <w:rPr>
                <w:rFonts w:ascii="Times New Roman" w:cs="Times New Roman" w:eastAsia="Times New Roman" w:hAnsi="Times New Roman"/>
                <w:sz w:val="16"/>
                <w:szCs w:val="16"/>
                <w:color w:val="auto"/>
              </w:rPr>
              <w:t>shares, Series D 8%</w:t>
            </w:r>
            <w:r>
              <w:rPr>
                <w:rFonts w:ascii="Times New Roman" w:cs="Times New Roman" w:eastAsia="Times New Roman" w:hAnsi="Times New Roman"/>
                <w:sz w:val="20"/>
                <w:szCs w:val="20"/>
                <w:color w:val="auto"/>
                <w:vertAlign w:val="superscript"/>
              </w:rPr>
              <w:t>(5)</w:t>
            </w:r>
          </w:p>
        </w:tc>
        <w:tc>
          <w:tcPr>
            <w:tcW w:w="8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vMerge w:val="continue"/>
          </w:tcPr>
          <w:p>
            <w:pPr>
              <w:spacing w:after="0"/>
              <w:rPr>
                <w:sz w:val="17"/>
                <w:szCs w:val="17"/>
                <w:color w:val="auto"/>
              </w:rPr>
            </w:pPr>
          </w:p>
        </w:tc>
        <w:tc>
          <w:tcPr>
            <w:tcW w:w="8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2280" w:type="dxa"/>
            <w:vAlign w:val="bottom"/>
            <w:gridSpan w:val="2"/>
            <w:shd w:val="clear" w:color="auto" w:fill="CCEEFF"/>
          </w:tcPr>
          <w:p>
            <w:pPr>
              <w:ind w:left="200"/>
              <w:spacing w:after="0" w:line="155" w:lineRule="exact"/>
              <w:rPr>
                <w:sz w:val="20"/>
                <w:szCs w:val="20"/>
                <w:color w:val="auto"/>
              </w:rPr>
            </w:pPr>
            <w:r>
              <w:rPr>
                <w:rFonts w:ascii="Times New Roman" w:cs="Times New Roman" w:eastAsia="Times New Roman" w:hAnsi="Times New Roman"/>
                <w:sz w:val="16"/>
                <w:szCs w:val="16"/>
                <w:color w:val="auto"/>
              </w:rPr>
              <w:t>StormWind, LLC–Preferred</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2,779,134</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gridSpan w:val="2"/>
            <w:vMerge w:val="restart"/>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4,804,218</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gridSpan w:val="2"/>
            <w:vMerge w:val="restart"/>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3"/>
                <w:szCs w:val="13"/>
                <w:color w:val="auto"/>
              </w:rPr>
            </w:pPr>
          </w:p>
        </w:tc>
        <w:tc>
          <w:tcPr>
            <w:tcW w:w="820" w:type="dxa"/>
            <w:vAlign w:val="bottom"/>
            <w:gridSpan w:val="2"/>
            <w:vMerge w:val="restart"/>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3"/>
                <w:szCs w:val="13"/>
                <w:color w:val="auto"/>
              </w:rPr>
            </w:pPr>
          </w:p>
        </w:tc>
        <w:tc>
          <w:tcPr>
            <w:tcW w:w="820" w:type="dxa"/>
            <w:vAlign w:val="bottom"/>
            <w:gridSpan w:val="2"/>
            <w:vMerge w:val="restart"/>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3"/>
                <w:szCs w:val="13"/>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1,692,511</w:t>
            </w:r>
          </w:p>
        </w:tc>
        <w:tc>
          <w:tcPr>
            <w:tcW w:w="8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6,496,729</w:t>
            </w:r>
          </w:p>
        </w:tc>
        <w:tc>
          <w:tcPr>
            <w:tcW w:w="80" w:type="dxa"/>
            <w:vAlign w:val="bottom"/>
            <w:shd w:val="clear" w:color="auto" w:fill="CCEEFF"/>
          </w:tcPr>
          <w:p>
            <w:pPr>
              <w:spacing w:after="0"/>
              <w:rPr>
                <w:sz w:val="13"/>
                <w:szCs w:val="13"/>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207"/>
        </w:trPr>
        <w:tc>
          <w:tcPr>
            <w:tcW w:w="2280" w:type="dxa"/>
            <w:vAlign w:val="bottom"/>
            <w:gridSpan w:val="2"/>
            <w:shd w:val="clear" w:color="auto" w:fill="CCEEFF"/>
          </w:tcPr>
          <w:p>
            <w:pPr>
              <w:ind w:left="200"/>
              <w:spacing w:after="0" w:line="207" w:lineRule="exact"/>
              <w:rPr>
                <w:sz w:val="20"/>
                <w:szCs w:val="20"/>
                <w:color w:val="auto"/>
              </w:rPr>
            </w:pPr>
            <w:r>
              <w:rPr>
                <w:rFonts w:ascii="Times New Roman" w:cs="Times New Roman" w:eastAsia="Times New Roman" w:hAnsi="Times New Roman"/>
                <w:sz w:val="16"/>
                <w:szCs w:val="16"/>
                <w:color w:val="auto"/>
              </w:rPr>
              <w:t>shares, Series C 8%</w:t>
            </w:r>
            <w:r>
              <w:rPr>
                <w:rFonts w:ascii="Times New Roman" w:cs="Times New Roman" w:eastAsia="Times New Roman" w:hAnsi="Times New Roman"/>
                <w:sz w:val="20"/>
                <w:szCs w:val="20"/>
                <w:color w:val="auto"/>
                <w:vertAlign w:val="superscript"/>
              </w:rPr>
              <w:t>(5)</w:t>
            </w:r>
          </w:p>
        </w:tc>
        <w:tc>
          <w:tcPr>
            <w:tcW w:w="8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2"/>
            <w:vMerge w:val="continue"/>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2280" w:type="dxa"/>
            <w:vAlign w:val="bottom"/>
            <w:gridSpan w:val="2"/>
          </w:tcPr>
          <w:p>
            <w:pPr>
              <w:ind w:left="200"/>
              <w:spacing w:after="0" w:line="155" w:lineRule="exact"/>
              <w:rPr>
                <w:sz w:val="20"/>
                <w:szCs w:val="20"/>
                <w:color w:val="auto"/>
              </w:rPr>
            </w:pPr>
            <w:r>
              <w:rPr>
                <w:rFonts w:ascii="Times New Roman" w:cs="Times New Roman" w:eastAsia="Times New Roman" w:hAnsi="Times New Roman"/>
                <w:sz w:val="16"/>
                <w:szCs w:val="16"/>
                <w:color w:val="auto"/>
              </w:rPr>
              <w:t>StormWind, LLC–Preferred</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3,279,629</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2"/>
            <w:vMerge w:val="restart"/>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2,625,365</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gridSpan w:val="2"/>
            <w:vMerge w:val="restart"/>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3"/>
                <w:szCs w:val="13"/>
                <w:color w:val="auto"/>
              </w:rPr>
            </w:pPr>
          </w:p>
        </w:tc>
        <w:tc>
          <w:tcPr>
            <w:tcW w:w="820" w:type="dxa"/>
            <w:vAlign w:val="bottom"/>
            <w:gridSpan w:val="2"/>
            <w:vMerge w:val="restart"/>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3"/>
                <w:szCs w:val="13"/>
                <w:color w:val="auto"/>
              </w:rPr>
            </w:pPr>
          </w:p>
        </w:tc>
        <w:tc>
          <w:tcPr>
            <w:tcW w:w="820" w:type="dxa"/>
            <w:vAlign w:val="bottom"/>
            <w:gridSpan w:val="2"/>
            <w:vMerge w:val="restart"/>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3"/>
                <w:szCs w:val="13"/>
                <w:color w:val="auto"/>
              </w:rPr>
            </w:pP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1,798,242</w:t>
            </w:r>
          </w:p>
        </w:tc>
        <w:tc>
          <w:tcPr>
            <w:tcW w:w="8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4,423,607</w:t>
            </w:r>
          </w:p>
        </w:tc>
        <w:tc>
          <w:tcPr>
            <w:tcW w:w="80" w:type="dxa"/>
            <w:vAlign w:val="bottom"/>
          </w:tcPr>
          <w:p>
            <w:pPr>
              <w:spacing w:after="0"/>
              <w:rPr>
                <w:sz w:val="13"/>
                <w:szCs w:val="13"/>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268"/>
        </w:trPr>
        <w:tc>
          <w:tcPr>
            <w:tcW w:w="228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shares, Series B 8%</w:t>
            </w:r>
            <w:r>
              <w:rPr>
                <w:rFonts w:ascii="Times New Roman" w:cs="Times New Roman" w:eastAsia="Times New Roman" w:hAnsi="Times New Roman"/>
                <w:sz w:val="20"/>
                <w:szCs w:val="20"/>
                <w:color w:val="auto"/>
                <w:vertAlign w:val="superscript"/>
              </w:rPr>
              <w:t>(5)</w:t>
            </w:r>
          </w:p>
        </w:tc>
        <w:tc>
          <w:tcPr>
            <w:tcW w:w="860" w:type="dxa"/>
            <w:vAlign w:val="bottom"/>
            <w:vMerge w:val="continue"/>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gridSpan w:val="2"/>
            <w:vMerge w:val="continue"/>
          </w:tcPr>
          <w:p>
            <w:pPr>
              <w:spacing w:after="0"/>
              <w:rPr>
                <w:sz w:val="23"/>
                <w:szCs w:val="23"/>
                <w:color w:val="auto"/>
              </w:rPr>
            </w:pPr>
          </w:p>
        </w:tc>
        <w:tc>
          <w:tcPr>
            <w:tcW w:w="820" w:type="dxa"/>
            <w:vAlign w:val="bottom"/>
            <w:vMerge w:val="continue"/>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80" w:type="dxa"/>
            <w:vAlign w:val="bottom"/>
            <w:gridSpan w:val="2"/>
            <w:vMerge w:val="continue"/>
          </w:tcPr>
          <w:p>
            <w:pPr>
              <w:spacing w:after="0"/>
              <w:rPr>
                <w:sz w:val="23"/>
                <w:szCs w:val="23"/>
                <w:color w:val="auto"/>
              </w:rPr>
            </w:pPr>
          </w:p>
        </w:tc>
        <w:tc>
          <w:tcPr>
            <w:tcW w:w="80" w:type="dxa"/>
            <w:vAlign w:val="bottom"/>
          </w:tcPr>
          <w:p>
            <w:pPr>
              <w:spacing w:after="0"/>
              <w:rPr>
                <w:sz w:val="23"/>
                <w:szCs w:val="23"/>
                <w:color w:val="auto"/>
              </w:rPr>
            </w:pPr>
          </w:p>
        </w:tc>
        <w:tc>
          <w:tcPr>
            <w:tcW w:w="820" w:type="dxa"/>
            <w:vAlign w:val="bottom"/>
            <w:gridSpan w:val="2"/>
            <w:vMerge w:val="continue"/>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gridSpan w:val="2"/>
            <w:vMerge w:val="continue"/>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gridSpan w:val="2"/>
            <w:vMerge w:val="continue"/>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vMerge w:val="continue"/>
          </w:tcPr>
          <w:p>
            <w:pPr>
              <w:spacing w:after="0"/>
              <w:rPr>
                <w:sz w:val="23"/>
                <w:szCs w:val="23"/>
                <w:color w:val="auto"/>
              </w:rPr>
            </w:pPr>
          </w:p>
        </w:tc>
        <w:tc>
          <w:tcPr>
            <w:tcW w:w="80" w:type="dxa"/>
            <w:vAlign w:val="bottom"/>
          </w:tcPr>
          <w:p>
            <w:pPr>
              <w:spacing w:after="0"/>
              <w:rPr>
                <w:sz w:val="23"/>
                <w:szCs w:val="23"/>
                <w:color w:val="auto"/>
              </w:rPr>
            </w:pPr>
          </w:p>
        </w:tc>
        <w:tc>
          <w:tcPr>
            <w:tcW w:w="820" w:type="dxa"/>
            <w:vAlign w:val="bottom"/>
            <w:vMerge w:val="continue"/>
          </w:tcPr>
          <w:p>
            <w:pPr>
              <w:spacing w:after="0"/>
              <w:rPr>
                <w:sz w:val="23"/>
                <w:szCs w:val="23"/>
                <w:color w:val="auto"/>
              </w:rPr>
            </w:pPr>
          </w:p>
        </w:tc>
        <w:tc>
          <w:tcPr>
            <w:tcW w:w="80" w:type="dxa"/>
            <w:vAlign w:val="bottom"/>
          </w:tcPr>
          <w:p>
            <w:pPr>
              <w:spacing w:after="0"/>
              <w:rPr>
                <w:sz w:val="23"/>
                <w:szCs w:val="23"/>
                <w:color w:val="auto"/>
              </w:rPr>
            </w:pPr>
          </w:p>
        </w:tc>
        <w:tc>
          <w:tcPr>
            <w:tcW w:w="60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8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39</w:t>
      </w:r>
    </w:p>
    <w:p>
      <w:pPr>
        <w:sectPr>
          <w:pgSz w:w="11900" w:h="16838" w:orient="portrait"/>
          <w:cols w:equalWidth="0" w:num="1">
            <w:col w:w="11340"/>
          </w:cols>
          <w:pgMar w:left="320" w:top="118" w:right="2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SURO CAPITAL CORP. AND SUBSIDIARIES</w:t>
      </w:r>
    </w:p>
    <w:p>
      <w:pPr>
        <w:spacing w:after="0" w:line="24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3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June 30, 2022</w:t>
      </w:r>
    </w:p>
    <w:p>
      <w:pPr>
        <w:spacing w:after="0" w:line="227" w:lineRule="exact"/>
        <w:rPr>
          <w:sz w:val="20"/>
          <w:szCs w:val="20"/>
          <w:color w:val="auto"/>
        </w:rPr>
      </w:pPr>
    </w:p>
    <w:tbl>
      <w:tblPr>
        <w:tblLayout w:type="fixed"/>
        <w:tblInd w:w="360" w:type="dxa"/>
        <w:tblCellMar>
          <w:top w:w="0" w:type="dxa"/>
          <w:left w:w="0" w:type="dxa"/>
          <w:bottom w:w="0" w:type="dxa"/>
          <w:right w:w="0" w:type="dxa"/>
        </w:tblCellMar>
      </w:tblPr>
      <w:tr>
        <w:trPr>
          <w:trHeight w:val="161"/>
        </w:trPr>
        <w:tc>
          <w:tcPr>
            <w:tcW w:w="2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5"/>
              </w:rPr>
              <w:t>Interest,</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6"/>
              </w:rPr>
              <w:t>Purchases,</w:t>
            </w: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2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center"/>
              <w:ind w:right="160"/>
              <w:spacing w:after="0" w:line="141" w:lineRule="exact"/>
              <w:rPr>
                <w:sz w:val="20"/>
                <w:szCs w:val="20"/>
                <w:color w:val="auto"/>
              </w:rPr>
            </w:pPr>
            <w:r>
              <w:rPr>
                <w:rFonts w:ascii="Times New Roman" w:cs="Times New Roman" w:eastAsia="Times New Roman" w:hAnsi="Times New Roman"/>
                <w:sz w:val="14"/>
                <w:szCs w:val="14"/>
                <w:b w:val="1"/>
                <w:bCs w:val="1"/>
                <w:color w:val="auto"/>
                <w:w w:val="98"/>
              </w:rPr>
              <w:t>Fees, or</w:t>
            </w:r>
          </w:p>
        </w:tc>
        <w:tc>
          <w:tcPr>
            <w:tcW w:w="92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5"/>
              </w:rPr>
              <w:t>Fair Value at</w:t>
            </w: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4"/>
          </w:tcPr>
          <w:p>
            <w:pPr>
              <w:jc w:val="center"/>
              <w:ind w:right="180"/>
              <w:spacing w:after="0" w:line="141" w:lineRule="exact"/>
              <w:rPr>
                <w:sz w:val="20"/>
                <w:szCs w:val="20"/>
                <w:color w:val="auto"/>
              </w:rPr>
            </w:pPr>
            <w:r>
              <w:rPr>
                <w:rFonts w:ascii="Times New Roman" w:cs="Times New Roman" w:eastAsia="Times New Roman" w:hAnsi="Times New Roman"/>
                <w:sz w:val="14"/>
                <w:szCs w:val="14"/>
                <w:b w:val="1"/>
                <w:bCs w:val="1"/>
                <w:color w:val="auto"/>
                <w:w w:val="96"/>
              </w:rPr>
              <w:t>Capitalized</w:t>
            </w: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5"/>
              </w:rPr>
              <w:t>Fair Value at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Percenta</w:t>
            </w:r>
          </w:p>
        </w:tc>
        <w:tc>
          <w:tcPr>
            <w:tcW w:w="0" w:type="dxa"/>
            <w:vAlign w:val="bottom"/>
          </w:tcPr>
          <w:p>
            <w:pPr>
              <w:spacing w:after="0"/>
              <w:rPr>
                <w:sz w:val="1"/>
                <w:szCs w:val="1"/>
                <w:color w:val="auto"/>
              </w:rPr>
            </w:pPr>
          </w:p>
        </w:tc>
      </w:tr>
      <w:tr>
        <w:trPr>
          <w:trHeight w:val="131"/>
        </w:trPr>
        <w:tc>
          <w:tcPr>
            <w:tcW w:w="22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Type/Industry/Portfolio</w:t>
            </w:r>
          </w:p>
        </w:tc>
        <w:tc>
          <w:tcPr>
            <w:tcW w:w="860" w:type="dxa"/>
            <w:vAlign w:val="bottom"/>
            <w:vMerge w:val="restart"/>
          </w:tcPr>
          <w:p>
            <w:pPr>
              <w:jc w:val="right"/>
              <w:ind w:right="64"/>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60" w:type="dxa"/>
            <w:vAlign w:val="bottom"/>
          </w:tcPr>
          <w:p>
            <w:pPr>
              <w:spacing w:after="0"/>
              <w:rPr>
                <w:sz w:val="11"/>
                <w:szCs w:val="11"/>
                <w:color w:val="auto"/>
              </w:rPr>
            </w:pPr>
          </w:p>
        </w:tc>
        <w:tc>
          <w:tcPr>
            <w:tcW w:w="760" w:type="dxa"/>
            <w:vAlign w:val="bottom"/>
            <w:gridSpan w:val="3"/>
          </w:tcPr>
          <w:p>
            <w:pPr>
              <w:jc w:val="center"/>
              <w:ind w:right="80"/>
              <w:spacing w:after="0" w:line="131" w:lineRule="exact"/>
              <w:rPr>
                <w:sz w:val="20"/>
                <w:szCs w:val="20"/>
                <w:color w:val="auto"/>
              </w:rPr>
            </w:pPr>
            <w:r>
              <w:rPr>
                <w:rFonts w:ascii="Times New Roman" w:cs="Times New Roman" w:eastAsia="Times New Roman" w:hAnsi="Times New Roman"/>
                <w:sz w:val="14"/>
                <w:szCs w:val="14"/>
                <w:b w:val="1"/>
                <w:bCs w:val="1"/>
                <w:color w:val="auto"/>
              </w:rPr>
              <w:t>Dividends</w:t>
            </w:r>
          </w:p>
        </w:tc>
        <w:tc>
          <w:tcPr>
            <w:tcW w:w="920" w:type="dxa"/>
            <w:vAlign w:val="bottom"/>
            <w:gridSpan w:val="3"/>
            <w:vMerge w:val="continue"/>
          </w:tcPr>
          <w:p>
            <w:pPr>
              <w:spacing w:after="0"/>
              <w:rPr>
                <w:sz w:val="11"/>
                <w:szCs w:val="11"/>
                <w:color w:val="auto"/>
              </w:rPr>
            </w:pPr>
          </w:p>
        </w:tc>
        <w:tc>
          <w:tcPr>
            <w:tcW w:w="8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Transfer In/</w:t>
            </w:r>
          </w:p>
        </w:tc>
        <w:tc>
          <w:tcPr>
            <w:tcW w:w="100" w:type="dxa"/>
            <w:vAlign w:val="bottom"/>
          </w:tcPr>
          <w:p>
            <w:pPr>
              <w:spacing w:after="0"/>
              <w:rPr>
                <w:sz w:val="11"/>
                <w:szCs w:val="11"/>
                <w:color w:val="auto"/>
              </w:rPr>
            </w:pPr>
          </w:p>
        </w:tc>
        <w:tc>
          <w:tcPr>
            <w:tcW w:w="900" w:type="dxa"/>
            <w:vAlign w:val="bottom"/>
            <w:gridSpan w:val="3"/>
          </w:tcPr>
          <w:p>
            <w:pPr>
              <w:jc w:val="center"/>
              <w:ind w:right="280"/>
              <w:spacing w:after="0" w:line="131" w:lineRule="exact"/>
              <w:rPr>
                <w:sz w:val="20"/>
                <w:szCs w:val="20"/>
                <w:color w:val="auto"/>
              </w:rPr>
            </w:pPr>
            <w:r>
              <w:rPr>
                <w:rFonts w:ascii="Times New Roman" w:cs="Times New Roman" w:eastAsia="Times New Roman" w:hAnsi="Times New Roman"/>
                <w:sz w:val="14"/>
                <w:szCs w:val="14"/>
                <w:b w:val="1"/>
                <w:bCs w:val="1"/>
                <w:color w:val="auto"/>
              </w:rPr>
              <w:t>Fees,</w:t>
            </w: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Realized</w:t>
            </w:r>
          </w:p>
        </w:tc>
        <w:tc>
          <w:tcPr>
            <w:tcW w:w="9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920" w:type="dxa"/>
            <w:vAlign w:val="bottom"/>
            <w:gridSpan w:val="2"/>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260" w:type="dxa"/>
            <w:vAlign w:val="bottom"/>
            <w:gridSpan w:val="2"/>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3"/>
          </w:tcPr>
          <w:p>
            <w:pPr>
              <w:jc w:val="center"/>
              <w:ind w:right="80"/>
              <w:spacing w:after="0" w:line="141" w:lineRule="exact"/>
              <w:rPr>
                <w:sz w:val="20"/>
                <w:szCs w:val="20"/>
                <w:color w:val="auto"/>
              </w:rPr>
            </w:pPr>
            <w:r>
              <w:rPr>
                <w:rFonts w:ascii="Times New Roman" w:cs="Times New Roman" w:eastAsia="Times New Roman" w:hAnsi="Times New Roman"/>
                <w:sz w:val="14"/>
                <w:szCs w:val="14"/>
                <w:b w:val="1"/>
                <w:bCs w:val="1"/>
                <w:color w:val="auto"/>
                <w:w w:val="98"/>
              </w:rPr>
              <w:t>Credited</w:t>
            </w:r>
          </w:p>
        </w:tc>
        <w:tc>
          <w:tcPr>
            <w:tcW w:w="920" w:type="dxa"/>
            <w:vAlign w:val="bottom"/>
            <w:gridSpan w:val="3"/>
          </w:tcPr>
          <w:p>
            <w:pPr>
              <w:jc w:val="center"/>
              <w:ind w:right="80"/>
              <w:spacing w:after="0" w:line="141" w:lineRule="exact"/>
              <w:rPr>
                <w:sz w:val="20"/>
                <w:szCs w:val="20"/>
                <w:color w:val="auto"/>
              </w:rPr>
            </w:pPr>
            <w:r>
              <w:rPr>
                <w:rFonts w:ascii="Times New Roman" w:cs="Times New Roman" w:eastAsia="Times New Roman" w:hAnsi="Times New Roman"/>
                <w:sz w:val="14"/>
                <w:szCs w:val="14"/>
                <w:b w:val="1"/>
                <w:bCs w:val="1"/>
                <w:color w:val="auto"/>
                <w:w w:val="97"/>
              </w:rPr>
              <w:t>December 31,</w:t>
            </w:r>
          </w:p>
        </w:tc>
        <w:tc>
          <w:tcPr>
            <w:tcW w:w="840" w:type="dxa"/>
            <w:vAlign w:val="bottom"/>
            <w:gridSpan w:val="3"/>
            <w:vMerge w:val="continue"/>
          </w:tcPr>
          <w:p>
            <w:pPr>
              <w:spacing w:after="0"/>
              <w:rPr>
                <w:sz w:val="12"/>
                <w:szCs w:val="12"/>
                <w:color w:val="auto"/>
              </w:rPr>
            </w:pPr>
          </w:p>
        </w:tc>
        <w:tc>
          <w:tcPr>
            <w:tcW w:w="1000" w:type="dxa"/>
            <w:vAlign w:val="bottom"/>
            <w:gridSpan w:val="4"/>
          </w:tcPr>
          <w:p>
            <w:pPr>
              <w:jc w:val="center"/>
              <w:ind w:right="180"/>
              <w:spacing w:after="0" w:line="141" w:lineRule="exact"/>
              <w:rPr>
                <w:sz w:val="20"/>
                <w:szCs w:val="20"/>
                <w:color w:val="auto"/>
              </w:rPr>
            </w:pPr>
            <w:r>
              <w:rPr>
                <w:rFonts w:ascii="Times New Roman" w:cs="Times New Roman" w:eastAsia="Times New Roman" w:hAnsi="Times New Roman"/>
                <w:sz w:val="14"/>
                <w:szCs w:val="14"/>
                <w:b w:val="1"/>
                <w:bCs w:val="1"/>
                <w:color w:val="auto"/>
                <w:w w:val="96"/>
              </w:rPr>
              <w:t>Interest and</w:t>
            </w:r>
          </w:p>
        </w:tc>
        <w:tc>
          <w:tcPr>
            <w:tcW w:w="740" w:type="dxa"/>
            <w:vAlign w:val="bottom"/>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Sales</w:t>
            </w:r>
          </w:p>
        </w:tc>
        <w:tc>
          <w:tcPr>
            <w:tcW w:w="8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920" w:type="dxa"/>
            <w:vAlign w:val="bottom"/>
            <w:gridSpan w:val="2"/>
          </w:tcPr>
          <w:p>
            <w:pPr>
              <w:jc w:val="center"/>
              <w:ind w:right="80"/>
              <w:spacing w:after="0" w:line="141" w:lineRule="exact"/>
              <w:rPr>
                <w:sz w:val="20"/>
                <w:szCs w:val="20"/>
                <w:color w:val="auto"/>
              </w:rPr>
            </w:pPr>
            <w:r>
              <w:rPr>
                <w:rFonts w:ascii="Times New Roman" w:cs="Times New Roman" w:eastAsia="Times New Roman" w:hAnsi="Times New Roman"/>
                <w:sz w:val="14"/>
                <w:szCs w:val="14"/>
                <w:b w:val="1"/>
                <w:bCs w:val="1"/>
                <w:color w:val="auto"/>
                <w:w w:val="97"/>
              </w:rPr>
              <w:t>December 31,</w:t>
            </w:r>
          </w:p>
        </w:tc>
        <w:tc>
          <w:tcPr>
            <w:tcW w:w="60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b w:val="1"/>
                <w:bCs w:val="1"/>
                <w:color w:val="auto"/>
              </w:rPr>
              <w:t>of Net</w:t>
            </w:r>
          </w:p>
        </w:tc>
        <w:tc>
          <w:tcPr>
            <w:tcW w:w="0" w:type="dxa"/>
            <w:vAlign w:val="bottom"/>
          </w:tcPr>
          <w:p>
            <w:pPr>
              <w:spacing w:after="0"/>
              <w:rPr>
                <w:sz w:val="1"/>
                <w:szCs w:val="1"/>
                <w:color w:val="auto"/>
              </w:rPr>
            </w:pPr>
          </w:p>
        </w:tc>
      </w:tr>
      <w:tr>
        <w:trPr>
          <w:trHeight w:val="189"/>
        </w:trPr>
        <w:tc>
          <w:tcPr>
            <w:tcW w:w="2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Company/Investment</w:t>
            </w:r>
          </w:p>
        </w:tc>
        <w:tc>
          <w:tcPr>
            <w:tcW w:w="6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4"/>
                <w:szCs w:val="14"/>
                <w:b w:val="1"/>
                <w:bCs w:val="1"/>
                <w:color w:val="auto"/>
              </w:rPr>
              <w:t>Quantity</w:t>
            </w:r>
          </w:p>
        </w:tc>
        <w:tc>
          <w:tcPr>
            <w:tcW w:w="6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in Income</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center"/>
              <w:ind w:right="63"/>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6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(Out)</w:t>
            </w:r>
          </w:p>
        </w:tc>
        <w:tc>
          <w:tcPr>
            <w:tcW w:w="8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Amortization</w:t>
            </w: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9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w w:val="98"/>
              </w:rPr>
              <w:t>Gains/(Losses)</w:t>
            </w:r>
          </w:p>
        </w:tc>
        <w:tc>
          <w:tcPr>
            <w:tcW w:w="8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6"/>
              </w:rPr>
              <w:t>Gains/(Losses)</w:t>
            </w:r>
          </w:p>
        </w:tc>
        <w:tc>
          <w:tcPr>
            <w:tcW w:w="8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8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0" w:type="dxa"/>
            <w:vAlign w:val="bottom"/>
          </w:tcPr>
          <w:p>
            <w:pPr>
              <w:spacing w:after="0"/>
              <w:rPr>
                <w:sz w:val="1"/>
                <w:szCs w:val="1"/>
                <w:color w:val="auto"/>
              </w:rPr>
            </w:pPr>
          </w:p>
        </w:tc>
      </w:tr>
      <w:tr>
        <w:trPr>
          <w:trHeight w:val="153"/>
        </w:trPr>
        <w:tc>
          <w:tcPr>
            <w:tcW w:w="2200" w:type="dxa"/>
            <w:vAlign w:val="bottom"/>
            <w:shd w:val="clear" w:color="auto" w:fill="CCEEFF"/>
          </w:tcPr>
          <w:p>
            <w:pPr>
              <w:ind w:left="200"/>
              <w:spacing w:after="0" w:line="153" w:lineRule="exact"/>
              <w:rPr>
                <w:sz w:val="20"/>
                <w:szCs w:val="20"/>
                <w:color w:val="auto"/>
              </w:rPr>
            </w:pPr>
            <w:r>
              <w:rPr>
                <w:rFonts w:ascii="Times New Roman" w:cs="Times New Roman" w:eastAsia="Times New Roman" w:hAnsi="Times New Roman"/>
                <w:sz w:val="16"/>
                <w:szCs w:val="16"/>
                <w:color w:val="auto"/>
              </w:rPr>
              <w:t>StormWind, LLC–Preferred</w:t>
            </w:r>
          </w:p>
        </w:tc>
        <w:tc>
          <w:tcPr>
            <w:tcW w:w="6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366,666</w:t>
            </w:r>
          </w:p>
        </w:tc>
        <w:tc>
          <w:tcPr>
            <w:tcW w:w="1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vMerge w:val="restart"/>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88,248</w:t>
            </w:r>
          </w:p>
        </w:tc>
        <w:tc>
          <w:tcPr>
            <w:tcW w:w="6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vMerge w:val="restart"/>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gridSpan w:val="3"/>
            <w:vMerge w:val="restart"/>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  $</w:t>
            </w:r>
          </w:p>
        </w:tc>
        <w:tc>
          <w:tcPr>
            <w:tcW w:w="820" w:type="dxa"/>
            <w:vAlign w:val="bottom"/>
            <w:gridSpan w:val="2"/>
            <w:vMerge w:val="restart"/>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201,045</w:t>
            </w:r>
          </w:p>
        </w:tc>
        <w:tc>
          <w:tcPr>
            <w:tcW w:w="8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289,293</w:t>
            </w:r>
          </w:p>
        </w:tc>
        <w:tc>
          <w:tcPr>
            <w:tcW w:w="80" w:type="dxa"/>
            <w:vAlign w:val="bottom"/>
            <w:shd w:val="clear" w:color="auto" w:fill="CCEEFF"/>
          </w:tcPr>
          <w:p>
            <w:pPr>
              <w:spacing w:after="0"/>
              <w:rPr>
                <w:sz w:val="13"/>
                <w:szCs w:val="13"/>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w:t>
            </w:r>
          </w:p>
        </w:tc>
        <w:tc>
          <w:tcPr>
            <w:tcW w:w="0" w:type="dxa"/>
            <w:vAlign w:val="bottom"/>
          </w:tcPr>
          <w:p>
            <w:pPr>
              <w:spacing w:after="0"/>
              <w:rPr>
                <w:sz w:val="1"/>
                <w:szCs w:val="1"/>
                <w:color w:val="auto"/>
              </w:rPr>
            </w:pPr>
          </w:p>
        </w:tc>
      </w:tr>
      <w:tr>
        <w:trPr>
          <w:trHeight w:val="207"/>
        </w:trPr>
        <w:tc>
          <w:tcPr>
            <w:tcW w:w="2260" w:type="dxa"/>
            <w:vAlign w:val="bottom"/>
            <w:gridSpan w:val="2"/>
            <w:shd w:val="clear" w:color="auto" w:fill="CCEEFF"/>
          </w:tcPr>
          <w:p>
            <w:pPr>
              <w:ind w:left="200"/>
              <w:spacing w:after="0" w:line="207" w:lineRule="exact"/>
              <w:rPr>
                <w:sz w:val="20"/>
                <w:szCs w:val="20"/>
                <w:color w:val="auto"/>
              </w:rPr>
            </w:pPr>
            <w:r>
              <w:rPr>
                <w:rFonts w:ascii="Times New Roman" w:cs="Times New Roman" w:eastAsia="Times New Roman" w:hAnsi="Times New Roman"/>
                <w:sz w:val="16"/>
                <w:szCs w:val="16"/>
                <w:color w:val="auto"/>
              </w:rPr>
              <w:t>shares, Series A 8%</w:t>
            </w:r>
            <w:r>
              <w:rPr>
                <w:rFonts w:ascii="Times New Roman" w:cs="Times New Roman" w:eastAsia="Times New Roman" w:hAnsi="Times New Roman"/>
                <w:sz w:val="20"/>
                <w:szCs w:val="20"/>
                <w:color w:val="auto"/>
                <w:vertAlign w:val="superscript"/>
              </w:rPr>
              <w:t>(5)</w:t>
            </w:r>
          </w:p>
        </w:tc>
        <w:tc>
          <w:tcPr>
            <w:tcW w:w="860" w:type="dxa"/>
            <w:vAlign w:val="bottom"/>
            <w:vMerge w:val="continue"/>
            <w:shd w:val="clear" w:color="auto" w:fill="CCEEFF"/>
          </w:tcPr>
          <w:p>
            <w:pPr>
              <w:spacing w:after="0"/>
              <w:rPr>
                <w:sz w:val="17"/>
                <w:szCs w:val="17"/>
                <w:color w:val="auto"/>
              </w:rPr>
            </w:pPr>
          </w:p>
        </w:tc>
        <w:tc>
          <w:tcPr>
            <w:tcW w:w="160" w:type="dxa"/>
            <w:vAlign w:val="bottom"/>
            <w:gridSpan w:val="2"/>
            <w:vMerge w:val="continue"/>
            <w:shd w:val="clear" w:color="auto" w:fill="CCEEFF"/>
          </w:tcPr>
          <w:p>
            <w:pPr>
              <w:spacing w:after="0"/>
              <w:rPr>
                <w:sz w:val="17"/>
                <w:szCs w:val="17"/>
                <w:color w:val="auto"/>
              </w:rPr>
            </w:pPr>
          </w:p>
        </w:tc>
        <w:tc>
          <w:tcPr>
            <w:tcW w:w="660" w:type="dxa"/>
            <w:vAlign w:val="bottom"/>
            <w:gridSpan w:val="2"/>
            <w:vMerge w:val="continue"/>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vMerge w:val="continue"/>
            <w:shd w:val="clear" w:color="auto" w:fill="CCEEFF"/>
          </w:tcPr>
          <w:p>
            <w:pPr>
              <w:spacing w:after="0"/>
              <w:rPr>
                <w:sz w:val="17"/>
                <w:szCs w:val="17"/>
                <w:color w:val="auto"/>
              </w:rPr>
            </w:pPr>
          </w:p>
        </w:tc>
        <w:tc>
          <w:tcPr>
            <w:tcW w:w="680" w:type="dxa"/>
            <w:vAlign w:val="bottom"/>
            <w:gridSpan w:val="2"/>
            <w:vMerge w:val="continue"/>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900" w:type="dxa"/>
            <w:vAlign w:val="bottom"/>
            <w:gridSpan w:val="3"/>
            <w:vMerge w:val="continue"/>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140" w:type="dxa"/>
            <w:vAlign w:val="bottom"/>
            <w:vMerge w:val="continue"/>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260" w:type="dxa"/>
            <w:vAlign w:val="bottom"/>
            <w:gridSpan w:val="2"/>
          </w:tcPr>
          <w:p>
            <w:pPr>
              <w:ind w:left="120"/>
              <w:spacing w:after="0"/>
              <w:rPr>
                <w:sz w:val="20"/>
                <w:szCs w:val="20"/>
                <w:color w:val="auto"/>
              </w:rPr>
            </w:pPr>
            <w:r>
              <w:rPr>
                <w:rFonts w:ascii="Times New Roman" w:cs="Times New Roman" w:eastAsia="Times New Roman" w:hAnsi="Times New Roman"/>
                <w:sz w:val="16"/>
                <w:szCs w:val="16"/>
                <w:i w:val="1"/>
                <w:iCs w:val="1"/>
                <w:color w:val="auto"/>
              </w:rPr>
              <w:t>Total Interactive Learning</w:t>
            </w: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w w:val="99"/>
              </w:rPr>
              <w:t>7,958,346</w:t>
            </w:r>
          </w:p>
        </w:tc>
        <w:tc>
          <w:tcPr>
            <w:tcW w:w="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3,872,376</w:t>
            </w:r>
          </w:p>
        </w:tc>
        <w:tc>
          <w:tcPr>
            <w:tcW w:w="80" w:type="dxa"/>
            <w:vAlign w:val="bottom"/>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11,830,722</w:t>
            </w:r>
          </w:p>
        </w:tc>
        <w:tc>
          <w:tcPr>
            <w:tcW w:w="80" w:type="dxa"/>
            <w:vAlign w:val="bottom"/>
            <w:tcBorders>
              <w:top w:val="single" w:sz="8" w:color="CCEEFF"/>
            </w:tcBorders>
          </w:tcPr>
          <w:p>
            <w:pPr>
              <w:spacing w:after="0"/>
              <w:rPr>
                <w:sz w:val="17"/>
                <w:szCs w:val="17"/>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0" w:type="dxa"/>
            <w:vAlign w:val="bottom"/>
          </w:tcPr>
          <w:p>
            <w:pPr>
              <w:spacing w:after="0"/>
              <w:rPr>
                <w:sz w:val="1"/>
                <w:szCs w:val="1"/>
                <w:color w:val="auto"/>
              </w:rPr>
            </w:pPr>
          </w:p>
        </w:tc>
      </w:tr>
      <w:tr>
        <w:trPr>
          <w:trHeight w:val="209"/>
        </w:trPr>
        <w:tc>
          <w:tcPr>
            <w:tcW w:w="2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Preferred Stock</w:t>
            </w: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17,368,051</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96"/>
              </w:rPr>
              <w:t>(4,664,114)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1,879,430</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(2,752,645)</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11,830,722</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0" w:type="dxa"/>
            <w:vAlign w:val="bottom"/>
          </w:tcPr>
          <w:p>
            <w:pPr>
              <w:spacing w:after="0"/>
              <w:rPr>
                <w:sz w:val="1"/>
                <w:szCs w:val="1"/>
                <w:color w:val="auto"/>
              </w:rPr>
            </w:pPr>
          </w:p>
        </w:tc>
      </w:tr>
      <w:tr>
        <w:trPr>
          <w:trHeight w:val="206"/>
        </w:trPr>
        <w:tc>
          <w:tcPr>
            <w:tcW w:w="22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Options</w:t>
            </w: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i w:val="1"/>
                <w:iCs w:val="1"/>
                <w:color w:val="auto"/>
              </w:rPr>
              <w:t>Digital Media Platform</w:t>
            </w:r>
          </w:p>
        </w:tc>
        <w:tc>
          <w:tcPr>
            <w:tcW w:w="860" w:type="dxa"/>
            <w:vAlign w:val="bottom"/>
            <w:tcBorders>
              <w:bottom w:val="single" w:sz="8" w:color="CCEEFF"/>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2260" w:type="dxa"/>
            <w:vAlign w:val="bottom"/>
            <w:gridSpan w:val="2"/>
          </w:tcPr>
          <w:p>
            <w:pPr>
              <w:ind w:left="200"/>
              <w:spacing w:after="0" w:line="148" w:lineRule="exact"/>
              <w:rPr>
                <w:sz w:val="20"/>
                <w:szCs w:val="20"/>
                <w:color w:val="auto"/>
              </w:rPr>
            </w:pPr>
            <w:r>
              <w:rPr>
                <w:rFonts w:ascii="Times New Roman" w:cs="Times New Roman" w:eastAsia="Times New Roman" w:hAnsi="Times New Roman"/>
                <w:sz w:val="16"/>
                <w:szCs w:val="16"/>
                <w:color w:val="auto"/>
              </w:rPr>
              <w:t>Ozy Media, Inc.–Common</w:t>
            </w: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260" w:type="dxa"/>
            <w:vAlign w:val="bottom"/>
            <w:gridSpan w:val="2"/>
          </w:tcPr>
          <w:p>
            <w:pPr>
              <w:ind w:left="200"/>
              <w:spacing w:after="0" w:line="155" w:lineRule="exact"/>
              <w:rPr>
                <w:sz w:val="20"/>
                <w:szCs w:val="20"/>
                <w:color w:val="auto"/>
              </w:rPr>
            </w:pPr>
            <w:r>
              <w:rPr>
                <w:rFonts w:ascii="Times New Roman" w:cs="Times New Roman" w:eastAsia="Times New Roman" w:hAnsi="Times New Roman"/>
                <w:sz w:val="16"/>
                <w:szCs w:val="16"/>
                <w:color w:val="auto"/>
              </w:rPr>
              <w:t>Warrants, Strike Price $0.01,</w:t>
            </w:r>
          </w:p>
        </w:tc>
        <w:tc>
          <w:tcPr>
            <w:tcW w:w="860" w:type="dxa"/>
            <w:vAlign w:val="bottom"/>
            <w:vMerge w:val="restart"/>
          </w:tcPr>
          <w:p>
            <w:pPr>
              <w:jc w:val="right"/>
              <w:ind w:right="4"/>
              <w:spacing w:after="0"/>
              <w:rPr>
                <w:sz w:val="20"/>
                <w:szCs w:val="20"/>
                <w:color w:val="auto"/>
              </w:rPr>
            </w:pPr>
            <w:r>
              <w:rPr>
                <w:rFonts w:ascii="Times New Roman" w:cs="Times New Roman" w:eastAsia="Times New Roman" w:hAnsi="Times New Roman"/>
                <w:sz w:val="16"/>
                <w:szCs w:val="16"/>
                <w:color w:val="auto"/>
              </w:rPr>
              <w:t>295,565</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2"/>
            <w:vMerge w:val="restart"/>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3"/>
                <w:szCs w:val="13"/>
                <w:color w:val="auto"/>
              </w:rPr>
            </w:pPr>
          </w:p>
        </w:tc>
        <w:tc>
          <w:tcPr>
            <w:tcW w:w="74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auto"/>
              </w:rPr>
              <w:t>762,558</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gridSpan w:val="2"/>
            <w:vMerge w:val="restart"/>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3"/>
                <w:szCs w:val="13"/>
                <w:color w:val="auto"/>
              </w:rPr>
            </w:pPr>
          </w:p>
        </w:tc>
        <w:tc>
          <w:tcPr>
            <w:tcW w:w="900" w:type="dxa"/>
            <w:vAlign w:val="bottom"/>
            <w:gridSpan w:val="3"/>
            <w:vMerge w:val="restart"/>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vMerge w:val="restart"/>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3"/>
                <w:szCs w:val="13"/>
                <w:color w:val="auto"/>
              </w:rPr>
            </w:pP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(762,558)</w:t>
            </w:r>
          </w:p>
        </w:tc>
        <w:tc>
          <w:tcPr>
            <w:tcW w:w="80" w:type="dxa"/>
            <w:vAlign w:val="bottom"/>
          </w:tcPr>
          <w:p>
            <w:pPr>
              <w:spacing w:after="0"/>
              <w:rPr>
                <w:sz w:val="13"/>
                <w:szCs w:val="13"/>
                <w:color w:val="auto"/>
              </w:rPr>
            </w:pPr>
          </w:p>
        </w:tc>
        <w:tc>
          <w:tcPr>
            <w:tcW w:w="9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5"/>
        </w:trPr>
        <w:tc>
          <w:tcPr>
            <w:tcW w:w="226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Expiration Date 4/9/2028</w:t>
            </w:r>
          </w:p>
        </w:tc>
        <w:tc>
          <w:tcPr>
            <w:tcW w:w="86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3"/>
            <w:vMerge w:val="continue"/>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6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i w:val="1"/>
                <w:iCs w:val="1"/>
                <w:color w:val="auto"/>
              </w:rPr>
              <w:t>Global Innovation Platform</w:t>
            </w: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260" w:type="dxa"/>
            <w:vAlign w:val="bottom"/>
            <w:gridSpan w:val="2"/>
          </w:tcPr>
          <w:p>
            <w:pPr>
              <w:ind w:left="220"/>
              <w:spacing w:after="0" w:line="155" w:lineRule="exact"/>
              <w:rPr>
                <w:sz w:val="20"/>
                <w:szCs w:val="20"/>
                <w:color w:val="auto"/>
              </w:rPr>
            </w:pPr>
            <w:r>
              <w:rPr>
                <w:rFonts w:ascii="Times New Roman" w:cs="Times New Roman" w:eastAsia="Times New Roman" w:hAnsi="Times New Roman"/>
                <w:sz w:val="16"/>
                <w:szCs w:val="16"/>
                <w:color w:val="auto"/>
              </w:rPr>
              <w:t>OneValley, Inc. (f/k/a</w:t>
            </w: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260" w:type="dxa"/>
            <w:vAlign w:val="bottom"/>
            <w:gridSpan w:val="2"/>
          </w:tcPr>
          <w:p>
            <w:pPr>
              <w:ind w:left="220"/>
              <w:spacing w:after="0" w:line="155" w:lineRule="exact"/>
              <w:rPr>
                <w:sz w:val="20"/>
                <w:szCs w:val="20"/>
                <w:color w:val="auto"/>
              </w:rPr>
            </w:pPr>
            <w:r>
              <w:rPr>
                <w:rFonts w:ascii="Times New Roman" w:cs="Times New Roman" w:eastAsia="Times New Roman" w:hAnsi="Times New Roman"/>
                <w:sz w:val="16"/>
                <w:szCs w:val="16"/>
                <w:color w:val="auto"/>
              </w:rPr>
              <w:t>NestGSV, Inc.)–Preferred</w:t>
            </w: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260" w:type="dxa"/>
            <w:vAlign w:val="bottom"/>
            <w:gridSpan w:val="2"/>
          </w:tcPr>
          <w:p>
            <w:pPr>
              <w:ind w:left="220"/>
              <w:spacing w:after="0" w:line="155" w:lineRule="exact"/>
              <w:rPr>
                <w:sz w:val="20"/>
                <w:szCs w:val="20"/>
                <w:color w:val="auto"/>
              </w:rPr>
            </w:pPr>
            <w:r>
              <w:rPr>
                <w:rFonts w:ascii="Times New Roman" w:cs="Times New Roman" w:eastAsia="Times New Roman" w:hAnsi="Times New Roman"/>
                <w:sz w:val="16"/>
                <w:szCs w:val="16"/>
                <w:color w:val="auto"/>
              </w:rPr>
              <w:t>Warrant Series A-3 - Strike</w:t>
            </w: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260" w:type="dxa"/>
            <w:vAlign w:val="bottom"/>
            <w:gridSpan w:val="2"/>
          </w:tcPr>
          <w:p>
            <w:pPr>
              <w:ind w:left="220"/>
              <w:spacing w:after="0" w:line="155" w:lineRule="exact"/>
              <w:rPr>
                <w:sz w:val="20"/>
                <w:szCs w:val="20"/>
                <w:color w:val="auto"/>
              </w:rPr>
            </w:pPr>
            <w:r>
              <w:rPr>
                <w:rFonts w:ascii="Times New Roman" w:cs="Times New Roman" w:eastAsia="Times New Roman" w:hAnsi="Times New Roman"/>
                <w:sz w:val="16"/>
                <w:szCs w:val="16"/>
                <w:color w:val="auto"/>
              </w:rPr>
              <w:t>Price $1.33, Expiration Date</w:t>
            </w:r>
          </w:p>
        </w:tc>
        <w:tc>
          <w:tcPr>
            <w:tcW w:w="860" w:type="dxa"/>
            <w:vAlign w:val="bottom"/>
            <w:vMerge w:val="restart"/>
          </w:tcPr>
          <w:p>
            <w:pPr>
              <w:jc w:val="right"/>
              <w:ind w:right="4"/>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2"/>
            <w:vMerge w:val="restart"/>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3"/>
                <w:szCs w:val="13"/>
                <w:color w:val="auto"/>
              </w:rPr>
            </w:pPr>
          </w:p>
        </w:tc>
        <w:tc>
          <w:tcPr>
            <w:tcW w:w="74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auto"/>
              </w:rPr>
              <w:t>4,687</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gridSpan w:val="2"/>
            <w:vMerge w:val="restart"/>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3"/>
                <w:szCs w:val="13"/>
                <w:color w:val="auto"/>
              </w:rPr>
            </w:pPr>
          </w:p>
        </w:tc>
        <w:tc>
          <w:tcPr>
            <w:tcW w:w="900" w:type="dxa"/>
            <w:vAlign w:val="bottom"/>
            <w:gridSpan w:val="3"/>
            <w:vMerge w:val="restart"/>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vMerge w:val="restart"/>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3"/>
                <w:szCs w:val="13"/>
                <w:color w:val="auto"/>
              </w:rPr>
            </w:pP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(4,687)</w:t>
            </w:r>
          </w:p>
        </w:tc>
        <w:tc>
          <w:tcPr>
            <w:tcW w:w="80" w:type="dxa"/>
            <w:vAlign w:val="bottom"/>
          </w:tcPr>
          <w:p>
            <w:pPr>
              <w:spacing w:after="0"/>
              <w:rPr>
                <w:sz w:val="13"/>
                <w:szCs w:val="13"/>
                <w:color w:val="auto"/>
              </w:rPr>
            </w:pPr>
          </w:p>
        </w:tc>
        <w:tc>
          <w:tcPr>
            <w:tcW w:w="9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5"/>
        </w:trPr>
        <w:tc>
          <w:tcPr>
            <w:tcW w:w="22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4/4/2021</w:t>
            </w:r>
          </w:p>
        </w:tc>
        <w:tc>
          <w:tcPr>
            <w:tcW w:w="6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3"/>
            <w:vMerge w:val="continue"/>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6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2260" w:type="dxa"/>
            <w:vAlign w:val="bottom"/>
            <w:gridSpan w:val="2"/>
            <w:shd w:val="clear" w:color="auto" w:fill="CCEEFF"/>
          </w:tcPr>
          <w:p>
            <w:pPr>
              <w:ind w:left="200"/>
              <w:spacing w:after="0" w:line="158" w:lineRule="exact"/>
              <w:rPr>
                <w:sz w:val="20"/>
                <w:szCs w:val="20"/>
                <w:color w:val="auto"/>
              </w:rPr>
            </w:pPr>
            <w:r>
              <w:rPr>
                <w:rFonts w:ascii="Times New Roman" w:cs="Times New Roman" w:eastAsia="Times New Roman" w:hAnsi="Times New Roman"/>
                <w:sz w:val="16"/>
                <w:szCs w:val="16"/>
                <w:color w:val="auto"/>
              </w:rPr>
              <w:t>OneValley, Inc. (f/k/a</w:t>
            </w:r>
          </w:p>
        </w:tc>
        <w:tc>
          <w:tcPr>
            <w:tcW w:w="8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260" w:type="dxa"/>
            <w:vAlign w:val="bottom"/>
            <w:gridSpan w:val="2"/>
            <w:shd w:val="clear" w:color="auto" w:fill="CCEEFF"/>
          </w:tcPr>
          <w:p>
            <w:pPr>
              <w:ind w:left="200"/>
              <w:spacing w:after="0" w:line="155" w:lineRule="exact"/>
              <w:rPr>
                <w:sz w:val="20"/>
                <w:szCs w:val="20"/>
                <w:color w:val="auto"/>
              </w:rPr>
            </w:pPr>
            <w:r>
              <w:rPr>
                <w:rFonts w:ascii="Times New Roman" w:cs="Times New Roman" w:eastAsia="Times New Roman" w:hAnsi="Times New Roman"/>
                <w:sz w:val="16"/>
                <w:szCs w:val="16"/>
                <w:color w:val="auto"/>
              </w:rPr>
              <w:t>NestGSV, Inc.)–Preferred</w:t>
            </w:r>
          </w:p>
        </w:tc>
        <w:tc>
          <w:tcPr>
            <w:tcW w:w="8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260" w:type="dxa"/>
            <w:vAlign w:val="bottom"/>
            <w:gridSpan w:val="2"/>
            <w:shd w:val="clear" w:color="auto" w:fill="CCEEFF"/>
          </w:tcPr>
          <w:p>
            <w:pPr>
              <w:ind w:left="200"/>
              <w:spacing w:after="0" w:line="155" w:lineRule="exact"/>
              <w:rPr>
                <w:sz w:val="20"/>
                <w:szCs w:val="20"/>
                <w:color w:val="auto"/>
              </w:rPr>
            </w:pPr>
            <w:r>
              <w:rPr>
                <w:rFonts w:ascii="Times New Roman" w:cs="Times New Roman" w:eastAsia="Times New Roman" w:hAnsi="Times New Roman"/>
                <w:sz w:val="16"/>
                <w:szCs w:val="16"/>
                <w:color w:val="auto"/>
              </w:rPr>
              <w:t>Warrant Series A-4, Strike</w:t>
            </w:r>
          </w:p>
        </w:tc>
        <w:tc>
          <w:tcPr>
            <w:tcW w:w="8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260" w:type="dxa"/>
            <w:vAlign w:val="bottom"/>
            <w:gridSpan w:val="2"/>
            <w:shd w:val="clear" w:color="auto" w:fill="CCEEFF"/>
          </w:tcPr>
          <w:p>
            <w:pPr>
              <w:ind w:left="200"/>
              <w:spacing w:after="0" w:line="155" w:lineRule="exact"/>
              <w:rPr>
                <w:sz w:val="20"/>
                <w:szCs w:val="20"/>
                <w:color w:val="auto"/>
              </w:rPr>
            </w:pPr>
            <w:r>
              <w:rPr>
                <w:rFonts w:ascii="Times New Roman" w:cs="Times New Roman" w:eastAsia="Times New Roman" w:hAnsi="Times New Roman"/>
                <w:sz w:val="16"/>
                <w:szCs w:val="16"/>
                <w:color w:val="auto"/>
              </w:rPr>
              <w:t>Price $1.33, Expiration Date</w:t>
            </w:r>
          </w:p>
        </w:tc>
        <w:tc>
          <w:tcPr>
            <w:tcW w:w="860" w:type="dxa"/>
            <w:vAlign w:val="bottom"/>
            <w:vMerge w:val="restart"/>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gridSpan w:val="2"/>
            <w:vMerge w:val="restart"/>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27,500</w:t>
            </w: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gridSpan w:val="2"/>
            <w:vMerge w:val="restart"/>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3"/>
                <w:szCs w:val="13"/>
                <w:color w:val="auto"/>
              </w:rPr>
            </w:pPr>
          </w:p>
        </w:tc>
        <w:tc>
          <w:tcPr>
            <w:tcW w:w="900" w:type="dxa"/>
            <w:vAlign w:val="bottom"/>
            <w:gridSpan w:val="3"/>
            <w:vMerge w:val="restart"/>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vMerge w:val="restart"/>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(74,380)</w:t>
            </w:r>
          </w:p>
        </w:tc>
        <w:tc>
          <w:tcPr>
            <w:tcW w:w="8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46,880</w:t>
            </w:r>
          </w:p>
        </w:tc>
        <w:tc>
          <w:tcPr>
            <w:tcW w:w="80" w:type="dxa"/>
            <w:vAlign w:val="bottom"/>
            <w:shd w:val="clear" w:color="auto" w:fill="CCEEFF"/>
          </w:tcPr>
          <w:p>
            <w:pPr>
              <w:spacing w:after="0"/>
              <w:rPr>
                <w:sz w:val="13"/>
                <w:szCs w:val="13"/>
                <w:color w:val="auto"/>
              </w:rPr>
            </w:pPr>
          </w:p>
        </w:tc>
        <w:tc>
          <w:tcPr>
            <w:tcW w:w="9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22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7/18/2021</w:t>
            </w:r>
          </w:p>
        </w:tc>
        <w:tc>
          <w:tcPr>
            <w:tcW w:w="60" w:type="dxa"/>
            <w:vAlign w:val="bottom"/>
            <w:shd w:val="clear" w:color="auto" w:fill="CCEEFF"/>
          </w:tcPr>
          <w:p>
            <w:pPr>
              <w:spacing w:after="0"/>
              <w:rPr>
                <w:sz w:val="17"/>
                <w:szCs w:val="17"/>
                <w:color w:val="auto"/>
              </w:rPr>
            </w:pPr>
          </w:p>
        </w:tc>
        <w:tc>
          <w:tcPr>
            <w:tcW w:w="860" w:type="dxa"/>
            <w:vAlign w:val="bottom"/>
            <w:tcBorders>
              <w:bottom w:val="single" w:sz="8" w:color="CCEEFF"/>
            </w:tcBorders>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3"/>
            <w:vMerge w:val="continue"/>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2260" w:type="dxa"/>
            <w:vAlign w:val="bottom"/>
            <w:gridSpan w:val="2"/>
          </w:tcPr>
          <w:p>
            <w:pPr>
              <w:ind w:left="200"/>
              <w:spacing w:after="0" w:line="135" w:lineRule="exact"/>
              <w:rPr>
                <w:sz w:val="20"/>
                <w:szCs w:val="20"/>
                <w:color w:val="auto"/>
              </w:rPr>
            </w:pPr>
            <w:r>
              <w:rPr>
                <w:rFonts w:ascii="Times New Roman" w:cs="Times New Roman" w:eastAsia="Times New Roman" w:hAnsi="Times New Roman"/>
                <w:sz w:val="14"/>
                <w:szCs w:val="14"/>
                <w:color w:val="auto"/>
              </w:rPr>
              <w:t>OneValley, Inc. (f/k/a</w:t>
            </w: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260" w:type="dxa"/>
            <w:vAlign w:val="bottom"/>
            <w:gridSpan w:val="2"/>
          </w:tcPr>
          <w:p>
            <w:pPr>
              <w:ind w:left="200"/>
              <w:spacing w:after="0" w:line="155" w:lineRule="exact"/>
              <w:rPr>
                <w:sz w:val="20"/>
                <w:szCs w:val="20"/>
                <w:color w:val="auto"/>
              </w:rPr>
            </w:pPr>
            <w:r>
              <w:rPr>
                <w:rFonts w:ascii="Times New Roman" w:cs="Times New Roman" w:eastAsia="Times New Roman" w:hAnsi="Times New Roman"/>
                <w:sz w:val="16"/>
                <w:szCs w:val="16"/>
                <w:color w:val="auto"/>
              </w:rPr>
              <w:t>NestGSV, Inc.)–Preferred</w:t>
            </w: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260" w:type="dxa"/>
            <w:vAlign w:val="bottom"/>
            <w:gridSpan w:val="2"/>
          </w:tcPr>
          <w:p>
            <w:pPr>
              <w:ind w:left="200"/>
              <w:spacing w:after="0" w:line="155" w:lineRule="exact"/>
              <w:rPr>
                <w:sz w:val="20"/>
                <w:szCs w:val="20"/>
                <w:color w:val="auto"/>
              </w:rPr>
            </w:pPr>
            <w:r>
              <w:rPr>
                <w:rFonts w:ascii="Times New Roman" w:cs="Times New Roman" w:eastAsia="Times New Roman" w:hAnsi="Times New Roman"/>
                <w:sz w:val="16"/>
                <w:szCs w:val="16"/>
                <w:color w:val="auto"/>
              </w:rPr>
              <w:t>Warrant Series A-4, Strike</w:t>
            </w: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260" w:type="dxa"/>
            <w:vAlign w:val="bottom"/>
            <w:gridSpan w:val="2"/>
          </w:tcPr>
          <w:p>
            <w:pPr>
              <w:ind w:left="200"/>
              <w:spacing w:after="0" w:line="155" w:lineRule="exact"/>
              <w:rPr>
                <w:sz w:val="20"/>
                <w:szCs w:val="20"/>
                <w:color w:val="auto"/>
              </w:rPr>
            </w:pPr>
            <w:r>
              <w:rPr>
                <w:rFonts w:ascii="Times New Roman" w:cs="Times New Roman" w:eastAsia="Times New Roman" w:hAnsi="Times New Roman"/>
                <w:sz w:val="16"/>
                <w:szCs w:val="16"/>
                <w:color w:val="auto"/>
              </w:rPr>
              <w:t>Price $1.33, Expiration Date</w:t>
            </w:r>
          </w:p>
        </w:tc>
        <w:tc>
          <w:tcPr>
            <w:tcW w:w="860" w:type="dxa"/>
            <w:vAlign w:val="bottom"/>
            <w:vMerge w:val="restart"/>
          </w:tcPr>
          <w:p>
            <w:pPr>
              <w:jc w:val="right"/>
              <w:ind w:right="4"/>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2"/>
            <w:vMerge w:val="restart"/>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3"/>
                <w:szCs w:val="13"/>
                <w:color w:val="auto"/>
              </w:rPr>
            </w:pPr>
          </w:p>
        </w:tc>
        <w:tc>
          <w:tcPr>
            <w:tcW w:w="74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auto"/>
              </w:rPr>
              <w:t>65,000</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gridSpan w:val="2"/>
            <w:vMerge w:val="restart"/>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3"/>
                <w:szCs w:val="13"/>
                <w:color w:val="auto"/>
              </w:rPr>
            </w:pPr>
          </w:p>
        </w:tc>
        <w:tc>
          <w:tcPr>
            <w:tcW w:w="900" w:type="dxa"/>
            <w:vAlign w:val="bottom"/>
            <w:gridSpan w:val="3"/>
            <w:vMerge w:val="restart"/>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vMerge w:val="restart"/>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3"/>
                <w:szCs w:val="13"/>
                <w:color w:val="auto"/>
              </w:rPr>
            </w:pP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(65,000)</w:t>
            </w:r>
          </w:p>
        </w:tc>
        <w:tc>
          <w:tcPr>
            <w:tcW w:w="80" w:type="dxa"/>
            <w:vAlign w:val="bottom"/>
          </w:tcPr>
          <w:p>
            <w:pPr>
              <w:spacing w:after="0"/>
              <w:rPr>
                <w:sz w:val="13"/>
                <w:szCs w:val="13"/>
                <w:color w:val="auto"/>
              </w:rPr>
            </w:pPr>
          </w:p>
        </w:tc>
        <w:tc>
          <w:tcPr>
            <w:tcW w:w="9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5"/>
        </w:trPr>
        <w:tc>
          <w:tcPr>
            <w:tcW w:w="22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10/6/2021</w:t>
            </w:r>
          </w:p>
        </w:tc>
        <w:tc>
          <w:tcPr>
            <w:tcW w:w="6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3"/>
            <w:vMerge w:val="continue"/>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6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2260" w:type="dxa"/>
            <w:vAlign w:val="bottom"/>
            <w:gridSpan w:val="2"/>
            <w:shd w:val="clear" w:color="auto" w:fill="CCEEFF"/>
          </w:tcPr>
          <w:p>
            <w:pPr>
              <w:ind w:left="200"/>
              <w:spacing w:after="0" w:line="158" w:lineRule="exact"/>
              <w:rPr>
                <w:sz w:val="20"/>
                <w:szCs w:val="20"/>
                <w:color w:val="auto"/>
              </w:rPr>
            </w:pPr>
            <w:r>
              <w:rPr>
                <w:rFonts w:ascii="Times New Roman" w:cs="Times New Roman" w:eastAsia="Times New Roman" w:hAnsi="Times New Roman"/>
                <w:sz w:val="16"/>
                <w:szCs w:val="16"/>
                <w:color w:val="auto"/>
              </w:rPr>
              <w:t>OneValley, Inc. (f/k/a</w:t>
            </w:r>
          </w:p>
        </w:tc>
        <w:tc>
          <w:tcPr>
            <w:tcW w:w="8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260" w:type="dxa"/>
            <w:vAlign w:val="bottom"/>
            <w:gridSpan w:val="2"/>
            <w:shd w:val="clear" w:color="auto" w:fill="CCEEFF"/>
          </w:tcPr>
          <w:p>
            <w:pPr>
              <w:ind w:left="200"/>
              <w:spacing w:after="0" w:line="155" w:lineRule="exact"/>
              <w:rPr>
                <w:sz w:val="20"/>
                <w:szCs w:val="20"/>
                <w:color w:val="auto"/>
              </w:rPr>
            </w:pPr>
            <w:r>
              <w:rPr>
                <w:rFonts w:ascii="Times New Roman" w:cs="Times New Roman" w:eastAsia="Times New Roman" w:hAnsi="Times New Roman"/>
                <w:sz w:val="16"/>
                <w:szCs w:val="16"/>
                <w:color w:val="auto"/>
              </w:rPr>
              <w:t>NestGSV, Inc.)–Preferred</w:t>
            </w:r>
          </w:p>
        </w:tc>
        <w:tc>
          <w:tcPr>
            <w:tcW w:w="8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260" w:type="dxa"/>
            <w:vAlign w:val="bottom"/>
            <w:gridSpan w:val="2"/>
            <w:shd w:val="clear" w:color="auto" w:fill="CCEEFF"/>
          </w:tcPr>
          <w:p>
            <w:pPr>
              <w:ind w:left="200"/>
              <w:spacing w:after="0" w:line="155" w:lineRule="exact"/>
              <w:rPr>
                <w:sz w:val="20"/>
                <w:szCs w:val="20"/>
                <w:color w:val="auto"/>
              </w:rPr>
            </w:pPr>
            <w:r>
              <w:rPr>
                <w:rFonts w:ascii="Times New Roman" w:cs="Times New Roman" w:eastAsia="Times New Roman" w:hAnsi="Times New Roman"/>
                <w:sz w:val="16"/>
                <w:szCs w:val="16"/>
                <w:color w:val="auto"/>
              </w:rPr>
              <w:t>Warrant Series B, Strike Price</w:t>
            </w:r>
          </w:p>
        </w:tc>
        <w:tc>
          <w:tcPr>
            <w:tcW w:w="8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260" w:type="dxa"/>
            <w:vAlign w:val="bottom"/>
            <w:gridSpan w:val="2"/>
            <w:shd w:val="clear" w:color="auto" w:fill="CCEEFF"/>
          </w:tcPr>
          <w:p>
            <w:pPr>
              <w:ind w:left="200"/>
              <w:spacing w:after="0" w:line="155" w:lineRule="exact"/>
              <w:rPr>
                <w:sz w:val="20"/>
                <w:szCs w:val="20"/>
                <w:color w:val="auto"/>
              </w:rPr>
            </w:pPr>
            <w:r>
              <w:rPr>
                <w:rFonts w:ascii="Times New Roman" w:cs="Times New Roman" w:eastAsia="Times New Roman" w:hAnsi="Times New Roman"/>
                <w:sz w:val="16"/>
                <w:szCs w:val="16"/>
                <w:color w:val="auto"/>
              </w:rPr>
              <w:t>$2.31, Expiration Date</w:t>
            </w:r>
          </w:p>
        </w:tc>
        <w:tc>
          <w:tcPr>
            <w:tcW w:w="860" w:type="dxa"/>
            <w:vAlign w:val="bottom"/>
            <w:vMerge w:val="restart"/>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gridSpan w:val="2"/>
            <w:vMerge w:val="restart"/>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3"/>
                <w:szCs w:val="13"/>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3"/>
                <w:szCs w:val="13"/>
                <w:color w:val="auto"/>
              </w:rPr>
            </w:pPr>
          </w:p>
        </w:tc>
        <w:tc>
          <w:tcPr>
            <w:tcW w:w="680" w:type="dxa"/>
            <w:vAlign w:val="bottom"/>
            <w:gridSpan w:val="2"/>
            <w:vMerge w:val="restart"/>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3"/>
                <w:szCs w:val="13"/>
                <w:color w:val="auto"/>
              </w:rPr>
            </w:pPr>
          </w:p>
        </w:tc>
        <w:tc>
          <w:tcPr>
            <w:tcW w:w="900" w:type="dxa"/>
            <w:vAlign w:val="bottom"/>
            <w:gridSpan w:val="3"/>
            <w:vMerge w:val="restart"/>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vMerge w:val="restart"/>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(29,275)</w:t>
            </w:r>
          </w:p>
        </w:tc>
        <w:tc>
          <w:tcPr>
            <w:tcW w:w="8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29,275</w:t>
            </w:r>
          </w:p>
        </w:tc>
        <w:tc>
          <w:tcPr>
            <w:tcW w:w="80" w:type="dxa"/>
            <w:vAlign w:val="bottom"/>
            <w:shd w:val="clear" w:color="auto" w:fill="CCEEFF"/>
          </w:tcPr>
          <w:p>
            <w:pPr>
              <w:spacing w:after="0"/>
              <w:rPr>
                <w:sz w:val="13"/>
                <w:szCs w:val="13"/>
                <w:color w:val="auto"/>
              </w:rPr>
            </w:pPr>
          </w:p>
        </w:tc>
        <w:tc>
          <w:tcPr>
            <w:tcW w:w="9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7"/>
        </w:trPr>
        <w:tc>
          <w:tcPr>
            <w:tcW w:w="22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11/29/2021</w:t>
            </w:r>
          </w:p>
        </w:tc>
        <w:tc>
          <w:tcPr>
            <w:tcW w:w="6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3"/>
            <w:vMerge w:val="continue"/>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2260" w:type="dxa"/>
            <w:vAlign w:val="bottom"/>
            <w:gridSpan w:val="2"/>
          </w:tcPr>
          <w:p>
            <w:pPr>
              <w:ind w:left="200"/>
              <w:spacing w:after="0" w:line="155" w:lineRule="exact"/>
              <w:rPr>
                <w:sz w:val="20"/>
                <w:szCs w:val="20"/>
                <w:color w:val="auto"/>
              </w:rPr>
            </w:pPr>
            <w:r>
              <w:rPr>
                <w:rFonts w:ascii="Times New Roman" w:cs="Times New Roman" w:eastAsia="Times New Roman" w:hAnsi="Times New Roman"/>
                <w:sz w:val="16"/>
                <w:szCs w:val="16"/>
                <w:color w:val="auto"/>
              </w:rPr>
              <w:t>OneValley, Inc. (f/k/a</w:t>
            </w: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260" w:type="dxa"/>
            <w:vAlign w:val="bottom"/>
            <w:gridSpan w:val="2"/>
          </w:tcPr>
          <w:p>
            <w:pPr>
              <w:ind w:left="200"/>
              <w:spacing w:after="0" w:line="155" w:lineRule="exact"/>
              <w:rPr>
                <w:sz w:val="20"/>
                <w:szCs w:val="20"/>
                <w:color w:val="auto"/>
              </w:rPr>
            </w:pPr>
            <w:r>
              <w:rPr>
                <w:rFonts w:ascii="Times New Roman" w:cs="Times New Roman" w:eastAsia="Times New Roman" w:hAnsi="Times New Roman"/>
                <w:sz w:val="16"/>
                <w:szCs w:val="16"/>
                <w:color w:val="auto"/>
              </w:rPr>
              <w:t>NestGSV, Inc.)–Preferred</w:t>
            </w: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260" w:type="dxa"/>
            <w:vAlign w:val="bottom"/>
            <w:gridSpan w:val="2"/>
          </w:tcPr>
          <w:p>
            <w:pPr>
              <w:ind w:left="200"/>
              <w:spacing w:after="0" w:line="155" w:lineRule="exact"/>
              <w:rPr>
                <w:sz w:val="20"/>
                <w:szCs w:val="20"/>
                <w:color w:val="auto"/>
              </w:rPr>
            </w:pPr>
            <w:r>
              <w:rPr>
                <w:rFonts w:ascii="Times New Roman" w:cs="Times New Roman" w:eastAsia="Times New Roman" w:hAnsi="Times New Roman"/>
                <w:sz w:val="16"/>
                <w:szCs w:val="16"/>
                <w:color w:val="auto"/>
              </w:rPr>
              <w:t>Warrant Series B, Strike Price</w:t>
            </w: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260" w:type="dxa"/>
            <w:vAlign w:val="bottom"/>
            <w:gridSpan w:val="2"/>
          </w:tcPr>
          <w:p>
            <w:pPr>
              <w:ind w:left="200"/>
              <w:spacing w:after="0" w:line="155" w:lineRule="exact"/>
              <w:rPr>
                <w:sz w:val="20"/>
                <w:szCs w:val="20"/>
                <w:color w:val="auto"/>
              </w:rPr>
            </w:pPr>
            <w:r>
              <w:rPr>
                <w:rFonts w:ascii="Times New Roman" w:cs="Times New Roman" w:eastAsia="Times New Roman" w:hAnsi="Times New Roman"/>
                <w:sz w:val="16"/>
                <w:szCs w:val="16"/>
                <w:color w:val="auto"/>
              </w:rPr>
              <w:t>$2.31, Expiration Date</w:t>
            </w:r>
          </w:p>
        </w:tc>
        <w:tc>
          <w:tcPr>
            <w:tcW w:w="860" w:type="dxa"/>
            <w:vAlign w:val="bottom"/>
            <w:vMerge w:val="restart"/>
          </w:tcPr>
          <w:p>
            <w:pPr>
              <w:jc w:val="right"/>
              <w:ind w:right="4"/>
              <w:spacing w:after="0"/>
              <w:rPr>
                <w:sz w:val="20"/>
                <w:szCs w:val="20"/>
                <w:color w:val="auto"/>
              </w:rPr>
            </w:pPr>
            <w:r>
              <w:rPr>
                <w:rFonts w:ascii="Times New Roman" w:cs="Times New Roman" w:eastAsia="Times New Roman" w:hAnsi="Times New Roman"/>
                <w:sz w:val="16"/>
                <w:szCs w:val="16"/>
                <w:color w:val="auto"/>
              </w:rPr>
              <w:t>125,000</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2"/>
            <w:vMerge w:val="restart"/>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3"/>
                <w:szCs w:val="13"/>
                <w:color w:val="auto"/>
              </w:rPr>
            </w:pP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3"/>
                <w:szCs w:val="13"/>
                <w:color w:val="auto"/>
              </w:rPr>
            </w:pPr>
          </w:p>
        </w:tc>
        <w:tc>
          <w:tcPr>
            <w:tcW w:w="680" w:type="dxa"/>
            <w:vAlign w:val="bottom"/>
            <w:gridSpan w:val="2"/>
            <w:vMerge w:val="restart"/>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3"/>
                <w:szCs w:val="13"/>
                <w:color w:val="auto"/>
              </w:rPr>
            </w:pPr>
          </w:p>
        </w:tc>
        <w:tc>
          <w:tcPr>
            <w:tcW w:w="900" w:type="dxa"/>
            <w:vAlign w:val="bottom"/>
            <w:gridSpan w:val="3"/>
            <w:vMerge w:val="restart"/>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vMerge w:val="restart"/>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3"/>
                <w:szCs w:val="13"/>
                <w:color w:val="auto"/>
              </w:rPr>
            </w:pP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5"/>
        </w:trPr>
        <w:tc>
          <w:tcPr>
            <w:tcW w:w="22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5/29/2022</w:t>
            </w:r>
          </w:p>
        </w:tc>
        <w:tc>
          <w:tcPr>
            <w:tcW w:w="6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3"/>
            <w:vMerge w:val="continue"/>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6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2260" w:type="dxa"/>
            <w:vAlign w:val="bottom"/>
            <w:gridSpan w:val="2"/>
            <w:shd w:val="clear" w:color="auto" w:fill="CCEEFF"/>
          </w:tcPr>
          <w:p>
            <w:pPr>
              <w:ind w:left="200"/>
              <w:spacing w:after="0" w:line="158" w:lineRule="exact"/>
              <w:rPr>
                <w:sz w:val="20"/>
                <w:szCs w:val="20"/>
                <w:color w:val="auto"/>
              </w:rPr>
            </w:pPr>
            <w:r>
              <w:rPr>
                <w:rFonts w:ascii="Times New Roman" w:cs="Times New Roman" w:eastAsia="Times New Roman" w:hAnsi="Times New Roman"/>
                <w:sz w:val="16"/>
                <w:szCs w:val="16"/>
                <w:color w:val="auto"/>
              </w:rPr>
              <w:t>OneValley, Inc. (f/k/a</w:t>
            </w:r>
          </w:p>
        </w:tc>
        <w:tc>
          <w:tcPr>
            <w:tcW w:w="8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260" w:type="dxa"/>
            <w:vAlign w:val="bottom"/>
            <w:gridSpan w:val="2"/>
            <w:shd w:val="clear" w:color="auto" w:fill="CCEEFF"/>
          </w:tcPr>
          <w:p>
            <w:pPr>
              <w:ind w:left="200"/>
              <w:spacing w:after="0" w:line="155" w:lineRule="exact"/>
              <w:rPr>
                <w:sz w:val="20"/>
                <w:szCs w:val="20"/>
                <w:color w:val="auto"/>
              </w:rPr>
            </w:pPr>
            <w:r>
              <w:rPr>
                <w:rFonts w:ascii="Times New Roman" w:cs="Times New Roman" w:eastAsia="Times New Roman" w:hAnsi="Times New Roman"/>
                <w:sz w:val="16"/>
                <w:szCs w:val="16"/>
                <w:color w:val="auto"/>
              </w:rPr>
              <w:t>NestGSV, Inc.)–Preferred</w:t>
            </w:r>
          </w:p>
        </w:tc>
        <w:tc>
          <w:tcPr>
            <w:tcW w:w="8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260" w:type="dxa"/>
            <w:vAlign w:val="bottom"/>
            <w:gridSpan w:val="2"/>
            <w:shd w:val="clear" w:color="auto" w:fill="CCEEFF"/>
          </w:tcPr>
          <w:p>
            <w:pPr>
              <w:ind w:left="200"/>
              <w:spacing w:after="0" w:line="155" w:lineRule="exact"/>
              <w:rPr>
                <w:sz w:val="20"/>
                <w:szCs w:val="20"/>
                <w:color w:val="auto"/>
              </w:rPr>
            </w:pPr>
            <w:r>
              <w:rPr>
                <w:rFonts w:ascii="Times New Roman" w:cs="Times New Roman" w:eastAsia="Times New Roman" w:hAnsi="Times New Roman"/>
                <w:sz w:val="16"/>
                <w:szCs w:val="16"/>
                <w:color w:val="auto"/>
              </w:rPr>
              <w:t>Warrant Series B, Strike Price</w:t>
            </w:r>
          </w:p>
        </w:tc>
        <w:tc>
          <w:tcPr>
            <w:tcW w:w="8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260" w:type="dxa"/>
            <w:vAlign w:val="bottom"/>
            <w:gridSpan w:val="2"/>
            <w:shd w:val="clear" w:color="auto" w:fill="CCEEFF"/>
          </w:tcPr>
          <w:p>
            <w:pPr>
              <w:ind w:left="200"/>
              <w:spacing w:after="0" w:line="155" w:lineRule="exact"/>
              <w:rPr>
                <w:sz w:val="20"/>
                <w:szCs w:val="20"/>
                <w:color w:val="auto"/>
              </w:rPr>
            </w:pPr>
            <w:r>
              <w:rPr>
                <w:rFonts w:ascii="Times New Roman" w:cs="Times New Roman" w:eastAsia="Times New Roman" w:hAnsi="Times New Roman"/>
                <w:sz w:val="16"/>
                <w:szCs w:val="16"/>
                <w:color w:val="auto"/>
              </w:rPr>
              <w:t>$2.31, Expiration Date</w:t>
            </w:r>
          </w:p>
        </w:tc>
        <w:tc>
          <w:tcPr>
            <w:tcW w:w="860" w:type="dxa"/>
            <w:vAlign w:val="bottom"/>
            <w:vMerge w:val="restart"/>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250,000</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gridSpan w:val="2"/>
            <w:vMerge w:val="restart"/>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9,250</w:t>
            </w: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gridSpan w:val="2"/>
            <w:vMerge w:val="restart"/>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3"/>
                <w:szCs w:val="13"/>
                <w:color w:val="auto"/>
              </w:rPr>
            </w:pPr>
          </w:p>
        </w:tc>
        <w:tc>
          <w:tcPr>
            <w:tcW w:w="900" w:type="dxa"/>
            <w:vAlign w:val="bottom"/>
            <w:gridSpan w:val="3"/>
            <w:vMerge w:val="restart"/>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vMerge w:val="restart"/>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3"/>
                <w:szCs w:val="13"/>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(4,250)</w:t>
            </w:r>
          </w:p>
        </w:tc>
        <w:tc>
          <w:tcPr>
            <w:tcW w:w="8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w:t>
            </w:r>
          </w:p>
        </w:tc>
        <w:tc>
          <w:tcPr>
            <w:tcW w:w="80" w:type="dxa"/>
            <w:vAlign w:val="bottom"/>
            <w:shd w:val="clear" w:color="auto" w:fill="CCEEFF"/>
          </w:tcPr>
          <w:p>
            <w:pPr>
              <w:spacing w:after="0"/>
              <w:rPr>
                <w:sz w:val="13"/>
                <w:szCs w:val="13"/>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w:t>
            </w:r>
          </w:p>
        </w:tc>
        <w:tc>
          <w:tcPr>
            <w:tcW w:w="0" w:type="dxa"/>
            <w:vAlign w:val="bottom"/>
          </w:tcPr>
          <w:p>
            <w:pPr>
              <w:spacing w:after="0"/>
              <w:rPr>
                <w:sz w:val="1"/>
                <w:szCs w:val="1"/>
                <w:color w:val="auto"/>
              </w:rPr>
            </w:pPr>
          </w:p>
        </w:tc>
      </w:tr>
      <w:tr>
        <w:trPr>
          <w:trHeight w:val="212"/>
        </w:trPr>
        <w:tc>
          <w:tcPr>
            <w:tcW w:w="22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12/31/2023</w:t>
            </w:r>
          </w:p>
        </w:tc>
        <w:tc>
          <w:tcPr>
            <w:tcW w:w="60" w:type="dxa"/>
            <w:vAlign w:val="bottom"/>
            <w:shd w:val="clear" w:color="auto" w:fill="CCEEFF"/>
          </w:tcPr>
          <w:p>
            <w:pPr>
              <w:spacing w:after="0"/>
              <w:rPr>
                <w:sz w:val="17"/>
                <w:szCs w:val="17"/>
                <w:color w:val="auto"/>
              </w:rPr>
            </w:pPr>
          </w:p>
        </w:tc>
        <w:tc>
          <w:tcPr>
            <w:tcW w:w="860" w:type="dxa"/>
            <w:vAlign w:val="bottom"/>
            <w:tcBorders>
              <w:bottom w:val="single" w:sz="8" w:color="CCEEFF"/>
            </w:tcBorders>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3"/>
            <w:vMerge w:val="continue"/>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2260" w:type="dxa"/>
            <w:vAlign w:val="bottom"/>
            <w:gridSpan w:val="2"/>
          </w:tcPr>
          <w:p>
            <w:pPr>
              <w:ind w:left="200"/>
              <w:spacing w:after="0" w:line="135" w:lineRule="exact"/>
              <w:rPr>
                <w:sz w:val="20"/>
                <w:szCs w:val="20"/>
                <w:color w:val="auto"/>
              </w:rPr>
            </w:pPr>
            <w:r>
              <w:rPr>
                <w:rFonts w:ascii="Times New Roman" w:cs="Times New Roman" w:eastAsia="Times New Roman" w:hAnsi="Times New Roman"/>
                <w:sz w:val="14"/>
                <w:szCs w:val="14"/>
                <w:color w:val="auto"/>
              </w:rPr>
              <w:t>Derivative Security, Expiration</w:t>
            </w:r>
          </w:p>
        </w:tc>
        <w:tc>
          <w:tcPr>
            <w:tcW w:w="860" w:type="dxa"/>
            <w:vAlign w:val="bottom"/>
            <w:vMerge w:val="restart"/>
          </w:tcPr>
          <w:p>
            <w:pPr>
              <w:jc w:val="right"/>
              <w:ind w:right="4"/>
              <w:spacing w:after="0"/>
              <w:rPr>
                <w:sz w:val="20"/>
                <w:szCs w:val="20"/>
                <w:color w:val="auto"/>
              </w:rPr>
            </w:pPr>
            <w:r>
              <w:rPr>
                <w:rFonts w:ascii="Times New Roman" w:cs="Times New Roman" w:eastAsia="Times New Roman" w:hAnsi="Times New Roman"/>
                <w:sz w:val="16"/>
                <w:szCs w:val="16"/>
                <w:color w:val="auto"/>
              </w:rPr>
              <w:t>1</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vMerge w:val="restart"/>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vMerge w:val="restart"/>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auto"/>
                <w:w w:val="99"/>
              </w:rPr>
              <w:t>2,173,148</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vMerge w:val="restart"/>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vMerge w:val="restart"/>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vMerge w:val="restart"/>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vMerge w:val="restart"/>
          </w:tcPr>
          <w:p>
            <w:pPr>
              <w:spacing w:after="0"/>
              <w:rPr>
                <w:sz w:val="11"/>
                <w:szCs w:val="11"/>
                <w:color w:val="auto"/>
              </w:rPr>
            </w:pPr>
          </w:p>
        </w:tc>
        <w:tc>
          <w:tcPr>
            <w:tcW w:w="100" w:type="dxa"/>
            <w:vAlign w:val="bottom"/>
            <w:vMerge w:val="restart"/>
          </w:tcPr>
          <w:p>
            <w:pPr>
              <w:spacing w:after="0"/>
              <w:rPr>
                <w:sz w:val="11"/>
                <w:szCs w:val="11"/>
                <w:color w:val="auto"/>
              </w:rPr>
            </w:pPr>
          </w:p>
        </w:tc>
        <w:tc>
          <w:tcPr>
            <w:tcW w:w="740" w:type="dxa"/>
            <w:vAlign w:val="bottom"/>
            <w:vMerge w:val="restart"/>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vMerge w:val="restart"/>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vMerge w:val="restart"/>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95,120</w:t>
            </w:r>
          </w:p>
        </w:tc>
        <w:tc>
          <w:tcPr>
            <w:tcW w:w="8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2,268,268</w:t>
            </w:r>
          </w:p>
        </w:tc>
        <w:tc>
          <w:tcPr>
            <w:tcW w:w="8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0" w:type="dxa"/>
            <w:vAlign w:val="bottom"/>
          </w:tcPr>
          <w:p>
            <w:pPr>
              <w:spacing w:after="0"/>
              <w:rPr>
                <w:sz w:val="1"/>
                <w:szCs w:val="1"/>
                <w:color w:val="auto"/>
              </w:rPr>
            </w:pPr>
          </w:p>
        </w:tc>
      </w:tr>
      <w:tr>
        <w:trPr>
          <w:trHeight w:val="207"/>
        </w:trPr>
        <w:tc>
          <w:tcPr>
            <w:tcW w:w="2260" w:type="dxa"/>
            <w:vAlign w:val="bottom"/>
            <w:tcBorders>
              <w:bottom w:val="single" w:sz="8" w:color="CCEEFF"/>
            </w:tcBorders>
            <w:gridSpan w:val="2"/>
          </w:tcPr>
          <w:p>
            <w:pPr>
              <w:ind w:left="200"/>
              <w:spacing w:after="0" w:line="207" w:lineRule="exact"/>
              <w:rPr>
                <w:sz w:val="20"/>
                <w:szCs w:val="20"/>
                <w:color w:val="auto"/>
              </w:rPr>
            </w:pPr>
            <w:r>
              <w:rPr>
                <w:rFonts w:ascii="Times New Roman" w:cs="Times New Roman" w:eastAsia="Times New Roman" w:hAnsi="Times New Roman"/>
                <w:sz w:val="16"/>
                <w:szCs w:val="16"/>
                <w:color w:val="auto"/>
              </w:rPr>
              <w:t>Date 8/23/2024</w:t>
            </w:r>
            <w:r>
              <w:rPr>
                <w:rFonts w:ascii="Times New Roman" w:cs="Times New Roman" w:eastAsia="Times New Roman" w:hAnsi="Times New Roman"/>
                <w:sz w:val="20"/>
                <w:szCs w:val="20"/>
                <w:color w:val="auto"/>
                <w:vertAlign w:val="superscript"/>
              </w:rPr>
              <w:t>(6)</w:t>
            </w:r>
          </w:p>
        </w:tc>
        <w:tc>
          <w:tcPr>
            <w:tcW w:w="860" w:type="dxa"/>
            <w:vAlign w:val="bottom"/>
            <w:tcBorders>
              <w:bottom w:val="single" w:sz="8" w:color="CCEEFF"/>
            </w:tcBorders>
            <w:vMerge w:val="continue"/>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vMerge w:val="continue"/>
          </w:tcPr>
          <w:p>
            <w:pPr>
              <w:spacing w:after="0"/>
              <w:rPr>
                <w:sz w:val="17"/>
                <w:szCs w:val="17"/>
                <w:color w:val="auto"/>
              </w:rPr>
            </w:pPr>
          </w:p>
        </w:tc>
        <w:tc>
          <w:tcPr>
            <w:tcW w:w="100" w:type="dxa"/>
            <w:vAlign w:val="bottom"/>
            <w:tcBorders>
              <w:bottom w:val="single" w:sz="8" w:color="auto"/>
            </w:tcBorders>
            <w:vMerge w:val="continue"/>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vMerge w:val="continue"/>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6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226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4"/>
                <w:szCs w:val="14"/>
                <w:i w:val="1"/>
                <w:iCs w:val="1"/>
                <w:color w:val="auto"/>
              </w:rPr>
              <w:t>Total Global Innovation</w:t>
            </w:r>
          </w:p>
        </w:tc>
        <w:tc>
          <w:tcPr>
            <w:tcW w:w="8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gridSpan w:val="2"/>
            <w:vMerge w:val="restart"/>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w w:val="99"/>
              </w:rPr>
              <w:t>2,279,585</w:t>
            </w: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gridSpan w:val="2"/>
            <w:vMerge w:val="restart"/>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1"/>
                <w:szCs w:val="11"/>
                <w:color w:val="auto"/>
              </w:rPr>
            </w:pPr>
          </w:p>
        </w:tc>
        <w:tc>
          <w:tcPr>
            <w:tcW w:w="900" w:type="dxa"/>
            <w:vAlign w:val="bottom"/>
            <w:gridSpan w:val="3"/>
            <w:vMerge w:val="restart"/>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(103,655)</w:t>
            </w:r>
          </w:p>
        </w:tc>
        <w:tc>
          <w:tcPr>
            <w:tcW w:w="80" w:type="dxa"/>
            <w:vAlign w:val="bottom"/>
            <w:shd w:val="clear" w:color="auto" w:fill="CCEEFF"/>
          </w:tcPr>
          <w:p>
            <w:pPr>
              <w:spacing w:after="0"/>
              <w:rPr>
                <w:sz w:val="11"/>
                <w:szCs w:val="11"/>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97,338</w:t>
            </w:r>
          </w:p>
        </w:tc>
        <w:tc>
          <w:tcPr>
            <w:tcW w:w="8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2,273,268</w:t>
            </w:r>
          </w:p>
        </w:tc>
        <w:tc>
          <w:tcPr>
            <w:tcW w:w="80" w:type="dxa"/>
            <w:vAlign w:val="bottom"/>
            <w:shd w:val="clear" w:color="auto" w:fill="CCEEFF"/>
          </w:tcPr>
          <w:p>
            <w:pPr>
              <w:spacing w:after="0"/>
              <w:rPr>
                <w:sz w:val="11"/>
                <w:szCs w:val="11"/>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0" w:type="dxa"/>
            <w:vAlign w:val="bottom"/>
          </w:tcPr>
          <w:p>
            <w:pPr>
              <w:spacing w:after="0"/>
              <w:rPr>
                <w:sz w:val="1"/>
                <w:szCs w:val="1"/>
                <w:color w:val="auto"/>
              </w:rPr>
            </w:pPr>
          </w:p>
        </w:tc>
      </w:tr>
      <w:tr>
        <w:trPr>
          <w:trHeight w:val="207"/>
        </w:trPr>
        <w:tc>
          <w:tcPr>
            <w:tcW w:w="2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i w:val="1"/>
                <w:iCs w:val="1"/>
                <w:color w:val="auto"/>
              </w:rPr>
              <w:t>Platform</w:t>
            </w: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3"/>
            <w:vMerge w:val="continue"/>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2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Total Options</w:t>
            </w: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7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w w:val="99"/>
              </w:rPr>
              <w:t>3,042,143</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900" w:type="dxa"/>
            <w:vAlign w:val="bottom"/>
            <w:gridSpan w:val="3"/>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(103,655)</w:t>
            </w:r>
          </w:p>
        </w:tc>
        <w:tc>
          <w:tcPr>
            <w:tcW w:w="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(665,220)</w:t>
            </w: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2,273,268</w:t>
            </w:r>
          </w:p>
        </w:tc>
        <w:tc>
          <w:tcPr>
            <w:tcW w:w="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0" w:type="dxa"/>
            <w:vAlign w:val="bottom"/>
          </w:tcPr>
          <w:p>
            <w:pPr>
              <w:spacing w:after="0"/>
              <w:rPr>
                <w:sz w:val="1"/>
                <w:szCs w:val="1"/>
                <w:color w:val="auto"/>
              </w:rPr>
            </w:pPr>
          </w:p>
        </w:tc>
      </w:tr>
      <w:tr>
        <w:trPr>
          <w:trHeight w:val="221"/>
        </w:trPr>
        <w:tc>
          <w:tcPr>
            <w:tcW w:w="2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860" w:type="dxa"/>
            <w:vAlign w:val="bottom"/>
            <w:tcBorders>
              <w:bottom w:val="single" w:sz="8" w:color="CCEEFF"/>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2260" w:type="dxa"/>
            <w:vAlign w:val="bottom"/>
            <w:gridSpan w:val="2"/>
          </w:tcPr>
          <w:p>
            <w:pPr>
              <w:ind w:left="120"/>
              <w:spacing w:after="0"/>
              <w:rPr>
                <w:sz w:val="20"/>
                <w:szCs w:val="20"/>
                <w:color w:val="auto"/>
              </w:rPr>
            </w:pPr>
            <w:r>
              <w:rPr>
                <w:rFonts w:ascii="Times New Roman" w:cs="Times New Roman" w:eastAsia="Times New Roman" w:hAnsi="Times New Roman"/>
                <w:sz w:val="16"/>
                <w:szCs w:val="16"/>
                <w:i w:val="1"/>
                <w:iCs w:val="1"/>
                <w:color w:val="auto"/>
              </w:rPr>
              <w:t>Online Education</w:t>
            </w: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2260" w:type="dxa"/>
            <w:vAlign w:val="bottom"/>
            <w:gridSpan w:val="2"/>
            <w:shd w:val="clear" w:color="auto" w:fill="CCEEFF"/>
          </w:tcPr>
          <w:p>
            <w:pPr>
              <w:ind w:left="200"/>
              <w:spacing w:after="0" w:line="157" w:lineRule="exact"/>
              <w:rPr>
                <w:sz w:val="20"/>
                <w:szCs w:val="20"/>
                <w:color w:val="auto"/>
              </w:rPr>
            </w:pPr>
            <w:r>
              <w:rPr>
                <w:rFonts w:ascii="Times New Roman" w:cs="Times New Roman" w:eastAsia="Times New Roman" w:hAnsi="Times New Roman"/>
                <w:sz w:val="16"/>
                <w:szCs w:val="16"/>
                <w:color w:val="auto"/>
              </w:rPr>
              <w:t>Curious.com, Inc.–Common</w:t>
            </w:r>
          </w:p>
        </w:tc>
        <w:tc>
          <w:tcPr>
            <w:tcW w:w="860" w:type="dxa"/>
            <w:vAlign w:val="bottom"/>
            <w:vMerge w:val="restart"/>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1,135,944</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gridSpan w:val="2"/>
            <w:vMerge w:val="restart"/>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3"/>
                <w:szCs w:val="13"/>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3"/>
                <w:szCs w:val="13"/>
                <w:color w:val="auto"/>
              </w:rPr>
            </w:pPr>
          </w:p>
        </w:tc>
        <w:tc>
          <w:tcPr>
            <w:tcW w:w="680" w:type="dxa"/>
            <w:vAlign w:val="bottom"/>
            <w:gridSpan w:val="2"/>
            <w:vMerge w:val="restart"/>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3"/>
                <w:szCs w:val="13"/>
                <w:color w:val="auto"/>
              </w:rPr>
            </w:pPr>
          </w:p>
        </w:tc>
        <w:tc>
          <w:tcPr>
            <w:tcW w:w="900" w:type="dxa"/>
            <w:vAlign w:val="bottom"/>
            <w:gridSpan w:val="3"/>
            <w:vMerge w:val="restart"/>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vMerge w:val="restart"/>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3"/>
                <w:szCs w:val="13"/>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7"/>
        </w:trPr>
        <w:tc>
          <w:tcPr>
            <w:tcW w:w="22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shares</w:t>
            </w:r>
          </w:p>
        </w:tc>
        <w:tc>
          <w:tcPr>
            <w:tcW w:w="860" w:type="dxa"/>
            <w:vAlign w:val="bottom"/>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3"/>
            <w:vMerge w:val="continue"/>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960" w:type="dxa"/>
            <w:vAlign w:val="bottom"/>
            <w:gridSpan w:val="2"/>
            <w:vMerge w:val="continue"/>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6770370</wp:posOffset>
            </wp:positionH>
            <wp:positionV relativeFrom="paragraph">
              <wp:posOffset>-861695</wp:posOffset>
            </wp:positionV>
            <wp:extent cx="4953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9530" cy="8255"/>
                    </a:xfrm>
                    <a:prstGeom prst="rect">
                      <a:avLst/>
                    </a:prstGeom>
                    <a:noFill/>
                  </pic:spPr>
                </pic:pic>
              </a:graphicData>
            </a:graphic>
          </wp:anchor>
        </w:drawing>
        <w:drawing>
          <wp:anchor simplePos="0" relativeHeight="251657728" behindDoc="1" locked="0" layoutInCell="0" allowOverlap="1">
            <wp:simplePos x="0" y="0"/>
            <wp:positionH relativeFrom="column">
              <wp:posOffset>5571490</wp:posOffset>
            </wp:positionH>
            <wp:positionV relativeFrom="paragraph">
              <wp:posOffset>-861695</wp:posOffset>
            </wp:positionV>
            <wp:extent cx="4953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49530" cy="8255"/>
                    </a:xfrm>
                    <a:prstGeom prst="rect">
                      <a:avLst/>
                    </a:prstGeom>
                    <a:noFill/>
                  </pic:spPr>
                </pic:pic>
              </a:graphicData>
            </a:graphic>
          </wp:anchor>
        </w:drawing>
        <w:drawing>
          <wp:anchor simplePos="0" relativeHeight="251657728" behindDoc="1" locked="0" layoutInCell="0" allowOverlap="1">
            <wp:simplePos x="0" y="0"/>
            <wp:positionH relativeFrom="column">
              <wp:posOffset>4955540</wp:posOffset>
            </wp:positionH>
            <wp:positionV relativeFrom="paragraph">
              <wp:posOffset>-861695</wp:posOffset>
            </wp:positionV>
            <wp:extent cx="4953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9530" cy="8255"/>
                    </a:xfrm>
                    <a:prstGeom prst="rect">
                      <a:avLst/>
                    </a:prstGeom>
                    <a:noFill/>
                  </pic:spPr>
                </pic:pic>
              </a:graphicData>
            </a:graphic>
          </wp:anchor>
        </w:drawing>
        <w:drawing>
          <wp:anchor simplePos="0" relativeHeight="251657728" behindDoc="1" locked="0" layoutInCell="0" allowOverlap="1">
            <wp:simplePos x="0" y="0"/>
            <wp:positionH relativeFrom="column">
              <wp:posOffset>1669415</wp:posOffset>
            </wp:positionH>
            <wp:positionV relativeFrom="paragraph">
              <wp:posOffset>-861695</wp:posOffset>
            </wp:positionV>
            <wp:extent cx="58293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82930" cy="8255"/>
                    </a:xfrm>
                    <a:prstGeom prst="rect">
                      <a:avLst/>
                    </a:prstGeom>
                    <a:noFill/>
                  </pic:spPr>
                </pic:pic>
              </a:graphicData>
            </a:graphic>
          </wp:anchor>
        </w:drawing>
      </w:r>
    </w:p>
    <w:p>
      <w:pPr>
        <w:spacing w:after="0" w:line="23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i w:val="1"/>
          <w:iCs w:val="1"/>
          <w:color w:val="auto"/>
        </w:rPr>
        <w:t>Cannabis REIT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wp:posOffset>
            </wp:positionH>
            <wp:positionV relativeFrom="paragraph">
              <wp:posOffset>-114300</wp:posOffset>
            </wp:positionV>
            <wp:extent cx="6976745" cy="1397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76745" cy="139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40</w:t>
      </w:r>
    </w:p>
    <w:p>
      <w:pPr>
        <w:sectPr>
          <w:pgSz w:w="11900" w:h="16838" w:orient="portrait"/>
          <w:cols w:equalWidth="0" w:num="1">
            <w:col w:w="11340"/>
          </w:cols>
          <w:pgMar w:left="320" w:top="118" w:right="2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SURO CAPITAL CORP. AND SUBSIDIARIES</w:t>
      </w:r>
    </w:p>
    <w:p>
      <w:pPr>
        <w:spacing w:after="0" w:line="24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3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June 30, 2022</w:t>
      </w:r>
    </w:p>
    <w:p>
      <w:pPr>
        <w:spacing w:after="0" w:line="227" w:lineRule="exact"/>
        <w:rPr>
          <w:sz w:val="20"/>
          <w:szCs w:val="20"/>
          <w:color w:val="auto"/>
        </w:rPr>
      </w:pPr>
    </w:p>
    <w:tbl>
      <w:tblPr>
        <w:tblLayout w:type="fixed"/>
        <w:tblInd w:w="360" w:type="dxa"/>
        <w:tblCellMar>
          <w:top w:w="0" w:type="dxa"/>
          <w:left w:w="0" w:type="dxa"/>
          <w:bottom w:w="0" w:type="dxa"/>
          <w:right w:w="0" w:type="dxa"/>
        </w:tblCellMar>
      </w:tblPr>
      <w:tr>
        <w:trPr>
          <w:trHeight w:val="161"/>
        </w:trPr>
        <w:tc>
          <w:tcPr>
            <w:tcW w:w="2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5"/>
              </w:rPr>
              <w:t>Interest,</w:t>
            </w: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Purchases,</w:t>
            </w: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2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center"/>
              <w:ind w:right="100"/>
              <w:spacing w:after="0" w:line="141" w:lineRule="exact"/>
              <w:rPr>
                <w:sz w:val="20"/>
                <w:szCs w:val="20"/>
                <w:color w:val="auto"/>
              </w:rPr>
            </w:pPr>
            <w:r>
              <w:rPr>
                <w:rFonts w:ascii="Times New Roman" w:cs="Times New Roman" w:eastAsia="Times New Roman" w:hAnsi="Times New Roman"/>
                <w:sz w:val="14"/>
                <w:szCs w:val="14"/>
                <w:b w:val="1"/>
                <w:bCs w:val="1"/>
                <w:color w:val="auto"/>
                <w:w w:val="98"/>
              </w:rPr>
              <w:t>Fees, or</w:t>
            </w:r>
          </w:p>
        </w:tc>
        <w:tc>
          <w:tcPr>
            <w:tcW w:w="96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Fair Value at</w:t>
            </w: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3"/>
          </w:tcPr>
          <w:p>
            <w:pPr>
              <w:jc w:val="center"/>
              <w:ind w:right="80"/>
              <w:spacing w:after="0" w:line="141" w:lineRule="exact"/>
              <w:rPr>
                <w:sz w:val="20"/>
                <w:szCs w:val="20"/>
                <w:color w:val="auto"/>
              </w:rPr>
            </w:pPr>
            <w:r>
              <w:rPr>
                <w:rFonts w:ascii="Times New Roman" w:cs="Times New Roman" w:eastAsia="Times New Roman" w:hAnsi="Times New Roman"/>
                <w:sz w:val="14"/>
                <w:szCs w:val="14"/>
                <w:b w:val="1"/>
                <w:bCs w:val="1"/>
                <w:color w:val="auto"/>
                <w:w w:val="99"/>
              </w:rPr>
              <w:t>Capitalized</w:t>
            </w: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Fair Value at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Percenta</w:t>
            </w:r>
          </w:p>
        </w:tc>
        <w:tc>
          <w:tcPr>
            <w:tcW w:w="0" w:type="dxa"/>
            <w:vAlign w:val="bottom"/>
          </w:tcPr>
          <w:p>
            <w:pPr>
              <w:spacing w:after="0"/>
              <w:rPr>
                <w:sz w:val="1"/>
                <w:szCs w:val="1"/>
                <w:color w:val="auto"/>
              </w:rPr>
            </w:pPr>
          </w:p>
        </w:tc>
      </w:tr>
      <w:tr>
        <w:trPr>
          <w:trHeight w:val="131"/>
        </w:trPr>
        <w:tc>
          <w:tcPr>
            <w:tcW w:w="21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Type/Industry/Portfolio</w:t>
            </w:r>
          </w:p>
        </w:tc>
        <w:tc>
          <w:tcPr>
            <w:tcW w:w="80" w:type="dxa"/>
            <w:vAlign w:val="bottom"/>
          </w:tcPr>
          <w:p>
            <w:pPr>
              <w:spacing w:after="0"/>
              <w:rPr>
                <w:sz w:val="11"/>
                <w:szCs w:val="11"/>
                <w:color w:val="auto"/>
              </w:rPr>
            </w:pP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760" w:type="dxa"/>
            <w:vAlign w:val="bottom"/>
            <w:gridSpan w:val="2"/>
          </w:tcPr>
          <w:p>
            <w:pPr>
              <w:jc w:val="center"/>
              <w:ind w:right="80"/>
              <w:spacing w:after="0" w:line="131" w:lineRule="exact"/>
              <w:rPr>
                <w:sz w:val="20"/>
                <w:szCs w:val="20"/>
                <w:color w:val="auto"/>
              </w:rPr>
            </w:pPr>
            <w:r>
              <w:rPr>
                <w:rFonts w:ascii="Times New Roman" w:cs="Times New Roman" w:eastAsia="Times New Roman" w:hAnsi="Times New Roman"/>
                <w:sz w:val="14"/>
                <w:szCs w:val="14"/>
                <w:b w:val="1"/>
                <w:bCs w:val="1"/>
                <w:color w:val="auto"/>
              </w:rPr>
              <w:t>Dividends</w:t>
            </w:r>
          </w:p>
        </w:tc>
        <w:tc>
          <w:tcPr>
            <w:tcW w:w="960" w:type="dxa"/>
            <w:vAlign w:val="bottom"/>
            <w:gridSpan w:val="3"/>
            <w:vMerge w:val="continue"/>
          </w:tcPr>
          <w:p>
            <w:pPr>
              <w:spacing w:after="0"/>
              <w:rPr>
                <w:sz w:val="11"/>
                <w:szCs w:val="11"/>
                <w:color w:val="auto"/>
              </w:rPr>
            </w:pPr>
          </w:p>
        </w:tc>
        <w:tc>
          <w:tcPr>
            <w:tcW w:w="9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7"/>
              </w:rPr>
              <w:t>Transfer In/</w:t>
            </w:r>
          </w:p>
        </w:tc>
        <w:tc>
          <w:tcPr>
            <w:tcW w:w="100" w:type="dxa"/>
            <w:vAlign w:val="bottom"/>
          </w:tcPr>
          <w:p>
            <w:pPr>
              <w:spacing w:after="0"/>
              <w:rPr>
                <w:sz w:val="11"/>
                <w:szCs w:val="11"/>
                <w:color w:val="auto"/>
              </w:rPr>
            </w:pPr>
          </w:p>
        </w:tc>
        <w:tc>
          <w:tcPr>
            <w:tcW w:w="820" w:type="dxa"/>
            <w:vAlign w:val="bottom"/>
            <w:gridSpan w:val="2"/>
          </w:tcPr>
          <w:p>
            <w:pPr>
              <w:jc w:val="center"/>
              <w:ind w:right="180"/>
              <w:spacing w:after="0" w:line="131" w:lineRule="exact"/>
              <w:rPr>
                <w:sz w:val="20"/>
                <w:szCs w:val="20"/>
                <w:color w:val="auto"/>
              </w:rPr>
            </w:pPr>
            <w:r>
              <w:rPr>
                <w:rFonts w:ascii="Times New Roman" w:cs="Times New Roman" w:eastAsia="Times New Roman" w:hAnsi="Times New Roman"/>
                <w:sz w:val="14"/>
                <w:szCs w:val="14"/>
                <w:b w:val="1"/>
                <w:bCs w:val="1"/>
                <w:color w:val="auto"/>
                <w:w w:val="93"/>
              </w:rPr>
              <w:t>Fees,</w:t>
            </w: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Realized</w:t>
            </w:r>
          </w:p>
        </w:tc>
        <w:tc>
          <w:tcPr>
            <w:tcW w:w="120" w:type="dxa"/>
            <w:vAlign w:val="bottom"/>
          </w:tcPr>
          <w:p>
            <w:pPr>
              <w:spacing w:after="0"/>
              <w:rPr>
                <w:sz w:val="11"/>
                <w:szCs w:val="11"/>
                <w:color w:val="auto"/>
              </w:rPr>
            </w:pPr>
          </w:p>
        </w:tc>
        <w:tc>
          <w:tcPr>
            <w:tcW w:w="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940" w:type="dxa"/>
            <w:vAlign w:val="bottom"/>
            <w:gridSpan w:val="3"/>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1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760" w:type="dxa"/>
            <w:vAlign w:val="bottom"/>
            <w:gridSpan w:val="2"/>
          </w:tcPr>
          <w:p>
            <w:pPr>
              <w:jc w:val="center"/>
              <w:ind w:right="80"/>
              <w:spacing w:after="0" w:line="141" w:lineRule="exact"/>
              <w:rPr>
                <w:sz w:val="20"/>
                <w:szCs w:val="20"/>
                <w:color w:val="auto"/>
              </w:rPr>
            </w:pPr>
            <w:r>
              <w:rPr>
                <w:rFonts w:ascii="Times New Roman" w:cs="Times New Roman" w:eastAsia="Times New Roman" w:hAnsi="Times New Roman"/>
                <w:sz w:val="14"/>
                <w:szCs w:val="14"/>
                <w:b w:val="1"/>
                <w:bCs w:val="1"/>
                <w:color w:val="auto"/>
                <w:w w:val="98"/>
              </w:rPr>
              <w:t>Credited</w:t>
            </w:r>
          </w:p>
        </w:tc>
        <w:tc>
          <w:tcPr>
            <w:tcW w:w="960" w:type="dxa"/>
            <w:vAlign w:val="bottom"/>
            <w:gridSpan w:val="3"/>
          </w:tcPr>
          <w:p>
            <w:pPr>
              <w:ind w:left="40"/>
              <w:spacing w:after="0" w:line="14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920" w:type="dxa"/>
            <w:vAlign w:val="bottom"/>
            <w:gridSpan w:val="2"/>
            <w:vMerge w:val="continue"/>
          </w:tcPr>
          <w:p>
            <w:pPr>
              <w:spacing w:after="0"/>
              <w:rPr>
                <w:sz w:val="12"/>
                <w:szCs w:val="12"/>
                <w:color w:val="auto"/>
              </w:rPr>
            </w:pPr>
          </w:p>
        </w:tc>
        <w:tc>
          <w:tcPr>
            <w:tcW w:w="920" w:type="dxa"/>
            <w:vAlign w:val="bottom"/>
            <w:gridSpan w:val="3"/>
          </w:tcPr>
          <w:p>
            <w:pPr>
              <w:jc w:val="center"/>
              <w:ind w:right="80"/>
              <w:spacing w:after="0" w:line="141" w:lineRule="exact"/>
              <w:rPr>
                <w:sz w:val="20"/>
                <w:szCs w:val="20"/>
                <w:color w:val="auto"/>
              </w:rPr>
            </w:pPr>
            <w:r>
              <w:rPr>
                <w:rFonts w:ascii="Times New Roman" w:cs="Times New Roman" w:eastAsia="Times New Roman" w:hAnsi="Times New Roman"/>
                <w:sz w:val="14"/>
                <w:szCs w:val="14"/>
                <w:b w:val="1"/>
                <w:bCs w:val="1"/>
                <w:color w:val="auto"/>
                <w:w w:val="98"/>
              </w:rPr>
              <w:t>Interest and</w:t>
            </w:r>
          </w:p>
        </w:tc>
        <w:tc>
          <w:tcPr>
            <w:tcW w:w="100" w:type="dxa"/>
            <w:vAlign w:val="bottom"/>
          </w:tcPr>
          <w:p>
            <w:pPr>
              <w:spacing w:after="0"/>
              <w:rPr>
                <w:sz w:val="12"/>
                <w:szCs w:val="12"/>
                <w:color w:val="auto"/>
              </w:rPr>
            </w:pPr>
          </w:p>
        </w:tc>
        <w:tc>
          <w:tcPr>
            <w:tcW w:w="8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Sales</w:t>
            </w:r>
          </w:p>
        </w:tc>
        <w:tc>
          <w:tcPr>
            <w:tcW w:w="14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940" w:type="dxa"/>
            <w:vAlign w:val="bottom"/>
            <w:gridSpan w:val="3"/>
          </w:tcPr>
          <w:p>
            <w:pPr>
              <w:ind w:left="20"/>
              <w:spacing w:after="0" w:line="14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60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b w:val="1"/>
                <w:bCs w:val="1"/>
                <w:color w:val="auto"/>
              </w:rPr>
              <w:t>of Net</w:t>
            </w:r>
          </w:p>
        </w:tc>
        <w:tc>
          <w:tcPr>
            <w:tcW w:w="0" w:type="dxa"/>
            <w:vAlign w:val="bottom"/>
          </w:tcPr>
          <w:p>
            <w:pPr>
              <w:spacing w:after="0"/>
              <w:rPr>
                <w:sz w:val="1"/>
                <w:szCs w:val="1"/>
                <w:color w:val="auto"/>
              </w:rPr>
            </w:pPr>
          </w:p>
        </w:tc>
      </w:tr>
      <w:tr>
        <w:trPr>
          <w:trHeight w:val="189"/>
        </w:trPr>
        <w:tc>
          <w:tcPr>
            <w:tcW w:w="2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Company/Investment</w:t>
            </w:r>
          </w:p>
        </w:tc>
        <w:tc>
          <w:tcPr>
            <w:tcW w:w="80" w:type="dxa"/>
            <w:vAlign w:val="bottom"/>
          </w:tcPr>
          <w:p>
            <w:pPr>
              <w:spacing w:after="0"/>
              <w:rPr>
                <w:sz w:val="16"/>
                <w:szCs w:val="16"/>
                <w:color w:val="auto"/>
              </w:rPr>
            </w:pPr>
          </w:p>
        </w:tc>
        <w:tc>
          <w:tcPr>
            <w:tcW w:w="8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Quantity</w:t>
            </w: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in Income</w:t>
            </w:r>
          </w:p>
        </w:tc>
        <w:tc>
          <w:tcPr>
            <w:tcW w:w="100" w:type="dxa"/>
            <w:vAlign w:val="bottom"/>
          </w:tcPr>
          <w:p>
            <w:pPr>
              <w:spacing w:after="0"/>
              <w:rPr>
                <w:sz w:val="16"/>
                <w:szCs w:val="16"/>
                <w:color w:val="auto"/>
              </w:rPr>
            </w:pPr>
          </w:p>
        </w:tc>
        <w:tc>
          <w:tcPr>
            <w:tcW w:w="780" w:type="dxa"/>
            <w:vAlign w:val="bottom"/>
          </w:tcPr>
          <w:p>
            <w:pPr>
              <w:jc w:val="right"/>
              <w:ind w:right="225"/>
              <w:spacing w:after="0"/>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Pr>
          <w:p>
            <w:pPr>
              <w:spacing w:after="0"/>
              <w:rPr>
                <w:sz w:val="16"/>
                <w:szCs w:val="16"/>
                <w:color w:val="auto"/>
              </w:rPr>
            </w:pPr>
          </w:p>
        </w:tc>
        <w:tc>
          <w:tcPr>
            <w:tcW w:w="9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7"/>
              </w:rPr>
              <w:t>(Out)</w:t>
            </w:r>
          </w:p>
        </w:tc>
        <w:tc>
          <w:tcPr>
            <w:tcW w:w="92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Amortization</w:t>
            </w:r>
          </w:p>
        </w:tc>
        <w:tc>
          <w:tcPr>
            <w:tcW w:w="1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9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Gains/(Losses)</w:t>
            </w:r>
          </w:p>
        </w:tc>
        <w:tc>
          <w:tcPr>
            <w:tcW w:w="9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Gains/(Losses)</w:t>
            </w:r>
          </w:p>
        </w:tc>
        <w:tc>
          <w:tcPr>
            <w:tcW w:w="100" w:type="dxa"/>
            <w:vAlign w:val="bottom"/>
          </w:tcPr>
          <w:p>
            <w:pPr>
              <w:spacing w:after="0"/>
              <w:rPr>
                <w:sz w:val="16"/>
                <w:szCs w:val="16"/>
                <w:color w:val="auto"/>
              </w:rPr>
            </w:pPr>
          </w:p>
        </w:tc>
        <w:tc>
          <w:tcPr>
            <w:tcW w:w="760" w:type="dxa"/>
            <w:vAlign w:val="bottom"/>
          </w:tcPr>
          <w:p>
            <w:pPr>
              <w:jc w:val="right"/>
              <w:ind w:right="225"/>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0" w:type="dxa"/>
            <w:vAlign w:val="bottom"/>
          </w:tcPr>
          <w:p>
            <w:pPr>
              <w:spacing w:after="0"/>
              <w:rPr>
                <w:sz w:val="1"/>
                <w:szCs w:val="1"/>
                <w:color w:val="auto"/>
              </w:rPr>
            </w:pPr>
          </w:p>
        </w:tc>
      </w:tr>
      <w:tr>
        <w:trPr>
          <w:trHeight w:val="153"/>
        </w:trPr>
        <w:tc>
          <w:tcPr>
            <w:tcW w:w="2120" w:type="dxa"/>
            <w:vAlign w:val="bottom"/>
            <w:tcBorders>
              <w:top w:val="single" w:sz="8" w:color="auto"/>
            </w:tcBorders>
          </w:tcPr>
          <w:p>
            <w:pPr>
              <w:ind w:left="200"/>
              <w:spacing w:after="0" w:line="153" w:lineRule="exact"/>
              <w:rPr>
                <w:sz w:val="20"/>
                <w:szCs w:val="20"/>
                <w:color w:val="auto"/>
              </w:rPr>
            </w:pPr>
            <w:r>
              <w:rPr>
                <w:rFonts w:ascii="Times New Roman" w:cs="Times New Roman" w:eastAsia="Times New Roman" w:hAnsi="Times New Roman"/>
                <w:sz w:val="16"/>
                <w:szCs w:val="16"/>
                <w:color w:val="auto"/>
              </w:rPr>
              <w:t>NewLake Capital Partners,</w:t>
            </w:r>
          </w:p>
        </w:tc>
        <w:tc>
          <w:tcPr>
            <w:tcW w:w="80" w:type="dxa"/>
            <w:vAlign w:val="bottom"/>
          </w:tcPr>
          <w:p>
            <w:pPr>
              <w:spacing w:after="0"/>
              <w:rPr>
                <w:sz w:val="13"/>
                <w:szCs w:val="13"/>
                <w:color w:val="auto"/>
              </w:rPr>
            </w:pPr>
          </w:p>
        </w:tc>
        <w:tc>
          <w:tcPr>
            <w:tcW w:w="720" w:type="dxa"/>
            <w:vAlign w:val="bottom"/>
            <w:tcBorders>
              <w:top w:val="single" w:sz="8" w:color="CCEEFF"/>
            </w:tcBorders>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120" w:type="dxa"/>
            <w:vAlign w:val="bottom"/>
          </w:tcPr>
          <w:p>
            <w:pPr>
              <w:ind w:left="200"/>
              <w:spacing w:after="0" w:line="155" w:lineRule="exact"/>
              <w:rPr>
                <w:sz w:val="20"/>
                <w:szCs w:val="20"/>
                <w:color w:val="auto"/>
              </w:rPr>
            </w:pPr>
            <w:r>
              <w:rPr>
                <w:rFonts w:ascii="Times New Roman" w:cs="Times New Roman" w:eastAsia="Times New Roman" w:hAnsi="Times New Roman"/>
                <w:sz w:val="16"/>
                <w:szCs w:val="16"/>
                <w:color w:val="auto"/>
                <w:w w:val="98"/>
              </w:rPr>
              <w:t>Inc. (f/k/a GreenAcreage Real</w:t>
            </w: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120" w:type="dxa"/>
            <w:vAlign w:val="bottom"/>
          </w:tcPr>
          <w:p>
            <w:pPr>
              <w:ind w:left="200"/>
              <w:spacing w:after="0" w:line="155" w:lineRule="exact"/>
              <w:rPr>
                <w:sz w:val="20"/>
                <w:szCs w:val="20"/>
                <w:color w:val="auto"/>
              </w:rPr>
            </w:pPr>
            <w:r>
              <w:rPr>
                <w:rFonts w:ascii="Times New Roman" w:cs="Times New Roman" w:eastAsia="Times New Roman" w:hAnsi="Times New Roman"/>
                <w:sz w:val="16"/>
                <w:szCs w:val="16"/>
                <w:color w:val="auto"/>
              </w:rPr>
              <w:t>Estate Corp.)**–Common</w:t>
            </w:r>
          </w:p>
        </w:tc>
        <w:tc>
          <w:tcPr>
            <w:tcW w:w="80" w:type="dxa"/>
            <w:vAlign w:val="bottom"/>
          </w:tcPr>
          <w:p>
            <w:pPr>
              <w:spacing w:after="0"/>
              <w:rPr>
                <w:sz w:val="13"/>
                <w:szCs w:val="13"/>
                <w:color w:val="auto"/>
              </w:rPr>
            </w:pP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3"/>
              </w:rPr>
              <w:t>$ 102,632</w:t>
            </w:r>
          </w:p>
        </w:tc>
        <w:tc>
          <w:tcPr>
            <w:tcW w:w="80" w:type="dxa"/>
            <w:vAlign w:val="bottom"/>
          </w:tcPr>
          <w:p>
            <w:pPr>
              <w:spacing w:after="0"/>
              <w:rPr>
                <w:sz w:val="13"/>
                <w:szCs w:val="13"/>
                <w:color w:val="auto"/>
              </w:rPr>
            </w:pPr>
          </w:p>
        </w:tc>
        <w:tc>
          <w:tcPr>
            <w:tcW w:w="1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8,937,690</w:t>
            </w:r>
          </w:p>
        </w:tc>
        <w:tc>
          <w:tcPr>
            <w:tcW w:w="8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6"/>
              </w:rPr>
              <w:t>$(9,009,952)</w:t>
            </w:r>
          </w:p>
        </w:tc>
        <w:tc>
          <w:tcPr>
            <w:tcW w:w="80" w:type="dxa"/>
            <w:vAlign w:val="bottom"/>
          </w:tcPr>
          <w:p>
            <w:pPr>
              <w:spacing w:after="0"/>
              <w:rPr>
                <w:sz w:val="13"/>
                <w:szCs w:val="13"/>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vMerge w:val="restart"/>
          </w:tcPr>
          <w:p>
            <w:pPr>
              <w:jc w:val="right"/>
              <w:ind w:right="6"/>
              <w:spacing w:after="0"/>
              <w:rPr>
                <w:sz w:val="20"/>
                <w:szCs w:val="20"/>
                <w:color w:val="auto"/>
              </w:rPr>
            </w:pPr>
            <w:r>
              <w:rPr>
                <w:rFonts w:ascii="Times New Roman" w:cs="Times New Roman" w:eastAsia="Times New Roman" w:hAnsi="Times New Roman"/>
                <w:sz w:val="16"/>
                <w:szCs w:val="16"/>
                <w:color w:val="auto"/>
              </w:rPr>
              <w:t>500,319</w:t>
            </w:r>
          </w:p>
        </w:tc>
        <w:tc>
          <w:tcPr>
            <w:tcW w:w="80" w:type="dxa"/>
            <w:vAlign w:val="bottom"/>
          </w:tcPr>
          <w:p>
            <w:pPr>
              <w:spacing w:after="0"/>
              <w:rPr>
                <w:sz w:val="13"/>
                <w:szCs w:val="13"/>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gridSpan w:val="2"/>
            <w:vMerge w:val="restart"/>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(428,057)</w:t>
            </w:r>
          </w:p>
        </w:tc>
        <w:tc>
          <w:tcPr>
            <w:tcW w:w="80" w:type="dxa"/>
            <w:vAlign w:val="bottom"/>
          </w:tcPr>
          <w:p>
            <w:pPr>
              <w:spacing w:after="0"/>
              <w:rPr>
                <w:sz w:val="13"/>
                <w:szCs w:val="13"/>
                <w:color w:val="auto"/>
              </w:rPr>
            </w:pPr>
          </w:p>
        </w:tc>
        <w:tc>
          <w:tcPr>
            <w:tcW w:w="1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7"/>
        </w:trPr>
        <w:tc>
          <w:tcPr>
            <w:tcW w:w="2120" w:type="dxa"/>
            <w:vAlign w:val="bottom"/>
          </w:tcPr>
          <w:p>
            <w:pPr>
              <w:ind w:left="200"/>
              <w:spacing w:after="0" w:line="207" w:lineRule="exact"/>
              <w:rPr>
                <w:sz w:val="20"/>
                <w:szCs w:val="20"/>
                <w:color w:val="auto"/>
              </w:rPr>
            </w:pPr>
            <w:r>
              <w:rPr>
                <w:rFonts w:ascii="Times New Roman" w:cs="Times New Roman" w:eastAsia="Times New Roman" w:hAnsi="Times New Roman"/>
                <w:sz w:val="16"/>
                <w:szCs w:val="16"/>
                <w:color w:val="auto"/>
              </w:rPr>
              <w:t>shares***</w:t>
            </w:r>
            <w:r>
              <w:rPr>
                <w:rFonts w:ascii="Times New Roman" w:cs="Times New Roman" w:eastAsia="Times New Roman" w:hAnsi="Times New Roman"/>
                <w:sz w:val="20"/>
                <w:szCs w:val="20"/>
                <w:color w:val="auto"/>
                <w:vertAlign w:val="superscript"/>
              </w:rPr>
              <w:t>(8)</w:t>
            </w:r>
          </w:p>
        </w:tc>
        <w:tc>
          <w:tcPr>
            <w:tcW w:w="80" w:type="dxa"/>
            <w:vAlign w:val="bottom"/>
          </w:tcPr>
          <w:p>
            <w:pPr>
              <w:spacing w:after="0"/>
              <w:rPr>
                <w:sz w:val="17"/>
                <w:szCs w:val="17"/>
                <w:color w:val="auto"/>
              </w:rPr>
            </w:pPr>
          </w:p>
        </w:tc>
        <w:tc>
          <w:tcPr>
            <w:tcW w:w="800" w:type="dxa"/>
            <w:vAlign w:val="bottom"/>
            <w:gridSpan w:val="2"/>
            <w:vMerge w:val="continue"/>
          </w:tcPr>
          <w:p>
            <w:pPr>
              <w:spacing w:after="0"/>
              <w:rPr>
                <w:sz w:val="17"/>
                <w:szCs w:val="17"/>
                <w:color w:val="auto"/>
              </w:rPr>
            </w:pPr>
          </w:p>
        </w:tc>
        <w:tc>
          <w:tcPr>
            <w:tcW w:w="6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vMerge w:val="continue"/>
          </w:tcPr>
          <w:p>
            <w:pPr>
              <w:spacing w:after="0"/>
              <w:rPr>
                <w:sz w:val="17"/>
                <w:szCs w:val="17"/>
                <w:color w:val="auto"/>
              </w:rPr>
            </w:pPr>
          </w:p>
        </w:tc>
        <w:tc>
          <w:tcPr>
            <w:tcW w:w="7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vMerge w:val="continue"/>
          </w:tcPr>
          <w:p>
            <w:pPr>
              <w:spacing w:after="0"/>
              <w:rPr>
                <w:sz w:val="17"/>
                <w:szCs w:val="17"/>
                <w:color w:val="auto"/>
              </w:rPr>
            </w:pPr>
          </w:p>
        </w:tc>
        <w:tc>
          <w:tcPr>
            <w:tcW w:w="7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vMerge w:val="continue"/>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140" w:type="dxa"/>
            <w:vAlign w:val="bottom"/>
            <w:vMerge w:val="continue"/>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7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vMerge w:val="continue"/>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6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Common Stock</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102,632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8,937,690</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(9,009,952)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6"/>
                <w:szCs w:val="16"/>
                <w:color w:val="auto"/>
              </w:rPr>
              <w:t>500,319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(428,057)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51"/>
        </w:trPr>
        <w:tc>
          <w:tcPr>
            <w:tcW w:w="2120" w:type="dxa"/>
            <w:vAlign w:val="bottom"/>
            <w:tcBorders>
              <w:top w:val="single" w:sz="8" w:color="CCEEFF"/>
            </w:tcBorders>
          </w:tcPr>
          <w:p>
            <w:pPr>
              <w:ind w:left="20"/>
              <w:spacing w:after="0" w:line="152" w:lineRule="exact"/>
              <w:rPr>
                <w:sz w:val="20"/>
                <w:szCs w:val="20"/>
                <w:color w:val="auto"/>
              </w:rPr>
            </w:pPr>
            <w:r>
              <w:rPr>
                <w:rFonts w:ascii="Times New Roman" w:cs="Times New Roman" w:eastAsia="Times New Roman" w:hAnsi="Times New Roman"/>
                <w:sz w:val="16"/>
                <w:szCs w:val="16"/>
                <w:b w:val="1"/>
                <w:bCs w:val="1"/>
                <w:color w:val="auto"/>
              </w:rPr>
              <w:t>TOTAL NON-</w:t>
            </w: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120" w:type="dxa"/>
            <w:vAlign w:val="bottom"/>
          </w:tcPr>
          <w:p>
            <w:pPr>
              <w:ind w:left="20"/>
              <w:spacing w:after="0" w:line="155" w:lineRule="exact"/>
              <w:rPr>
                <w:sz w:val="20"/>
                <w:szCs w:val="20"/>
                <w:color w:val="auto"/>
              </w:rPr>
            </w:pPr>
            <w:r>
              <w:rPr>
                <w:rFonts w:ascii="Times New Roman" w:cs="Times New Roman" w:eastAsia="Times New Roman" w:hAnsi="Times New Roman"/>
                <w:sz w:val="16"/>
                <w:szCs w:val="16"/>
                <w:b w:val="1"/>
                <w:bCs w:val="1"/>
                <w:color w:val="auto"/>
              </w:rPr>
              <w:t>CONTROLLED/AFFILIATE</w:t>
            </w: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w w:val="93"/>
              </w:rPr>
              <w:t>$ 102,632</w:t>
            </w:r>
          </w:p>
        </w:tc>
        <w:tc>
          <w:tcPr>
            <w:tcW w:w="80" w:type="dxa"/>
            <w:vAlign w:val="bottom"/>
          </w:tcPr>
          <w:p>
            <w:pPr>
              <w:spacing w:after="0"/>
              <w:rPr>
                <w:sz w:val="13"/>
                <w:szCs w:val="13"/>
                <w:color w:val="auto"/>
              </w:rPr>
            </w:pPr>
          </w:p>
        </w:tc>
        <w:tc>
          <w:tcPr>
            <w:tcW w:w="10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w w:val="97"/>
              </w:rPr>
              <w:t>30,165,773</w:t>
            </w:r>
          </w:p>
        </w:tc>
        <w:tc>
          <w:tcPr>
            <w:tcW w:w="8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u w:val="single" w:color="auto"/>
                <w:color w:val="auto"/>
                <w:w w:val="96"/>
              </w:rPr>
              <w:t>$</w:t>
            </w:r>
            <w:r>
              <w:rPr>
                <w:rFonts w:ascii="Times New Roman" w:cs="Times New Roman" w:eastAsia="Times New Roman" w:hAnsi="Times New Roman"/>
                <w:sz w:val="16"/>
                <w:szCs w:val="16"/>
                <w:b w:val="1"/>
                <w:bCs w:val="1"/>
                <w:color w:val="auto"/>
                <w:w w:val="96"/>
              </w:rPr>
              <w:t>(9,009,952)</w:t>
            </w:r>
          </w:p>
        </w:tc>
        <w:tc>
          <w:tcPr>
            <w:tcW w:w="80" w:type="dxa"/>
            <w:vAlign w:val="bottom"/>
          </w:tcPr>
          <w:p>
            <w:pPr>
              <w:spacing w:after="0"/>
              <w:rPr>
                <w:sz w:val="13"/>
                <w:szCs w:val="13"/>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40" w:type="dxa"/>
            <w:vAlign w:val="bottom"/>
            <w:vMerge w:val="restart"/>
          </w:tcPr>
          <w:p>
            <w:pPr>
              <w:jc w:val="right"/>
              <w:ind w:right="6"/>
              <w:spacing w:after="0"/>
              <w:rPr>
                <w:sz w:val="20"/>
                <w:szCs w:val="20"/>
                <w:color w:val="auto"/>
              </w:rPr>
            </w:pPr>
            <w:r>
              <w:rPr>
                <w:rFonts w:ascii="Times New Roman" w:cs="Times New Roman" w:eastAsia="Times New Roman" w:hAnsi="Times New Roman"/>
                <w:sz w:val="16"/>
                <w:szCs w:val="16"/>
                <w:b w:val="1"/>
                <w:bCs w:val="1"/>
                <w:color w:val="auto"/>
              </w:rPr>
              <w:t>500,319</w:t>
            </w:r>
          </w:p>
        </w:tc>
        <w:tc>
          <w:tcPr>
            <w:tcW w:w="80" w:type="dxa"/>
            <w:vAlign w:val="bottom"/>
          </w:tcPr>
          <w:p>
            <w:pPr>
              <w:spacing w:after="0"/>
              <w:rPr>
                <w:sz w:val="13"/>
                <w:szCs w:val="13"/>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w w:val="96"/>
              </w:rPr>
              <w:t>(6,009,095)</w:t>
            </w:r>
          </w:p>
        </w:tc>
        <w:tc>
          <w:tcPr>
            <w:tcW w:w="80" w:type="dxa"/>
            <w:vAlign w:val="bottom"/>
          </w:tcPr>
          <w:p>
            <w:pPr>
              <w:spacing w:after="0"/>
              <w:rPr>
                <w:sz w:val="13"/>
                <w:szCs w:val="13"/>
                <w:color w:val="auto"/>
              </w:rPr>
            </w:pPr>
          </w:p>
        </w:tc>
        <w:tc>
          <w:tcPr>
            <w:tcW w:w="14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1,864,564</w:t>
            </w:r>
          </w:p>
        </w:tc>
        <w:tc>
          <w:tcPr>
            <w:tcW w:w="80" w:type="dxa"/>
            <w:vAlign w:val="bottom"/>
          </w:tcPr>
          <w:p>
            <w:pPr>
              <w:spacing w:after="0"/>
              <w:rPr>
                <w:sz w:val="13"/>
                <w:szCs w:val="13"/>
                <w:color w:val="auto"/>
              </w:rPr>
            </w:pPr>
          </w:p>
        </w:tc>
        <w:tc>
          <w:tcPr>
            <w:tcW w:w="12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(2,902,520)</w:t>
            </w:r>
          </w:p>
        </w:tc>
        <w:tc>
          <w:tcPr>
            <w:tcW w:w="80" w:type="dxa"/>
            <w:vAlign w:val="bottom"/>
          </w:tcPr>
          <w:p>
            <w:pPr>
              <w:spacing w:after="0"/>
              <w:rPr>
                <w:sz w:val="13"/>
                <w:szCs w:val="13"/>
                <w:color w:val="auto"/>
              </w:rPr>
            </w:pPr>
          </w:p>
        </w:tc>
        <w:tc>
          <w:tcPr>
            <w:tcW w:w="10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u w:val="single" w:color="auto"/>
                <w:color w:val="auto"/>
                <w:w w:val="74"/>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w w:val="94"/>
              </w:rPr>
              <w:t>14,609,089</w:t>
            </w:r>
          </w:p>
        </w:tc>
        <w:tc>
          <w:tcPr>
            <w:tcW w:w="80" w:type="dxa"/>
            <w:vAlign w:val="bottom"/>
          </w:tcPr>
          <w:p>
            <w:pPr>
              <w:spacing w:after="0"/>
              <w:rPr>
                <w:sz w:val="13"/>
                <w:szCs w:val="13"/>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4.01</w:t>
            </w:r>
          </w:p>
        </w:tc>
        <w:tc>
          <w:tcPr>
            <w:tcW w:w="0" w:type="dxa"/>
            <w:vAlign w:val="bottom"/>
          </w:tcPr>
          <w:p>
            <w:pPr>
              <w:spacing w:after="0"/>
              <w:rPr>
                <w:sz w:val="1"/>
                <w:szCs w:val="1"/>
                <w:color w:val="auto"/>
              </w:rPr>
            </w:pPr>
          </w:p>
        </w:tc>
      </w:tr>
      <w:tr>
        <w:trPr>
          <w:trHeight w:val="186"/>
        </w:trPr>
        <w:tc>
          <w:tcPr>
            <w:tcW w:w="2120" w:type="dxa"/>
            <w:vAlign w:val="bottom"/>
          </w:tcPr>
          <w:p>
            <w:pPr>
              <w:ind w:left="20"/>
              <w:spacing w:after="0" w:line="181" w:lineRule="exact"/>
              <w:rPr>
                <w:sz w:val="20"/>
                <w:szCs w:val="20"/>
                <w:color w:val="auto"/>
              </w:rPr>
            </w:pPr>
            <w:r>
              <w:rPr>
                <w:rFonts w:ascii="Times New Roman" w:cs="Times New Roman" w:eastAsia="Times New Roman" w:hAnsi="Times New Roman"/>
                <w:sz w:val="16"/>
                <w:szCs w:val="16"/>
                <w:b w:val="1"/>
                <w:bCs w:val="1"/>
                <w:color w:val="auto"/>
              </w:rPr>
              <w:t>INVESTMENTS*</w:t>
            </w:r>
            <w:r>
              <w:rPr>
                <w:rFonts w:ascii="Times New Roman" w:cs="Times New Roman" w:eastAsia="Times New Roman" w:hAnsi="Times New Roman"/>
                <w:sz w:val="20"/>
                <w:szCs w:val="20"/>
                <w:b w:val="1"/>
                <w:bCs w:val="1"/>
                <w:color w:val="auto"/>
                <w:vertAlign w:val="superscript"/>
              </w:rPr>
              <w:t>(1)</w:t>
            </w: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vMerge w:val="continue"/>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vMerge w:val="continue"/>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vMerge w:val="continue"/>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bottom w:val="single" w:sz="8" w:color="auto"/>
            </w:tcBorders>
            <w:vMerge w:val="continue"/>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bottom w:val="single" w:sz="8" w:color="auto"/>
            </w:tcBorders>
            <w:vMerge w:val="continue"/>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vMerge w:val="continue"/>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120" w:type="dxa"/>
            <w:vAlign w:val="bottom"/>
            <w:tcBorders>
              <w:bottom w:val="single" w:sz="8" w:color="CCEE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wp:posOffset>
            </wp:positionH>
            <wp:positionV relativeFrom="paragraph">
              <wp:posOffset>-927735</wp:posOffset>
            </wp:positionV>
            <wp:extent cx="1355090" cy="44386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355090" cy="443865"/>
                    </a:xfrm>
                    <a:prstGeom prst="rect">
                      <a:avLst/>
                    </a:prstGeom>
                    <a:noFill/>
                  </pic:spPr>
                </pic:pic>
              </a:graphicData>
            </a:graphic>
          </wp:anchor>
        </w:drawing>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____________________</w:t>
      </w:r>
    </w:p>
    <w:p>
      <w:pPr>
        <w:spacing w:after="0" w:line="32" w:lineRule="exact"/>
        <w:rPr>
          <w:sz w:val="20"/>
          <w:szCs w:val="20"/>
          <w:color w:val="auto"/>
        </w:rPr>
      </w:pPr>
    </w:p>
    <w:p>
      <w:pPr>
        <w:jc w:val="both"/>
        <w:ind w:left="320" w:right="100" w:hanging="317"/>
        <w:spacing w:after="0" w:line="263" w:lineRule="auto"/>
        <w:tabs>
          <w:tab w:leader="none" w:pos="281"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5"/>
          <w:szCs w:val="15"/>
          <w:color w:val="auto"/>
        </w:rPr>
        <w:t>All portfolio investments are non-income-producing, unless otherwise identified. Equity investments are subject to lock-up restrictions upon their IPO. Preferred dividends are generally only payable when declared and paid by the portfolio company's board of directors. The Company’s directors, officers, employees and staff, as applicable, may serve on the board of directors of the Company’s portfolio investments. (Refer to “Note 3—Related-Party Arrangements”). All portfolio investments are considered Level 3 and valued using significant unobservable inputs, unless otherwise noted. (Refer to “Note 4—Investments at Fair Value”). All portfolio investments are considered Level 3 and valued using unobservable inputs, unless otherwise noted. All of the Company's portfolio investments are restricted as to resale, unless otherwise noted, and were valued at fair value as determined in good faith by the Company’s Board of Directors. (Refer to "Note 2—Significant Accounting Policies—Investments at Fair Value").</w:t>
      </w:r>
    </w:p>
    <w:p>
      <w:pPr>
        <w:spacing w:after="0" w:line="210" w:lineRule="exact"/>
        <w:rPr>
          <w:sz w:val="20"/>
          <w:szCs w:val="20"/>
          <w:color w:val="auto"/>
        </w:rPr>
      </w:pPr>
    </w:p>
    <w:p>
      <w:pPr>
        <w:ind w:left="320" w:right="100" w:hanging="317"/>
        <w:spacing w:after="0" w:line="260" w:lineRule="auto"/>
        <w:tabs>
          <w:tab w:leader="none" w:pos="204"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Indicates assets that SuRo Capital Corp. believes do not represent “qualifying assets” under Section 55(a) of the 1940 Act. Of the Company’s total investments as of December 31, 2021, 26.91% of its total investments are non-qualifying assets.</w:t>
      </w:r>
    </w:p>
    <w:p>
      <w:pPr>
        <w:spacing w:after="0" w:line="196" w:lineRule="exact"/>
        <w:rPr>
          <w:rFonts w:ascii="Times New Roman" w:cs="Times New Roman" w:eastAsia="Times New Roman" w:hAnsi="Times New Roman"/>
          <w:sz w:val="16"/>
          <w:szCs w:val="16"/>
          <w:color w:val="auto"/>
        </w:rPr>
      </w:pPr>
    </w:p>
    <w:p>
      <w:pPr>
        <w:ind w:left="400" w:hanging="397"/>
        <w:spacing w:after="0"/>
        <w:tabs>
          <w:tab w:leader="none" w:pos="40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Investment is income-producing.</w:t>
      </w:r>
    </w:p>
    <w:p>
      <w:pPr>
        <w:spacing w:after="0" w:line="243" w:lineRule="exact"/>
        <w:rPr>
          <w:sz w:val="20"/>
          <w:szCs w:val="20"/>
          <w:color w:val="auto"/>
        </w:rPr>
      </w:pPr>
    </w:p>
    <w:p>
      <w:pPr>
        <w:ind w:left="460" w:right="100" w:hanging="457"/>
        <w:spacing w:after="0" w:line="249" w:lineRule="auto"/>
        <w:tabs>
          <w:tab w:leader="none" w:pos="395"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“Affiliate Investments” are investments in those companies that are “Affiliated Companies” of SuRo Capital Corp., as defined in the 1940 Act. In general, a company is deemed to be an “Affiliate” of SuRo Capital Corp. if SuRo Capital Corp. owns 5% or more of the voting securities (</w:t>
      </w:r>
      <w:r>
        <w:rPr>
          <w:rFonts w:ascii="Times New Roman" w:cs="Times New Roman" w:eastAsia="Times New Roman" w:hAnsi="Times New Roman"/>
          <w:sz w:val="16"/>
          <w:szCs w:val="16"/>
          <w:i w:val="1"/>
          <w:iCs w:val="1"/>
          <w:color w:val="auto"/>
        </w:rPr>
        <w:t>i.e.</w:t>
      </w:r>
      <w:r>
        <w:rPr>
          <w:rFonts w:ascii="Times New Roman" w:cs="Times New Roman" w:eastAsia="Times New Roman" w:hAnsi="Times New Roman"/>
          <w:sz w:val="16"/>
          <w:szCs w:val="16"/>
          <w:color w:val="auto"/>
        </w:rPr>
        <w:t>, securities with the right to elect directors) of such company.</w:t>
      </w:r>
    </w:p>
    <w:p>
      <w:pPr>
        <w:spacing w:after="0" w:line="1" w:lineRule="exact"/>
        <w:rPr>
          <w:rFonts w:ascii="Times New Roman" w:cs="Times New Roman" w:eastAsia="Times New Roman" w:hAnsi="Times New Roman"/>
          <w:sz w:val="16"/>
          <w:szCs w:val="16"/>
          <w:color w:val="auto"/>
        </w:rPr>
      </w:pPr>
    </w:p>
    <w:p>
      <w:pPr>
        <w:ind w:left="460" w:right="100" w:hanging="457"/>
        <w:spacing w:after="0" w:line="244" w:lineRule="auto"/>
        <w:tabs>
          <w:tab w:leader="none" w:pos="334"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“Control Investments” are investments in those companies that are “Controlled Companies” of SuRo Capital Corp., as defined in the 1940 Act. In general, under the 1940 Act, the Company would “Control” a portfolio company if the Company owned more than 25% of its outstanding voting securities (i.e., securities with the right to elect directors) and/or had the power to exercise control over the management or policies of such portfolio company.</w:t>
      </w:r>
    </w:p>
    <w:p>
      <w:pPr>
        <w:spacing w:after="0" w:line="209" w:lineRule="exact"/>
        <w:rPr>
          <w:rFonts w:ascii="Times New Roman" w:cs="Times New Roman" w:eastAsia="Times New Roman" w:hAnsi="Times New Roman"/>
          <w:sz w:val="16"/>
          <w:szCs w:val="16"/>
          <w:color w:val="auto"/>
        </w:rPr>
      </w:pPr>
    </w:p>
    <w:p>
      <w:pPr>
        <w:ind w:left="340" w:hanging="337"/>
        <w:spacing w:after="0"/>
        <w:tabs>
          <w:tab w:leader="none" w:pos="34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December 31, 2021, the investments noted had been placed on non-accrual status.</w:t>
      </w:r>
    </w:p>
    <w:p>
      <w:pPr>
        <w:spacing w:after="0" w:line="242" w:lineRule="exact"/>
        <w:rPr>
          <w:rFonts w:ascii="Times New Roman" w:cs="Times New Roman" w:eastAsia="Times New Roman" w:hAnsi="Times New Roman"/>
          <w:sz w:val="16"/>
          <w:szCs w:val="16"/>
          <w:color w:val="auto"/>
        </w:rPr>
      </w:pPr>
    </w:p>
    <w:p>
      <w:pPr>
        <w:ind w:left="460" w:right="100" w:hanging="457"/>
        <w:spacing w:after="0" w:line="260" w:lineRule="auto"/>
        <w:tabs>
          <w:tab w:leader="none" w:pos="348"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SPBRX, INC. (f/k/a GSV Sustainability Partners, Inc.) preferred shares held by SuRo Capital Corp. do not entitle SuRo Capital Corp. to a preferred dividend rate. SuRo Capital Corp. does not anticipate that SPBRX, INC. will pay distributions on a quarterly or regular basis or become a predictable distributor of distributions.</w:t>
      </w:r>
    </w:p>
    <w:p>
      <w:pPr>
        <w:spacing w:after="0" w:line="196" w:lineRule="exact"/>
        <w:rPr>
          <w:rFonts w:ascii="Times New Roman" w:cs="Times New Roman" w:eastAsia="Times New Roman" w:hAnsi="Times New Roman"/>
          <w:sz w:val="16"/>
          <w:szCs w:val="16"/>
          <w:color w:val="auto"/>
        </w:rPr>
      </w:pPr>
    </w:p>
    <w:p>
      <w:pPr>
        <w:ind w:left="340" w:hanging="337"/>
        <w:spacing w:after="0"/>
        <w:tabs>
          <w:tab w:leader="none" w:pos="34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SuRo Capital Corp.’s investments in StormWind, LLC are held through SuRo Capital Corp.'s wholly owned subsidiary, GSVC SW Holdings, Inc.</w:t>
      </w:r>
    </w:p>
    <w:p>
      <w:pPr>
        <w:spacing w:after="0" w:line="242" w:lineRule="exact"/>
        <w:rPr>
          <w:rFonts w:ascii="Times New Roman" w:cs="Times New Roman" w:eastAsia="Times New Roman" w:hAnsi="Times New Roman"/>
          <w:sz w:val="16"/>
          <w:szCs w:val="16"/>
          <w:color w:val="auto"/>
        </w:rPr>
      </w:pPr>
    </w:p>
    <w:p>
      <w:pPr>
        <w:ind w:left="460" w:right="100" w:hanging="457"/>
        <w:spacing w:after="0" w:line="248" w:lineRule="auto"/>
        <w:tabs>
          <w:tab w:leader="none" w:pos="375"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August 23, 2019, SuRo Capital Corp. amended the structure of its investment in OneValley, Inc. (f/k/a NestGSV, Inc.). As part of the agreement, SuRo Capital Corp.’s equity holdings (warrants notwithstanding) were restructured into a derivative security. OneValley, Inc. (f/k/a NestGSV, Inc.) has the right to call the position at any time over a five year period, while SuRo Capital Corp. can put the shares to OneValley, Inc. (f/k/a NestGSV, Inc.) at the end of the five year period.</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41</w:t>
      </w:r>
    </w:p>
    <w:p>
      <w:pPr>
        <w:sectPr>
          <w:pgSz w:w="11900" w:h="16838" w:orient="portrait"/>
          <w:cols w:equalWidth="0" w:num="1">
            <w:col w:w="11340"/>
          </w:cols>
          <w:pgMar w:left="320" w:top="118" w:right="2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SURO CAPITAL CORP. AND SUBSIDIARIES</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June 30, 2022</w:t>
      </w:r>
    </w:p>
    <w:p>
      <w:pPr>
        <w:spacing w:after="0" w:line="217" w:lineRule="exact"/>
        <w:rPr>
          <w:sz w:val="20"/>
          <w:szCs w:val="20"/>
          <w:color w:val="auto"/>
        </w:rPr>
      </w:pPr>
    </w:p>
    <w:p>
      <w:pPr>
        <w:ind w:left="460" w:hanging="457"/>
        <w:spacing w:after="0" w:line="260" w:lineRule="auto"/>
        <w:tabs>
          <w:tab w:leader="none" w:pos="367"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December 31, 2021, the total $10.0 million capital commitment representing SuRo Capital Corp.'s Membership Interest in Architect Capital PayJoy SPV, LLC had been called and funded.</w:t>
      </w:r>
    </w:p>
    <w:p>
      <w:pPr>
        <w:spacing w:after="0" w:line="209" w:lineRule="exact"/>
        <w:rPr>
          <w:rFonts w:ascii="Times New Roman" w:cs="Times New Roman" w:eastAsia="Times New Roman" w:hAnsi="Times New Roman"/>
          <w:sz w:val="16"/>
          <w:szCs w:val="16"/>
          <w:color w:val="auto"/>
        </w:rPr>
      </w:pPr>
    </w:p>
    <w:p>
      <w:pPr>
        <w:jc w:val="both"/>
        <w:ind w:left="460" w:hanging="457"/>
        <w:spacing w:after="0" w:line="247" w:lineRule="auto"/>
        <w:tabs>
          <w:tab w:leader="none" w:pos="413"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During the year ended December 31, 2021, NewLake Capital Partners, Inc. (f/k/a GreenAcreage Real Estate Corp.) declared an aggregate of approximately $0.3 million in dividend distributions, of which approximately $0.1 million reflects the dividend income earned while NewLake Capital Partners, Inc. (f/k/a GreenAcreage Real Estate Corp.) was a non-controlled/affiliate investment. SuRo Capital Corp. does not anticipate that NewLake Capital Partners, Inc. (f/k/a GreenAcreage Real Estate Corp.) will pay distributions on a recurring or regular basis or become a predictable distributor of distributions. On August 20, 2021, NewLake Capital Partners, Inc.(f/k/a GreenAcreage Real Estate Corp.) went public via an initial public offering on the OTCQX. As of December 31, 2021, none of SuRo Capital Corp.'s common shares in NewLake Capital Partners, Inc. (f/k/a GreenAcreage Real Estate Corp.) were subject to lock-up restrictions.</w:t>
      </w:r>
    </w:p>
    <w:p>
      <w:pPr>
        <w:spacing w:after="0" w:line="209" w:lineRule="exact"/>
        <w:rPr>
          <w:rFonts w:ascii="Times New Roman" w:cs="Times New Roman" w:eastAsia="Times New Roman" w:hAnsi="Times New Roman"/>
          <w:sz w:val="16"/>
          <w:szCs w:val="16"/>
          <w:color w:val="auto"/>
        </w:rPr>
      </w:pPr>
    </w:p>
    <w:p>
      <w:pPr>
        <w:ind w:left="460" w:hanging="457"/>
        <w:spacing w:after="0" w:line="277" w:lineRule="auto"/>
        <w:tabs>
          <w:tab w:leader="none" w:pos="375"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Colombier Sponsor LLC is the sponsor of Colombier Acquisition Corp., a special purpose acquisition company formed for the purpose of effecting a merger, capital stock exchange, asset acquisition, stock purchase, reorganization or similar business combination with one or more businesses.</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42</w:t>
      </w:r>
    </w:p>
    <w:p>
      <w:pPr>
        <w:sectPr>
          <w:pgSz w:w="11900" w:h="16838" w:orient="portrait"/>
          <w:cols w:equalWidth="0" w:num="1">
            <w:col w:w="11240"/>
          </w:cols>
          <w:pgMar w:left="320" w:top="118"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SURO CAPITAL CORP. AND SUBSIDIARIES</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June 30, 2022</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5—COMMON STOCK</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Share Repurchase Program</w:t>
      </w:r>
    </w:p>
    <w:p>
      <w:pPr>
        <w:spacing w:after="0" w:line="23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On August 8, 2017, the Company announced a $5.0 million discretionary open-market share repurchase program of shares of the Company’s common stock, $0.01 par value per share, of up to $5.0 million until the earlier of (i) August 6, 2018 or (ii) the repurchase of $5.0 million in aggregate amount of the Company’s common stock (the “Share Repurchase Program”). On November 7, 2017, the Company’s Board of Directors authorized an extension of, and an increase in the amount of shares of the Company’s common stock that may be repurchased under the discretionary Share Repurchase Program until the earlier of (i) November 6, 2018 or (ii) the repurchase of $10.0 million in aggregate amount of the Company’s common stock. On May 3, 2018, the Company’s Board of Directors authorized a $5.0 million increase in the amount of shares of the Company’s common stock that may be repurchased under the discretionary Share Repurchase Program until the earlier of (i) November 6, 2018 or (ii) the repurchase of $15.0 million in aggregate amount of the Company’s common stock. On November 1, 2018, our Board of Directors authorized a $5.0 million increase in the amount of shares of our common stock that may be repurchased under the discretionary Share Repurchase Program until the earlier of (i) October 31, 2019 or (ii) the repurchase of $20.0 million in aggregate amount of our common stock. On August 5, 2019, our Board of Directors authorized a $5.0 million increase in the amount of shares of our common stock that may be repurchased under the discretionary Share Repurchase Program until the earlier of (i) August 4, 2020 or (ii) the repurchase of $25.0 million in aggregate amount of our common stock. On March 9, 2020, our Board of Directors authorized a $5.0 million increase in the amount of shares of our common stock that may be repurchased under the discretionary Share Repurchase Program until the earlier of (i) March 8, 2021 or (ii) the repurchase of $30.0 million in aggregate amount of our common stock. On October 28, 2020, our Board of Directors authorized a $10.0 million increase in the amount of shares of our common stock that may be repurchased under the discretionary Share Repurchase Program until the earlier of (i) October 31, 2021 or (ii) the repurchase of $40.0 million in aggregate amount of our common stock. On October 27, 2021, our Board of Directors approved an extension of the Share Repurchase Program until the earlier of (i) October 31, 2022 or (ii) the repurchase of $40.0 million in aggregate amount of our common stock. On March 13, 2022, our Board of Directors authorized a $15.0 million increase in the amount of shares of our common stock that may be repurchased under the discretionary Share Repurchase Program until the earlier of (i) October 31, 2022 or (ii) the repurchase of $55.0 million in aggregate amount of our common stock.</w:t>
      </w:r>
    </w:p>
    <w:p>
      <w:pPr>
        <w:spacing w:after="0" w:line="203" w:lineRule="exact"/>
        <w:rPr>
          <w:sz w:val="20"/>
          <w:szCs w:val="20"/>
          <w:color w:val="auto"/>
        </w:rPr>
      </w:pPr>
    </w:p>
    <w:p>
      <w:pPr>
        <w:jc w:val="both"/>
        <w:ind w:firstLine="349"/>
        <w:spacing w:after="0" w:line="263" w:lineRule="auto"/>
        <w:rPr>
          <w:sz w:val="20"/>
          <w:szCs w:val="20"/>
          <w:color w:val="auto"/>
        </w:rPr>
      </w:pPr>
      <w:r>
        <w:rPr>
          <w:rFonts w:ascii="Times New Roman" w:cs="Times New Roman" w:eastAsia="Times New Roman" w:hAnsi="Times New Roman"/>
          <w:sz w:val="17"/>
          <w:szCs w:val="17"/>
          <w:color w:val="auto"/>
        </w:rPr>
        <w:t>The timing and number of shares to be repurchased will depend on a number of factors, including market conditions and alternative investment opportunities. The Share Repurchase Program may be suspended, terminated or modified at any time for any reason and does not obligate the Company to acquire any specific number of shares of its common stock. Under the Share Repurchase Program, we may repurchase our outstanding common stock in the open market provided that we comply with the prohibitions under our insider trading policies and procedures and the applicable provisions of the 1940 Act and the Securities Exchange Act of 1934, as amended.</w:t>
      </w:r>
    </w:p>
    <w:p>
      <w:pPr>
        <w:spacing w:after="0" w:line="197" w:lineRule="exact"/>
        <w:rPr>
          <w:sz w:val="20"/>
          <w:szCs w:val="20"/>
          <w:color w:val="auto"/>
        </w:rPr>
      </w:pPr>
    </w:p>
    <w:p>
      <w:pPr>
        <w:jc w:val="both"/>
        <w:ind w:firstLine="349"/>
        <w:spacing w:after="0" w:line="266" w:lineRule="auto"/>
        <w:rPr>
          <w:sz w:val="20"/>
          <w:szCs w:val="20"/>
          <w:color w:val="auto"/>
        </w:rPr>
      </w:pPr>
      <w:r>
        <w:rPr>
          <w:rFonts w:ascii="Times New Roman" w:cs="Times New Roman" w:eastAsia="Times New Roman" w:hAnsi="Times New Roman"/>
          <w:sz w:val="17"/>
          <w:szCs w:val="17"/>
          <w:color w:val="auto"/>
        </w:rPr>
        <w:t>During the three and six months ended June 30, 2022, the Company repurchased 855,159 and 1,008,676 shares, respectively, of the Company's common stock under the Share Repurchase Program. During the three and six months ended June 30, 2021, the Company did not repurchase any shares of common stock under the Share Repurchase Program. As of June 30, 2022, the dollar value of shares that remained available to be purchased by the Company under the Share Repurchase Program was approximately $16.4 million.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Amended and Restated 2019 Equity Incentive Plan</w:t>
      </w:r>
    </w:p>
    <w:p>
      <w:pPr>
        <w:spacing w:after="0" w:line="248"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7"/>
          <w:szCs w:val="17"/>
          <w:color w:val="auto"/>
        </w:rPr>
        <w:t>Refer to “Note 11—Stock-Based Compensation” for a description of the Company’s restricted shares of common stock granted under the Amended &amp; Restated 2019 Equity Incentive Plan (as defined therein).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Dividends Paid in Common Stock</w:t>
      </w:r>
    </w:p>
    <w:p>
      <w:pPr>
        <w:spacing w:after="0" w:line="2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On May 4, 2021, the Company's Board of Directors declared a dividend of $2.50 per share that was paid on June 30, 2021 to stockholders of record as of the close of business on May 18, 2021. The ex-dividend date was May 17, 2021. The dividend was paid in cash and shares of the Company's common stock at the election of the stockholders, although the total amount of cash to be distributed to all stockholders was limited to no more than 50% of the total dividend paid to all stockholders. The</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43</w:t>
      </w:r>
    </w:p>
    <w:p>
      <w:pPr>
        <w:sectPr>
          <w:pgSz w:w="11900" w:h="16838" w:orient="portrait"/>
          <w:cols w:equalWidth="0" w:num="1">
            <w:col w:w="11240"/>
          </w:cols>
          <w:pgMar w:left="320" w:top="118"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SURO CAPITAL CORP. AND SUBSIDIARIES</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June 30, 2022</w:t>
      </w: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total dividend amount paid to all stockholders consisted of approximately $30.0 million in cash and 2,335,527 in shares of common stock issued.</w:t>
      </w:r>
    </w:p>
    <w:p>
      <w:pPr>
        <w:spacing w:after="0" w:line="24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On August 3, 2021, the Company's Board of Directors declared a dividend of $2.25 per share that was paid on September 30, 2021 to stockholders of record as of the close of business on August 18, 2021. The ex-dividend date was August 17, 2021. The dividend was paid in cash and shares of the Company's common stock at the election of the stockholders, although the total amount of cash to be distributed to all stockholders was limited to no more than 50% of the total dividend paid to all stockholders. The total dividend amount paid to all stockholders consisted of approximately $29.6 million in cash and 2,225,193 in shares of common stock issued.</w:t>
      </w:r>
    </w:p>
    <w:p>
      <w:pPr>
        <w:spacing w:after="0" w:line="19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On November 2, 2021, the Company's Board of Directors declared a dividend of $2.00 per share that was paid on December 30, 2021 to stockholders of record as of the close of business on November 17, 2021. The ex-dividend date was November 16, 2021. The dividend was paid in cash and shares of the Company's common stock at the election of the stockholders, although the total amount of cash to be distributed to all stockholders was limited to no more than 50% of the total dividend paid to all stockholders. The total dividend amount paid to all stockholders consisted of approximately $28.5 million in cash and 2,170,807 in shares of common stock issued.</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Conversion of 4.75% Convertible Senior Notes due 2023</w:t>
      </w:r>
    </w:p>
    <w:p>
      <w:pPr>
        <w:spacing w:after="0" w:line="23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During the three and six months ended June 30, 2021, the Company issued 0 and 4,097,808 shares, respectively, of its common stock and cash for fractional shares upon the conversion of approximately $37.9 million in aggregate principal amount of the 4.75% Convertible Senior Notes due 2023. The Company also redeemed approximately $0.3 million of aggregate principal amount for cash plus accrued and unpaid interest on March 29, 2021. During the year ended December 31, 2020, the Company issued 174,888 shares of its common stock and cash for fractional shares upon the conversion of $1,785,000 in aggregate principal amount of the 4.75% Convertible Senior Notes due 2023. Refer to “Note 10—Debt Capital Activities” for more detail regarding conversion terms.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At-the-Market Offering</w:t>
      </w:r>
    </w:p>
    <w:p>
      <w:pPr>
        <w:spacing w:after="0" w:line="24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On July 29, 2020, the Company entered into an At-the-Market Sales Agreement, dated July 29, 2020 (the “Initial Sales Agreement”), with BTIG, LLC, JMP Securities LLC and Ladenburg Thalmann &amp; Co., Inc. (collectively, the “Agents”). Under the Initial Sales Agreement, the Company may, but has no obligation to, issue and sell up to $50.0 million in aggregate amount of shares of its common stock (the “Shares”) from time to time through the Agents or to them as principal for their own account (the "ATM Program"). On September 23, 2020, the Company increased the maximum amount of Shares to be sold through the ATM Program to $150.0 million from $50.0 million. In connection with the upsize of the ATM Program to $150.0 million, the Company entered into Amendment No. 1 to the At-the-Market Sales Agreement, dated September 23, 2020, with the Agents (the “Amendment No. 1 to the Sales Agreement,” and together with the Initial Sales Agreement, the “Sales Agreement”). The Company intends to use the net proceeds from the ATM Program to make investments in portfolio companies in accordance with its investment objective and strategy and for general corporate purposes.</w:t>
      </w:r>
    </w:p>
    <w:p>
      <w:pPr>
        <w:spacing w:after="0" w:line="20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Sales of the Shares, if any, will be made by any method that is deemed to be an “at-the-market” offering as defined in Rule 415 under the Securities Act, including sales made directly on the Nasdaq Global Select Market or sales made to or through a market maker other than on an exchange, at market prices prevailing at the time of sale, at prices related to prevailing market prices or at other negotiated prices. Actual sales in the ATM Program will depend on a variety of factors to be determined by the Company from time to time.</w:t>
      </w:r>
    </w:p>
    <w:p>
      <w:pPr>
        <w:spacing w:after="0" w:line="194"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The Agents will receive a commission from the Company equal to up to 2.0% of the gross sales price of any Shares sold through the Agents under the Sales Agreement and reimbursement of certain expenses. The Sales Agreement contains customary representations, warranties and agreements of the Company, conditions to closing, indemnification rights and obligations of the parties and termination provisions.</w:t>
      </w:r>
    </w:p>
    <w:p>
      <w:pPr>
        <w:spacing w:after="0" w:line="189"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7"/>
          <w:szCs w:val="17"/>
          <w:color w:val="auto"/>
        </w:rPr>
        <w:t>During the three and six months ended June 30, 2022, the Company issued and sold 0 and 17,807 shares, respectively, under the ATM Program at a weighted-average price of $13.01 per share, for gross proceeds of $231,677 and net proceeds of</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44</w:t>
      </w:r>
    </w:p>
    <w:p>
      <w:pPr>
        <w:sectPr>
          <w:pgSz w:w="11900" w:h="16838" w:orient="portrait"/>
          <w:cols w:equalWidth="0" w:num="1">
            <w:col w:w="11240"/>
          </w:cols>
          <w:pgMar w:left="320" w:top="118" w:right="339" w:bottom="1440" w:gutter="0" w:footer="0" w:header="0"/>
        </w:sectPr>
      </w:pPr>
    </w:p>
    <w:bookmarkStart w:id="46" w:name="page47"/>
    <w:bookmarkEnd w:id="46"/>
    <w:p>
      <w:pPr>
        <w:ind w:left="74"/>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4" w:lineRule="exact"/>
        <w:rPr>
          <w:sz w:val="20"/>
          <w:szCs w:val="20"/>
          <w:color w:val="auto"/>
        </w:rPr>
      </w:pPr>
    </w:p>
    <w:p>
      <w:pPr>
        <w:jc w:val="center"/>
        <w:ind w:right="-73"/>
        <w:spacing w:after="0"/>
        <w:rPr>
          <w:sz w:val="20"/>
          <w:szCs w:val="20"/>
          <w:color w:val="auto"/>
        </w:rPr>
      </w:pPr>
      <w:r>
        <w:rPr>
          <w:rFonts w:ascii="Times New Roman" w:cs="Times New Roman" w:eastAsia="Times New Roman" w:hAnsi="Times New Roman"/>
          <w:sz w:val="17"/>
          <w:szCs w:val="17"/>
          <w:b w:val="1"/>
          <w:bCs w:val="1"/>
          <w:color w:val="auto"/>
        </w:rPr>
        <w:t>SURO CAPITAL CORP. AND SUBSIDIARIES</w:t>
      </w:r>
    </w:p>
    <w:p>
      <w:pPr>
        <w:spacing w:after="0" w:line="244" w:lineRule="exact"/>
        <w:rPr>
          <w:sz w:val="20"/>
          <w:szCs w:val="20"/>
          <w:color w:val="auto"/>
        </w:rPr>
      </w:pPr>
    </w:p>
    <w:p>
      <w:pPr>
        <w:jc w:val="center"/>
        <w:ind w:right="-73"/>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32" w:lineRule="exact"/>
        <w:rPr>
          <w:sz w:val="20"/>
          <w:szCs w:val="20"/>
          <w:color w:val="auto"/>
        </w:rPr>
      </w:pPr>
    </w:p>
    <w:p>
      <w:pPr>
        <w:jc w:val="center"/>
        <w:ind w:right="-73"/>
        <w:spacing w:after="0"/>
        <w:rPr>
          <w:sz w:val="20"/>
          <w:szCs w:val="20"/>
          <w:color w:val="auto"/>
        </w:rPr>
      </w:pPr>
      <w:r>
        <w:rPr>
          <w:rFonts w:ascii="Times New Roman" w:cs="Times New Roman" w:eastAsia="Times New Roman" w:hAnsi="Times New Roman"/>
          <w:sz w:val="17"/>
          <w:szCs w:val="17"/>
          <w:b w:val="1"/>
          <w:bCs w:val="1"/>
          <w:color w:val="auto"/>
        </w:rPr>
        <w:t>June 30, 2022</w:t>
      </w:r>
    </w:p>
    <w:p>
      <w:pPr>
        <w:spacing w:after="0" w:line="368" w:lineRule="exact"/>
        <w:rPr>
          <w:sz w:val="20"/>
          <w:szCs w:val="20"/>
          <w:color w:val="auto"/>
        </w:rPr>
      </w:pPr>
    </w:p>
    <w:p>
      <w:pPr>
        <w:ind w:left="74"/>
        <w:spacing w:after="0" w:line="291" w:lineRule="auto"/>
        <w:rPr>
          <w:sz w:val="20"/>
          <w:szCs w:val="20"/>
          <w:color w:val="auto"/>
        </w:rPr>
      </w:pPr>
      <w:r>
        <w:rPr>
          <w:rFonts w:ascii="Times New Roman" w:cs="Times New Roman" w:eastAsia="Times New Roman" w:hAnsi="Times New Roman"/>
          <w:sz w:val="17"/>
          <w:szCs w:val="17"/>
          <w:color w:val="auto"/>
        </w:rPr>
        <w:t>$229,896, after deducting commissions to the Agents on Shares sold. As of June 30, 2022, up to approximately $98.8 million in aggregate amount of the Shares remain available for sale under the ATM Program.</w:t>
      </w:r>
    </w:p>
    <w:p>
      <w:pPr>
        <w:spacing w:after="0" w:line="171" w:lineRule="exact"/>
        <w:rPr>
          <w:sz w:val="20"/>
          <w:szCs w:val="20"/>
          <w:color w:val="auto"/>
        </w:rPr>
      </w:pPr>
    </w:p>
    <w:p>
      <w:pPr>
        <w:ind w:left="74"/>
        <w:spacing w:after="0"/>
        <w:rPr>
          <w:sz w:val="20"/>
          <w:szCs w:val="20"/>
          <w:color w:val="auto"/>
        </w:rPr>
      </w:pPr>
      <w:r>
        <w:rPr>
          <w:rFonts w:ascii="Times New Roman" w:cs="Times New Roman" w:eastAsia="Times New Roman" w:hAnsi="Times New Roman"/>
          <w:sz w:val="17"/>
          <w:szCs w:val="17"/>
          <w:b w:val="1"/>
          <w:bCs w:val="1"/>
          <w:color w:val="auto"/>
        </w:rPr>
        <w:t>NOTE 6—NET CHANGE IN NET ASSETS RESULTING FROM OPERATIONS PER COMMON SHARE—BASIC AND DILUTED</w:t>
      </w:r>
    </w:p>
    <w:p>
      <w:pPr>
        <w:spacing w:after="0" w:line="246" w:lineRule="exact"/>
        <w:rPr>
          <w:sz w:val="20"/>
          <w:szCs w:val="20"/>
          <w:color w:val="auto"/>
        </w:rPr>
      </w:pPr>
    </w:p>
    <w:p>
      <w:pPr>
        <w:ind w:left="74" w:firstLine="349"/>
        <w:spacing w:after="0" w:line="274" w:lineRule="auto"/>
        <w:rPr>
          <w:sz w:val="20"/>
          <w:szCs w:val="20"/>
          <w:color w:val="auto"/>
        </w:rPr>
      </w:pPr>
      <w:r>
        <w:rPr>
          <w:rFonts w:ascii="Times New Roman" w:cs="Times New Roman" w:eastAsia="Times New Roman" w:hAnsi="Times New Roman"/>
          <w:sz w:val="17"/>
          <w:szCs w:val="17"/>
          <w:color w:val="auto"/>
        </w:rPr>
        <w:t>The following information sets forth the computation of basic and diluted net increase in net assets resulting from operations per common share, pursuant to ASC 260, for the three and six months ended June 30, 2022 and 2021.</w:t>
      </w:r>
    </w:p>
    <w:tbl>
      <w:tblPr>
        <w:tblLayout w:type="fixed"/>
        <w:tblInd w:w="84" w:type="dxa"/>
        <w:tblCellMar>
          <w:top w:w="0" w:type="dxa"/>
          <w:left w:w="0" w:type="dxa"/>
          <w:bottom w:w="0" w:type="dxa"/>
          <w:right w:w="0" w:type="dxa"/>
        </w:tblCellMar>
      </w:tblPr>
      <w:tr>
        <w:trPr>
          <w:trHeight w:val="183"/>
        </w:trPr>
        <w:tc>
          <w:tcPr>
            <w:tcW w:w="2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72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420" w:type="dxa"/>
            <w:vAlign w:val="bottom"/>
          </w:tcPr>
          <w:p>
            <w:pPr>
              <w:spacing w:after="0"/>
              <w:rPr>
                <w:sz w:val="15"/>
                <w:szCs w:val="15"/>
                <w:color w:val="auto"/>
              </w:rPr>
            </w:pPr>
          </w:p>
        </w:tc>
        <w:tc>
          <w:tcPr>
            <w:tcW w:w="22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236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98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50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8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70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683"/>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0" w:type="dxa"/>
            <w:vAlign w:val="bottom"/>
          </w:tcPr>
          <w:p>
            <w:pPr>
              <w:spacing w:after="0"/>
              <w:rPr>
                <w:sz w:val="1"/>
                <w:szCs w:val="1"/>
                <w:color w:val="auto"/>
              </w:rPr>
            </w:pPr>
          </w:p>
        </w:tc>
      </w:tr>
      <w:tr>
        <w:trPr>
          <w:trHeight w:val="185"/>
        </w:trPr>
        <w:tc>
          <w:tcPr>
            <w:tcW w:w="2360" w:type="dxa"/>
            <w:vAlign w:val="bottom"/>
            <w:tcBorders>
              <w:left w:val="single" w:sz="8" w:color="CCEEFF"/>
              <w:bottom w:val="single" w:sz="8" w:color="auto"/>
            </w:tcBorders>
            <w:shd w:val="clear" w:color="auto" w:fill="CCEEFF"/>
          </w:tcPr>
          <w:p>
            <w:pPr>
              <w:ind w:left="20"/>
              <w:spacing w:after="0" w:line="167" w:lineRule="exact"/>
              <w:rPr>
                <w:sz w:val="20"/>
                <w:szCs w:val="20"/>
                <w:color w:val="auto"/>
              </w:rPr>
            </w:pPr>
            <w:r>
              <w:rPr>
                <w:rFonts w:ascii="Times New Roman" w:cs="Times New Roman" w:eastAsia="Times New Roman" w:hAnsi="Times New Roman"/>
                <w:sz w:val="16"/>
                <w:szCs w:val="16"/>
                <w:b w:val="1"/>
                <w:bCs w:val="1"/>
                <w:color w:val="auto"/>
                <w:w w:val="96"/>
              </w:rPr>
              <w:t>Earnings per common share–basic:</w:t>
            </w:r>
          </w:p>
        </w:tc>
        <w:tc>
          <w:tcPr>
            <w:tcW w:w="2100" w:type="dxa"/>
            <w:vAlign w:val="bottom"/>
            <w:tcBorders>
              <w:bottom w:val="single" w:sz="8" w:color="CCEEFF"/>
            </w:tcBorders>
            <w:gridSpan w:val="2"/>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44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Net change in net assets resulting from operations</w:t>
            </w:r>
          </w:p>
        </w:tc>
        <w:tc>
          <w:tcPr>
            <w:tcW w:w="320" w:type="dxa"/>
            <w:vAlign w:val="bottom"/>
          </w:tcPr>
          <w:p>
            <w:pPr>
              <w:jc w:val="right"/>
              <w:ind w:right="162"/>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(94,339,688)</w:t>
            </w:r>
          </w:p>
        </w:tc>
        <w:tc>
          <w:tcPr>
            <w:tcW w:w="140" w:type="dxa"/>
            <w:vAlign w:val="bottom"/>
          </w:tcPr>
          <w:p>
            <w:pPr>
              <w:spacing w:after="0"/>
              <w:rPr>
                <w:sz w:val="17"/>
                <w:szCs w:val="17"/>
                <w:color w:val="auto"/>
              </w:rPr>
            </w:pPr>
          </w:p>
        </w:tc>
        <w:tc>
          <w:tcPr>
            <w:tcW w:w="320" w:type="dxa"/>
            <w:vAlign w:val="bottom"/>
          </w:tcPr>
          <w:p>
            <w:pPr>
              <w:jc w:val="right"/>
              <w:ind w:right="162"/>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33,357,064</w:t>
            </w:r>
          </w:p>
        </w:tc>
        <w:tc>
          <w:tcPr>
            <w:tcW w:w="120" w:type="dxa"/>
            <w:vAlign w:val="bottom"/>
          </w:tcPr>
          <w:p>
            <w:pPr>
              <w:spacing w:after="0"/>
              <w:rPr>
                <w:sz w:val="17"/>
                <w:szCs w:val="17"/>
                <w:color w:val="auto"/>
              </w:rPr>
            </w:pPr>
          </w:p>
        </w:tc>
        <w:tc>
          <w:tcPr>
            <w:tcW w:w="420" w:type="dxa"/>
            <w:vAlign w:val="bottom"/>
          </w:tcPr>
          <w:p>
            <w:pPr>
              <w:jc w:val="right"/>
              <w:ind w:right="262"/>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(73,883,233)</w:t>
            </w:r>
          </w:p>
        </w:tc>
        <w:tc>
          <w:tcPr>
            <w:tcW w:w="100" w:type="dxa"/>
            <w:vAlign w:val="bottom"/>
          </w:tcPr>
          <w:p>
            <w:pPr>
              <w:spacing w:after="0"/>
              <w:rPr>
                <w:sz w:val="17"/>
                <w:szCs w:val="17"/>
                <w:color w:val="auto"/>
              </w:rPr>
            </w:pPr>
          </w:p>
        </w:tc>
        <w:tc>
          <w:tcPr>
            <w:tcW w:w="760" w:type="dxa"/>
            <w:vAlign w:val="bottom"/>
          </w:tcPr>
          <w:p>
            <w:pPr>
              <w:jc w:val="right"/>
              <w:ind w:right="582"/>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141,359,427</w:t>
            </w:r>
          </w:p>
        </w:tc>
        <w:tc>
          <w:tcPr>
            <w:tcW w:w="0" w:type="dxa"/>
            <w:vAlign w:val="bottom"/>
          </w:tcPr>
          <w:p>
            <w:pPr>
              <w:spacing w:after="0"/>
              <w:rPr>
                <w:sz w:val="1"/>
                <w:szCs w:val="1"/>
                <w:color w:val="auto"/>
              </w:rPr>
            </w:pPr>
          </w:p>
        </w:tc>
      </w:tr>
      <w:tr>
        <w:trPr>
          <w:trHeight w:val="207"/>
        </w:trPr>
        <w:tc>
          <w:tcPr>
            <w:tcW w:w="4460" w:type="dxa"/>
            <w:vAlign w:val="bottom"/>
            <w:tcBorders>
              <w:left w:val="single" w:sz="8" w:color="CCEEFF"/>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Weighted-average common shares–basic</w:t>
            </w:r>
          </w:p>
        </w:tc>
        <w:tc>
          <w:tcPr>
            <w:tcW w:w="3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30,633,878</w:t>
            </w:r>
          </w:p>
        </w:tc>
        <w:tc>
          <w:tcPr>
            <w:tcW w:w="14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25,334,482</w:t>
            </w:r>
          </w:p>
        </w:tc>
        <w:tc>
          <w:tcPr>
            <w:tcW w:w="12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30,929,321</w:t>
            </w:r>
          </w:p>
        </w:tc>
        <w:tc>
          <w:tcPr>
            <w:tcW w:w="100" w:type="dxa"/>
            <w:vAlign w:val="bottom"/>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22,923,943</w:t>
            </w:r>
          </w:p>
        </w:tc>
        <w:tc>
          <w:tcPr>
            <w:tcW w:w="0" w:type="dxa"/>
            <w:vAlign w:val="bottom"/>
          </w:tcPr>
          <w:p>
            <w:pPr>
              <w:spacing w:after="0"/>
              <w:rPr>
                <w:sz w:val="1"/>
                <w:szCs w:val="1"/>
                <w:color w:val="auto"/>
              </w:rPr>
            </w:pPr>
          </w:p>
        </w:tc>
      </w:tr>
      <w:tr>
        <w:trPr>
          <w:trHeight w:val="202"/>
        </w:trPr>
        <w:tc>
          <w:tcPr>
            <w:tcW w:w="446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Earnings per common share–basic</w:t>
            </w:r>
          </w:p>
        </w:tc>
        <w:tc>
          <w:tcPr>
            <w:tcW w:w="320" w:type="dxa"/>
            <w:vAlign w:val="bottom"/>
            <w:tcBorders>
              <w:bottom w:val="single" w:sz="8" w:color="auto"/>
            </w:tcBorders>
          </w:tcPr>
          <w:p>
            <w:pPr>
              <w:jc w:val="right"/>
              <w:ind w:right="162"/>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(3.08)</w:t>
            </w:r>
          </w:p>
        </w:tc>
        <w:tc>
          <w:tcPr>
            <w:tcW w:w="140" w:type="dxa"/>
            <w:vAlign w:val="bottom"/>
          </w:tcPr>
          <w:p>
            <w:pPr>
              <w:spacing w:after="0"/>
              <w:rPr>
                <w:sz w:val="17"/>
                <w:szCs w:val="17"/>
                <w:color w:val="auto"/>
              </w:rPr>
            </w:pPr>
          </w:p>
        </w:tc>
        <w:tc>
          <w:tcPr>
            <w:tcW w:w="320" w:type="dxa"/>
            <w:vAlign w:val="bottom"/>
            <w:tcBorders>
              <w:bottom w:val="single" w:sz="8" w:color="auto"/>
            </w:tcBorders>
          </w:tcPr>
          <w:p>
            <w:pPr>
              <w:jc w:val="right"/>
              <w:ind w:right="162"/>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120" w:type="dxa"/>
            <w:vAlign w:val="bottom"/>
          </w:tcPr>
          <w:p>
            <w:pPr>
              <w:spacing w:after="0"/>
              <w:rPr>
                <w:sz w:val="17"/>
                <w:szCs w:val="17"/>
                <w:color w:val="auto"/>
              </w:rPr>
            </w:pPr>
          </w:p>
        </w:tc>
        <w:tc>
          <w:tcPr>
            <w:tcW w:w="420" w:type="dxa"/>
            <w:vAlign w:val="bottom"/>
            <w:tcBorders>
              <w:bottom w:val="single" w:sz="8" w:color="auto"/>
            </w:tcBorders>
          </w:tcPr>
          <w:p>
            <w:pPr>
              <w:jc w:val="right"/>
              <w:ind w:right="262"/>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(2.39)</w:t>
            </w:r>
          </w:p>
        </w:tc>
        <w:tc>
          <w:tcPr>
            <w:tcW w:w="100" w:type="dxa"/>
            <w:vAlign w:val="bottom"/>
          </w:tcPr>
          <w:p>
            <w:pPr>
              <w:spacing w:after="0"/>
              <w:rPr>
                <w:sz w:val="17"/>
                <w:szCs w:val="17"/>
                <w:color w:val="auto"/>
              </w:rPr>
            </w:pPr>
          </w:p>
        </w:tc>
        <w:tc>
          <w:tcPr>
            <w:tcW w:w="760" w:type="dxa"/>
            <w:vAlign w:val="bottom"/>
            <w:tcBorders>
              <w:bottom w:val="single" w:sz="8" w:color="auto"/>
            </w:tcBorders>
          </w:tcPr>
          <w:p>
            <w:pPr>
              <w:jc w:val="right"/>
              <w:ind w:right="582"/>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6.17</w:t>
            </w:r>
          </w:p>
        </w:tc>
        <w:tc>
          <w:tcPr>
            <w:tcW w:w="0" w:type="dxa"/>
            <w:vAlign w:val="bottom"/>
          </w:tcPr>
          <w:p>
            <w:pPr>
              <w:spacing w:after="0"/>
              <w:rPr>
                <w:sz w:val="1"/>
                <w:szCs w:val="1"/>
                <w:color w:val="auto"/>
              </w:rPr>
            </w:pPr>
          </w:p>
        </w:tc>
      </w:tr>
      <w:tr>
        <w:trPr>
          <w:trHeight w:val="20"/>
        </w:trPr>
        <w:tc>
          <w:tcPr>
            <w:tcW w:w="23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9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4460" w:type="dxa"/>
            <w:vAlign w:val="bottom"/>
            <w:tcBorders>
              <w:left w:val="single" w:sz="8" w:color="CCEEFF"/>
            </w:tcBorders>
            <w:gridSpan w:val="3"/>
            <w:shd w:val="clear" w:color="auto" w:fill="CCEEFF"/>
          </w:tcPr>
          <w:p>
            <w:pPr>
              <w:ind w:left="20"/>
              <w:spacing w:after="0" w:line="134" w:lineRule="exact"/>
              <w:rPr>
                <w:sz w:val="20"/>
                <w:szCs w:val="20"/>
                <w:color w:val="auto"/>
              </w:rPr>
            </w:pPr>
            <w:r>
              <w:rPr>
                <w:rFonts w:ascii="Times New Roman" w:cs="Times New Roman" w:eastAsia="Times New Roman" w:hAnsi="Times New Roman"/>
                <w:sz w:val="14"/>
                <w:szCs w:val="14"/>
                <w:b w:val="1"/>
                <w:bCs w:val="1"/>
                <w:color w:val="auto"/>
              </w:rPr>
              <w:t>Earnings per common share–diluted:</w:t>
            </w:r>
          </w:p>
        </w:tc>
        <w:tc>
          <w:tcPr>
            <w:tcW w:w="32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39"/>
        </w:trPr>
        <w:tc>
          <w:tcPr>
            <w:tcW w:w="2360" w:type="dxa"/>
            <w:vAlign w:val="bottom"/>
            <w:tcBorders>
              <w:left w:val="single" w:sz="8" w:color="CCEEFF"/>
            </w:tcBorders>
            <w:shd w:val="clear" w:color="auto" w:fill="000000"/>
          </w:tcPr>
          <w:p>
            <w:pPr>
              <w:spacing w:after="0"/>
              <w:rPr>
                <w:sz w:val="3"/>
                <w:szCs w:val="3"/>
                <w:color w:val="auto"/>
              </w:rPr>
            </w:pPr>
          </w:p>
        </w:tc>
        <w:tc>
          <w:tcPr>
            <w:tcW w:w="120" w:type="dxa"/>
            <w:vAlign w:val="bottom"/>
            <w:shd w:val="clear" w:color="auto" w:fill="000000"/>
          </w:tcPr>
          <w:p>
            <w:pPr>
              <w:spacing w:after="0"/>
              <w:rPr>
                <w:sz w:val="3"/>
                <w:szCs w:val="3"/>
                <w:color w:val="auto"/>
              </w:rPr>
            </w:pPr>
          </w:p>
        </w:tc>
        <w:tc>
          <w:tcPr>
            <w:tcW w:w="198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08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0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14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106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44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Net change in net assets resulting from operations</w:t>
            </w:r>
          </w:p>
        </w:tc>
        <w:tc>
          <w:tcPr>
            <w:tcW w:w="320" w:type="dxa"/>
            <w:vAlign w:val="bottom"/>
          </w:tcPr>
          <w:p>
            <w:pPr>
              <w:jc w:val="right"/>
              <w:ind w:right="162"/>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(94,339,688)</w:t>
            </w:r>
          </w:p>
        </w:tc>
        <w:tc>
          <w:tcPr>
            <w:tcW w:w="140" w:type="dxa"/>
            <w:vAlign w:val="bottom"/>
          </w:tcPr>
          <w:p>
            <w:pPr>
              <w:spacing w:after="0"/>
              <w:rPr>
                <w:sz w:val="17"/>
                <w:szCs w:val="17"/>
                <w:color w:val="auto"/>
              </w:rPr>
            </w:pPr>
          </w:p>
        </w:tc>
        <w:tc>
          <w:tcPr>
            <w:tcW w:w="320" w:type="dxa"/>
            <w:vAlign w:val="bottom"/>
          </w:tcPr>
          <w:p>
            <w:pPr>
              <w:jc w:val="right"/>
              <w:ind w:right="162"/>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33,357,064</w:t>
            </w:r>
          </w:p>
        </w:tc>
        <w:tc>
          <w:tcPr>
            <w:tcW w:w="120" w:type="dxa"/>
            <w:vAlign w:val="bottom"/>
          </w:tcPr>
          <w:p>
            <w:pPr>
              <w:spacing w:after="0"/>
              <w:rPr>
                <w:sz w:val="17"/>
                <w:szCs w:val="17"/>
                <w:color w:val="auto"/>
              </w:rPr>
            </w:pPr>
          </w:p>
        </w:tc>
        <w:tc>
          <w:tcPr>
            <w:tcW w:w="420" w:type="dxa"/>
            <w:vAlign w:val="bottom"/>
          </w:tcPr>
          <w:p>
            <w:pPr>
              <w:jc w:val="right"/>
              <w:ind w:right="262"/>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(73,883,233)</w:t>
            </w:r>
          </w:p>
        </w:tc>
        <w:tc>
          <w:tcPr>
            <w:tcW w:w="100" w:type="dxa"/>
            <w:vAlign w:val="bottom"/>
          </w:tcPr>
          <w:p>
            <w:pPr>
              <w:spacing w:after="0"/>
              <w:rPr>
                <w:sz w:val="17"/>
                <w:szCs w:val="17"/>
                <w:color w:val="auto"/>
              </w:rPr>
            </w:pPr>
          </w:p>
        </w:tc>
        <w:tc>
          <w:tcPr>
            <w:tcW w:w="760" w:type="dxa"/>
            <w:vAlign w:val="bottom"/>
          </w:tcPr>
          <w:p>
            <w:pPr>
              <w:jc w:val="right"/>
              <w:ind w:right="582"/>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141,359,427</w:t>
            </w:r>
          </w:p>
        </w:tc>
        <w:tc>
          <w:tcPr>
            <w:tcW w:w="0" w:type="dxa"/>
            <w:vAlign w:val="bottom"/>
          </w:tcPr>
          <w:p>
            <w:pPr>
              <w:spacing w:after="0"/>
              <w:rPr>
                <w:sz w:val="1"/>
                <w:szCs w:val="1"/>
                <w:color w:val="auto"/>
              </w:rPr>
            </w:pPr>
          </w:p>
        </w:tc>
      </w:tr>
      <w:tr>
        <w:trPr>
          <w:trHeight w:val="158"/>
        </w:trPr>
        <w:tc>
          <w:tcPr>
            <w:tcW w:w="4460" w:type="dxa"/>
            <w:vAlign w:val="bottom"/>
            <w:tcBorders>
              <w:left w:val="single" w:sz="8" w:color="CCEEFF"/>
            </w:tcBorders>
            <w:gridSpan w:val="3"/>
            <w:shd w:val="clear" w:color="auto" w:fill="CCEEFF"/>
          </w:tcPr>
          <w:p>
            <w:pPr>
              <w:ind w:left="140"/>
              <w:spacing w:after="0" w:line="158" w:lineRule="exact"/>
              <w:rPr>
                <w:sz w:val="20"/>
                <w:szCs w:val="20"/>
                <w:color w:val="auto"/>
              </w:rPr>
            </w:pPr>
            <w:r>
              <w:rPr>
                <w:rFonts w:ascii="Times New Roman" w:cs="Times New Roman" w:eastAsia="Times New Roman" w:hAnsi="Times New Roman"/>
                <w:sz w:val="16"/>
                <w:szCs w:val="16"/>
                <w:color w:val="auto"/>
              </w:rPr>
              <w:t>Adjustment for interest and amortization on 4.75% Convertible</w:t>
            </w:r>
          </w:p>
        </w:tc>
        <w:tc>
          <w:tcPr>
            <w:tcW w:w="320" w:type="dxa"/>
            <w:vAlign w:val="bottom"/>
            <w:shd w:val="clear" w:color="auto" w:fill="CCEEFF"/>
          </w:tcPr>
          <w:p>
            <w:pPr>
              <w:spacing w:after="0"/>
              <w:rPr>
                <w:sz w:val="13"/>
                <w:szCs w:val="13"/>
                <w:color w:val="auto"/>
              </w:rPr>
            </w:pPr>
          </w:p>
        </w:tc>
        <w:tc>
          <w:tcPr>
            <w:tcW w:w="12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3"/>
                <w:szCs w:val="13"/>
                <w:color w:val="auto"/>
              </w:rPr>
            </w:pPr>
          </w:p>
        </w:tc>
        <w:tc>
          <w:tcPr>
            <w:tcW w:w="11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spacing w:after="0"/>
              <w:rPr>
                <w:sz w:val="13"/>
                <w:szCs w:val="13"/>
                <w:color w:val="auto"/>
              </w:rPr>
            </w:pPr>
          </w:p>
        </w:tc>
        <w:tc>
          <w:tcPr>
            <w:tcW w:w="15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spacing w:after="0"/>
              <w:rPr>
                <w:sz w:val="13"/>
                <w:szCs w:val="13"/>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501,065</w:t>
            </w:r>
          </w:p>
        </w:tc>
        <w:tc>
          <w:tcPr>
            <w:tcW w:w="0" w:type="dxa"/>
            <w:vAlign w:val="bottom"/>
          </w:tcPr>
          <w:p>
            <w:pPr>
              <w:spacing w:after="0"/>
              <w:rPr>
                <w:sz w:val="1"/>
                <w:szCs w:val="1"/>
                <w:color w:val="auto"/>
              </w:rPr>
            </w:pPr>
          </w:p>
        </w:tc>
      </w:tr>
      <w:tr>
        <w:trPr>
          <w:trHeight w:val="207"/>
        </w:trPr>
        <w:tc>
          <w:tcPr>
            <w:tcW w:w="4460" w:type="dxa"/>
            <w:vAlign w:val="bottom"/>
            <w:tcBorders>
              <w:left w:val="single" w:sz="8" w:color="CCEEFF"/>
            </w:tcBorders>
            <w:gridSpan w:val="3"/>
            <w:shd w:val="clear" w:color="auto" w:fill="CCEEFF"/>
          </w:tcPr>
          <w:p>
            <w:pPr>
              <w:ind w:left="220"/>
              <w:spacing w:after="0" w:line="207" w:lineRule="exact"/>
              <w:rPr>
                <w:sz w:val="20"/>
                <w:szCs w:val="20"/>
                <w:color w:val="auto"/>
              </w:rPr>
            </w:pPr>
            <w:r>
              <w:rPr>
                <w:rFonts w:ascii="Times New Roman" w:cs="Times New Roman" w:eastAsia="Times New Roman" w:hAnsi="Times New Roman"/>
                <w:sz w:val="16"/>
                <w:szCs w:val="16"/>
                <w:color w:val="auto"/>
              </w:rPr>
              <w:t>Senior Notes due 2023</w:t>
            </w:r>
            <w:r>
              <w:rPr>
                <w:rFonts w:ascii="Times New Roman" w:cs="Times New Roman" w:eastAsia="Times New Roman" w:hAnsi="Times New Roman"/>
                <w:sz w:val="20"/>
                <w:szCs w:val="20"/>
                <w:color w:val="auto"/>
                <w:vertAlign w:val="superscript"/>
              </w:rPr>
              <w:t>(1)</w:t>
            </w:r>
          </w:p>
        </w:tc>
        <w:tc>
          <w:tcPr>
            <w:tcW w:w="320" w:type="dxa"/>
            <w:vAlign w:val="bottom"/>
            <w:shd w:val="clear" w:color="auto" w:fill="CCEEFF"/>
          </w:tcPr>
          <w:p>
            <w:pPr>
              <w:spacing w:after="0"/>
              <w:rPr>
                <w:sz w:val="17"/>
                <w:szCs w:val="17"/>
                <w:color w:val="auto"/>
              </w:rPr>
            </w:pPr>
          </w:p>
        </w:tc>
        <w:tc>
          <w:tcPr>
            <w:tcW w:w="1220" w:type="dxa"/>
            <w:vAlign w:val="bottom"/>
            <w:gridSpan w:val="2"/>
            <w:vMerge w:val="continue"/>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80" w:type="dxa"/>
            <w:vAlign w:val="bottom"/>
            <w:gridSpan w:val="2"/>
            <w:vMerge w:val="continue"/>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500" w:type="dxa"/>
            <w:vAlign w:val="bottom"/>
            <w:gridSpan w:val="2"/>
            <w:vMerge w:val="continue"/>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460" w:type="dxa"/>
            <w:vAlign w:val="bottom"/>
            <w:tcBorders>
              <w:top w:val="single" w:sz="8" w:color="CCEEFF"/>
            </w:tcBorders>
            <w:gridSpan w:val="3"/>
          </w:tcPr>
          <w:p>
            <w:pPr>
              <w:ind w:left="100"/>
              <w:spacing w:after="0"/>
              <w:rPr>
                <w:sz w:val="20"/>
                <w:szCs w:val="20"/>
                <w:color w:val="auto"/>
              </w:rPr>
            </w:pPr>
            <w:r>
              <w:rPr>
                <w:rFonts w:ascii="Times New Roman" w:cs="Times New Roman" w:eastAsia="Times New Roman" w:hAnsi="Times New Roman"/>
                <w:sz w:val="16"/>
                <w:szCs w:val="16"/>
                <w:color w:val="auto"/>
              </w:rPr>
              <w:t>Net change in net assets resulting from operations, as adjusted</w:t>
            </w:r>
          </w:p>
        </w:tc>
        <w:tc>
          <w:tcPr>
            <w:tcW w:w="320" w:type="dxa"/>
            <w:vAlign w:val="bottom"/>
            <w:tcBorders>
              <w:top w:val="single" w:sz="8" w:color="auto"/>
            </w:tcBorders>
          </w:tcPr>
          <w:p>
            <w:pPr>
              <w:jc w:val="right"/>
              <w:ind w:right="162"/>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(94,339,688)</w:t>
            </w:r>
          </w:p>
        </w:tc>
        <w:tc>
          <w:tcPr>
            <w:tcW w:w="140" w:type="dxa"/>
            <w:vAlign w:val="bottom"/>
          </w:tcPr>
          <w:p>
            <w:pPr>
              <w:spacing w:after="0"/>
              <w:rPr>
                <w:sz w:val="17"/>
                <w:szCs w:val="17"/>
                <w:color w:val="auto"/>
              </w:rPr>
            </w:pPr>
          </w:p>
        </w:tc>
        <w:tc>
          <w:tcPr>
            <w:tcW w:w="320" w:type="dxa"/>
            <w:vAlign w:val="bottom"/>
            <w:tcBorders>
              <w:top w:val="single" w:sz="8" w:color="auto"/>
            </w:tcBorders>
          </w:tcPr>
          <w:p>
            <w:pPr>
              <w:jc w:val="right"/>
              <w:ind w:right="162"/>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33,357,064</w:t>
            </w:r>
          </w:p>
        </w:tc>
        <w:tc>
          <w:tcPr>
            <w:tcW w:w="120" w:type="dxa"/>
            <w:vAlign w:val="bottom"/>
          </w:tcPr>
          <w:p>
            <w:pPr>
              <w:spacing w:after="0"/>
              <w:rPr>
                <w:sz w:val="17"/>
                <w:szCs w:val="17"/>
                <w:color w:val="auto"/>
              </w:rPr>
            </w:pPr>
          </w:p>
        </w:tc>
        <w:tc>
          <w:tcPr>
            <w:tcW w:w="420" w:type="dxa"/>
            <w:vAlign w:val="bottom"/>
            <w:tcBorders>
              <w:top w:val="single" w:sz="8" w:color="auto"/>
            </w:tcBorders>
          </w:tcPr>
          <w:p>
            <w:pPr>
              <w:jc w:val="right"/>
              <w:ind w:right="262"/>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(73,883,233)</w:t>
            </w:r>
          </w:p>
        </w:tc>
        <w:tc>
          <w:tcPr>
            <w:tcW w:w="100" w:type="dxa"/>
            <w:vAlign w:val="bottom"/>
          </w:tcPr>
          <w:p>
            <w:pPr>
              <w:spacing w:after="0"/>
              <w:rPr>
                <w:sz w:val="17"/>
                <w:szCs w:val="17"/>
                <w:color w:val="auto"/>
              </w:rPr>
            </w:pPr>
          </w:p>
        </w:tc>
        <w:tc>
          <w:tcPr>
            <w:tcW w:w="760" w:type="dxa"/>
            <w:vAlign w:val="bottom"/>
            <w:tcBorders>
              <w:top w:val="single" w:sz="8" w:color="auto"/>
            </w:tcBorders>
          </w:tcPr>
          <w:p>
            <w:pPr>
              <w:jc w:val="right"/>
              <w:ind w:right="582"/>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141,860,492</w:t>
            </w:r>
          </w:p>
        </w:tc>
        <w:tc>
          <w:tcPr>
            <w:tcW w:w="0" w:type="dxa"/>
            <w:vAlign w:val="bottom"/>
          </w:tcPr>
          <w:p>
            <w:pPr>
              <w:spacing w:after="0"/>
              <w:rPr>
                <w:sz w:val="1"/>
                <w:szCs w:val="1"/>
                <w:color w:val="auto"/>
              </w:rPr>
            </w:pPr>
          </w:p>
        </w:tc>
      </w:tr>
      <w:tr>
        <w:trPr>
          <w:trHeight w:val="170"/>
        </w:trPr>
        <w:tc>
          <w:tcPr>
            <w:tcW w:w="4460" w:type="dxa"/>
            <w:vAlign w:val="bottom"/>
            <w:tcBorders>
              <w:left w:val="single" w:sz="8" w:color="CCEEFF"/>
            </w:tcBorders>
            <w:gridSpan w:val="3"/>
            <w:shd w:val="clear" w:color="auto" w:fill="CCEEFF"/>
          </w:tcPr>
          <w:p>
            <w:pPr>
              <w:ind w:left="140"/>
              <w:spacing w:after="0" w:line="171" w:lineRule="exact"/>
              <w:rPr>
                <w:sz w:val="20"/>
                <w:szCs w:val="20"/>
                <w:color w:val="auto"/>
              </w:rPr>
            </w:pPr>
            <w:r>
              <w:rPr>
                <w:rFonts w:ascii="Times New Roman" w:cs="Times New Roman" w:eastAsia="Times New Roman" w:hAnsi="Times New Roman"/>
                <w:sz w:val="16"/>
                <w:szCs w:val="16"/>
                <w:color w:val="auto"/>
              </w:rPr>
              <w:t>Adjustment for dilutive effect of 4.75% Convertible Senior Notes</w:t>
            </w:r>
          </w:p>
        </w:tc>
        <w:tc>
          <w:tcPr>
            <w:tcW w:w="320" w:type="dxa"/>
            <w:vAlign w:val="bottom"/>
            <w:shd w:val="clear" w:color="auto" w:fill="CCEEFF"/>
          </w:tcPr>
          <w:p>
            <w:pPr>
              <w:spacing w:after="0"/>
              <w:rPr>
                <w:sz w:val="14"/>
                <w:szCs w:val="14"/>
                <w:color w:val="auto"/>
              </w:rPr>
            </w:pPr>
          </w:p>
        </w:tc>
        <w:tc>
          <w:tcPr>
            <w:tcW w:w="12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4"/>
                <w:szCs w:val="14"/>
                <w:color w:val="auto"/>
              </w:rPr>
            </w:pPr>
          </w:p>
        </w:tc>
        <w:tc>
          <w:tcPr>
            <w:tcW w:w="11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spacing w:after="0"/>
              <w:rPr>
                <w:sz w:val="14"/>
                <w:szCs w:val="14"/>
                <w:color w:val="auto"/>
              </w:rPr>
            </w:pPr>
          </w:p>
        </w:tc>
        <w:tc>
          <w:tcPr>
            <w:tcW w:w="15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1,808,313</w:t>
            </w:r>
          </w:p>
        </w:tc>
        <w:tc>
          <w:tcPr>
            <w:tcW w:w="0" w:type="dxa"/>
            <w:vAlign w:val="bottom"/>
          </w:tcPr>
          <w:p>
            <w:pPr>
              <w:spacing w:after="0"/>
              <w:rPr>
                <w:sz w:val="1"/>
                <w:szCs w:val="1"/>
                <w:color w:val="auto"/>
              </w:rPr>
            </w:pPr>
          </w:p>
        </w:tc>
      </w:tr>
      <w:tr>
        <w:trPr>
          <w:trHeight w:val="207"/>
        </w:trPr>
        <w:tc>
          <w:tcPr>
            <w:tcW w:w="4460" w:type="dxa"/>
            <w:vAlign w:val="bottom"/>
            <w:tcBorders>
              <w:left w:val="single" w:sz="8" w:color="CCEEFF"/>
            </w:tcBorders>
            <w:gridSpan w:val="3"/>
            <w:shd w:val="clear" w:color="auto" w:fill="CCEEFF"/>
          </w:tcPr>
          <w:p>
            <w:pPr>
              <w:ind w:left="220"/>
              <w:spacing w:after="0" w:line="207" w:lineRule="exact"/>
              <w:rPr>
                <w:sz w:val="20"/>
                <w:szCs w:val="20"/>
                <w:color w:val="auto"/>
              </w:rPr>
            </w:pPr>
            <w:r>
              <w:rPr>
                <w:rFonts w:ascii="Times New Roman" w:cs="Times New Roman" w:eastAsia="Times New Roman" w:hAnsi="Times New Roman"/>
                <w:sz w:val="16"/>
                <w:szCs w:val="16"/>
                <w:color w:val="auto"/>
              </w:rPr>
              <w:t>due 2023</w:t>
            </w:r>
            <w:r>
              <w:rPr>
                <w:rFonts w:ascii="Times New Roman" w:cs="Times New Roman" w:eastAsia="Times New Roman" w:hAnsi="Times New Roman"/>
                <w:sz w:val="20"/>
                <w:szCs w:val="20"/>
                <w:color w:val="auto"/>
                <w:vertAlign w:val="superscript"/>
              </w:rPr>
              <w:t>(1)</w:t>
            </w:r>
          </w:p>
        </w:tc>
        <w:tc>
          <w:tcPr>
            <w:tcW w:w="320" w:type="dxa"/>
            <w:vAlign w:val="bottom"/>
            <w:shd w:val="clear" w:color="auto" w:fill="CCEEFF"/>
          </w:tcPr>
          <w:p>
            <w:pPr>
              <w:spacing w:after="0"/>
              <w:rPr>
                <w:sz w:val="17"/>
                <w:szCs w:val="17"/>
                <w:color w:val="auto"/>
              </w:rPr>
            </w:pPr>
          </w:p>
        </w:tc>
        <w:tc>
          <w:tcPr>
            <w:tcW w:w="1220" w:type="dxa"/>
            <w:vAlign w:val="bottom"/>
            <w:gridSpan w:val="2"/>
            <w:vMerge w:val="continue"/>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80" w:type="dxa"/>
            <w:vAlign w:val="bottom"/>
            <w:gridSpan w:val="2"/>
            <w:vMerge w:val="continue"/>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500" w:type="dxa"/>
            <w:vAlign w:val="bottom"/>
            <w:gridSpan w:val="2"/>
            <w:vMerge w:val="continue"/>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460" w:type="dxa"/>
            <w:vAlign w:val="bottom"/>
            <w:tcBorders>
              <w:top w:val="single" w:sz="8" w:color="CCEEFF"/>
              <w:bottom w:val="single" w:sz="8" w:color="CCEEFF"/>
            </w:tcBorders>
            <w:gridSpan w:val="3"/>
          </w:tcPr>
          <w:p>
            <w:pPr>
              <w:ind w:left="20"/>
              <w:spacing w:after="0"/>
              <w:rPr>
                <w:sz w:val="20"/>
                <w:szCs w:val="20"/>
                <w:color w:val="auto"/>
              </w:rPr>
            </w:pPr>
            <w:r>
              <w:rPr>
                <w:rFonts w:ascii="Times New Roman" w:cs="Times New Roman" w:eastAsia="Times New Roman" w:hAnsi="Times New Roman"/>
                <w:sz w:val="16"/>
                <w:szCs w:val="16"/>
                <w:color w:val="auto"/>
              </w:rPr>
              <w:t>Weighted-average common shares outstanding–diluted</w:t>
            </w:r>
          </w:p>
        </w:tc>
        <w:tc>
          <w:tcPr>
            <w:tcW w:w="32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color w:val="auto"/>
              </w:rPr>
              <w:t>30,633,878</w:t>
            </w:r>
          </w:p>
        </w:tc>
        <w:tc>
          <w:tcPr>
            <w:tcW w:w="14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25,334,482</w:t>
            </w:r>
          </w:p>
        </w:tc>
        <w:tc>
          <w:tcPr>
            <w:tcW w:w="120" w:type="dxa"/>
            <w:vAlign w:val="bottom"/>
            <w:tcBorders>
              <w:bottom w:val="single" w:sz="8" w:color="CCEEFF"/>
            </w:tcBorders>
          </w:tcPr>
          <w:p>
            <w:pPr>
              <w:spacing w:after="0"/>
              <w:rPr>
                <w:sz w:val="17"/>
                <w:szCs w:val="17"/>
                <w:color w:val="auto"/>
              </w:rPr>
            </w:pPr>
          </w:p>
        </w:tc>
        <w:tc>
          <w:tcPr>
            <w:tcW w:w="420" w:type="dxa"/>
            <w:vAlign w:val="bottom"/>
            <w:tcBorders>
              <w:top w:val="single" w:sz="8" w:color="auto"/>
              <w:bottom w:val="single" w:sz="8" w:color="auto"/>
            </w:tcBorders>
          </w:tcPr>
          <w:p>
            <w:pPr>
              <w:spacing w:after="0"/>
              <w:rPr>
                <w:sz w:val="17"/>
                <w:szCs w:val="17"/>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30,929,321</w:t>
            </w:r>
          </w:p>
        </w:tc>
        <w:tc>
          <w:tcPr>
            <w:tcW w:w="100" w:type="dxa"/>
            <w:vAlign w:val="bottom"/>
            <w:tcBorders>
              <w:bottom w:val="single" w:sz="8" w:color="CCEEFF"/>
            </w:tcBorders>
          </w:tcPr>
          <w:p>
            <w:pPr>
              <w:spacing w:after="0"/>
              <w:rPr>
                <w:sz w:val="17"/>
                <w:szCs w:val="17"/>
                <w:color w:val="auto"/>
              </w:rPr>
            </w:pPr>
          </w:p>
        </w:tc>
        <w:tc>
          <w:tcPr>
            <w:tcW w:w="76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24,732,256</w:t>
            </w:r>
          </w:p>
        </w:tc>
        <w:tc>
          <w:tcPr>
            <w:tcW w:w="0" w:type="dxa"/>
            <w:vAlign w:val="bottom"/>
          </w:tcPr>
          <w:p>
            <w:pPr>
              <w:spacing w:after="0"/>
              <w:rPr>
                <w:sz w:val="1"/>
                <w:szCs w:val="1"/>
                <w:color w:val="auto"/>
              </w:rPr>
            </w:pPr>
          </w:p>
        </w:tc>
      </w:tr>
      <w:tr>
        <w:trPr>
          <w:trHeight w:val="227"/>
        </w:trPr>
        <w:tc>
          <w:tcPr>
            <w:tcW w:w="4460" w:type="dxa"/>
            <w:vAlign w:val="bottom"/>
            <w:tcBorders>
              <w:left w:val="single" w:sz="8" w:color="CCEEFF"/>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Earnings per common share–diluted</w:t>
            </w:r>
          </w:p>
        </w:tc>
        <w:tc>
          <w:tcPr>
            <w:tcW w:w="320" w:type="dxa"/>
            <w:vAlign w:val="bottom"/>
            <w:tcBorders>
              <w:bottom w:val="single" w:sz="8" w:color="auto"/>
            </w:tcBorders>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w:t>
            </w:r>
          </w:p>
        </w:tc>
        <w:tc>
          <w:tcPr>
            <w:tcW w:w="14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1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62"/>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w:t>
            </w:r>
          </w:p>
        </w:tc>
        <w:tc>
          <w:tcPr>
            <w:tcW w:w="10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ind w:right="582"/>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5.74</w:t>
            </w:r>
          </w:p>
        </w:tc>
        <w:tc>
          <w:tcPr>
            <w:tcW w:w="0" w:type="dxa"/>
            <w:vAlign w:val="bottom"/>
          </w:tcPr>
          <w:p>
            <w:pPr>
              <w:spacing w:after="0"/>
              <w:rPr>
                <w:sz w:val="1"/>
                <w:szCs w:val="1"/>
                <w:color w:val="auto"/>
              </w:rPr>
            </w:pPr>
          </w:p>
        </w:tc>
      </w:tr>
      <w:tr>
        <w:trPr>
          <w:trHeight w:val="20"/>
        </w:trPr>
        <w:tc>
          <w:tcPr>
            <w:tcW w:w="2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49530</wp:posOffset>
            </wp:positionH>
            <wp:positionV relativeFrom="paragraph">
              <wp:posOffset>-1740535</wp:posOffset>
            </wp:positionV>
            <wp:extent cx="282575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825750" cy="8255"/>
                    </a:xfrm>
                    <a:prstGeom prst="rect">
                      <a:avLst/>
                    </a:prstGeom>
                    <a:noFill/>
                  </pic:spPr>
                </pic:pic>
              </a:graphicData>
            </a:graphic>
          </wp:anchor>
        </w:drawing>
      </w:r>
    </w:p>
    <w:p>
      <w:pPr>
        <w:spacing w:after="0" w:line="26" w:lineRule="exact"/>
        <w:rPr>
          <w:sz w:val="20"/>
          <w:szCs w:val="20"/>
          <w:color w:val="auto"/>
        </w:rPr>
      </w:pPr>
    </w:p>
    <w:p>
      <w:pPr>
        <w:ind w:left="74"/>
        <w:spacing w:after="0"/>
        <w:rPr>
          <w:sz w:val="20"/>
          <w:szCs w:val="20"/>
          <w:color w:val="auto"/>
        </w:rPr>
      </w:pPr>
      <w:r>
        <w:rPr>
          <w:rFonts w:ascii="Times New Roman" w:cs="Times New Roman" w:eastAsia="Times New Roman" w:hAnsi="Times New Roman"/>
          <w:sz w:val="17"/>
          <w:szCs w:val="17"/>
          <w:color w:val="auto"/>
        </w:rPr>
        <w:t>______________________</w:t>
      </w:r>
    </w:p>
    <w:p>
      <w:pPr>
        <w:spacing w:after="0" w:line="30" w:lineRule="exact"/>
        <w:rPr>
          <w:sz w:val="20"/>
          <w:szCs w:val="20"/>
          <w:color w:val="auto"/>
        </w:rPr>
      </w:pPr>
    </w:p>
    <w:p>
      <w:pPr>
        <w:ind w:left="374" w:hanging="374"/>
        <w:spacing w:after="0"/>
        <w:tabs>
          <w:tab w:leader="none" w:pos="374"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4"/>
          <w:szCs w:val="14"/>
          <w:color w:val="auto"/>
        </w:rPr>
        <w:t>For the three and six months ended June 30, 2022 and June 30, 2021, there were no potentially dilutive securities outstanding.</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74"/>
        <w:spacing w:after="0"/>
        <w:rPr>
          <w:sz w:val="20"/>
          <w:szCs w:val="20"/>
          <w:color w:val="auto"/>
        </w:rPr>
      </w:pPr>
      <w:r>
        <w:rPr>
          <w:rFonts w:ascii="Times New Roman" w:cs="Times New Roman" w:eastAsia="Times New Roman" w:hAnsi="Times New Roman"/>
          <w:sz w:val="17"/>
          <w:szCs w:val="17"/>
          <w:b w:val="1"/>
          <w:bCs w:val="1"/>
          <w:color w:val="auto"/>
        </w:rPr>
        <w:t>NOTE 7—COMMITMENTS AND CONTINGENCIES</w:t>
      </w:r>
    </w:p>
    <w:p>
      <w:pPr>
        <w:spacing w:after="0" w:line="246" w:lineRule="exact"/>
        <w:rPr>
          <w:sz w:val="20"/>
          <w:szCs w:val="20"/>
          <w:color w:val="auto"/>
        </w:rPr>
      </w:pPr>
    </w:p>
    <w:p>
      <w:pPr>
        <w:jc w:val="both"/>
        <w:ind w:left="74" w:firstLine="349"/>
        <w:spacing w:after="0" w:line="272" w:lineRule="auto"/>
        <w:rPr>
          <w:sz w:val="20"/>
          <w:szCs w:val="20"/>
          <w:color w:val="auto"/>
        </w:rPr>
      </w:pPr>
      <w:r>
        <w:rPr>
          <w:rFonts w:ascii="Times New Roman" w:cs="Times New Roman" w:eastAsia="Times New Roman" w:hAnsi="Times New Roman"/>
          <w:sz w:val="17"/>
          <w:szCs w:val="17"/>
          <w:color w:val="auto"/>
        </w:rPr>
        <w:t>In the normal course of business, the Company may enter into investment agreements under which it commits to make an investment in a portfolio company at some future date or over a specified period of time. As of June 30, 2022 and December 31, 2021, the Company had $1,330,000 and $1,330,000, respectively, in non-binding investment agreements that required it to make a future investment in a portfolio company.</w:t>
      </w:r>
    </w:p>
    <w:p>
      <w:pPr>
        <w:spacing w:after="0" w:line="189" w:lineRule="exact"/>
        <w:rPr>
          <w:sz w:val="20"/>
          <w:szCs w:val="20"/>
          <w:color w:val="auto"/>
        </w:rPr>
      </w:pPr>
    </w:p>
    <w:p>
      <w:pPr>
        <w:jc w:val="both"/>
        <w:ind w:left="74" w:firstLine="349"/>
        <w:spacing w:after="0" w:line="266" w:lineRule="auto"/>
        <w:rPr>
          <w:sz w:val="20"/>
          <w:szCs w:val="20"/>
          <w:color w:val="auto"/>
        </w:rPr>
      </w:pPr>
      <w:r>
        <w:rPr>
          <w:rFonts w:ascii="Times New Roman" w:cs="Times New Roman" w:eastAsia="Times New Roman" w:hAnsi="Times New Roman"/>
          <w:sz w:val="17"/>
          <w:szCs w:val="17"/>
          <w:color w:val="auto"/>
        </w:rPr>
        <w:t>From time to time, the Company may be a party to certain legal proceedings in the ordinary course of business, including proceedings relating to the enforcement of its rights under contracts with its portfolio companies. While the outcome of these legal proceedings cannot be predicted with certainty, the Company does not expect that these proceedings will have a material effect upon its business, financial condition or results of operations. The Company is not currently a party to any material legal proceedings.</w:t>
      </w:r>
    </w:p>
    <w:p>
      <w:pPr>
        <w:spacing w:after="0" w:line="164" w:lineRule="exact"/>
        <w:rPr>
          <w:sz w:val="20"/>
          <w:szCs w:val="20"/>
          <w:color w:val="auto"/>
        </w:rPr>
      </w:pPr>
    </w:p>
    <w:p>
      <w:pPr>
        <w:ind w:left="74"/>
        <w:spacing w:after="0"/>
        <w:rPr>
          <w:sz w:val="20"/>
          <w:szCs w:val="20"/>
          <w:color w:val="auto"/>
        </w:rPr>
      </w:pPr>
      <w:r>
        <w:rPr>
          <w:rFonts w:ascii="Times New Roman" w:cs="Times New Roman" w:eastAsia="Times New Roman" w:hAnsi="Times New Roman"/>
          <w:sz w:val="17"/>
          <w:szCs w:val="17"/>
          <w:b w:val="1"/>
          <w:bCs w:val="1"/>
          <w:i w:val="1"/>
          <w:iCs w:val="1"/>
          <w:color w:val="auto"/>
        </w:rPr>
        <w:t>Operating Leases &amp; Related Deposits</w:t>
      </w:r>
    </w:p>
    <w:p>
      <w:pPr>
        <w:spacing w:after="0" w:line="248" w:lineRule="exact"/>
        <w:rPr>
          <w:sz w:val="20"/>
          <w:szCs w:val="20"/>
          <w:color w:val="auto"/>
        </w:rPr>
      </w:pPr>
    </w:p>
    <w:p>
      <w:pPr>
        <w:jc w:val="both"/>
        <w:ind w:left="74" w:firstLine="349"/>
        <w:spacing w:after="0" w:line="272" w:lineRule="auto"/>
        <w:rPr>
          <w:sz w:val="20"/>
          <w:szCs w:val="20"/>
          <w:color w:val="auto"/>
        </w:rPr>
      </w:pPr>
      <w:r>
        <w:rPr>
          <w:rFonts w:ascii="Times New Roman" w:cs="Times New Roman" w:eastAsia="Times New Roman" w:hAnsi="Times New Roman"/>
          <w:sz w:val="17"/>
          <w:szCs w:val="17"/>
          <w:color w:val="auto"/>
        </w:rPr>
        <w:t>The Company currently has one operating lease for office space for which the Company has recorded a right-of-use asset and lease liability for the operating lease obligation. The lease commenced June 3, 2019 and expires July 31, 2024. The lease expense is presented as a single lease cost that is amortized on a straight-line basis over the life of the lease.</w:t>
      </w:r>
    </w:p>
    <w:p>
      <w:pPr>
        <w:spacing w:after="0" w:line="189" w:lineRule="exact"/>
        <w:rPr>
          <w:sz w:val="20"/>
          <w:szCs w:val="20"/>
          <w:color w:val="auto"/>
        </w:rPr>
      </w:pPr>
    </w:p>
    <w:p>
      <w:pPr>
        <w:jc w:val="both"/>
        <w:ind w:left="74" w:firstLine="349"/>
        <w:spacing w:after="0" w:line="266" w:lineRule="auto"/>
        <w:rPr>
          <w:sz w:val="20"/>
          <w:szCs w:val="20"/>
          <w:color w:val="auto"/>
        </w:rPr>
      </w:pPr>
      <w:r>
        <w:rPr>
          <w:rFonts w:ascii="Times New Roman" w:cs="Times New Roman" w:eastAsia="Times New Roman" w:hAnsi="Times New Roman"/>
          <w:sz w:val="17"/>
          <w:szCs w:val="17"/>
          <w:color w:val="auto"/>
        </w:rPr>
        <w:t>As of June 30, 2022 and December 31, 2021, the Company booked a right-of-use asset and operating lease liability of $379,835 and $470,508, respectively, on the Condensed Consolidated Statement of Assets and Liabilities. As of June 30, 2022 and December 31, 2021, the Company recorded a security deposit of $16,574 and $16,574, respectively, on the Condensed Consolidated Statement of Assets and Liabilities. For the three months ended June 30, 2022 and 2021, the Company incurred $47,349 and $46,321, respectively, of operating lease expense. For the six months ended June 30, 2022 and 2021, the Company</w:t>
      </w:r>
    </w:p>
    <w:p>
      <w:pPr>
        <w:spacing w:after="0" w:line="200" w:lineRule="exact"/>
        <w:rPr>
          <w:sz w:val="20"/>
          <w:szCs w:val="20"/>
          <w:color w:val="auto"/>
        </w:rPr>
      </w:pPr>
    </w:p>
    <w:p>
      <w:pPr>
        <w:spacing w:after="0" w:line="330" w:lineRule="exact"/>
        <w:rPr>
          <w:sz w:val="20"/>
          <w:szCs w:val="20"/>
          <w:color w:val="auto"/>
        </w:rPr>
      </w:pPr>
    </w:p>
    <w:p>
      <w:pPr>
        <w:jc w:val="center"/>
        <w:ind w:right="-73"/>
        <w:spacing w:after="0"/>
        <w:rPr>
          <w:sz w:val="20"/>
          <w:szCs w:val="20"/>
          <w:color w:val="auto"/>
        </w:rPr>
      </w:pPr>
      <w:r>
        <w:rPr>
          <w:rFonts w:ascii="Times New Roman" w:cs="Times New Roman" w:eastAsia="Times New Roman" w:hAnsi="Times New Roman"/>
          <w:sz w:val="17"/>
          <w:szCs w:val="17"/>
          <w:color w:val="auto"/>
        </w:rPr>
        <w:t>45</w:t>
      </w:r>
    </w:p>
    <w:p>
      <w:pPr>
        <w:sectPr>
          <w:pgSz w:w="11900" w:h="16838" w:orient="portrait"/>
          <w:cols w:equalWidth="0" w:num="1">
            <w:col w:w="11314"/>
          </w:cols>
          <w:pgMar w:left="246" w:top="118"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SURO CAPITAL CORP. AND SUBSIDIARIES</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June 30, 2022</w:t>
      </w:r>
    </w:p>
    <w:p>
      <w:pPr>
        <w:spacing w:after="0" w:line="368" w:lineRule="exact"/>
        <w:rPr>
          <w:sz w:val="20"/>
          <w:szCs w:val="20"/>
          <w:color w:val="auto"/>
        </w:rPr>
      </w:pPr>
    </w:p>
    <w:p>
      <w:pPr>
        <w:spacing w:after="0" w:line="291" w:lineRule="auto"/>
        <w:rPr>
          <w:sz w:val="20"/>
          <w:szCs w:val="20"/>
          <w:color w:val="auto"/>
        </w:rPr>
      </w:pPr>
      <w:r>
        <w:rPr>
          <w:rFonts w:ascii="Times New Roman" w:cs="Times New Roman" w:eastAsia="Times New Roman" w:hAnsi="Times New Roman"/>
          <w:sz w:val="17"/>
          <w:szCs w:val="17"/>
          <w:color w:val="auto"/>
        </w:rPr>
        <w:t>incurred $94,721 and $92,045, respectively, of operating lease expense. The amounts reflected on the Condensed Consolidated Statement of Assets and Liabilities have been discounted using the rate implicit in the lease. As of June 30, 2022, the remaining lease term was 2.0 years and the discount rate was 3.00%.</w:t>
      </w:r>
    </w:p>
    <w:p>
      <w:pPr>
        <w:spacing w:after="0" w:line="17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The following table shows future minimum payments under the Company's operating lease as of June 30, 2022:</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1380" w:type="dxa"/>
            <w:vAlign w:val="bottom"/>
          </w:tcPr>
          <w:p>
            <w:pPr>
              <w:spacing w:after="0"/>
              <w:rPr>
                <w:sz w:val="15"/>
                <w:szCs w:val="15"/>
                <w:color w:val="auto"/>
              </w:rPr>
            </w:pPr>
          </w:p>
        </w:tc>
        <w:tc>
          <w:tcPr>
            <w:tcW w:w="38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gridSpan w:val="2"/>
          </w:tcPr>
          <w:p>
            <w:pPr>
              <w:ind w:left="840"/>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5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3"/>
        </w:trPr>
        <w:tc>
          <w:tcPr>
            <w:tcW w:w="1380" w:type="dxa"/>
            <w:vAlign w:val="bottom"/>
          </w:tcPr>
          <w:p>
            <w:pPr>
              <w:spacing w:after="0"/>
              <w:rPr>
                <w:sz w:val="18"/>
                <w:szCs w:val="18"/>
                <w:color w:val="auto"/>
              </w:rPr>
            </w:pPr>
          </w:p>
        </w:tc>
        <w:tc>
          <w:tcPr>
            <w:tcW w:w="3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2022</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93,735</w:t>
            </w: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380" w:type="dxa"/>
            <w:vAlign w:val="bottom"/>
          </w:tcPr>
          <w:p>
            <w:pPr>
              <w:spacing w:after="0"/>
              <w:rPr>
                <w:sz w:val="19"/>
                <w:szCs w:val="19"/>
                <w:color w:val="auto"/>
              </w:rPr>
            </w:pPr>
          </w:p>
        </w:tc>
        <w:tc>
          <w:tcPr>
            <w:tcW w:w="3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190,750</w:t>
            </w: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380" w:type="dxa"/>
            <w:vAlign w:val="bottom"/>
          </w:tcPr>
          <w:p>
            <w:pPr>
              <w:spacing w:after="0"/>
              <w:rPr>
                <w:sz w:val="19"/>
                <w:szCs w:val="19"/>
                <w:color w:val="auto"/>
              </w:rPr>
            </w:pPr>
          </w:p>
        </w:tc>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113,603</w:t>
            </w: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138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17"/>
                <w:szCs w:val="17"/>
                <w:color w:val="auto"/>
                <w:w w:val="93"/>
              </w:rPr>
              <w:t>$</w:t>
            </w: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398,088</w:t>
            </w: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b w:val="1"/>
                <w:bCs w:val="1"/>
                <w:color w:val="auto"/>
              </w:rPr>
              <w:t>NOTE 8—FINANCIAL HIGHLIGHTS</w:t>
            </w: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5"/>
        </w:trPr>
        <w:tc>
          <w:tcPr>
            <w:tcW w:w="5220" w:type="dxa"/>
            <w:vAlign w:val="bottom"/>
            <w:gridSpan w:val="3"/>
            <w:vMerge w:val="continue"/>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1380" w:type="dxa"/>
            <w:vAlign w:val="bottom"/>
          </w:tcPr>
          <w:p>
            <w:pPr>
              <w:spacing w:after="0"/>
              <w:rPr>
                <w:sz w:val="23"/>
                <w:szCs w:val="23"/>
                <w:color w:val="auto"/>
              </w:rPr>
            </w:pPr>
          </w:p>
        </w:tc>
        <w:tc>
          <w:tcPr>
            <w:tcW w:w="37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860" w:type="dxa"/>
            <w:vAlign w:val="bottom"/>
            <w:gridSpan w:val="6"/>
          </w:tcPr>
          <w:p>
            <w:pPr>
              <w:ind w:left="4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00" w:type="dxa"/>
            <w:vAlign w:val="bottom"/>
          </w:tcPr>
          <w:p>
            <w:pPr>
              <w:spacing w:after="0"/>
              <w:rPr>
                <w:sz w:val="23"/>
                <w:szCs w:val="23"/>
                <w:color w:val="auto"/>
              </w:rPr>
            </w:pPr>
          </w:p>
        </w:tc>
        <w:tc>
          <w:tcPr>
            <w:tcW w:w="2760" w:type="dxa"/>
            <w:vAlign w:val="bottom"/>
            <w:gridSpan w:val="4"/>
          </w:tcPr>
          <w:p>
            <w:pPr>
              <w:jc w:val="right"/>
              <w:ind w:right="603"/>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138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1380" w:type="dxa"/>
            <w:vAlign w:val="bottom"/>
            <w:tcBorders>
              <w:bottom w:val="single" w:sz="8" w:color="CCEEFF"/>
            </w:tcBorders>
          </w:tcPr>
          <w:p>
            <w:pPr>
              <w:spacing w:after="0"/>
              <w:rPr>
                <w:sz w:val="15"/>
                <w:szCs w:val="15"/>
                <w:color w:val="auto"/>
              </w:rPr>
            </w:pPr>
          </w:p>
        </w:tc>
        <w:tc>
          <w:tcPr>
            <w:tcW w:w="376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left="203"/>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4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center"/>
              <w:ind w:right="103"/>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center"/>
              <w:ind w:right="122"/>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center"/>
              <w:ind w:right="123"/>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0" w:type="dxa"/>
            <w:vAlign w:val="bottom"/>
          </w:tcPr>
          <w:p>
            <w:pPr>
              <w:spacing w:after="0"/>
              <w:rPr>
                <w:sz w:val="1"/>
                <w:szCs w:val="1"/>
                <w:color w:val="auto"/>
              </w:rPr>
            </w:pPr>
          </w:p>
        </w:tc>
      </w:tr>
      <w:tr>
        <w:trPr>
          <w:trHeight w:val="180"/>
        </w:trPr>
        <w:tc>
          <w:tcPr>
            <w:tcW w:w="52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Per Basic Share Data</w:t>
            </w: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40" w:type="dxa"/>
            <w:vAlign w:val="bottom"/>
            <w:tcBorders>
              <w:right w:val="single" w:sz="8" w:color="CCEEFF"/>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52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Net asset value at beginning of the year</w:t>
            </w:r>
          </w:p>
        </w:tc>
        <w:tc>
          <w:tcPr>
            <w:tcW w:w="2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gridSpan w:val="2"/>
          </w:tcPr>
          <w:p>
            <w:pPr>
              <w:jc w:val="right"/>
              <w:ind w:right="101"/>
              <w:spacing w:after="0"/>
              <w:rPr>
                <w:sz w:val="20"/>
                <w:szCs w:val="20"/>
                <w:color w:val="auto"/>
              </w:rPr>
            </w:pPr>
            <w:r>
              <w:rPr>
                <w:rFonts w:ascii="Times New Roman" w:cs="Times New Roman" w:eastAsia="Times New Roman" w:hAnsi="Times New Roman"/>
                <w:sz w:val="16"/>
                <w:szCs w:val="16"/>
                <w:color w:val="auto"/>
              </w:rPr>
              <w:t>12.22</w:t>
            </w:r>
          </w:p>
        </w:tc>
        <w:tc>
          <w:tcPr>
            <w:tcW w:w="100" w:type="dxa"/>
            <w:vAlign w:val="bottom"/>
          </w:tcPr>
          <w:p>
            <w:pPr>
              <w:spacing w:after="0"/>
              <w:rPr>
                <w:sz w:val="17"/>
                <w:szCs w:val="17"/>
                <w:color w:val="auto"/>
              </w:rPr>
            </w:pPr>
          </w:p>
        </w:tc>
        <w:tc>
          <w:tcPr>
            <w:tcW w:w="1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ind w:right="123"/>
              <w:spacing w:after="0"/>
              <w:rPr>
                <w:sz w:val="20"/>
                <w:szCs w:val="20"/>
                <w:color w:val="auto"/>
              </w:rPr>
            </w:pPr>
            <w:r>
              <w:rPr>
                <w:rFonts w:ascii="Times New Roman" w:cs="Times New Roman" w:eastAsia="Times New Roman" w:hAnsi="Times New Roman"/>
                <w:sz w:val="16"/>
                <w:szCs w:val="16"/>
                <w:color w:val="auto"/>
              </w:rPr>
              <w:t>18.01</w:t>
            </w:r>
          </w:p>
        </w:tc>
        <w:tc>
          <w:tcPr>
            <w:tcW w:w="80" w:type="dxa"/>
            <w:vAlign w:val="bottom"/>
          </w:tcPr>
          <w:p>
            <w:pPr>
              <w:spacing w:after="0"/>
              <w:rPr>
                <w:sz w:val="17"/>
                <w:szCs w:val="17"/>
                <w:color w:val="auto"/>
              </w:rPr>
            </w:pPr>
          </w:p>
        </w:tc>
        <w:tc>
          <w:tcPr>
            <w:tcW w:w="2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11.72</w:t>
            </w:r>
          </w:p>
        </w:tc>
        <w:tc>
          <w:tcPr>
            <w:tcW w:w="140" w:type="dxa"/>
            <w:vAlign w:val="bottom"/>
          </w:tcPr>
          <w:p>
            <w:pPr>
              <w:spacing w:after="0"/>
              <w:rPr>
                <w:sz w:val="17"/>
                <w:szCs w:val="17"/>
                <w:color w:val="auto"/>
              </w:rPr>
            </w:pPr>
          </w:p>
        </w:tc>
        <w:tc>
          <w:tcPr>
            <w:tcW w:w="140" w:type="dxa"/>
            <w:vAlign w:val="bottom"/>
          </w:tcPr>
          <w:p>
            <w:pPr>
              <w:jc w:val="right"/>
              <w:ind w:right="78"/>
              <w:spacing w:after="0"/>
              <w:rPr>
                <w:sz w:val="20"/>
                <w:szCs w:val="20"/>
                <w:color w:val="auto"/>
              </w:rPr>
            </w:pPr>
            <w:r>
              <w:rPr>
                <w:rFonts w:ascii="Times New Roman" w:cs="Times New Roman" w:eastAsia="Times New Roman" w:hAnsi="Times New Roman"/>
                <w:sz w:val="4"/>
                <w:szCs w:val="4"/>
                <w:color w:val="auto"/>
                <w:w w:val="97"/>
              </w:rPr>
              <w:t>$</w:t>
            </w:r>
          </w:p>
        </w:tc>
        <w:tc>
          <w:tcPr>
            <w:tcW w:w="1240" w:type="dxa"/>
            <w:vAlign w:val="bottom"/>
          </w:tcPr>
          <w:p>
            <w:pPr>
              <w:jc w:val="right"/>
              <w:ind w:right="103"/>
              <w:spacing w:after="0"/>
              <w:rPr>
                <w:sz w:val="20"/>
                <w:szCs w:val="20"/>
                <w:color w:val="auto"/>
              </w:rPr>
            </w:pPr>
            <w:r>
              <w:rPr>
                <w:rFonts w:ascii="Times New Roman" w:cs="Times New Roman" w:eastAsia="Times New Roman" w:hAnsi="Times New Roman"/>
                <w:sz w:val="16"/>
                <w:szCs w:val="16"/>
                <w:color w:val="auto"/>
              </w:rPr>
              <w:t>15.14</w:t>
            </w:r>
          </w:p>
        </w:tc>
        <w:tc>
          <w:tcPr>
            <w:tcW w:w="0" w:type="dxa"/>
            <w:vAlign w:val="bottom"/>
          </w:tcPr>
          <w:p>
            <w:pPr>
              <w:spacing w:after="0"/>
              <w:rPr>
                <w:sz w:val="1"/>
                <w:szCs w:val="1"/>
                <w:color w:val="auto"/>
              </w:rPr>
            </w:pPr>
          </w:p>
        </w:tc>
      </w:tr>
      <w:tr>
        <w:trPr>
          <w:trHeight w:val="209"/>
        </w:trPr>
        <w:tc>
          <w:tcPr>
            <w:tcW w:w="5220" w:type="dxa"/>
            <w:vAlign w:val="bottom"/>
            <w:gridSpan w:val="3"/>
            <w:shd w:val="clear" w:color="auto" w:fill="CCEEFF"/>
          </w:tcPr>
          <w:p>
            <w:pPr>
              <w:ind w:left="140"/>
              <w:spacing w:after="0" w:line="209" w:lineRule="exact"/>
              <w:rPr>
                <w:sz w:val="20"/>
                <w:szCs w:val="20"/>
                <w:color w:val="auto"/>
              </w:rPr>
            </w:pPr>
            <w:r>
              <w:rPr>
                <w:rFonts w:ascii="Times New Roman" w:cs="Times New Roman" w:eastAsia="Times New Roman" w:hAnsi="Times New Roman"/>
                <w:sz w:val="16"/>
                <w:szCs w:val="16"/>
                <w:color w:val="auto"/>
              </w:rPr>
              <w:t>Net investment loss</w:t>
            </w:r>
            <w:r>
              <w:rPr>
                <w:rFonts w:ascii="Times New Roman" w:cs="Times New Roman" w:eastAsia="Times New Roman" w:hAnsi="Times New Roman"/>
                <w:sz w:val="20"/>
                <w:szCs w:val="20"/>
                <w:color w:val="auto"/>
                <w:vertAlign w:val="superscript"/>
              </w:rPr>
              <w:t>(1)</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(0.12)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(0.07)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(0.26)</w:t>
            </w:r>
          </w:p>
        </w:tc>
        <w:tc>
          <w:tcPr>
            <w:tcW w:w="1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(0.21)</w:t>
            </w:r>
          </w:p>
        </w:tc>
        <w:tc>
          <w:tcPr>
            <w:tcW w:w="0" w:type="dxa"/>
            <w:vAlign w:val="bottom"/>
          </w:tcPr>
          <w:p>
            <w:pPr>
              <w:spacing w:after="0"/>
              <w:rPr>
                <w:sz w:val="1"/>
                <w:szCs w:val="1"/>
                <w:color w:val="auto"/>
              </w:rPr>
            </w:pPr>
          </w:p>
        </w:tc>
      </w:tr>
      <w:tr>
        <w:trPr>
          <w:trHeight w:val="207"/>
        </w:trPr>
        <w:tc>
          <w:tcPr>
            <w:tcW w:w="5220" w:type="dxa"/>
            <w:vAlign w:val="bottom"/>
            <w:gridSpan w:val="3"/>
          </w:tcPr>
          <w:p>
            <w:pPr>
              <w:ind w:left="140"/>
              <w:spacing w:after="0" w:line="207" w:lineRule="exact"/>
              <w:rPr>
                <w:sz w:val="20"/>
                <w:szCs w:val="20"/>
                <w:color w:val="auto"/>
              </w:rPr>
            </w:pPr>
            <w:r>
              <w:rPr>
                <w:rFonts w:ascii="Times New Roman" w:cs="Times New Roman" w:eastAsia="Times New Roman" w:hAnsi="Times New Roman"/>
                <w:sz w:val="16"/>
                <w:szCs w:val="16"/>
                <w:color w:val="auto"/>
              </w:rPr>
              <w:t>Net realized gain/(loss) on investments</w:t>
            </w:r>
            <w:r>
              <w:rPr>
                <w:rFonts w:ascii="Times New Roman" w:cs="Times New Roman" w:eastAsia="Times New Roman" w:hAnsi="Times New Roman"/>
                <w:sz w:val="20"/>
                <w:szCs w:val="20"/>
                <w:color w:val="auto"/>
                <w:vertAlign w:val="superscript"/>
              </w:rPr>
              <w:t>(1)</w:t>
            </w:r>
          </w:p>
        </w:tc>
        <w:tc>
          <w:tcPr>
            <w:tcW w:w="200" w:type="dxa"/>
            <w:vAlign w:val="bottom"/>
          </w:tcPr>
          <w:p>
            <w:pPr>
              <w:spacing w:after="0"/>
              <w:rPr>
                <w:sz w:val="17"/>
                <w:szCs w:val="17"/>
                <w:color w:val="auto"/>
              </w:rPr>
            </w:pPr>
          </w:p>
        </w:tc>
        <w:tc>
          <w:tcPr>
            <w:tcW w:w="1240" w:type="dxa"/>
            <w:vAlign w:val="bottom"/>
            <w:gridSpan w:val="2"/>
          </w:tcPr>
          <w:p>
            <w:pPr>
              <w:jc w:val="right"/>
              <w:ind w:right="61"/>
              <w:spacing w:after="0"/>
              <w:rPr>
                <w:sz w:val="20"/>
                <w:szCs w:val="20"/>
                <w:color w:val="auto"/>
              </w:rPr>
            </w:pPr>
            <w:r>
              <w:rPr>
                <w:rFonts w:ascii="Times New Roman" w:cs="Times New Roman" w:eastAsia="Times New Roman" w:hAnsi="Times New Roman"/>
                <w:sz w:val="16"/>
                <w:szCs w:val="16"/>
                <w:color w:val="auto"/>
              </w:rPr>
              <w:t>(0.06)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right"/>
              <w:ind w:right="123"/>
              <w:spacing w:after="0"/>
              <w:rPr>
                <w:sz w:val="20"/>
                <w:szCs w:val="20"/>
                <w:color w:val="auto"/>
              </w:rPr>
            </w:pPr>
            <w:r>
              <w:rPr>
                <w:rFonts w:ascii="Times New Roman" w:cs="Times New Roman" w:eastAsia="Times New Roman" w:hAnsi="Times New Roman"/>
                <w:sz w:val="16"/>
                <w:szCs w:val="16"/>
                <w:color w:val="auto"/>
              </w:rPr>
              <w:t>0.63</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0.04</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jc w:val="right"/>
              <w:ind w:right="103"/>
              <w:spacing w:after="0"/>
              <w:rPr>
                <w:sz w:val="20"/>
                <w:szCs w:val="20"/>
                <w:color w:val="auto"/>
              </w:rPr>
            </w:pPr>
            <w:r>
              <w:rPr>
                <w:rFonts w:ascii="Times New Roman" w:cs="Times New Roman" w:eastAsia="Times New Roman" w:hAnsi="Times New Roman"/>
                <w:sz w:val="16"/>
                <w:szCs w:val="16"/>
                <w:color w:val="auto"/>
              </w:rPr>
              <w:t>6.10</w:t>
            </w:r>
          </w:p>
        </w:tc>
        <w:tc>
          <w:tcPr>
            <w:tcW w:w="0" w:type="dxa"/>
            <w:vAlign w:val="bottom"/>
          </w:tcPr>
          <w:p>
            <w:pPr>
              <w:spacing w:after="0"/>
              <w:rPr>
                <w:sz w:val="1"/>
                <w:szCs w:val="1"/>
                <w:color w:val="auto"/>
              </w:rPr>
            </w:pPr>
          </w:p>
        </w:tc>
      </w:tr>
      <w:tr>
        <w:trPr>
          <w:trHeight w:val="207"/>
        </w:trPr>
        <w:tc>
          <w:tcPr>
            <w:tcW w:w="5220" w:type="dxa"/>
            <w:vAlign w:val="bottom"/>
            <w:gridSpan w:val="3"/>
            <w:shd w:val="clear" w:color="auto" w:fill="CCEEFF"/>
          </w:tcPr>
          <w:p>
            <w:pPr>
              <w:ind w:left="140"/>
              <w:spacing w:after="0" w:line="207" w:lineRule="exact"/>
              <w:rPr>
                <w:sz w:val="20"/>
                <w:szCs w:val="20"/>
                <w:color w:val="auto"/>
              </w:rPr>
            </w:pPr>
            <w:r>
              <w:rPr>
                <w:rFonts w:ascii="Times New Roman" w:cs="Times New Roman" w:eastAsia="Times New Roman" w:hAnsi="Times New Roman"/>
                <w:sz w:val="16"/>
                <w:szCs w:val="16"/>
                <w:color w:val="auto"/>
              </w:rPr>
              <w:t>Net change in unrealized appreciation/(depreciation) of investments</w:t>
            </w:r>
            <w:r>
              <w:rPr>
                <w:rFonts w:ascii="Times New Roman" w:cs="Times New Roman" w:eastAsia="Times New Roman" w:hAnsi="Times New Roman"/>
                <w:sz w:val="20"/>
                <w:szCs w:val="20"/>
                <w:color w:val="auto"/>
                <w:vertAlign w:val="superscript"/>
              </w:rPr>
              <w:t>(1)</w:t>
            </w:r>
          </w:p>
        </w:tc>
        <w:tc>
          <w:tcPr>
            <w:tcW w:w="2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(2.89)</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0.32</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(2.17)</w:t>
            </w:r>
          </w:p>
        </w:tc>
        <w:tc>
          <w:tcPr>
            <w:tcW w:w="14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6"/>
                <w:szCs w:val="16"/>
                <w:color w:val="auto"/>
              </w:rPr>
              <w:t>0.26</w:t>
            </w:r>
          </w:p>
        </w:tc>
        <w:tc>
          <w:tcPr>
            <w:tcW w:w="0" w:type="dxa"/>
            <w:vAlign w:val="bottom"/>
          </w:tcPr>
          <w:p>
            <w:pPr>
              <w:spacing w:after="0"/>
              <w:rPr>
                <w:sz w:val="1"/>
                <w:szCs w:val="1"/>
                <w:color w:val="auto"/>
              </w:rPr>
            </w:pPr>
          </w:p>
        </w:tc>
      </w:tr>
      <w:tr>
        <w:trPr>
          <w:trHeight w:val="205"/>
        </w:trPr>
        <w:tc>
          <w:tcPr>
            <w:tcW w:w="522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rPr>
              <w:t>Dividends declared</w:t>
            </w: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126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(2.50)</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(0.11)</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(3.00)</w:t>
            </w:r>
          </w:p>
        </w:tc>
        <w:tc>
          <w:tcPr>
            <w:tcW w:w="0" w:type="dxa"/>
            <w:vAlign w:val="bottom"/>
          </w:tcPr>
          <w:p>
            <w:pPr>
              <w:spacing w:after="0"/>
              <w:rPr>
                <w:sz w:val="1"/>
                <w:szCs w:val="1"/>
                <w:color w:val="auto"/>
              </w:rPr>
            </w:pPr>
          </w:p>
        </w:tc>
      </w:tr>
      <w:tr>
        <w:trPr>
          <w:trHeight w:val="209"/>
        </w:trPr>
        <w:tc>
          <w:tcPr>
            <w:tcW w:w="52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Issuance of common stock from stock dividend</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0.16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tcBorders>
              <w:right w:val="single" w:sz="8" w:color="CCEEFF"/>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6"/>
                <w:szCs w:val="16"/>
                <w:color w:val="auto"/>
              </w:rPr>
              <w:t>0.16</w:t>
            </w:r>
          </w:p>
        </w:tc>
        <w:tc>
          <w:tcPr>
            <w:tcW w:w="0" w:type="dxa"/>
            <w:vAlign w:val="bottom"/>
          </w:tcPr>
          <w:p>
            <w:pPr>
              <w:spacing w:after="0"/>
              <w:rPr>
                <w:sz w:val="1"/>
                <w:szCs w:val="1"/>
                <w:color w:val="auto"/>
              </w:rPr>
            </w:pPr>
          </w:p>
        </w:tc>
      </w:tr>
      <w:tr>
        <w:trPr>
          <w:trHeight w:val="207"/>
        </w:trPr>
        <w:tc>
          <w:tcPr>
            <w:tcW w:w="5220" w:type="dxa"/>
            <w:vAlign w:val="bottom"/>
            <w:gridSpan w:val="3"/>
          </w:tcPr>
          <w:p>
            <w:pPr>
              <w:ind w:left="140"/>
              <w:spacing w:after="0" w:line="207" w:lineRule="exact"/>
              <w:rPr>
                <w:sz w:val="20"/>
                <w:szCs w:val="20"/>
                <w:color w:val="auto"/>
              </w:rPr>
            </w:pPr>
            <w:r>
              <w:rPr>
                <w:rFonts w:ascii="Times New Roman" w:cs="Times New Roman" w:eastAsia="Times New Roman" w:hAnsi="Times New Roman"/>
                <w:sz w:val="16"/>
                <w:szCs w:val="16"/>
                <w:color w:val="auto"/>
              </w:rPr>
              <w:t>Issuance of common stock from public offering</w:t>
            </w:r>
            <w:r>
              <w:rPr>
                <w:rFonts w:ascii="Times New Roman" w:cs="Times New Roman" w:eastAsia="Times New Roman" w:hAnsi="Times New Roman"/>
                <w:sz w:val="20"/>
                <w:szCs w:val="20"/>
                <w:color w:val="auto"/>
                <w:vertAlign w:val="superscript"/>
              </w:rPr>
              <w:t>(1)</w:t>
            </w: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24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0.01</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jc w:val="right"/>
              <w:ind w:right="103"/>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55"/>
        </w:trPr>
        <w:tc>
          <w:tcPr>
            <w:tcW w:w="5220" w:type="dxa"/>
            <w:vAlign w:val="bottom"/>
            <w:gridSpan w:val="3"/>
            <w:shd w:val="clear" w:color="auto" w:fill="CCEEFF"/>
          </w:tcPr>
          <w:p>
            <w:pPr>
              <w:ind w:left="140"/>
              <w:spacing w:after="0" w:line="155" w:lineRule="exact"/>
              <w:rPr>
                <w:sz w:val="20"/>
                <w:szCs w:val="20"/>
                <w:color w:val="auto"/>
              </w:rPr>
            </w:pPr>
            <w:r>
              <w:rPr>
                <w:rFonts w:ascii="Times New Roman" w:cs="Times New Roman" w:eastAsia="Times New Roman" w:hAnsi="Times New Roman"/>
                <w:sz w:val="16"/>
                <w:szCs w:val="16"/>
                <w:color w:val="auto"/>
              </w:rPr>
              <w:t>Issuance of common stock from conversion of 4.75% Convertible Notes due</w:t>
            </w:r>
          </w:p>
        </w:tc>
        <w:tc>
          <w:tcPr>
            <w:tcW w:w="2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58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3"/>
                <w:szCs w:val="13"/>
                <w:color w:val="auto"/>
              </w:rPr>
            </w:pPr>
          </w:p>
        </w:tc>
        <w:tc>
          <w:tcPr>
            <w:tcW w:w="134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3"/>
                <w:szCs w:val="13"/>
                <w:color w:val="auto"/>
              </w:rPr>
            </w:pPr>
          </w:p>
        </w:tc>
        <w:tc>
          <w:tcPr>
            <w:tcW w:w="1380" w:type="dxa"/>
            <w:vAlign w:val="bottom"/>
            <w:tcBorders>
              <w:right w:val="single" w:sz="8" w:color="CCEEFF"/>
            </w:tcBorders>
            <w:gridSpan w:val="2"/>
            <w:vMerge w:val="restart"/>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3"/>
                <w:szCs w:val="13"/>
                <w:color w:val="auto"/>
              </w:rPr>
            </w:pPr>
          </w:p>
        </w:tc>
        <w:tc>
          <w:tcPr>
            <w:tcW w:w="1240" w:type="dxa"/>
            <w:vAlign w:val="bottom"/>
            <w:vMerge w:val="restart"/>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(1.91)</w:t>
            </w:r>
          </w:p>
        </w:tc>
        <w:tc>
          <w:tcPr>
            <w:tcW w:w="0" w:type="dxa"/>
            <w:vAlign w:val="bottom"/>
          </w:tcPr>
          <w:p>
            <w:pPr>
              <w:spacing w:after="0"/>
              <w:rPr>
                <w:sz w:val="1"/>
                <w:szCs w:val="1"/>
                <w:color w:val="auto"/>
              </w:rPr>
            </w:pPr>
          </w:p>
        </w:tc>
      </w:tr>
      <w:tr>
        <w:trPr>
          <w:trHeight w:val="207"/>
        </w:trPr>
        <w:tc>
          <w:tcPr>
            <w:tcW w:w="1380" w:type="dxa"/>
            <w:vAlign w:val="bottom"/>
            <w:shd w:val="clear" w:color="auto" w:fill="CCEEFF"/>
          </w:tcPr>
          <w:p>
            <w:pPr>
              <w:ind w:left="140"/>
              <w:spacing w:after="0" w:line="207" w:lineRule="exact"/>
              <w:rPr>
                <w:sz w:val="20"/>
                <w:szCs w:val="20"/>
                <w:color w:val="auto"/>
              </w:rPr>
            </w:pPr>
            <w:r>
              <w:rPr>
                <w:rFonts w:ascii="Times New Roman" w:cs="Times New Roman" w:eastAsia="Times New Roman" w:hAnsi="Times New Roman"/>
                <w:sz w:val="16"/>
                <w:szCs w:val="16"/>
                <w:color w:val="auto"/>
              </w:rPr>
              <w:t>2023</w:t>
            </w:r>
            <w:r>
              <w:rPr>
                <w:rFonts w:ascii="Times New Roman" w:cs="Times New Roman" w:eastAsia="Times New Roman" w:hAnsi="Times New Roman"/>
                <w:sz w:val="20"/>
                <w:szCs w:val="20"/>
                <w:color w:val="auto"/>
                <w:vertAlign w:val="superscript"/>
              </w:rPr>
              <w:t>(1)</w:t>
            </w:r>
          </w:p>
        </w:tc>
        <w:tc>
          <w:tcPr>
            <w:tcW w:w="3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58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4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80" w:type="dxa"/>
            <w:vAlign w:val="bottom"/>
            <w:tcBorders>
              <w:right w:val="single" w:sz="8" w:color="CCEEFF"/>
            </w:tcBorders>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220" w:type="dxa"/>
            <w:vAlign w:val="bottom"/>
            <w:gridSpan w:val="3"/>
          </w:tcPr>
          <w:p>
            <w:pPr>
              <w:ind w:left="140"/>
              <w:spacing w:after="0" w:line="207" w:lineRule="exact"/>
              <w:rPr>
                <w:sz w:val="20"/>
                <w:szCs w:val="20"/>
                <w:color w:val="auto"/>
              </w:rPr>
            </w:pPr>
            <w:r>
              <w:rPr>
                <w:rFonts w:ascii="Times New Roman" w:cs="Times New Roman" w:eastAsia="Times New Roman" w:hAnsi="Times New Roman"/>
                <w:sz w:val="16"/>
                <w:szCs w:val="16"/>
                <w:color w:val="auto"/>
              </w:rPr>
              <w:t>Repurchase of common stock</w:t>
            </w:r>
            <w:r>
              <w:rPr>
                <w:rFonts w:ascii="Times New Roman" w:cs="Times New Roman" w:eastAsia="Times New Roman" w:hAnsi="Times New Roman"/>
                <w:sz w:val="20"/>
                <w:szCs w:val="20"/>
                <w:color w:val="auto"/>
                <w:vertAlign w:val="superscript"/>
              </w:rPr>
              <w:t>(1)</w:t>
            </w:r>
          </w:p>
        </w:tc>
        <w:tc>
          <w:tcPr>
            <w:tcW w:w="200" w:type="dxa"/>
            <w:vAlign w:val="bottom"/>
          </w:tcPr>
          <w:p>
            <w:pPr>
              <w:spacing w:after="0"/>
              <w:rPr>
                <w:sz w:val="17"/>
                <w:szCs w:val="17"/>
                <w:color w:val="auto"/>
              </w:rPr>
            </w:pPr>
          </w:p>
        </w:tc>
        <w:tc>
          <w:tcPr>
            <w:tcW w:w="1240" w:type="dxa"/>
            <w:vAlign w:val="bottom"/>
            <w:gridSpan w:val="2"/>
          </w:tcPr>
          <w:p>
            <w:pPr>
              <w:jc w:val="right"/>
              <w:ind w:right="101"/>
              <w:spacing w:after="0"/>
              <w:rPr>
                <w:sz w:val="20"/>
                <w:szCs w:val="20"/>
                <w:color w:val="auto"/>
              </w:rPr>
            </w:pPr>
            <w:r>
              <w:rPr>
                <w:rFonts w:ascii="Times New Roman" w:cs="Times New Roman" w:eastAsia="Times New Roman" w:hAnsi="Times New Roman"/>
                <w:sz w:val="16"/>
                <w:szCs w:val="16"/>
                <w:color w:val="auto"/>
              </w:rPr>
              <w:t>0.07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(0.01)</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jc w:val="right"/>
              <w:ind w:right="103"/>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7"/>
        </w:trPr>
        <w:tc>
          <w:tcPr>
            <w:tcW w:w="5220" w:type="dxa"/>
            <w:vAlign w:val="bottom"/>
            <w:gridSpan w:val="3"/>
            <w:shd w:val="clear" w:color="auto" w:fill="CCEEFF"/>
          </w:tcPr>
          <w:p>
            <w:pPr>
              <w:ind w:left="140"/>
              <w:spacing w:after="0" w:line="207" w:lineRule="exact"/>
              <w:rPr>
                <w:sz w:val="20"/>
                <w:szCs w:val="20"/>
                <w:color w:val="auto"/>
              </w:rPr>
            </w:pPr>
            <w:r>
              <w:rPr>
                <w:rFonts w:ascii="Times New Roman" w:cs="Times New Roman" w:eastAsia="Times New Roman" w:hAnsi="Times New Roman"/>
                <w:sz w:val="16"/>
                <w:szCs w:val="16"/>
                <w:color w:val="auto"/>
              </w:rPr>
              <w:t>Stock-based compensation</w:t>
            </w:r>
            <w:r>
              <w:rPr>
                <w:rFonts w:ascii="Times New Roman" w:cs="Times New Roman" w:eastAsia="Times New Roman" w:hAnsi="Times New Roman"/>
                <w:sz w:val="20"/>
                <w:szCs w:val="20"/>
                <w:color w:val="auto"/>
                <w:vertAlign w:val="superscript"/>
              </w:rPr>
              <w:t>(1)</w:t>
            </w:r>
          </w:p>
        </w:tc>
        <w:tc>
          <w:tcPr>
            <w:tcW w:w="2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0.02</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0.01</w:t>
            </w: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0.02</w:t>
            </w:r>
          </w:p>
        </w:tc>
        <w:tc>
          <w:tcPr>
            <w:tcW w:w="140" w:type="dxa"/>
            <w:vAlign w:val="bottom"/>
            <w:tcBorders>
              <w:right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6"/>
                <w:szCs w:val="16"/>
                <w:color w:val="auto"/>
              </w:rPr>
              <w:t>0.02</w:t>
            </w:r>
          </w:p>
        </w:tc>
        <w:tc>
          <w:tcPr>
            <w:tcW w:w="0" w:type="dxa"/>
            <w:vAlign w:val="bottom"/>
          </w:tcPr>
          <w:p>
            <w:pPr>
              <w:spacing w:after="0"/>
              <w:rPr>
                <w:sz w:val="1"/>
                <w:szCs w:val="1"/>
                <w:color w:val="auto"/>
              </w:rPr>
            </w:pPr>
          </w:p>
        </w:tc>
      </w:tr>
      <w:tr>
        <w:trPr>
          <w:trHeight w:val="200"/>
        </w:trPr>
        <w:tc>
          <w:tcPr>
            <w:tcW w:w="52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Net asset value at end of period</w:t>
            </w:r>
          </w:p>
        </w:tc>
        <w:tc>
          <w:tcPr>
            <w:tcW w:w="20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gridSpan w:val="2"/>
          </w:tcPr>
          <w:p>
            <w:pPr>
              <w:jc w:val="right"/>
              <w:ind w:right="101"/>
              <w:spacing w:after="0"/>
              <w:rPr>
                <w:sz w:val="20"/>
                <w:szCs w:val="20"/>
                <w:color w:val="auto"/>
              </w:rPr>
            </w:pPr>
            <w:r>
              <w:rPr>
                <w:rFonts w:ascii="Times New Roman" w:cs="Times New Roman" w:eastAsia="Times New Roman" w:hAnsi="Times New Roman"/>
                <w:sz w:val="16"/>
                <w:szCs w:val="16"/>
                <w:color w:val="auto"/>
              </w:rPr>
              <w:t>9.24</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6"/>
                <w:szCs w:val="16"/>
                <w:color w:val="auto"/>
              </w:rPr>
              <w:t>16.56</w:t>
            </w:r>
          </w:p>
        </w:tc>
        <w:tc>
          <w:tcPr>
            <w:tcW w:w="80" w:type="dxa"/>
            <w:vAlign w:val="bottom"/>
          </w:tcPr>
          <w:p>
            <w:pPr>
              <w:spacing w:after="0"/>
              <w:rPr>
                <w:sz w:val="17"/>
                <w:szCs w:val="17"/>
                <w:color w:val="auto"/>
              </w:rPr>
            </w:pPr>
          </w:p>
        </w:tc>
        <w:tc>
          <w:tcPr>
            <w:tcW w:w="20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9.24</w:t>
            </w:r>
          </w:p>
        </w:tc>
        <w:tc>
          <w:tcPr>
            <w:tcW w:w="140" w:type="dxa"/>
            <w:vAlign w:val="bottom"/>
          </w:tcPr>
          <w:p>
            <w:pPr>
              <w:spacing w:after="0"/>
              <w:rPr>
                <w:sz w:val="17"/>
                <w:szCs w:val="17"/>
                <w:color w:val="auto"/>
              </w:rPr>
            </w:pPr>
          </w:p>
        </w:tc>
        <w:tc>
          <w:tcPr>
            <w:tcW w:w="140" w:type="dxa"/>
            <w:vAlign w:val="bottom"/>
            <w:tcBorders>
              <w:bottom w:val="single" w:sz="8" w:color="auto"/>
            </w:tcBorders>
          </w:tcPr>
          <w:p>
            <w:pPr>
              <w:jc w:val="right"/>
              <w:ind w:right="78"/>
              <w:spacing w:after="0"/>
              <w:rPr>
                <w:sz w:val="20"/>
                <w:szCs w:val="20"/>
                <w:color w:val="auto"/>
              </w:rPr>
            </w:pPr>
            <w:r>
              <w:rPr>
                <w:rFonts w:ascii="Times New Roman" w:cs="Times New Roman" w:eastAsia="Times New Roman" w:hAnsi="Times New Roman"/>
                <w:sz w:val="4"/>
                <w:szCs w:val="4"/>
                <w:color w:val="auto"/>
                <w:w w:val="97"/>
              </w:rPr>
              <w:t>$</w:t>
            </w:r>
          </w:p>
        </w:tc>
        <w:tc>
          <w:tcPr>
            <w:tcW w:w="124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6"/>
                <w:szCs w:val="16"/>
                <w:color w:val="auto"/>
              </w:rPr>
              <w:t>16.56</w:t>
            </w:r>
          </w:p>
        </w:tc>
        <w:tc>
          <w:tcPr>
            <w:tcW w:w="0" w:type="dxa"/>
            <w:vAlign w:val="bottom"/>
          </w:tcPr>
          <w:p>
            <w:pPr>
              <w:spacing w:after="0"/>
              <w:rPr>
                <w:sz w:val="1"/>
                <w:szCs w:val="1"/>
                <w:color w:val="auto"/>
              </w:rPr>
            </w:pPr>
          </w:p>
        </w:tc>
      </w:tr>
      <w:tr>
        <w:trPr>
          <w:trHeight w:val="20"/>
        </w:trPr>
        <w:tc>
          <w:tcPr>
            <w:tcW w:w="1380" w:type="dxa"/>
            <w:vAlign w:val="bottom"/>
            <w:tcBorders>
              <w:bottom w:val="single" w:sz="8" w:color="CCEEFF"/>
            </w:tcBorders>
          </w:tcPr>
          <w:p>
            <w:pPr>
              <w:spacing w:after="0" w:line="20" w:lineRule="exact"/>
              <w:rPr>
                <w:sz w:val="1"/>
                <w:szCs w:val="1"/>
                <w:color w:val="auto"/>
              </w:rPr>
            </w:pPr>
          </w:p>
        </w:tc>
        <w:tc>
          <w:tcPr>
            <w:tcW w:w="37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52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Per share market value at end of period</w:t>
            </w:r>
          </w:p>
        </w:tc>
        <w:tc>
          <w:tcPr>
            <w:tcW w:w="2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6.40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13.49</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6.40</w:t>
            </w:r>
          </w:p>
        </w:tc>
        <w:tc>
          <w:tcPr>
            <w:tcW w:w="14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jc w:val="right"/>
              <w:ind w:right="78"/>
              <w:spacing w:after="0"/>
              <w:rPr>
                <w:sz w:val="20"/>
                <w:szCs w:val="20"/>
                <w:color w:val="auto"/>
              </w:rPr>
            </w:pPr>
            <w:r>
              <w:rPr>
                <w:rFonts w:ascii="Times New Roman" w:cs="Times New Roman" w:eastAsia="Times New Roman" w:hAnsi="Times New Roman"/>
                <w:sz w:val="4"/>
                <w:szCs w:val="4"/>
                <w:color w:val="auto"/>
                <w:w w:val="97"/>
              </w:rPr>
              <w:t>$</w:t>
            </w:r>
          </w:p>
        </w:tc>
        <w:tc>
          <w:tcPr>
            <w:tcW w:w="124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6"/>
                <w:szCs w:val="16"/>
                <w:color w:val="auto"/>
              </w:rPr>
              <w:t>13.49</w:t>
            </w:r>
          </w:p>
        </w:tc>
        <w:tc>
          <w:tcPr>
            <w:tcW w:w="0" w:type="dxa"/>
            <w:vAlign w:val="bottom"/>
          </w:tcPr>
          <w:p>
            <w:pPr>
              <w:spacing w:after="0"/>
              <w:rPr>
                <w:sz w:val="1"/>
                <w:szCs w:val="1"/>
                <w:color w:val="auto"/>
              </w:rPr>
            </w:pPr>
          </w:p>
        </w:tc>
      </w:tr>
      <w:tr>
        <w:trPr>
          <w:trHeight w:val="207"/>
        </w:trPr>
        <w:tc>
          <w:tcPr>
            <w:tcW w:w="5220" w:type="dxa"/>
            <w:vAlign w:val="bottom"/>
            <w:gridSpan w:val="3"/>
          </w:tcPr>
          <w:p>
            <w:pPr>
              <w:ind w:left="20"/>
              <w:spacing w:after="0" w:line="207" w:lineRule="exact"/>
              <w:rPr>
                <w:sz w:val="20"/>
                <w:szCs w:val="20"/>
                <w:color w:val="auto"/>
              </w:rPr>
            </w:pPr>
            <w:r>
              <w:rPr>
                <w:rFonts w:ascii="Times New Roman" w:cs="Times New Roman" w:eastAsia="Times New Roman" w:hAnsi="Times New Roman"/>
                <w:sz w:val="16"/>
                <w:szCs w:val="16"/>
                <w:color w:val="auto"/>
              </w:rPr>
              <w:t>Total return based on market value</w:t>
            </w:r>
            <w:r>
              <w:rPr>
                <w:rFonts w:ascii="Times New Roman" w:cs="Times New Roman" w:eastAsia="Times New Roman" w:hAnsi="Times New Roman"/>
                <w:sz w:val="20"/>
                <w:szCs w:val="20"/>
                <w:color w:val="auto"/>
                <w:vertAlign w:val="superscript"/>
              </w:rPr>
              <w:t>(2)</w:t>
            </w:r>
          </w:p>
        </w:tc>
        <w:tc>
          <w:tcPr>
            <w:tcW w:w="200" w:type="dxa"/>
            <w:vAlign w:val="bottom"/>
          </w:tcPr>
          <w:p>
            <w:pPr>
              <w:spacing w:after="0"/>
              <w:rPr>
                <w:sz w:val="17"/>
                <w:szCs w:val="17"/>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(25.84)%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40.63 %</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(49.14)%</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55.57 %</w:t>
            </w:r>
          </w:p>
        </w:tc>
        <w:tc>
          <w:tcPr>
            <w:tcW w:w="0" w:type="dxa"/>
            <w:vAlign w:val="bottom"/>
          </w:tcPr>
          <w:p>
            <w:pPr>
              <w:spacing w:after="0"/>
              <w:rPr>
                <w:sz w:val="1"/>
                <w:szCs w:val="1"/>
                <w:color w:val="auto"/>
              </w:rPr>
            </w:pPr>
          </w:p>
        </w:tc>
      </w:tr>
      <w:tr>
        <w:trPr>
          <w:trHeight w:val="207"/>
        </w:trPr>
        <w:tc>
          <w:tcPr>
            <w:tcW w:w="5220" w:type="dxa"/>
            <w:vAlign w:val="bottom"/>
            <w:gridSpan w:val="3"/>
            <w:shd w:val="clear" w:color="auto" w:fill="CCEEFF"/>
          </w:tcPr>
          <w:p>
            <w:pPr>
              <w:ind w:left="20"/>
              <w:spacing w:after="0" w:line="207" w:lineRule="exact"/>
              <w:rPr>
                <w:sz w:val="20"/>
                <w:szCs w:val="20"/>
                <w:color w:val="auto"/>
              </w:rPr>
            </w:pPr>
            <w:r>
              <w:rPr>
                <w:rFonts w:ascii="Times New Roman" w:cs="Times New Roman" w:eastAsia="Times New Roman" w:hAnsi="Times New Roman"/>
                <w:sz w:val="16"/>
                <w:szCs w:val="16"/>
                <w:color w:val="auto"/>
              </w:rPr>
              <w:t>Total return based on net asset value</w:t>
            </w:r>
            <w:r>
              <w:rPr>
                <w:rFonts w:ascii="Times New Roman" w:cs="Times New Roman" w:eastAsia="Times New Roman" w:hAnsi="Times New Roman"/>
                <w:sz w:val="20"/>
                <w:szCs w:val="20"/>
                <w:color w:val="auto"/>
                <w:vertAlign w:val="superscript"/>
              </w:rPr>
              <w:t>(2)</w:t>
            </w:r>
          </w:p>
        </w:tc>
        <w:tc>
          <w:tcPr>
            <w:tcW w:w="2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(24.39)%</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5.83 %</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(20.22)%</w:t>
            </w:r>
          </w:p>
        </w:tc>
        <w:tc>
          <w:tcPr>
            <w:tcW w:w="14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29.19 %</w:t>
            </w:r>
          </w:p>
        </w:tc>
        <w:tc>
          <w:tcPr>
            <w:tcW w:w="0" w:type="dxa"/>
            <w:vAlign w:val="bottom"/>
          </w:tcPr>
          <w:p>
            <w:pPr>
              <w:spacing w:after="0"/>
              <w:rPr>
                <w:sz w:val="1"/>
                <w:szCs w:val="1"/>
                <w:color w:val="auto"/>
              </w:rPr>
            </w:pPr>
          </w:p>
        </w:tc>
      </w:tr>
      <w:tr>
        <w:trPr>
          <w:trHeight w:val="205"/>
        </w:trPr>
        <w:tc>
          <w:tcPr>
            <w:tcW w:w="52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Shares outstanding at end of period</w:t>
            </w:r>
          </w:p>
        </w:tc>
        <w:tc>
          <w:tcPr>
            <w:tcW w:w="200" w:type="dxa"/>
            <w:vAlign w:val="bottom"/>
          </w:tcPr>
          <w:p>
            <w:pPr>
              <w:spacing w:after="0"/>
              <w:rPr>
                <w:sz w:val="17"/>
                <w:szCs w:val="17"/>
                <w:color w:val="auto"/>
              </w:rPr>
            </w:pPr>
          </w:p>
        </w:tc>
        <w:tc>
          <w:tcPr>
            <w:tcW w:w="1240" w:type="dxa"/>
            <w:vAlign w:val="bottom"/>
            <w:gridSpan w:val="2"/>
          </w:tcPr>
          <w:p>
            <w:pPr>
              <w:jc w:val="right"/>
              <w:ind w:right="101"/>
              <w:spacing w:after="0"/>
              <w:rPr>
                <w:sz w:val="20"/>
                <w:szCs w:val="20"/>
                <w:color w:val="auto"/>
              </w:rPr>
            </w:pPr>
            <w:r>
              <w:rPr>
                <w:rFonts w:ascii="Times New Roman" w:cs="Times New Roman" w:eastAsia="Times New Roman" w:hAnsi="Times New Roman"/>
                <w:sz w:val="16"/>
                <w:szCs w:val="16"/>
                <w:color w:val="auto"/>
              </w:rPr>
              <w:t>30,325,187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right"/>
              <w:ind w:right="123"/>
              <w:spacing w:after="0"/>
              <w:rPr>
                <w:sz w:val="20"/>
                <w:szCs w:val="20"/>
                <w:color w:val="auto"/>
              </w:rPr>
            </w:pPr>
            <w:r>
              <w:rPr>
                <w:rFonts w:ascii="Times New Roman" w:cs="Times New Roman" w:eastAsia="Times New Roman" w:hAnsi="Times New Roman"/>
                <w:sz w:val="16"/>
                <w:szCs w:val="16"/>
                <w:color w:val="auto"/>
              </w:rPr>
              <w:t>26,540,743</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30,325,187</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jc w:val="right"/>
              <w:ind w:right="103"/>
              <w:spacing w:after="0"/>
              <w:rPr>
                <w:sz w:val="20"/>
                <w:szCs w:val="20"/>
                <w:color w:val="auto"/>
              </w:rPr>
            </w:pPr>
            <w:r>
              <w:rPr>
                <w:rFonts w:ascii="Times New Roman" w:cs="Times New Roman" w:eastAsia="Times New Roman" w:hAnsi="Times New Roman"/>
                <w:sz w:val="16"/>
                <w:szCs w:val="16"/>
                <w:color w:val="auto"/>
              </w:rPr>
              <w:t>26,540,743</w:t>
            </w:r>
          </w:p>
        </w:tc>
        <w:tc>
          <w:tcPr>
            <w:tcW w:w="0" w:type="dxa"/>
            <w:vAlign w:val="bottom"/>
          </w:tcPr>
          <w:p>
            <w:pPr>
              <w:spacing w:after="0"/>
              <w:rPr>
                <w:sz w:val="1"/>
                <w:szCs w:val="1"/>
                <w:color w:val="auto"/>
              </w:rPr>
            </w:pPr>
          </w:p>
        </w:tc>
      </w:tr>
      <w:tr>
        <w:trPr>
          <w:trHeight w:val="209"/>
        </w:trPr>
        <w:tc>
          <w:tcPr>
            <w:tcW w:w="52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Ratios/Supplemental Data:</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52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Net assets at end of period</w:t>
            </w:r>
          </w:p>
        </w:tc>
        <w:tc>
          <w:tcPr>
            <w:tcW w:w="200" w:type="dxa"/>
            <w:vAlign w:val="bottom"/>
          </w:tcPr>
          <w:p>
            <w:pPr>
              <w:spacing w:after="0"/>
              <w:rPr>
                <w:sz w:val="17"/>
                <w:szCs w:val="17"/>
                <w:color w:val="auto"/>
              </w:rPr>
            </w:pPr>
          </w:p>
        </w:tc>
        <w:tc>
          <w:tcPr>
            <w:tcW w:w="1240" w:type="dxa"/>
            <w:vAlign w:val="bottom"/>
            <w:gridSpan w:val="2"/>
          </w:tcPr>
          <w:p>
            <w:pPr>
              <w:jc w:val="center"/>
              <w:ind w:right="101"/>
              <w:spacing w:after="0"/>
              <w:rPr>
                <w:sz w:val="20"/>
                <w:szCs w:val="20"/>
                <w:color w:val="auto"/>
              </w:rPr>
            </w:pPr>
            <w:r>
              <w:rPr>
                <w:rFonts w:ascii="Times New Roman" w:cs="Times New Roman" w:eastAsia="Times New Roman" w:hAnsi="Times New Roman"/>
                <w:sz w:val="16"/>
                <w:szCs w:val="16"/>
                <w:color w:val="auto"/>
                <w:w w:val="97"/>
              </w:rPr>
              <w:t>$280,172,472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center"/>
              <w:ind w:right="123"/>
              <w:spacing w:after="0"/>
              <w:rPr>
                <w:sz w:val="20"/>
                <w:szCs w:val="20"/>
                <w:color w:val="auto"/>
              </w:rPr>
            </w:pPr>
            <w:r>
              <w:rPr>
                <w:rFonts w:ascii="Times New Roman" w:cs="Times New Roman" w:eastAsia="Times New Roman" w:hAnsi="Times New Roman"/>
                <w:sz w:val="16"/>
                <w:szCs w:val="16"/>
                <w:color w:val="auto"/>
                <w:w w:val="97"/>
              </w:rPr>
              <w:t>$439,592,729</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center"/>
              <w:ind w:right="122"/>
              <w:spacing w:after="0"/>
              <w:rPr>
                <w:sz w:val="20"/>
                <w:szCs w:val="20"/>
                <w:color w:val="auto"/>
              </w:rPr>
            </w:pPr>
            <w:r>
              <w:rPr>
                <w:rFonts w:ascii="Times New Roman" w:cs="Times New Roman" w:eastAsia="Times New Roman" w:hAnsi="Times New Roman"/>
                <w:sz w:val="16"/>
                <w:szCs w:val="16"/>
                <w:color w:val="auto"/>
                <w:w w:val="95"/>
              </w:rPr>
              <w:t>$280,172,472</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jc w:val="center"/>
              <w:ind w:right="103"/>
              <w:spacing w:after="0"/>
              <w:rPr>
                <w:sz w:val="20"/>
                <w:szCs w:val="20"/>
                <w:color w:val="auto"/>
              </w:rPr>
            </w:pPr>
            <w:r>
              <w:rPr>
                <w:rFonts w:ascii="Times New Roman" w:cs="Times New Roman" w:eastAsia="Times New Roman" w:hAnsi="Times New Roman"/>
                <w:sz w:val="16"/>
                <w:szCs w:val="16"/>
                <w:color w:val="auto"/>
                <w:w w:val="97"/>
              </w:rPr>
              <w:t>$439,592,729</w:t>
            </w:r>
          </w:p>
        </w:tc>
        <w:tc>
          <w:tcPr>
            <w:tcW w:w="0" w:type="dxa"/>
            <w:vAlign w:val="bottom"/>
          </w:tcPr>
          <w:p>
            <w:pPr>
              <w:spacing w:after="0"/>
              <w:rPr>
                <w:sz w:val="1"/>
                <w:szCs w:val="1"/>
                <w:color w:val="auto"/>
              </w:rPr>
            </w:pPr>
          </w:p>
        </w:tc>
      </w:tr>
      <w:tr>
        <w:trPr>
          <w:trHeight w:val="209"/>
        </w:trPr>
        <w:tc>
          <w:tcPr>
            <w:tcW w:w="52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Average net assets</w:t>
            </w: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gridSpan w:val="2"/>
            <w:shd w:val="clear" w:color="auto" w:fill="CCEEFF"/>
          </w:tcPr>
          <w:p>
            <w:pPr>
              <w:jc w:val="center"/>
              <w:ind w:right="101"/>
              <w:spacing w:after="0"/>
              <w:rPr>
                <w:sz w:val="20"/>
                <w:szCs w:val="20"/>
                <w:color w:val="auto"/>
              </w:rPr>
            </w:pPr>
            <w:r>
              <w:rPr>
                <w:rFonts w:ascii="Times New Roman" w:cs="Times New Roman" w:eastAsia="Times New Roman" w:hAnsi="Times New Roman"/>
                <w:sz w:val="16"/>
                <w:szCs w:val="16"/>
                <w:color w:val="auto"/>
                <w:w w:val="97"/>
              </w:rPr>
              <w:t>$378,428,728</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center"/>
              <w:ind w:right="123"/>
              <w:spacing w:after="0"/>
              <w:rPr>
                <w:sz w:val="20"/>
                <w:szCs w:val="20"/>
                <w:color w:val="auto"/>
              </w:rPr>
            </w:pPr>
            <w:r>
              <w:rPr>
                <w:rFonts w:ascii="Times New Roman" w:cs="Times New Roman" w:eastAsia="Times New Roman" w:hAnsi="Times New Roman"/>
                <w:sz w:val="16"/>
                <w:szCs w:val="16"/>
                <w:color w:val="auto"/>
                <w:w w:val="97"/>
              </w:rPr>
              <w:t>$425,330,123</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center"/>
              <w:ind w:right="122"/>
              <w:spacing w:after="0"/>
              <w:rPr>
                <w:sz w:val="20"/>
                <w:szCs w:val="20"/>
                <w:color w:val="auto"/>
              </w:rPr>
            </w:pPr>
            <w:r>
              <w:rPr>
                <w:rFonts w:ascii="Times New Roman" w:cs="Times New Roman" w:eastAsia="Times New Roman" w:hAnsi="Times New Roman"/>
                <w:sz w:val="16"/>
                <w:szCs w:val="16"/>
                <w:color w:val="auto"/>
                <w:w w:val="95"/>
              </w:rPr>
              <w:t>$371,249,600</w:t>
            </w:r>
          </w:p>
        </w:tc>
        <w:tc>
          <w:tcPr>
            <w:tcW w:w="14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center"/>
              <w:ind w:right="103"/>
              <w:spacing w:after="0"/>
              <w:rPr>
                <w:sz w:val="20"/>
                <w:szCs w:val="20"/>
                <w:color w:val="auto"/>
              </w:rPr>
            </w:pPr>
            <w:r>
              <w:rPr>
                <w:rFonts w:ascii="Times New Roman" w:cs="Times New Roman" w:eastAsia="Times New Roman" w:hAnsi="Times New Roman"/>
                <w:sz w:val="16"/>
                <w:szCs w:val="16"/>
                <w:color w:val="auto"/>
                <w:w w:val="97"/>
              </w:rPr>
              <w:t>$369,373,984</w:t>
            </w:r>
          </w:p>
        </w:tc>
        <w:tc>
          <w:tcPr>
            <w:tcW w:w="0" w:type="dxa"/>
            <w:vAlign w:val="bottom"/>
          </w:tcPr>
          <w:p>
            <w:pPr>
              <w:spacing w:after="0"/>
              <w:rPr>
                <w:sz w:val="1"/>
                <w:szCs w:val="1"/>
                <w:color w:val="auto"/>
              </w:rPr>
            </w:pPr>
          </w:p>
        </w:tc>
      </w:tr>
      <w:tr>
        <w:trPr>
          <w:trHeight w:val="200"/>
        </w:trPr>
        <w:tc>
          <w:tcPr>
            <w:tcW w:w="5220" w:type="dxa"/>
            <w:vAlign w:val="bottom"/>
            <w:gridSpan w:val="3"/>
          </w:tcPr>
          <w:p>
            <w:pPr>
              <w:ind w:left="20"/>
              <w:spacing w:after="0" w:line="200" w:lineRule="exact"/>
              <w:rPr>
                <w:sz w:val="20"/>
                <w:szCs w:val="20"/>
                <w:color w:val="auto"/>
              </w:rPr>
            </w:pPr>
            <w:r>
              <w:rPr>
                <w:rFonts w:ascii="Times New Roman" w:cs="Times New Roman" w:eastAsia="Times New Roman" w:hAnsi="Times New Roman"/>
                <w:sz w:val="16"/>
                <w:szCs w:val="16"/>
                <w:color w:val="auto"/>
              </w:rPr>
              <w:t>Ratio of net operating expenses to average net assets</w:t>
            </w:r>
            <w:r>
              <w:rPr>
                <w:rFonts w:ascii="Times New Roman" w:cs="Times New Roman" w:eastAsia="Times New Roman" w:hAnsi="Times New Roman"/>
                <w:sz w:val="20"/>
                <w:szCs w:val="20"/>
                <w:color w:val="auto"/>
                <w:vertAlign w:val="superscript"/>
              </w:rPr>
              <w:t>(3)</w:t>
            </w: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4.24 %</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2.19 %</w:t>
            </w: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4.80 %</w:t>
            </w:r>
          </w:p>
        </w:tc>
        <w:tc>
          <w:tcPr>
            <w:tcW w:w="1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2.97 %</w:t>
            </w:r>
          </w:p>
        </w:tc>
        <w:tc>
          <w:tcPr>
            <w:tcW w:w="0" w:type="dxa"/>
            <w:vAlign w:val="bottom"/>
          </w:tcPr>
          <w:p>
            <w:pPr>
              <w:spacing w:after="0"/>
              <w:rPr>
                <w:sz w:val="1"/>
                <w:szCs w:val="1"/>
                <w:color w:val="auto"/>
              </w:rPr>
            </w:pPr>
          </w:p>
        </w:tc>
      </w:tr>
      <w:tr>
        <w:trPr>
          <w:trHeight w:val="20"/>
        </w:trPr>
        <w:tc>
          <w:tcPr>
            <w:tcW w:w="1380" w:type="dxa"/>
            <w:vAlign w:val="bottom"/>
            <w:tcBorders>
              <w:bottom w:val="single" w:sz="8" w:color="CCEEFF"/>
            </w:tcBorders>
          </w:tcPr>
          <w:p>
            <w:pPr>
              <w:spacing w:after="0" w:line="20" w:lineRule="exact"/>
              <w:rPr>
                <w:sz w:val="1"/>
                <w:szCs w:val="1"/>
                <w:color w:val="auto"/>
              </w:rPr>
            </w:pPr>
          </w:p>
        </w:tc>
        <w:tc>
          <w:tcPr>
            <w:tcW w:w="37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5220" w:type="dxa"/>
            <w:vAlign w:val="bottom"/>
            <w:gridSpan w:val="3"/>
            <w:shd w:val="clear" w:color="auto" w:fill="CCEEFF"/>
          </w:tcPr>
          <w:p>
            <w:pPr>
              <w:ind w:left="20"/>
              <w:spacing w:after="0" w:line="199" w:lineRule="exact"/>
              <w:rPr>
                <w:sz w:val="20"/>
                <w:szCs w:val="20"/>
                <w:color w:val="auto"/>
              </w:rPr>
            </w:pPr>
            <w:r>
              <w:rPr>
                <w:rFonts w:ascii="Times New Roman" w:cs="Times New Roman" w:eastAsia="Times New Roman" w:hAnsi="Times New Roman"/>
                <w:sz w:val="16"/>
                <w:szCs w:val="16"/>
                <w:color w:val="auto"/>
              </w:rPr>
              <w:t>Ratio of net investment loss to average net assets</w:t>
            </w:r>
            <w:r>
              <w:rPr>
                <w:rFonts w:ascii="Times New Roman" w:cs="Times New Roman" w:eastAsia="Times New Roman" w:hAnsi="Times New Roman"/>
                <w:sz w:val="20"/>
                <w:szCs w:val="20"/>
                <w:color w:val="auto"/>
                <w:vertAlign w:val="superscript"/>
              </w:rPr>
              <w:t>(3)</w:t>
            </w:r>
          </w:p>
        </w:tc>
        <w:tc>
          <w:tcPr>
            <w:tcW w:w="2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w w:val="99"/>
              </w:rPr>
              <w:t>(1.93)%</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w:t>
            </w:r>
          </w:p>
        </w:tc>
        <w:tc>
          <w:tcPr>
            <w:tcW w:w="14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w w:val="96"/>
              </w:rPr>
              <w:t>(2.66)%</w:t>
            </w:r>
          </w:p>
        </w:tc>
        <w:tc>
          <w:tcPr>
            <w:tcW w:w="0" w:type="dxa"/>
            <w:vAlign w:val="bottom"/>
          </w:tcPr>
          <w:p>
            <w:pPr>
              <w:spacing w:after="0"/>
              <w:rPr>
                <w:sz w:val="1"/>
                <w:szCs w:val="1"/>
                <w:color w:val="auto"/>
              </w:rPr>
            </w:pPr>
          </w:p>
        </w:tc>
      </w:tr>
      <w:tr>
        <w:trPr>
          <w:trHeight w:val="202"/>
        </w:trPr>
        <w:tc>
          <w:tcPr>
            <w:tcW w:w="52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Portfolio Turnover Ratio</w:t>
            </w:r>
          </w:p>
        </w:tc>
        <w:tc>
          <w:tcPr>
            <w:tcW w:w="200" w:type="dxa"/>
            <w:vAlign w:val="bottom"/>
          </w:tcPr>
          <w:p>
            <w:pPr>
              <w:spacing w:after="0"/>
              <w:rPr>
                <w:sz w:val="17"/>
                <w:szCs w:val="17"/>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1.57 %</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10.20 %</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2.05 %</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13.64 %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881380</wp:posOffset>
            </wp:positionH>
            <wp:positionV relativeFrom="paragraph">
              <wp:posOffset>-4472940</wp:posOffset>
            </wp:positionV>
            <wp:extent cx="303911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039110" cy="8255"/>
                    </a:xfrm>
                    <a:prstGeom prst="rect">
                      <a:avLst/>
                    </a:prstGeom>
                    <a:noFill/>
                  </pic:spPr>
                </pic:pic>
              </a:graphicData>
            </a:graphic>
          </wp:anchor>
        </w:drawing>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__________________</w:t>
      </w:r>
    </w:p>
    <w:p>
      <w:pPr>
        <w:spacing w:after="0" w:line="17" w:lineRule="exact"/>
        <w:rPr>
          <w:sz w:val="20"/>
          <w:szCs w:val="20"/>
          <w:color w:val="auto"/>
        </w:rPr>
      </w:pPr>
    </w:p>
    <w:p>
      <w:pPr>
        <w:ind w:left="460" w:hanging="457"/>
        <w:spacing w:after="0"/>
        <w:tabs>
          <w:tab w:leader="none" w:pos="46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weighted-average number of shares outstanding for the relevant period.</w:t>
      </w:r>
    </w:p>
    <w:p>
      <w:pPr>
        <w:jc w:val="both"/>
        <w:ind w:left="460" w:hanging="457"/>
        <w:spacing w:after="0" w:line="246" w:lineRule="auto"/>
        <w:tabs>
          <w:tab w:leader="none" w:pos="46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Total return based on market value is based upon the change in market price per share between the opening and ending market values per share in the period, adjusted for dividends and equity issuances. Total return based on net asset value is based upon the change in net asset value per share between the opening and ending net asset values per share in the period, adjusted for dividends and equity issuances.</w:t>
      </w:r>
    </w:p>
    <w:p>
      <w:pPr>
        <w:ind w:left="460" w:hanging="457"/>
        <w:spacing w:after="0"/>
        <w:tabs>
          <w:tab w:leader="none" w:pos="46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Because the ratios are calculated for the Company’s common stock taken as a whole, an individual investor’s ratios may vary from these ratios.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46</w:t>
      </w:r>
    </w:p>
    <w:p>
      <w:pPr>
        <w:sectPr>
          <w:pgSz w:w="11900" w:h="16838" w:orient="portrait"/>
          <w:cols w:equalWidth="0" w:num="1">
            <w:col w:w="11240"/>
          </w:cols>
          <w:pgMar w:left="320" w:top="118"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SURO CAPITAL CORP. AND SUBSIDIARIES</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June 30, 2022</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9—INCOME TAXES</w:t>
      </w:r>
    </w:p>
    <w:p>
      <w:pPr>
        <w:spacing w:after="0" w:line="246" w:lineRule="exact"/>
        <w:rPr>
          <w:sz w:val="20"/>
          <w:szCs w:val="20"/>
          <w:color w:val="auto"/>
        </w:rPr>
      </w:pPr>
    </w:p>
    <w:p>
      <w:pPr>
        <w:jc w:val="both"/>
        <w:ind w:firstLine="349"/>
        <w:spacing w:after="0" w:line="260" w:lineRule="auto"/>
        <w:rPr>
          <w:sz w:val="20"/>
          <w:szCs w:val="20"/>
          <w:color w:val="auto"/>
        </w:rPr>
      </w:pPr>
      <w:r>
        <w:rPr>
          <w:rFonts w:ascii="Times New Roman" w:cs="Times New Roman" w:eastAsia="Times New Roman" w:hAnsi="Times New Roman"/>
          <w:sz w:val="17"/>
          <w:szCs w:val="17"/>
          <w:color w:val="auto"/>
        </w:rPr>
        <w:t>The Company elected to be treated as a RIC under Subchapter M of the Code beginning with its taxable year ended December 31, 2014 and has qualified to be treated as a RIC for subsequent taxable years. The Company intends to continue to operate so as to qualify to be subject to tax treatment as a RIC under Subchapter M of the Code and, as such, will not be subject to U.S. federal income tax on the portion of taxable income (including gains) distributed as dividends for U.S. federal income tax purposes to stockholders. Taxable income includes the Company’s taxable interest, dividend and fee income, reduced by certain deductions, as well as taxable net realized investment gains. Taxable income generally differs from net income for financial reporting purposes due to temporary and permanent differences in the recognition of income and expenses, and generally excludes net unrealized appreciation or depreciation, as such gains or losses are not included in taxable income until they are realized.</w:t>
      </w:r>
    </w:p>
    <w:p>
      <w:pPr>
        <w:spacing w:after="0" w:line="19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To qualify and be subject to tax as a RIC, the Company is required to meet certain income and asset diversification tests in addition to distributing dividends of an amount generally at least equal to 90% of its investment company taxable income, as defined by the Code and determined without regard to any deduction for distributions paid, to its stockholders. The amount to be paid out as a distribution is determined by the Board of Directors each quarter and is based upon the annual earnings estimated by the management of the Company. To the extent that the Company’s earnings fall below the amount of dividend distributions declared, however, a portion of the total amount of the Company’s distributions for the fiscal year may be deemed a return of capital for tax purposes to the Company’s stockholders.</w:t>
      </w:r>
    </w:p>
    <w:p>
      <w:pPr>
        <w:spacing w:after="0" w:line="19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During the three and six months ended June 30, 2022, the Company declared distributions of $0 and $0.11 per share, respectively. The determination of the tax attributes of the Company’s distributions is made annually as of the end of the Company’s taxable year generally based upon its taxable income for the full taxable year and distributions paid for the full taxable year. As a result, a determination made on a by-dividend basis may not be representative of the actual tax attributes of the Company’s distributions for a full taxable year. If the Company had determined the tax attributes of our distributions taxable year-to-date as of June 30, 2022, 100% would be from net realized investment gains. However, there can be no certainty to stockholders that this determination is representative of what the actual tax attributes of the Company’s fiscal year of 2022 distributions to stockholders will be.</w:t>
      </w:r>
    </w:p>
    <w:p>
      <w:pPr>
        <w:spacing w:after="0" w:line="19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As a RIC, the Company will be subject to a 4% nondeductible U.S. federal excise tax on certain undistributed income unless the Company makes distributions treated as dividends for U.S. federal income tax purposes in a timely manner to its stockholders in respect of each calendar year of an amount at least equal to the sum of (1) 98% of our ordinary income (taking into account certain deferrals and elections) for each calendar year, (2) 98.2% of our capital gain net income (adjusted for certain ordinary losses) for the 1-year period ending October 31 of each such calendar year and (3) any ordinary income and net capital gains for preceding years, but not distributed during such years and on which the Company paid no U.S. federal income tax. The Company will not be subject to this excise tax on any amount on which the Company incurred U.S. federal corporate income tax (such as the tax imposed on a RIC’s retained net capital gains).</w:t>
      </w:r>
    </w:p>
    <w:p>
      <w:pPr>
        <w:spacing w:after="0" w:line="19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Depending on the level of taxable income earned in a taxable year, the Company may choose to carry over taxable income in excess of current taxable year distributions from such taxable income into the next taxable year and incur a 4% excise tax on such taxable income, as required. The maximum amount of excess taxable income that may be carried over for distribution in the next taxable year under the Code is the total amount of distributions paid in the following taxable year, subject to certain declaration and payment guidelines. To the extent the Company chooses to carry over taxable income into the next taxable year, distributions declared and paid by the Company in a taxable year may differ from the Company’s taxable income for that taxable year as such distributions may include the distribution of current taxable year taxable income, the distribution of prior taxable year taxable income carried over into and distributed in the current taxable year, or returns of capital.</w:t>
      </w:r>
    </w:p>
    <w:p>
      <w:pPr>
        <w:spacing w:after="0" w:line="19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The Company has taxable subsidiaries which hold certain portfolio investments in an effort to limit potential legal liability and/or comply with source-income type requirements contained in the RIC tax provisions of the Code. These taxable subsidiaries are consolidated for GAAP and the portfolio investments held by the taxable subsidiaries are included in the Company’s consolidated financial statements and are recorded at fair value. These taxable subsidiaries are not consolidated with the Company for income tax purposes and may generate income tax expense, or benefit, and tax assets and liabilities as a</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47</w:t>
      </w:r>
    </w:p>
    <w:p>
      <w:pPr>
        <w:sectPr>
          <w:pgSz w:w="11900" w:h="16838" w:orient="portrait"/>
          <w:cols w:equalWidth="0" w:num="1">
            <w:col w:w="11240"/>
          </w:cols>
          <w:pgMar w:left="320" w:top="118"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SURO CAPITAL CORP. AND SUBSIDIARIES</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June 30, 2022</w:t>
      </w:r>
    </w:p>
    <w:p>
      <w:pPr>
        <w:spacing w:after="0" w:line="368"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7"/>
          <w:szCs w:val="17"/>
          <w:color w:val="auto"/>
        </w:rPr>
        <w:t>result of their ownership of certain portfolio investments. Any income generated by these taxable subsidiaries generally would be subject to tax at normal corporate tax rates based on its taxable income.</w:t>
      </w:r>
    </w:p>
    <w:p>
      <w:pPr>
        <w:spacing w:after="0" w:line="173"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The Company intends to timely distribute to its stockholders substantially all of its annual taxable income for each year, except that it may retain certain net capital gains for reinvestment and, depending upon the level of taxable income earned in a year, may choose to carry forward taxable income for distribution in the following year and pay any applicable U.S. federal excise tax.</w:t>
      </w:r>
    </w:p>
    <w:p>
      <w:pPr>
        <w:spacing w:after="0" w:line="189" w:lineRule="exact"/>
        <w:rPr>
          <w:sz w:val="20"/>
          <w:szCs w:val="20"/>
          <w:color w:val="auto"/>
        </w:rPr>
      </w:pPr>
    </w:p>
    <w:p>
      <w:pPr>
        <w:jc w:val="both"/>
        <w:ind w:firstLine="349"/>
        <w:spacing w:after="0" w:line="266" w:lineRule="auto"/>
        <w:rPr>
          <w:sz w:val="20"/>
          <w:szCs w:val="20"/>
          <w:color w:val="auto"/>
        </w:rPr>
      </w:pPr>
      <w:r>
        <w:rPr>
          <w:rFonts w:ascii="Times New Roman" w:cs="Times New Roman" w:eastAsia="Times New Roman" w:hAnsi="Times New Roman"/>
          <w:sz w:val="17"/>
          <w:szCs w:val="17"/>
          <w:color w:val="auto"/>
        </w:rPr>
        <w:t>The Company is required to include net deferred tax provision/benefit in calculating its total expenses even though these net deferred taxes are not currently payable/receivable. Taxable income generally differs from net income for financial reporting purposes due to temporary and permanent differences in the recognition of income and expenses, and generally excludes net unrealized appreciation or depreciation, as such gains or losses are not included in taxable income until they are realized.</w:t>
      </w:r>
    </w:p>
    <w:p>
      <w:pPr>
        <w:spacing w:after="0" w:line="194" w:lineRule="exact"/>
        <w:rPr>
          <w:sz w:val="20"/>
          <w:szCs w:val="20"/>
          <w:color w:val="auto"/>
        </w:rPr>
      </w:pPr>
    </w:p>
    <w:p>
      <w:pPr>
        <w:jc w:val="both"/>
        <w:ind w:firstLine="349"/>
        <w:spacing w:after="0" w:line="272" w:lineRule="auto"/>
        <w:rPr>
          <w:sz w:val="20"/>
          <w:szCs w:val="20"/>
          <w:color w:val="auto"/>
        </w:rPr>
      </w:pPr>
      <w:r>
        <w:rPr>
          <w:rFonts w:ascii="Times New Roman" w:cs="Times New Roman" w:eastAsia="Times New Roman" w:hAnsi="Times New Roman"/>
          <w:sz w:val="17"/>
          <w:szCs w:val="17"/>
          <w:color w:val="auto"/>
        </w:rPr>
        <w:t>For U.S. federal and state income tax purposes, a portion of the Taxable Subsidiaries’ net operating loss carryforwards and basis differences may be subject to limitations on annual utilization in case of a change in ownership, as defined by federal and state law. The amount of such limitations, if any, has not been determined. Accordingly, the amount of such tax attributes available to offset future profits may be significantly less than the actual amounts of the tax attributes.</w:t>
      </w:r>
    </w:p>
    <w:p>
      <w:pPr>
        <w:spacing w:after="0" w:line="189" w:lineRule="exact"/>
        <w:rPr>
          <w:sz w:val="20"/>
          <w:szCs w:val="20"/>
          <w:color w:val="auto"/>
        </w:rPr>
      </w:pPr>
    </w:p>
    <w:p>
      <w:pPr>
        <w:jc w:val="both"/>
        <w:ind w:firstLine="349"/>
        <w:spacing w:after="0" w:line="272" w:lineRule="auto"/>
        <w:rPr>
          <w:sz w:val="20"/>
          <w:szCs w:val="20"/>
          <w:color w:val="auto"/>
        </w:rPr>
      </w:pPr>
      <w:r>
        <w:rPr>
          <w:rFonts w:ascii="Times New Roman" w:cs="Times New Roman" w:eastAsia="Times New Roman" w:hAnsi="Times New Roman"/>
          <w:sz w:val="17"/>
          <w:szCs w:val="17"/>
          <w:color w:val="auto"/>
        </w:rPr>
        <w:t>The Company and the Taxable Subsidiaries identified their major tax jurisdictions as U.S. federal, New York, and California and may be subject to the taxing authorities’ examination for the tax years 2019–2022 and 2018–2022, respectively. Further, the Company and the Taxable Subsidiaries accrue all interest and penalties related to uncertain tax positions as incurred. As of June 30, 2022, there were no material interest or penalties incurred related to uncertain tax positions.</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10—DEBT CAPITAL ACTIVITIES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6.00% Notes due 2026</w:t>
      </w:r>
    </w:p>
    <w:p>
      <w:pPr>
        <w:spacing w:after="0" w:line="24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On December 17, 2021, the Company issued $70.0 million aggregate principal amount of its 6.00% Notes due 2026 (the "6.00% Notes due 2026"), pursuant to an Indenture, dated as of March 28, 2018 (the "Base Indenture"), between the Company and U.S. Bank Trust Company, National Association (as successor in interest to U.S. Bank National Association), as trustee (the "Trustee"), as supplemented by a second supplemental indenture, dated as of December 17, 2021 (together with the Base Indenture, the "Indenture"), between the Company and the Trustee. On December 21, 2021, the Company issued an additional $5.0 million aggregate principal amount of 6.00% Notes due 2026 pursuant to an overallotment option. The 6.00% Notes due 2026 bear interest at a fixed rate of 6.00% per year, payable quarterly in arrears on March 30, June 30, September 30, and December 30 of each year, commencing on March 30, 2022. The 6.00% Notes due 2026 have a maturity date of December 30, 2026, unless previously repurchased in accordance with their terms. The Company has the right to redeem the 6.00% Notes due 2026, in whole or in part, at any time or from time to time, on or after December 30, 2024 at a redemption price of 100% of the outstanding principal amount of the 6.00% Notes due 2026 plus accrued and unpaid interest.</w:t>
      </w:r>
    </w:p>
    <w:p>
      <w:pPr>
        <w:spacing w:after="0" w:line="20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 xml:space="preserve">The 6.00% Notes due 2026 are direct unsecured obligations of the Company and rank </w:t>
      </w:r>
      <w:r>
        <w:rPr>
          <w:rFonts w:ascii="Times New Roman" w:cs="Times New Roman" w:eastAsia="Times New Roman" w:hAnsi="Times New Roman"/>
          <w:sz w:val="17"/>
          <w:szCs w:val="17"/>
          <w:i w:val="1"/>
          <w:iCs w:val="1"/>
          <w:color w:val="auto"/>
        </w:rPr>
        <w:t>pari passu</w:t>
      </w:r>
      <w:r>
        <w:rPr>
          <w:rFonts w:ascii="Times New Roman" w:cs="Times New Roman" w:eastAsia="Times New Roman" w:hAnsi="Times New Roman"/>
          <w:sz w:val="17"/>
          <w:szCs w:val="17"/>
          <w:color w:val="auto"/>
        </w:rPr>
        <w:t>, or equal in right of payment, with all outstanding and future unsecured, unsubordinated indebtedness of the Company; senior to any of the Company’s future indebtedness that expressly provides it is subordinated to the 6.00% Notes due 2026; effectively subordinated to any of the Company’s future secured indebtedness (including indebtedness that is initially unsecured in respect of which the Company subsequently grants a security interest), to the extent of the value of the assets securing such indebtedness (provided, however, that the Company has agreed under the Indenture to not incur any secured or unsecured indebtedness that would be senior to the 6.00% Notes due 2026 while the 6.00% Notes due 2026 are outstanding, subject to certain exceptions); and structurally subordinated to all existing and future indebtedness and other obligations of any of the Company’s subsidiaries.</w:t>
      </w:r>
    </w:p>
    <w:p>
      <w:pPr>
        <w:spacing w:after="0" w:line="201"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7"/>
          <w:szCs w:val="17"/>
          <w:color w:val="auto"/>
        </w:rPr>
        <w:t>The 6.00% Notes due 2026 are listed for trading on the Nasdaq Global Select Market under the symbol “SSSSL”. The reported closing market price of SSSSL on June 30, 2022 and December 31, 2021 was $24.93 and $25.68 per note,</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48</w:t>
      </w:r>
    </w:p>
    <w:p>
      <w:pPr>
        <w:sectPr>
          <w:pgSz w:w="11900" w:h="16838" w:orient="portrait"/>
          <w:cols w:equalWidth="0" w:num="1">
            <w:col w:w="11240"/>
          </w:cols>
          <w:pgMar w:left="320" w:top="118"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SURO CAPITAL CORP. AND SUBSIDIARIES</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June 30, 2022</w:t>
      </w:r>
    </w:p>
    <w:p>
      <w:pPr>
        <w:spacing w:after="0" w:line="368"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respectively. As of June 30, 2022 and December 31, 2021, the fair value of the 6.00% Notes due 2026 was $74.8 million and $77.0 million, respectively. The 6.00% Notes due 2026 are classified as Level 1 of the fair value hierarchy (Refer to “Note 2 — Significant Accounting Policies”). As of June 30, 2022 and December 31, 2021, the Company was in compliance with the terms of the Indenture.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4.75% Convertible Senior Notes due 2023</w:t>
      </w:r>
    </w:p>
    <w:p>
      <w:pPr>
        <w:spacing w:after="0" w:line="246" w:lineRule="exact"/>
        <w:rPr>
          <w:sz w:val="20"/>
          <w:szCs w:val="20"/>
          <w:color w:val="auto"/>
        </w:rPr>
      </w:pPr>
    </w:p>
    <w:p>
      <w:pPr>
        <w:jc w:val="both"/>
        <w:ind w:firstLine="349"/>
        <w:spacing w:after="0" w:line="258" w:lineRule="auto"/>
        <w:rPr>
          <w:sz w:val="20"/>
          <w:szCs w:val="20"/>
          <w:color w:val="auto"/>
        </w:rPr>
      </w:pPr>
      <w:r>
        <w:rPr>
          <w:rFonts w:ascii="Times New Roman" w:cs="Times New Roman" w:eastAsia="Times New Roman" w:hAnsi="Times New Roman"/>
          <w:sz w:val="17"/>
          <w:szCs w:val="17"/>
          <w:color w:val="auto"/>
        </w:rPr>
        <w:t>On March 28, 2018, the Company issued $40.0 million aggregate principal amount of convertible senior notes, which bore interest at a fixed rate of 4.75% per year, payable semi-annually in arrears on March 31 and September 30 of each year, commencing on September 30, 2018. The 4.75% Convertible Senior Notes due 2023 had a maturity date of March 28, 2023 (the "4.75% Convertible Senior Notes due 2023"), unless previously repurchased or converted in accordance with their terms. The Company did not have the right to redeem the 4.75% Convertible Senior Notes due 2023 prior to March 27, 2021. On or after March 27, 2021, the Company could redeem the 4.75% Convertible Senior Notes due 2023 for cash, in whole or in part, from time to time, at the Company’s option if (i) the closing sale price of the Company’s common stock for at least 15 trading days (whether or not consecutive) during the period of any 20 consecutive trading days was greater than or equal to 150% of the conversion price on each applicable trading day, (ii) no public announcement of a pending, proposed or intended fundamental change had occurred which had not been abandoned, terminated or consummated, and (iii) no event of default under the indenture governing the 4.75% Convertible Senior Notes due 2023, and no event that with the passage of time or giving of notice would constitute an event of default under such indenture, had occurred or existed.</w:t>
      </w:r>
    </w:p>
    <w:p>
      <w:pPr>
        <w:spacing w:after="0" w:line="200" w:lineRule="exact"/>
        <w:rPr>
          <w:sz w:val="20"/>
          <w:szCs w:val="20"/>
          <w:color w:val="auto"/>
        </w:rPr>
      </w:pPr>
    </w:p>
    <w:p>
      <w:pPr>
        <w:spacing w:after="0" w:line="21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All of these conditions were met and on February 19, 2021, the Company caused notices to be issued to the holders of the 4.75% Convertible Senior Notes due 2023 regarding the Company’s exercise of its option to redeem, in whole, the issued and outstanding 4.75% Convertible Senior Notes due 2023, pursuant to the governing indenture. The Company established March 29, 2021 as the date on which all of the 4.75% Convertible Senior Notes due 2023 would be redeemed (the “Redemption Date”), at 100% of their principal amount ($1,000 per convertible note), plus the accrued and unpaid interest thereon from September 30, 2020, through, but excluding, the Redemption Date. Holders of the 4.75% Convertible Senior Notes due 2023 had the option to surrender their 4.75% Convertible Senior Notes due 2023 for conversion into shares of the Company’s common stock at the then existing conversion rate, in lieu of receiving cash, at any time prior to the close of business on the business day immediately preceding the Redemption Date.</w:t>
      </w:r>
    </w:p>
    <w:p>
      <w:pPr>
        <w:spacing w:after="0" w:line="19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On the Redemption Date, the Company redeemed $0.3 million in aggregate principal amount of the 4.75% Convertible Senior Notes due 2023 at a redemption price equal to 100% of their principal amount ($1,000 per convertible note), plus accrued and unpaid interest thereon. Due to the election of certain holders to surrender their 4.75% Convertible Senior Notes due 2023 for conversion into shares of the Company’s common stock prior to the Redemption Date, the Company issued a total of 4,272,696 shares since the 4.75% Convertible Senior Notes due 2023 were initially issued. As result of such redemption and conversions, the 4.75% Convertible Senior Notes due 2023 were no longer outstanding as of the Redemption Date.</w:t>
      </w:r>
    </w:p>
    <w:p>
      <w:pPr>
        <w:spacing w:after="0" w:line="19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The initial conversion rate for the 4.75% Convertible Senior Notes due 2023 was 93.2836 shares of the Company’s common stock for each $1,000 principal amount of the 4.75% Convertible Senior Notes due 2023, which represented an initial conversion price of approximately $10.72 per share. As a result of the Company’s Modified Dutch Auction Tender Offer and cash dividends, the conversion rate for the 4.75% Convertible Senior Notes due 2023 changed to 108.0505 shares of the Company’s common stock for each $1,000 principal amount of the 4.75% Convertible Senior Notes due 2023, which represented a conversion price of approximately $9.25 per share.</w:t>
      </w:r>
    </w:p>
    <w:p>
      <w:pPr>
        <w:spacing w:after="0" w:line="197" w:lineRule="exact"/>
        <w:rPr>
          <w:sz w:val="20"/>
          <w:szCs w:val="20"/>
          <w:color w:val="auto"/>
        </w:rPr>
      </w:pPr>
    </w:p>
    <w:p>
      <w:pPr>
        <w:jc w:val="both"/>
        <w:ind w:firstLine="349"/>
        <w:spacing w:after="0" w:line="272" w:lineRule="auto"/>
        <w:rPr>
          <w:sz w:val="20"/>
          <w:szCs w:val="20"/>
          <w:color w:val="auto"/>
        </w:rPr>
      </w:pPr>
      <w:r>
        <w:rPr>
          <w:rFonts w:ascii="Times New Roman" w:cs="Times New Roman" w:eastAsia="Times New Roman" w:hAnsi="Times New Roman"/>
          <w:sz w:val="17"/>
          <w:szCs w:val="17"/>
          <w:color w:val="auto"/>
        </w:rPr>
        <w:t>The indenture governing the 4.75% Convertible Senior Notes due 2023 contained customary financial reporting requirements and contained certain restrictions on mergers, consolidations, and asset sales. The indenture also contained certain events of default, the occurrence of which could have caused the 4.75% Convertible Senior Notes due 2023 to become due and payable before their maturity or immediately.</w:t>
      </w:r>
    </w:p>
    <w:p>
      <w:pPr>
        <w:spacing w:after="0" w:line="189" w:lineRule="exact"/>
        <w:rPr>
          <w:sz w:val="20"/>
          <w:szCs w:val="20"/>
          <w:color w:val="auto"/>
        </w:rPr>
      </w:pPr>
    </w:p>
    <w:p>
      <w:pPr>
        <w:jc w:val="both"/>
        <w:ind w:firstLine="349"/>
        <w:spacing w:after="0" w:line="266" w:lineRule="auto"/>
        <w:rPr>
          <w:sz w:val="20"/>
          <w:szCs w:val="20"/>
          <w:color w:val="auto"/>
        </w:rPr>
      </w:pPr>
      <w:r>
        <w:rPr>
          <w:rFonts w:ascii="Times New Roman" w:cs="Times New Roman" w:eastAsia="Times New Roman" w:hAnsi="Times New Roman"/>
          <w:sz w:val="17"/>
          <w:szCs w:val="17"/>
          <w:color w:val="auto"/>
        </w:rPr>
        <w:t>During the three months ended March 31, 2021, the Company issued 4,097,808 shares of its common stock and cash for fractional shares upon the conversion of approximately $37.9 million in aggregate principal amount of the 4.75% Convertible Senior Notes due 2023. The Company also redeemed approximately $0.3 million of aggregate principal amount for cash plus accrued and unpaid interest on March 29, 2021. During the year ended December 31, 2020, the Company issued 174,888 shares</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49</w:t>
      </w:r>
    </w:p>
    <w:p>
      <w:pPr>
        <w:sectPr>
          <w:pgSz w:w="11900" w:h="16838" w:orient="portrait"/>
          <w:cols w:equalWidth="0" w:num="1">
            <w:col w:w="11240"/>
          </w:cols>
          <w:pgMar w:left="320" w:top="118"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SURO CAPITAL CORP. AND SUBSIDIARIES</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June 30, 2022</w:t>
      </w:r>
    </w:p>
    <w:p>
      <w:pPr>
        <w:spacing w:after="0" w:line="368"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7"/>
          <w:szCs w:val="17"/>
          <w:color w:val="auto"/>
        </w:rPr>
        <w:t>of its common stock and cash for fractional shares upon the conversion of $1,785,000 in aggregate principal amount of the 4.75% Convertible Senior Notes due 2023.</w:t>
      </w:r>
    </w:p>
    <w:p>
      <w:pPr>
        <w:spacing w:after="0" w:line="173" w:lineRule="exact"/>
        <w:rPr>
          <w:sz w:val="20"/>
          <w:szCs w:val="20"/>
          <w:color w:val="auto"/>
        </w:rPr>
      </w:pPr>
    </w:p>
    <w:p>
      <w:pPr>
        <w:jc w:val="both"/>
        <w:ind w:firstLine="349"/>
        <w:spacing w:after="0" w:line="291" w:lineRule="auto"/>
        <w:rPr>
          <w:sz w:val="20"/>
          <w:szCs w:val="20"/>
          <w:color w:val="auto"/>
        </w:rPr>
      </w:pPr>
      <w:r>
        <w:rPr>
          <w:rFonts w:ascii="Times New Roman" w:cs="Times New Roman" w:eastAsia="Times New Roman" w:hAnsi="Times New Roman"/>
          <w:sz w:val="17"/>
          <w:szCs w:val="17"/>
          <w:color w:val="auto"/>
        </w:rPr>
        <w:t>The table below shows a reconciliation from the aggregate principal amount of 4.75% Convertible Senior Notes due 2023 to the balance shown on the Condensed Consolidated Statement of Assets and Liabilities.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340" w:type="dxa"/>
            <w:vAlign w:val="bottom"/>
          </w:tcPr>
          <w:p>
            <w:pPr>
              <w:spacing w:after="0"/>
              <w:rPr>
                <w:sz w:val="15"/>
                <w:szCs w:val="15"/>
                <w:color w:val="auto"/>
              </w:rPr>
            </w:pPr>
          </w:p>
        </w:tc>
        <w:tc>
          <w:tcPr>
            <w:tcW w:w="1500" w:type="dxa"/>
            <w:vAlign w:val="bottom"/>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40" w:type="dxa"/>
            <w:vAlign w:val="bottom"/>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3"/>
        </w:trPr>
        <w:tc>
          <w:tcPr>
            <w:tcW w:w="734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r>
        <w:trPr>
          <w:trHeight w:val="213"/>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Initial aggregate principal amount of 4.75% Convertible Senior Notes due 2023</w:t>
            </w:r>
          </w:p>
        </w:tc>
        <w:tc>
          <w:tcPr>
            <w:tcW w:w="1500" w:type="dxa"/>
            <w:vAlign w:val="bottom"/>
            <w:shd w:val="clear" w:color="auto" w:fill="CCEEFF"/>
          </w:tcPr>
          <w:p>
            <w:pPr>
              <w:jc w:val="right"/>
              <w:ind w:right="1320"/>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38,215,000</w:t>
            </w:r>
          </w:p>
        </w:tc>
      </w:tr>
      <w:tr>
        <w:trPr>
          <w:trHeight w:val="220"/>
        </w:trPr>
        <w:tc>
          <w:tcPr>
            <w:tcW w:w="73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Conversion of 4.75% Convertible Senior Notes due 2023</w:t>
            </w:r>
          </w:p>
        </w:tc>
        <w:tc>
          <w:tcPr>
            <w:tcW w:w="1500" w:type="dxa"/>
            <w:vAlign w:val="bottom"/>
          </w:tcPr>
          <w:p>
            <w:pPr>
              <w:spacing w:after="0"/>
              <w:rPr>
                <w:sz w:val="19"/>
                <w:szCs w:val="19"/>
                <w:color w:val="auto"/>
              </w:rPr>
            </w:pPr>
          </w:p>
        </w:tc>
        <w:tc>
          <w:tcPr>
            <w:tcW w:w="50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(37,925,000)</w:t>
            </w:r>
          </w:p>
        </w:tc>
      </w:tr>
      <w:tr>
        <w:trPr>
          <w:trHeight w:val="220"/>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Redemption of 4.75% Convertible Senior Notes due 2023</w:t>
            </w:r>
          </w:p>
        </w:tc>
        <w:tc>
          <w:tcPr>
            <w:tcW w:w="1500" w:type="dxa"/>
            <w:vAlign w:val="bottom"/>
            <w:shd w:val="clear" w:color="auto" w:fill="CCEEFF"/>
          </w:tcPr>
          <w:p>
            <w:pPr>
              <w:spacing w:after="0"/>
              <w:rPr>
                <w:sz w:val="19"/>
                <w:szCs w:val="19"/>
                <w:color w:val="auto"/>
              </w:rPr>
            </w:pPr>
          </w:p>
        </w:tc>
        <w:tc>
          <w:tcPr>
            <w:tcW w:w="5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(290,000)</w:t>
            </w:r>
          </w:p>
        </w:tc>
      </w:tr>
      <w:tr>
        <w:trPr>
          <w:trHeight w:val="220"/>
        </w:trPr>
        <w:tc>
          <w:tcPr>
            <w:tcW w:w="73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Direct deduction of deferred debt issuance costs</w:t>
            </w:r>
          </w:p>
        </w:tc>
        <w:tc>
          <w:tcPr>
            <w:tcW w:w="1500" w:type="dxa"/>
            <w:vAlign w:val="bottom"/>
          </w:tcPr>
          <w:p>
            <w:pPr>
              <w:spacing w:after="0"/>
              <w:rPr>
                <w:sz w:val="19"/>
                <w:szCs w:val="19"/>
                <w:color w:val="auto"/>
              </w:rPr>
            </w:pPr>
          </w:p>
        </w:tc>
        <w:tc>
          <w:tcPr>
            <w:tcW w:w="50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8"/>
        </w:trPr>
        <w:tc>
          <w:tcPr>
            <w:tcW w:w="73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4.75% Convertible Senior Notes due 2023 Payable</w:t>
            </w:r>
          </w:p>
        </w:tc>
        <w:tc>
          <w:tcPr>
            <w:tcW w:w="1500" w:type="dxa"/>
            <w:vAlign w:val="bottom"/>
            <w:tcBorders>
              <w:top w:val="single" w:sz="8" w:color="auto"/>
              <w:bottom w:val="single" w:sz="8" w:color="auto"/>
            </w:tcBorders>
            <w:shd w:val="clear" w:color="auto" w:fill="CCEEFF"/>
          </w:tcPr>
          <w:p>
            <w:pPr>
              <w:jc w:val="right"/>
              <w:ind w:right="1320"/>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tcBorders>
              <w:top w:val="single" w:sz="8" w:color="auto"/>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0"/>
        </w:trPr>
        <w:tc>
          <w:tcPr>
            <w:tcW w:w="734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-746760</wp:posOffset>
            </wp:positionV>
            <wp:extent cx="465709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4657090" cy="8255"/>
                    </a:xfrm>
                    <a:prstGeom prst="rect">
                      <a:avLst/>
                    </a:prstGeom>
                    <a:noFill/>
                  </pic:spPr>
                </pic:pic>
              </a:graphicData>
            </a:graphic>
          </wp:anchor>
        </w:drawing>
      </w:r>
    </w:p>
    <w:p>
      <w:pPr>
        <w:spacing w:after="0" w:line="272" w:lineRule="exact"/>
        <w:rPr>
          <w:sz w:val="20"/>
          <w:szCs w:val="20"/>
          <w:color w:val="auto"/>
        </w:rPr>
      </w:pPr>
    </w:p>
    <w:p>
      <w:pPr>
        <w:jc w:val="both"/>
        <w:ind w:firstLine="349"/>
        <w:spacing w:after="0" w:line="263" w:lineRule="auto"/>
        <w:rPr>
          <w:sz w:val="20"/>
          <w:szCs w:val="20"/>
          <w:color w:val="auto"/>
        </w:rPr>
      </w:pPr>
      <w:r>
        <w:rPr>
          <w:rFonts w:ascii="Times New Roman" w:cs="Times New Roman" w:eastAsia="Times New Roman" w:hAnsi="Times New Roman"/>
          <w:sz w:val="17"/>
          <w:szCs w:val="17"/>
          <w:color w:val="auto"/>
        </w:rPr>
        <w:t>The 4.75% Convertible Senior Notes due 2023 were the Company’s general, unsecured, senior obligations and ranked senior in right of payment to any future indebtedness that was expressly subordinated in right of payment to the 4.75% Convertible Senior Notes due 2023, equal in right of payment to any existing and future unsecured indebtedness that was not so subordinated to the 4.75% Convertible Senior Notes due 2023, effectively junior to any future secured indebtedness to the extent of the value of the assets securing such indebtedness, and structurally junior to all future indebtedness (including trade payables) incurred by the Company’s subsidiaries.</w:t>
      </w:r>
    </w:p>
    <w:p>
      <w:pPr>
        <w:spacing w:after="0" w:line="19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In connection with the issuance of the 4.75% Convertible Senior Notes due 2023, the Company was required under the terms of its credit facility with Western Alliance Bank (the "Credit Facility") to deposit any proceeds from the 4.75% Convertible Senior Notes due 2023 offering into an account at Western Alliance Bank and was required to maintain at least $65.0 million (or such lesser amount to the extent such funds are used to repay or repurchase a portion of the outstanding 5.25% Convertible Senior Notes due 2018 prior to their maturity and repayment in full) in an account at Western Alliance Bank until such time as the 5.25% Convertible Senior Notes due 2018 were repaid in full. The 5.25% Convertible Senior Notes due 2018 matured on September 15, 2018, at which time the Company repaid the remaining outstanding aggregate principal amount of the 5.25% Convertible Senior Notes due 2018, including accrued but unpaid interest. In addition, the Credit Facility with Western Alliance Bank matured on May 31, 2019. As a result, the company is no longer subject to such requirements.</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11—STOCK-BASED COMPENSATION</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2019 Equity Incentive Plan</w:t>
      </w:r>
    </w:p>
    <w:p>
      <w:pPr>
        <w:spacing w:after="0" w:line="22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On June 5, 2019, our Board of Directors adopted, and our stockholders approved, an equity-based incentive plan (the "2019 Equity Incentive Plan”), which authorized equity awards to be granted for up to 1,976,264 shares of our common stock. Under the 2019 Equity Incentive Plan, the exercise price of awards would be set on the grant date and could not be less than the fair market value per share on such date, however, that in the case of an incentive stock option granted to an employee who, at the time of the grant of such option, owned stock representing more than ten percent (10%) of the voting power of all classes of stock of the Company or the Company’s present or future parent or subsidiary corporations, as defined in Section 424(e) or (f) of the Code, or other Affiliates the employees of which were eligible to receive incentive stock options under the Code (the “10% Shareholders”), the exercise price per share would be no less than one hundred ten percent (110%) of the fair market value per share on the date of grant. The fair market value would be the closing price of the shares on Nasdaq on the date of grant.</w:t>
      </w:r>
    </w:p>
    <w:p>
      <w:pPr>
        <w:spacing w:after="0" w:line="200" w:lineRule="exact"/>
        <w:rPr>
          <w:sz w:val="20"/>
          <w:szCs w:val="20"/>
          <w:color w:val="auto"/>
        </w:rPr>
      </w:pPr>
    </w:p>
    <w:p>
      <w:pPr>
        <w:spacing w:after="0" w:line="212"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On July 17, 2019, stock options providing the right to purchase up to 1,165,000 shares were granted under the 2019 Equity Incentive Plan with an exercise price equal to the market price of our common stock at the grant date. These stock options had a vesting period of 3 years with 1/3 vesting immediately on the grant date, 1/3 vesting on July 17, 2020, and the remaining 1/3 vesting on July 17, 2021.</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50</w:t>
      </w:r>
    </w:p>
    <w:p>
      <w:pPr>
        <w:sectPr>
          <w:pgSz w:w="11900" w:h="16838" w:orient="portrait"/>
          <w:cols w:equalWidth="0" w:num="1">
            <w:col w:w="11240"/>
          </w:cols>
          <w:pgMar w:left="320" w:top="118"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SURO CAPITAL CORP. AND SUBSIDIARIES</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June 30, 2022</w:t>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Cancellation of Stock Option Awards Under 2019 Equity Incentive Plan</w:t>
      </w:r>
    </w:p>
    <w:p>
      <w:pPr>
        <w:spacing w:after="0" w:line="2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 xml:space="preserve">On April 28, 2020, all stock option awards granted under the 2019 Equity Incentive Plan were canceled for no payment pursuant to an option cancellation agreement (the "Option Cancellation Agreement"). As a result, there are no stock option awards outstanding under the 2019 Equity Incentive Plan. In accordance with FASB ASC 718, </w:t>
      </w:r>
      <w:r>
        <w:rPr>
          <w:rFonts w:ascii="Times New Roman" w:cs="Times New Roman" w:eastAsia="Times New Roman" w:hAnsi="Times New Roman"/>
          <w:sz w:val="17"/>
          <w:szCs w:val="17"/>
          <w:i w:val="1"/>
          <w:iCs w:val="1"/>
          <w:color w:val="auto"/>
        </w:rPr>
        <w:t>Compensation</w:t>
      </w:r>
      <w:r>
        <w:rPr>
          <w:rFonts w:ascii="Times New Roman" w:cs="Times New Roman" w:eastAsia="Times New Roman" w:hAnsi="Times New Roman"/>
          <w:sz w:val="17"/>
          <w:szCs w:val="17"/>
          <w:color w:val="auto"/>
        </w:rPr>
        <w:t xml:space="preserve"> – </w:t>
      </w:r>
      <w:r>
        <w:rPr>
          <w:rFonts w:ascii="Times New Roman" w:cs="Times New Roman" w:eastAsia="Times New Roman" w:hAnsi="Times New Roman"/>
          <w:sz w:val="17"/>
          <w:szCs w:val="17"/>
          <w:i w:val="1"/>
          <w:iCs w:val="1"/>
          <w:color w:val="auto"/>
        </w:rPr>
        <w:t>Stock Compensation</w:t>
      </w:r>
      <w:r>
        <w:rPr>
          <w:rFonts w:ascii="Times New Roman" w:cs="Times New Roman" w:eastAsia="Times New Roman" w:hAnsi="Times New Roman"/>
          <w:sz w:val="17"/>
          <w:szCs w:val="17"/>
          <w:color w:val="auto"/>
        </w:rPr>
        <w:t xml:space="preserve"> ("ASC 718") all unrecognized compensation cost related to still unvested shares was recognized as of the date of cancellation. For more information, including a description of the Option Cancellation Agreement, please refer to our current report on Form 8-K filed with the SEC on April 29, 2020. Such description of the Option Cancellation Agreement is qualified in its entirety by reference to the text of such Option Cancellation Agreement filed as Exhibit 10.3 to our quarterly report on Form 10-Q for the period ended March 31, 2020 filed with the SEC on May 8, 2020.</w:t>
      </w:r>
    </w:p>
    <w:p>
      <w:pPr>
        <w:spacing w:after="0" w:line="19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The Company follows ASC 718 to account for stock options granted. Under ASC 718, compensation expense associated with stock-based compensation is measured at the grant date based on the fair value of the award and is recognized over the vesting period. Determining the appropriate fair value model and calculating the fair value of stock-based awards at the grant date requires judgment, including estimating stock price volatility, forfeiture rate, and expected option life. The time-based options granted on July 17, 2019 were ascribed a weighted-average fair value of $2.57 per share. The fair value of options granted under the 2019 Equity Incentive Plan was based upon a Black Scholes option pricing model using the assumptions in the following table:</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Input Assumptions</w:t>
            </w:r>
          </w:p>
        </w:tc>
        <w:tc>
          <w:tcPr>
            <w:tcW w:w="18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580" w:type="dxa"/>
            <w:vAlign w:val="bottom"/>
            <w:tcBorders>
              <w:bottom w:val="single" w:sz="8" w:color="auto"/>
            </w:tcBorders>
            <w:gridSpan w:val="3"/>
          </w:tcPr>
          <w:p>
            <w:pPr>
              <w:ind w:left="480"/>
              <w:spacing w:after="0"/>
              <w:rPr>
                <w:sz w:val="20"/>
                <w:szCs w:val="20"/>
                <w:color w:val="auto"/>
              </w:rPr>
            </w:pPr>
            <w:r>
              <w:rPr>
                <w:rFonts w:ascii="Times New Roman" w:cs="Times New Roman" w:eastAsia="Times New Roman" w:hAnsi="Times New Roman"/>
                <w:sz w:val="16"/>
                <w:szCs w:val="16"/>
                <w:b w:val="1"/>
                <w:bCs w:val="1"/>
                <w:color w:val="auto"/>
                <w:w w:val="98"/>
              </w:rPr>
              <w:t>As of July 17, 2019 Grant Date</w:t>
            </w:r>
          </w:p>
        </w:tc>
        <w:tc>
          <w:tcPr>
            <w:tcW w:w="4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Term (years)</w:t>
            </w: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center"/>
              <w:ind w:right="618"/>
              <w:spacing w:after="0"/>
              <w:rPr>
                <w:sz w:val="20"/>
                <w:szCs w:val="20"/>
                <w:color w:val="auto"/>
              </w:rPr>
            </w:pPr>
            <w:r>
              <w:rPr>
                <w:rFonts w:ascii="Times New Roman" w:cs="Times New Roman" w:eastAsia="Times New Roman" w:hAnsi="Times New Roman"/>
                <w:sz w:val="17"/>
                <w:szCs w:val="17"/>
                <w:color w:val="auto"/>
              </w:rPr>
              <w:t>5.55</w:t>
            </w: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5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Volatility</w:t>
            </w:r>
          </w:p>
        </w:tc>
        <w:tc>
          <w:tcPr>
            <w:tcW w:w="1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jc w:val="center"/>
              <w:ind w:right="638"/>
              <w:spacing w:after="0"/>
              <w:rPr>
                <w:sz w:val="20"/>
                <w:szCs w:val="20"/>
                <w:color w:val="auto"/>
              </w:rPr>
            </w:pPr>
            <w:r>
              <w:rPr>
                <w:rFonts w:ascii="Times New Roman" w:cs="Times New Roman" w:eastAsia="Times New Roman" w:hAnsi="Times New Roman"/>
                <w:sz w:val="17"/>
                <w:szCs w:val="17"/>
                <w:color w:val="auto"/>
                <w:w w:val="99"/>
              </w:rPr>
              <w:t>39.47%</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Risk-free rate</w:t>
            </w:r>
          </w:p>
        </w:tc>
        <w:tc>
          <w:tcPr>
            <w:tcW w:w="1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40" w:type="dxa"/>
            <w:vAlign w:val="bottom"/>
            <w:shd w:val="clear" w:color="auto" w:fill="CCEEFF"/>
          </w:tcPr>
          <w:p>
            <w:pPr>
              <w:jc w:val="center"/>
              <w:ind w:right="638"/>
              <w:spacing w:after="0"/>
              <w:rPr>
                <w:sz w:val="20"/>
                <w:szCs w:val="20"/>
                <w:color w:val="auto"/>
              </w:rPr>
            </w:pPr>
            <w:r>
              <w:rPr>
                <w:rFonts w:ascii="Times New Roman" w:cs="Times New Roman" w:eastAsia="Times New Roman" w:hAnsi="Times New Roman"/>
                <w:sz w:val="17"/>
                <w:szCs w:val="17"/>
                <w:color w:val="auto"/>
              </w:rPr>
              <w:t>1.86%</w:t>
            </w:r>
          </w:p>
        </w:tc>
        <w:tc>
          <w:tcPr>
            <w:tcW w:w="4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5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Dividend yield</w:t>
            </w:r>
          </w:p>
        </w:tc>
        <w:tc>
          <w:tcPr>
            <w:tcW w:w="1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jc w:val="center"/>
              <w:ind w:right="638"/>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5600" w:type="dxa"/>
            <w:vAlign w:val="bottom"/>
          </w:tcPr>
          <w:p>
            <w:pPr>
              <w:spacing w:after="0"/>
              <w:rPr>
                <w:sz w:val="20"/>
                <w:szCs w:val="20"/>
                <w:color w:val="auto"/>
              </w:rPr>
            </w:pPr>
          </w:p>
        </w:tc>
        <w:tc>
          <w:tcPr>
            <w:tcW w:w="1860" w:type="dxa"/>
            <w:vAlign w:val="bottom"/>
            <w:vMerge w:val="restart"/>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00" w:type="dxa"/>
            <w:vAlign w:val="bottom"/>
          </w:tcPr>
          <w:p>
            <w:pPr>
              <w:spacing w:after="0"/>
              <w:rPr>
                <w:sz w:val="20"/>
                <w:szCs w:val="20"/>
                <w:color w:val="auto"/>
              </w:rPr>
            </w:pPr>
          </w:p>
        </w:tc>
        <w:tc>
          <w:tcPr>
            <w:tcW w:w="182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6"/>
              </w:rPr>
              <w:t>Weighted-Average Exercise</w:t>
            </w:r>
          </w:p>
        </w:tc>
        <w:tc>
          <w:tcPr>
            <w:tcW w:w="18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w w:val="98"/>
              </w:rPr>
              <w:t>Weighted-Average Grant Date</w:t>
            </w:r>
          </w:p>
        </w:tc>
        <w:tc>
          <w:tcPr>
            <w:tcW w:w="0" w:type="dxa"/>
            <w:vAlign w:val="bottom"/>
          </w:tcPr>
          <w:p>
            <w:pPr>
              <w:spacing w:after="0"/>
              <w:rPr>
                <w:sz w:val="1"/>
                <w:szCs w:val="1"/>
                <w:color w:val="auto"/>
              </w:rPr>
            </w:pPr>
          </w:p>
        </w:tc>
      </w:tr>
      <w:tr>
        <w:trPr>
          <w:trHeight w:val="188"/>
        </w:trPr>
        <w:tc>
          <w:tcPr>
            <w:tcW w:w="5600" w:type="dxa"/>
            <w:vAlign w:val="bottom"/>
          </w:tcPr>
          <w:p>
            <w:pPr>
              <w:spacing w:after="0"/>
              <w:rPr>
                <w:sz w:val="16"/>
                <w:szCs w:val="16"/>
                <w:color w:val="auto"/>
              </w:rPr>
            </w:pPr>
          </w:p>
        </w:tc>
        <w:tc>
          <w:tcPr>
            <w:tcW w:w="1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center"/>
              <w:ind w:right="78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440" w:type="dxa"/>
            <w:vAlign w:val="bottom"/>
          </w:tcPr>
          <w:p>
            <w:pPr>
              <w:ind w:left="6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5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Outstanding as of December 31, 2019</w:t>
            </w: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1,155,000</w:t>
            </w:r>
          </w:p>
        </w:tc>
        <w:tc>
          <w:tcPr>
            <w:tcW w:w="1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ind w:right="402"/>
              <w:spacing w:after="0"/>
              <w:rPr>
                <w:sz w:val="20"/>
                <w:szCs w:val="20"/>
                <w:color w:val="auto"/>
              </w:rPr>
            </w:pPr>
            <w:r>
              <w:rPr>
                <w:rFonts w:ascii="Times New Roman" w:cs="Times New Roman" w:eastAsia="Times New Roman" w:hAnsi="Times New Roman"/>
                <w:sz w:val="17"/>
                <w:szCs w:val="17"/>
                <w:color w:val="auto"/>
                <w:w w:val="93"/>
              </w:rPr>
              <w:t>$</w:t>
            </w: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6.57</w:t>
            </w:r>
          </w:p>
        </w:tc>
        <w:tc>
          <w:tcPr>
            <w:tcW w:w="10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2.57</w:t>
            </w:r>
          </w:p>
        </w:tc>
        <w:tc>
          <w:tcPr>
            <w:tcW w:w="0" w:type="dxa"/>
            <w:vAlign w:val="bottom"/>
          </w:tcPr>
          <w:p>
            <w:pPr>
              <w:spacing w:after="0"/>
              <w:rPr>
                <w:sz w:val="1"/>
                <w:szCs w:val="1"/>
                <w:color w:val="auto"/>
              </w:rPr>
            </w:pPr>
          </w:p>
        </w:tc>
      </w:tr>
      <w:tr>
        <w:trPr>
          <w:trHeight w:val="233"/>
        </w:trPr>
        <w:tc>
          <w:tcPr>
            <w:tcW w:w="5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Vested and Exercisable as of December 31, 2019</w:t>
            </w:r>
          </w:p>
        </w:tc>
        <w:tc>
          <w:tcPr>
            <w:tcW w:w="1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385,000</w:t>
            </w:r>
          </w:p>
        </w:tc>
        <w:tc>
          <w:tcPr>
            <w:tcW w:w="680" w:type="dxa"/>
            <w:vAlign w:val="bottom"/>
            <w:gridSpan w:val="2"/>
          </w:tcPr>
          <w:p>
            <w:pPr>
              <w:jc w:val="right"/>
              <w:ind w:right="402"/>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6.57</w:t>
            </w:r>
          </w:p>
        </w:tc>
        <w:tc>
          <w:tcPr>
            <w:tcW w:w="100" w:type="dxa"/>
            <w:vAlign w:val="bottom"/>
          </w:tcPr>
          <w:p>
            <w:pPr>
              <w:spacing w:after="0"/>
              <w:rPr>
                <w:sz w:val="20"/>
                <w:szCs w:val="20"/>
                <w:color w:val="auto"/>
              </w:rPr>
            </w:pPr>
          </w:p>
        </w:tc>
        <w:tc>
          <w:tcPr>
            <w:tcW w:w="1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2.57</w:t>
            </w:r>
          </w:p>
        </w:tc>
        <w:tc>
          <w:tcPr>
            <w:tcW w:w="0" w:type="dxa"/>
            <w:vAlign w:val="bottom"/>
          </w:tcPr>
          <w:p>
            <w:pPr>
              <w:spacing w:after="0"/>
              <w:rPr>
                <w:sz w:val="1"/>
                <w:szCs w:val="1"/>
                <w:color w:val="auto"/>
              </w:rPr>
            </w:pPr>
          </w:p>
        </w:tc>
      </w:tr>
      <w:tr>
        <w:trPr>
          <w:trHeight w:val="220"/>
        </w:trPr>
        <w:tc>
          <w:tcPr>
            <w:tcW w:w="5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Cancelled</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(1,155,000)</w:t>
            </w:r>
          </w:p>
        </w:tc>
        <w:tc>
          <w:tcPr>
            <w:tcW w:w="680" w:type="dxa"/>
            <w:vAlign w:val="bottom"/>
            <w:gridSpan w:val="2"/>
            <w:shd w:val="clear" w:color="auto" w:fill="CCEEFF"/>
          </w:tcPr>
          <w:p>
            <w:pPr>
              <w:jc w:val="right"/>
              <w:ind w:right="402"/>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6.57</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2.57</w:t>
            </w:r>
          </w:p>
        </w:tc>
        <w:tc>
          <w:tcPr>
            <w:tcW w:w="0" w:type="dxa"/>
            <w:vAlign w:val="bottom"/>
          </w:tcPr>
          <w:p>
            <w:pPr>
              <w:spacing w:after="0"/>
              <w:rPr>
                <w:sz w:val="1"/>
                <w:szCs w:val="1"/>
                <w:color w:val="auto"/>
              </w:rPr>
            </w:pPr>
          </w:p>
        </w:tc>
      </w:tr>
      <w:tr>
        <w:trPr>
          <w:trHeight w:val="219"/>
        </w:trPr>
        <w:tc>
          <w:tcPr>
            <w:tcW w:w="5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Outstanding as of June 30, 2022 and December 31, 2021</w:t>
            </w:r>
          </w:p>
        </w:tc>
        <w:tc>
          <w:tcPr>
            <w:tcW w:w="1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-1292860</wp:posOffset>
            </wp:positionV>
            <wp:extent cx="5166360" cy="1479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166360" cy="1479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-586105</wp:posOffset>
            </wp:positionV>
            <wp:extent cx="355663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556635" cy="8255"/>
                    </a:xfrm>
                    <a:prstGeom prst="rect">
                      <a:avLst/>
                    </a:prstGeom>
                    <a:noFill/>
                  </pic:spPr>
                </pic:pic>
              </a:graphicData>
            </a:graphic>
          </wp:anchor>
        </w:drawing>
      </w:r>
    </w:p>
    <w:p>
      <w:pPr>
        <w:spacing w:after="0" w:line="266"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7"/>
          <w:szCs w:val="17"/>
          <w:color w:val="auto"/>
        </w:rPr>
        <w:t>As of June 30, 2022 and December 31, 2021, there was $0 of total unrecognized compensation cost related to non-vested stock options granted under the 2019 Equity Incentive Plan, as the options were cancelled effective April 28, 2020.</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Amended and Restated 2019 Equity Incentive Plan</w:t>
      </w:r>
    </w:p>
    <w:p>
      <w:pPr>
        <w:spacing w:after="0" w:line="24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On June 19, 2020, our Board of Directors adopted, and our stockholders approved, an amendment and restatement of the Company’s 2019 Equity Incentive Plan (the “Amended &amp; Restated 2019 Equity Incentive Plan”) under which the Company is authorized to grant equity awards for up to 1,627,967 shares of its common stock. In accordance with the exemptive relief granted to the Company by the SEC on June 16, 2020 with respect to the Amended &amp; Restated 2019 Equity Incentive Plan, the Company is generally authorized to (i) issue restricted shares as part of the compensation package for certain of its employees, officers and all directors, including non-employee directors (collectively, the “Participants”), (ii) issue options to acquire shares of its common stock (“Options”) to certain employees, officers and employee directors as a part of such compensation packages, (iii) withhold shares of the Company’s common stock or purchase shares of common stock from the Participants to satisfy tax withholding obligations relating to the vesting of restricted shares or the exercise of Options granted to the certain Participants pursuant to the Amended &amp; Restated 2019 Equity Incentive Plan, and (iv) permit the Participants to pay the exercise price of Options granted to them with shares of the Company’s common stock.</w:t>
      </w:r>
    </w:p>
    <w:p>
      <w:pPr>
        <w:spacing w:after="0" w:line="204"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Under the Amended &amp; Restated 2019 Equity Incentive Plan, each non-employee director will receive an annual grant of $50,000 worth of restricted shares of common stock (based on the closing stock price of the common stock on the grant date). Each grant of $50,000 in restricted shares will vest, in full, if the non-employee director is in continuous service as a director of</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51</w:t>
      </w:r>
    </w:p>
    <w:p>
      <w:pPr>
        <w:sectPr>
          <w:pgSz w:w="11900" w:h="16838" w:orient="portrait"/>
          <w:cols w:equalWidth="0" w:num="1">
            <w:col w:w="11240"/>
          </w:cols>
          <w:pgMar w:left="320" w:top="118"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SURO CAPITAL CORP. AND SUBSIDIARIES</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June 30, 2022</w:t>
      </w:r>
    </w:p>
    <w:p>
      <w:pPr>
        <w:spacing w:after="0" w:line="36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the Company through the anniversary of such grant (or, if earlier, the annual meeting of the Company’s stockholders that is closest to the anniversary of such grant).</w:t>
      </w:r>
    </w:p>
    <w:p>
      <w:pPr>
        <w:spacing w:after="0" w:line="200" w:lineRule="exact"/>
        <w:rPr>
          <w:sz w:val="20"/>
          <w:szCs w:val="20"/>
          <w:color w:val="auto"/>
        </w:rPr>
      </w:pPr>
    </w:p>
    <w:p>
      <w:pPr>
        <w:spacing w:after="0" w:line="2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Other than such restricted shares granted to non-employee directors, the Company’s Compensation Committee may determine the time or times at which Options and restricted shares granted to other Participants will vest or become payable or exercisable, as applicable. The exercise price of each Option will not be less than 100% of the fair market value of the Company’s common stock on the date the option is granted. However, any optionee who owns more than 10% of the combined voting power of all classes of the Company’s outstanding common stock (a “10% Stockholder”), will not be eligible for the grant of an incentive stock option unless the exercise price of the incentive stock option is at least 110% of the fair market value of the Company’s common stock on the date of grant. Generally, no Option will be exercisable after the expiration of ten years from the date of grant. In the case of an Option granted to a 10% Stockholder, the term of an incentive stock option will be for no more than five years from the date of grant.</w:t>
      </w:r>
    </w:p>
    <w:p>
      <w:pPr>
        <w:spacing w:after="0" w:line="19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During the six months ended June 30, 2022, the Company granted 241,827 restricted shares to the Company's officers pursuant to the Amended &amp; Restated 2019 Equity Incentive Plan. These restricted shares have a vesting period of 3 years. The Company determined that the fair values, based on the grant date close price of such restricted shares granted under the Amended &amp; Restated 2019 Equity Incentive Plan during the six months ended June 30, 2022 and 2021 were approximately $2,885,000 and $3,080,886, respectively, in the aggregate. On July 2, 2021, 21,760 restricted shares related to the 2020 non-employee director grants vested. The Company expensed the full value of restricted stock compensation related to annual non-employee director grants on the vesting date. On June 1, 2022, 15,080 restricted shares related to the 2021 non-employee director grants vested.</w:t>
      </w:r>
    </w:p>
    <w:p>
      <w:pPr>
        <w:spacing w:after="0" w:line="196" w:lineRule="exact"/>
        <w:rPr>
          <w:sz w:val="20"/>
          <w:szCs w:val="20"/>
          <w:color w:val="auto"/>
        </w:rPr>
      </w:pPr>
    </w:p>
    <w:p>
      <w:pPr>
        <w:jc w:val="both"/>
        <w:ind w:firstLine="349"/>
        <w:spacing w:after="0" w:line="264" w:lineRule="auto"/>
        <w:rPr>
          <w:sz w:val="20"/>
          <w:szCs w:val="20"/>
          <w:color w:val="auto"/>
        </w:rPr>
      </w:pPr>
      <w:r>
        <w:rPr>
          <w:rFonts w:ascii="Times New Roman" w:cs="Times New Roman" w:eastAsia="Times New Roman" w:hAnsi="Times New Roman"/>
          <w:sz w:val="17"/>
          <w:szCs w:val="17"/>
          <w:color w:val="auto"/>
        </w:rPr>
        <w:t>As of June 30, 2022 and December 31, 2021, there were approximately $7,385,795 and $2,929,830, respectively, of total unrecognized compensation costs related to the restricted share grants. Compensation expense associated with the restricted shares is recognized on a quarterly basis over the respective vesting periods.</w:t>
      </w:r>
    </w:p>
    <w:p>
      <w:pPr>
        <w:spacing w:after="0" w:line="18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The following table summarizes the activities for the Company’s restricted share grants for the six months ended June 30, 2022 under the Amended &amp;</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Restated 2019 Equity Incentive Plan:</w:t>
      </w:r>
    </w:p>
    <w:p>
      <w:pPr>
        <w:spacing w:after="0" w:line="24" w:lineRule="exact"/>
        <w:rPr>
          <w:sz w:val="20"/>
          <w:szCs w:val="20"/>
          <w:color w:val="auto"/>
        </w:rPr>
      </w:pPr>
    </w:p>
    <w:tbl>
      <w:tblPr>
        <w:tblLayout w:type="fixed"/>
        <w:tblInd w:w="1640" w:type="dxa"/>
        <w:tblCellMar>
          <w:top w:w="0" w:type="dxa"/>
          <w:left w:w="0" w:type="dxa"/>
          <w:bottom w:w="0" w:type="dxa"/>
          <w:right w:w="0" w:type="dxa"/>
        </w:tblCellMar>
      </w:tblPr>
      <w:tr>
        <w:trPr>
          <w:trHeight w:val="183"/>
        </w:trPr>
        <w:tc>
          <w:tcPr>
            <w:tcW w:w="5320" w:type="dxa"/>
            <w:vAlign w:val="bottom"/>
          </w:tcPr>
          <w:p>
            <w:pPr>
              <w:spacing w:after="0"/>
              <w:rPr>
                <w:sz w:val="15"/>
                <w:szCs w:val="15"/>
                <w:color w:val="auto"/>
              </w:rPr>
            </w:pPr>
          </w:p>
        </w:tc>
        <w:tc>
          <w:tcPr>
            <w:tcW w:w="2660" w:type="dxa"/>
            <w:vAlign w:val="bottom"/>
          </w:tcPr>
          <w:p>
            <w:pPr>
              <w:ind w:left="480"/>
              <w:spacing w:after="0"/>
              <w:rPr>
                <w:sz w:val="20"/>
                <w:szCs w:val="20"/>
                <w:color w:val="auto"/>
              </w:rPr>
            </w:pPr>
            <w:r>
              <w:rPr>
                <w:rFonts w:ascii="Times New Roman" w:cs="Times New Roman" w:eastAsia="Times New Roman" w:hAnsi="Times New Roman"/>
                <w:sz w:val="14"/>
                <w:szCs w:val="14"/>
                <w:b w:val="1"/>
                <w:bCs w:val="1"/>
                <w:color w:val="auto"/>
              </w:rPr>
              <w:t>Number of Restricted Shares</w:t>
            </w:r>
          </w:p>
        </w:tc>
      </w:tr>
      <w:tr>
        <w:trPr>
          <w:trHeight w:val="23"/>
        </w:trPr>
        <w:tc>
          <w:tcPr>
            <w:tcW w:w="5320" w:type="dxa"/>
            <w:vAlign w:val="bottom"/>
            <w:tcBorders>
              <w:bottom w:val="single" w:sz="8" w:color="CCEEFF"/>
            </w:tcBorders>
          </w:tcPr>
          <w:p>
            <w:pPr>
              <w:spacing w:after="0" w:line="20" w:lineRule="exact"/>
              <w:rPr>
                <w:sz w:val="1"/>
                <w:szCs w:val="1"/>
                <w:color w:val="auto"/>
              </w:rPr>
            </w:pPr>
          </w:p>
        </w:tc>
        <w:tc>
          <w:tcPr>
            <w:tcW w:w="2660" w:type="dxa"/>
            <w:vAlign w:val="bottom"/>
            <w:tcBorders>
              <w:bottom w:val="single" w:sz="8" w:color="auto"/>
            </w:tcBorders>
          </w:tcPr>
          <w:p>
            <w:pPr>
              <w:spacing w:after="0" w:line="20" w:lineRule="exact"/>
              <w:rPr>
                <w:sz w:val="1"/>
                <w:szCs w:val="1"/>
                <w:color w:val="auto"/>
              </w:rPr>
            </w:pPr>
          </w:p>
        </w:tc>
      </w:tr>
      <w:tr>
        <w:trPr>
          <w:trHeight w:val="213"/>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Outstanding as of December 31, 2021</w:t>
            </w:r>
          </w:p>
        </w:tc>
        <w:tc>
          <w:tcPr>
            <w:tcW w:w="2660" w:type="dxa"/>
            <w:vAlign w:val="bottom"/>
            <w:shd w:val="clear" w:color="auto" w:fill="CCEEFF"/>
          </w:tcPr>
          <w:p>
            <w:pPr>
              <w:ind w:left="2020"/>
              <w:spacing w:after="0"/>
              <w:rPr>
                <w:sz w:val="20"/>
                <w:szCs w:val="20"/>
                <w:color w:val="auto"/>
              </w:rPr>
            </w:pPr>
            <w:r>
              <w:rPr>
                <w:rFonts w:ascii="Times New Roman" w:cs="Times New Roman" w:eastAsia="Times New Roman" w:hAnsi="Times New Roman"/>
                <w:sz w:val="17"/>
                <w:szCs w:val="17"/>
                <w:color w:val="auto"/>
              </w:rPr>
              <w:t>369,298</w:t>
            </w:r>
          </w:p>
        </w:tc>
      </w:tr>
      <w:tr>
        <w:trPr>
          <w:trHeight w:val="220"/>
        </w:trPr>
        <w:tc>
          <w:tcPr>
            <w:tcW w:w="53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Granted</w:t>
            </w:r>
          </w:p>
        </w:tc>
        <w:tc>
          <w:tcPr>
            <w:tcW w:w="2660" w:type="dxa"/>
            <w:vAlign w:val="bottom"/>
          </w:tcPr>
          <w:p>
            <w:pPr>
              <w:ind w:left="2020"/>
              <w:spacing w:after="0"/>
              <w:rPr>
                <w:sz w:val="20"/>
                <w:szCs w:val="20"/>
                <w:color w:val="auto"/>
              </w:rPr>
            </w:pPr>
            <w:r>
              <w:rPr>
                <w:rFonts w:ascii="Times New Roman" w:cs="Times New Roman" w:eastAsia="Times New Roman" w:hAnsi="Times New Roman"/>
                <w:sz w:val="17"/>
                <w:szCs w:val="17"/>
                <w:color w:val="auto"/>
              </w:rPr>
              <w:t>268,563</w:t>
            </w:r>
          </w:p>
        </w:tc>
      </w:tr>
      <w:tr>
        <w:trPr>
          <w:trHeight w:val="233"/>
        </w:trPr>
        <w:tc>
          <w:tcPr>
            <w:tcW w:w="5320" w:type="dxa"/>
            <w:vAlign w:val="bottom"/>
            <w:shd w:val="clear" w:color="auto" w:fill="CCEEFF"/>
          </w:tcPr>
          <w:p>
            <w:pPr>
              <w:ind w:left="120"/>
              <w:spacing w:after="0" w:line="232" w:lineRule="exact"/>
              <w:rPr>
                <w:sz w:val="20"/>
                <w:szCs w:val="20"/>
                <w:color w:val="auto"/>
              </w:rPr>
            </w:pPr>
            <w:r>
              <w:rPr>
                <w:rFonts w:ascii="Times New Roman" w:cs="Times New Roman" w:eastAsia="Times New Roman" w:hAnsi="Times New Roman"/>
                <w:sz w:val="17"/>
                <w:szCs w:val="17"/>
                <w:color w:val="auto"/>
              </w:rPr>
              <w:t>Vested</w:t>
            </w:r>
            <w:r>
              <w:rPr>
                <w:rFonts w:ascii="Times New Roman" w:cs="Times New Roman" w:eastAsia="Times New Roman" w:hAnsi="Times New Roman"/>
                <w:sz w:val="22"/>
                <w:szCs w:val="22"/>
                <w:color w:val="auto"/>
                <w:vertAlign w:val="superscript"/>
              </w:rPr>
              <w:t>(1)</w:t>
            </w:r>
          </w:p>
        </w:tc>
        <w:tc>
          <w:tcPr>
            <w:tcW w:w="2660" w:type="dxa"/>
            <w:vAlign w:val="bottom"/>
            <w:shd w:val="clear" w:color="auto" w:fill="CCEEFF"/>
          </w:tcPr>
          <w:p>
            <w:pPr>
              <w:ind w:left="2040"/>
              <w:spacing w:after="0"/>
              <w:rPr>
                <w:sz w:val="20"/>
                <w:szCs w:val="20"/>
                <w:color w:val="auto"/>
              </w:rPr>
            </w:pPr>
            <w:r>
              <w:rPr>
                <w:rFonts w:ascii="Times New Roman" w:cs="Times New Roman" w:eastAsia="Times New Roman" w:hAnsi="Times New Roman"/>
                <w:sz w:val="17"/>
                <w:szCs w:val="17"/>
                <w:color w:val="auto"/>
              </w:rPr>
              <w:t>(86,541)</w:t>
            </w:r>
          </w:p>
        </w:tc>
      </w:tr>
      <w:tr>
        <w:trPr>
          <w:trHeight w:val="220"/>
        </w:trPr>
        <w:tc>
          <w:tcPr>
            <w:tcW w:w="53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Forfeited</w:t>
            </w:r>
          </w:p>
        </w:tc>
        <w:tc>
          <w:tcPr>
            <w:tcW w:w="2660" w:type="dxa"/>
            <w:vAlign w:val="bottom"/>
            <w:tcBorders>
              <w:bottom w:val="single" w:sz="8" w:color="auto"/>
            </w:tcBorders>
          </w:tcPr>
          <w:p>
            <w:pPr>
              <w:ind w:left="2040"/>
              <w:spacing w:after="0"/>
              <w:rPr>
                <w:sz w:val="20"/>
                <w:szCs w:val="20"/>
                <w:color w:val="auto"/>
              </w:rPr>
            </w:pPr>
            <w:r>
              <w:rPr>
                <w:rFonts w:ascii="Times New Roman" w:cs="Times New Roman" w:eastAsia="Times New Roman" w:hAnsi="Times New Roman"/>
                <w:sz w:val="17"/>
                <w:szCs w:val="17"/>
                <w:color w:val="auto"/>
              </w:rPr>
              <w:t>(15,000)</w:t>
            </w:r>
          </w:p>
        </w:tc>
      </w:tr>
      <w:tr>
        <w:trPr>
          <w:trHeight w:val="213"/>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Outstanding as of June 30, 2022</w:t>
            </w:r>
          </w:p>
        </w:tc>
        <w:tc>
          <w:tcPr>
            <w:tcW w:w="2660" w:type="dxa"/>
            <w:vAlign w:val="bottom"/>
            <w:shd w:val="clear" w:color="auto" w:fill="CCEEFF"/>
          </w:tcPr>
          <w:p>
            <w:pPr>
              <w:ind w:left="2020"/>
              <w:spacing w:after="0"/>
              <w:rPr>
                <w:sz w:val="20"/>
                <w:szCs w:val="20"/>
                <w:color w:val="auto"/>
              </w:rPr>
            </w:pPr>
            <w:r>
              <w:rPr>
                <w:rFonts w:ascii="Times New Roman" w:cs="Times New Roman" w:eastAsia="Times New Roman" w:hAnsi="Times New Roman"/>
                <w:sz w:val="17"/>
                <w:szCs w:val="17"/>
                <w:color w:val="auto"/>
              </w:rPr>
              <w:t>536,320</w:t>
            </w:r>
          </w:p>
        </w:tc>
      </w:tr>
      <w:tr>
        <w:trPr>
          <w:trHeight w:val="233"/>
        </w:trPr>
        <w:tc>
          <w:tcPr>
            <w:tcW w:w="5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Vested as of June 30, 2022</w:t>
            </w:r>
          </w:p>
        </w:tc>
        <w:tc>
          <w:tcPr>
            <w:tcW w:w="2660" w:type="dxa"/>
            <w:vAlign w:val="bottom"/>
          </w:tcPr>
          <w:p>
            <w:pPr>
              <w:ind w:left="2020"/>
              <w:spacing w:after="0"/>
              <w:rPr>
                <w:sz w:val="20"/>
                <w:szCs w:val="20"/>
                <w:color w:val="auto"/>
              </w:rPr>
            </w:pPr>
            <w:r>
              <w:rPr>
                <w:rFonts w:ascii="Times New Roman" w:cs="Times New Roman" w:eastAsia="Times New Roman" w:hAnsi="Times New Roman"/>
                <w:sz w:val="17"/>
                <w:szCs w:val="17"/>
                <w:color w:val="auto"/>
              </w:rPr>
              <w:t>108,301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1036955</wp:posOffset>
            </wp:positionH>
            <wp:positionV relativeFrom="paragraph">
              <wp:posOffset>-434975</wp:posOffset>
            </wp:positionV>
            <wp:extent cx="3383915" cy="1479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383915" cy="147955"/>
                    </a:xfrm>
                    <a:prstGeom prst="rect">
                      <a:avLst/>
                    </a:prstGeom>
                    <a:noFill/>
                  </pic:spPr>
                </pic:pic>
              </a:graphicData>
            </a:graphic>
          </wp:anchor>
        </w:drawing>
        <w:drawing>
          <wp:anchor simplePos="0" relativeHeight="251657728" behindDoc="1" locked="0" layoutInCell="0" allowOverlap="1">
            <wp:simplePos x="0" y="0"/>
            <wp:positionH relativeFrom="column">
              <wp:posOffset>1036955</wp:posOffset>
            </wp:positionH>
            <wp:positionV relativeFrom="paragraph">
              <wp:posOffset>-722630</wp:posOffset>
            </wp:positionV>
            <wp:extent cx="3383915" cy="1479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383915" cy="147955"/>
                    </a:xfrm>
                    <a:prstGeom prst="rect">
                      <a:avLst/>
                    </a:prstGeom>
                    <a:noFill/>
                  </pic:spPr>
                </pic:pic>
              </a:graphicData>
            </a:graphic>
          </wp:anchor>
        </w:drawing>
        <w:drawing>
          <wp:anchor simplePos="0" relativeHeight="251657728" behindDoc="1" locked="0" layoutInCell="0" allowOverlap="1">
            <wp:simplePos x="0" y="0"/>
            <wp:positionH relativeFrom="column">
              <wp:posOffset>1036955</wp:posOffset>
            </wp:positionH>
            <wp:positionV relativeFrom="paragraph">
              <wp:posOffset>-869950</wp:posOffset>
            </wp:positionV>
            <wp:extent cx="338391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383915" cy="8255"/>
                    </a:xfrm>
                    <a:prstGeom prst="rect">
                      <a:avLst/>
                    </a:prstGeom>
                    <a:noFill/>
                  </pic:spPr>
                </pic:pic>
              </a:graphicData>
            </a:graphic>
          </wp:anchor>
        </w:drawing>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_________________________________</w:t>
      </w:r>
    </w:p>
    <w:p>
      <w:pPr>
        <w:spacing w:after="0" w:line="22" w:lineRule="exact"/>
        <w:rPr>
          <w:sz w:val="20"/>
          <w:szCs w:val="20"/>
          <w:color w:val="auto"/>
        </w:rPr>
      </w:pPr>
    </w:p>
    <w:p>
      <w:pPr>
        <w:ind w:left="460" w:hanging="457"/>
        <w:spacing w:after="0" w:line="254" w:lineRule="auto"/>
        <w:tabs>
          <w:tab w:leader="none" w:pos="46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balance of vested shares as of June 30, 2022 reflects the total shares vested during the period and has not been reduced for those vested shares forfeited at time of vest related to net share settlement.</w:t>
      </w:r>
    </w:p>
    <w:p>
      <w:pPr>
        <w:spacing w:after="0" w:line="21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Amended &amp; Restated 2019 Equity Incentive Plan provides for the concept of “net share settlement.” Specifically, it provides that the Company is authorized to withhold the Common Stock at the time the restricted shares are vested and taxed in satisfaction of the Participant’s tax obligations. On June 16, 2020, the Company received exemptive relief from the SEC to permit such withholding of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52</w:t>
      </w:r>
    </w:p>
    <w:p>
      <w:pPr>
        <w:sectPr>
          <w:pgSz w:w="11900" w:h="16838" w:orient="portrait"/>
          <w:cols w:equalWidth="0" w:num="1">
            <w:col w:w="11240"/>
          </w:cols>
          <w:pgMar w:left="320" w:top="118"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SURO CAPITAL CORP. AND SUBSIDIARIES</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June 30, 2022</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12—SUBSEQUENT EVENTS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Portfolio Activity</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From July 1, 2022 through August 3, 2022, the Company exited or received proceeds from the following investments: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3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Portfolio Company</w:t>
            </w:r>
          </w:p>
        </w:tc>
        <w:tc>
          <w:tcPr>
            <w:tcW w:w="16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6"/>
              </w:rPr>
              <w:t>Transaction Date</w:t>
            </w:r>
          </w:p>
        </w:tc>
        <w:tc>
          <w:tcPr>
            <w:tcW w:w="12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6"/>
                <w:szCs w:val="16"/>
                <w:b w:val="1"/>
                <w:bCs w:val="1"/>
                <w:color w:val="auto"/>
              </w:rPr>
              <w:t>Shares Sold</w:t>
            </w:r>
          </w:p>
        </w:tc>
        <w:tc>
          <w:tcPr>
            <w:tcW w:w="150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4"/>
              </w:rPr>
              <w:t>Average Net Share</w:t>
            </w:r>
          </w:p>
        </w:tc>
        <w:tc>
          <w:tcPr>
            <w:tcW w:w="260" w:type="dxa"/>
            <w:vAlign w:val="bottom"/>
          </w:tcPr>
          <w:p>
            <w:pPr>
              <w:spacing w:after="0"/>
              <w:rPr>
                <w:sz w:val="16"/>
                <w:szCs w:val="16"/>
                <w:color w:val="auto"/>
              </w:rPr>
            </w:pPr>
          </w:p>
        </w:tc>
        <w:tc>
          <w:tcPr>
            <w:tcW w:w="15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Net Proceeds</w:t>
            </w:r>
          </w:p>
        </w:tc>
        <w:tc>
          <w:tcPr>
            <w:tcW w:w="1700" w:type="dxa"/>
            <w:vAlign w:val="bottom"/>
            <w:gridSpan w:val="2"/>
            <w:vMerge w:val="restart"/>
          </w:tcPr>
          <w:p>
            <w:pPr>
              <w:jc w:val="right"/>
              <w:ind w:right="14"/>
              <w:spacing w:after="0"/>
              <w:rPr>
                <w:sz w:val="20"/>
                <w:szCs w:val="20"/>
                <w:color w:val="auto"/>
              </w:rPr>
            </w:pPr>
            <w:r>
              <w:rPr>
                <w:rFonts w:ascii="Times New Roman" w:cs="Times New Roman" w:eastAsia="Times New Roman" w:hAnsi="Times New Roman"/>
                <w:sz w:val="16"/>
                <w:szCs w:val="16"/>
                <w:b w:val="1"/>
                <w:bCs w:val="1"/>
                <w:color w:val="auto"/>
                <w:w w:val="99"/>
              </w:rPr>
              <w:t>Realized Gain/(Loss)</w:t>
            </w:r>
            <w:r>
              <w:rPr>
                <w:rFonts w:ascii="Times New Roman" w:cs="Times New Roman" w:eastAsia="Times New Roman" w:hAnsi="Times New Roman"/>
                <w:sz w:val="20"/>
                <w:szCs w:val="20"/>
                <w:b w:val="1"/>
                <w:bCs w:val="1"/>
                <w:color w:val="auto"/>
                <w:w w:val="99"/>
                <w:vertAlign w:val="superscript"/>
              </w:rPr>
              <w:t>(2)</w:t>
            </w:r>
          </w:p>
        </w:tc>
        <w:tc>
          <w:tcPr>
            <w:tcW w:w="0" w:type="dxa"/>
            <w:vAlign w:val="bottom"/>
          </w:tcPr>
          <w:p>
            <w:pPr>
              <w:spacing w:after="0"/>
              <w:rPr>
                <w:sz w:val="1"/>
                <w:szCs w:val="1"/>
                <w:color w:val="auto"/>
              </w:rPr>
            </w:pPr>
          </w:p>
        </w:tc>
      </w:tr>
      <w:tr>
        <w:trPr>
          <w:trHeight w:val="207"/>
        </w:trPr>
        <w:tc>
          <w:tcPr>
            <w:tcW w:w="3380" w:type="dxa"/>
            <w:vAlign w:val="bottom"/>
            <w:gridSpan w:val="2"/>
            <w:vMerge w:val="continue"/>
          </w:tcPr>
          <w:p>
            <w:pPr>
              <w:spacing w:after="0"/>
              <w:rPr>
                <w:sz w:val="17"/>
                <w:szCs w:val="17"/>
                <w:color w:val="auto"/>
              </w:rPr>
            </w:pPr>
          </w:p>
        </w:tc>
        <w:tc>
          <w:tcPr>
            <w:tcW w:w="1660" w:type="dxa"/>
            <w:vAlign w:val="bottom"/>
            <w:gridSpan w:val="2"/>
            <w:vMerge w:val="continue"/>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gridSpan w:val="2"/>
          </w:tcPr>
          <w:p>
            <w:pPr>
              <w:jc w:val="center"/>
              <w:ind w:right="360"/>
              <w:spacing w:after="0" w:line="207" w:lineRule="exact"/>
              <w:rPr>
                <w:sz w:val="20"/>
                <w:szCs w:val="20"/>
                <w:color w:val="auto"/>
              </w:rPr>
            </w:pPr>
            <w:r>
              <w:rPr>
                <w:rFonts w:ascii="Times New Roman" w:cs="Times New Roman" w:eastAsia="Times New Roman" w:hAnsi="Times New Roman"/>
                <w:sz w:val="16"/>
                <w:szCs w:val="16"/>
                <w:b w:val="1"/>
                <w:bCs w:val="1"/>
                <w:color w:val="auto"/>
                <w:w w:val="90"/>
              </w:rPr>
              <w:t xml:space="preserve">Price </w:t>
            </w:r>
            <w:r>
              <w:rPr>
                <w:rFonts w:ascii="Times New Roman" w:cs="Times New Roman" w:eastAsia="Times New Roman" w:hAnsi="Times New Roman"/>
                <w:sz w:val="20"/>
                <w:szCs w:val="20"/>
                <w:b w:val="1"/>
                <w:bCs w:val="1"/>
                <w:color w:val="auto"/>
                <w:w w:val="90"/>
                <w:vertAlign w:val="superscript"/>
              </w:rPr>
              <w:t>(1)</w:t>
            </w:r>
          </w:p>
        </w:tc>
        <w:tc>
          <w:tcPr>
            <w:tcW w:w="260" w:type="dxa"/>
            <w:vAlign w:val="bottom"/>
          </w:tcPr>
          <w:p>
            <w:pPr>
              <w:spacing w:after="0"/>
              <w:rPr>
                <w:sz w:val="17"/>
                <w:szCs w:val="17"/>
                <w:color w:val="auto"/>
              </w:rPr>
            </w:pPr>
          </w:p>
        </w:tc>
        <w:tc>
          <w:tcPr>
            <w:tcW w:w="1520" w:type="dxa"/>
            <w:vAlign w:val="bottom"/>
            <w:gridSpan w:val="2"/>
            <w:vMerge w:val="continue"/>
          </w:tcPr>
          <w:p>
            <w:pPr>
              <w:spacing w:after="0"/>
              <w:rPr>
                <w:sz w:val="17"/>
                <w:szCs w:val="17"/>
                <w:color w:val="auto"/>
              </w:rPr>
            </w:pPr>
          </w:p>
        </w:tc>
        <w:tc>
          <w:tcPr>
            <w:tcW w:w="17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2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Enjoy Technology, Inc.</w:t>
            </w:r>
          </w:p>
        </w:tc>
        <w:tc>
          <w:tcPr>
            <w:tcW w:w="10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6"/>
              </w:rPr>
              <w:t>Various</w:t>
            </w:r>
          </w:p>
        </w:tc>
        <w:tc>
          <w:tcPr>
            <w:tcW w:w="1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626,955</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0.38</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235,195</w:t>
            </w:r>
          </w:p>
        </w:tc>
        <w:tc>
          <w:tcPr>
            <w:tcW w:w="1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ind w:right="297"/>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(3,005,238)</w:t>
            </w:r>
          </w:p>
        </w:tc>
        <w:tc>
          <w:tcPr>
            <w:tcW w:w="0" w:type="dxa"/>
            <w:vAlign w:val="bottom"/>
          </w:tcPr>
          <w:p>
            <w:pPr>
              <w:spacing w:after="0"/>
              <w:rPr>
                <w:sz w:val="1"/>
                <w:szCs w:val="1"/>
                <w:color w:val="auto"/>
              </w:rPr>
            </w:pPr>
          </w:p>
        </w:tc>
      </w:tr>
      <w:tr>
        <w:trPr>
          <w:trHeight w:val="220"/>
        </w:trPr>
        <w:tc>
          <w:tcPr>
            <w:tcW w:w="33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Palantir Lending Trust SPV I</w:t>
            </w:r>
          </w:p>
        </w:tc>
        <w:tc>
          <w:tcPr>
            <w:tcW w:w="15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7/14/2022</w:t>
            </w:r>
          </w:p>
        </w:tc>
        <w:tc>
          <w:tcPr>
            <w:tcW w:w="100" w:type="dxa"/>
            <w:vAlign w:val="bottom"/>
          </w:tcPr>
          <w:p>
            <w:pPr>
              <w:spacing w:after="0"/>
              <w:rPr>
                <w:sz w:val="19"/>
                <w:szCs w:val="19"/>
                <w:color w:val="auto"/>
              </w:rPr>
            </w:pPr>
          </w:p>
        </w:tc>
        <w:tc>
          <w:tcPr>
            <w:tcW w:w="1220" w:type="dxa"/>
            <w:vAlign w:val="bottom"/>
            <w:gridSpan w:val="2"/>
          </w:tcPr>
          <w:p>
            <w:pPr>
              <w:ind w:left="800"/>
              <w:spacing w:after="0"/>
              <w:rPr>
                <w:sz w:val="20"/>
                <w:szCs w:val="20"/>
                <w:color w:val="auto"/>
              </w:rPr>
            </w:pPr>
            <w:r>
              <w:rPr>
                <w:rFonts w:ascii="Times New Roman" w:cs="Times New Roman" w:eastAsia="Times New Roman" w:hAnsi="Times New Roman"/>
                <w:sz w:val="17"/>
                <w:szCs w:val="17"/>
                <w:color w:val="auto"/>
              </w:rPr>
              <w:t>N/A</w:t>
            </w:r>
          </w:p>
        </w:tc>
        <w:tc>
          <w:tcPr>
            <w:tcW w:w="280" w:type="dxa"/>
            <w:vAlign w:val="bottom"/>
          </w:tcPr>
          <w:p>
            <w:pPr>
              <w:spacing w:after="0"/>
              <w:rPr>
                <w:sz w:val="19"/>
                <w:szCs w:val="19"/>
                <w:color w:val="auto"/>
              </w:rPr>
            </w:pPr>
          </w:p>
        </w:tc>
        <w:tc>
          <w:tcPr>
            <w:tcW w:w="1220" w:type="dxa"/>
            <w:vAlign w:val="bottom"/>
            <w:gridSpan w:val="2"/>
          </w:tcPr>
          <w:p>
            <w:pPr>
              <w:ind w:left="820"/>
              <w:spacing w:after="0"/>
              <w:rPr>
                <w:sz w:val="20"/>
                <w:szCs w:val="20"/>
                <w:color w:val="auto"/>
              </w:rPr>
            </w:pPr>
            <w:r>
              <w:rPr>
                <w:rFonts w:ascii="Times New Roman" w:cs="Times New Roman" w:eastAsia="Times New Roman" w:hAnsi="Times New Roman"/>
                <w:sz w:val="17"/>
                <w:szCs w:val="17"/>
                <w:color w:val="auto"/>
              </w:rPr>
              <w:t>N/A</w:t>
            </w: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611,930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611,930</w:t>
            </w:r>
          </w:p>
        </w:tc>
        <w:tc>
          <w:tcPr>
            <w:tcW w:w="0" w:type="dxa"/>
            <w:vAlign w:val="bottom"/>
          </w:tcPr>
          <w:p>
            <w:pPr>
              <w:spacing w:after="0"/>
              <w:rPr>
                <w:sz w:val="1"/>
                <w:szCs w:val="1"/>
                <w:color w:val="auto"/>
              </w:rPr>
            </w:pPr>
          </w:p>
        </w:tc>
      </w:tr>
      <w:tr>
        <w:trPr>
          <w:trHeight w:val="220"/>
        </w:trPr>
        <w:tc>
          <w:tcPr>
            <w:tcW w:w="3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Rent the Runway, Inc.</w:t>
            </w:r>
          </w:p>
        </w:tc>
        <w:tc>
          <w:tcPr>
            <w:tcW w:w="16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w w:val="96"/>
              </w:rPr>
              <w:t>Various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3.43</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51,428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(176,494)</w:t>
            </w:r>
          </w:p>
        </w:tc>
        <w:tc>
          <w:tcPr>
            <w:tcW w:w="0" w:type="dxa"/>
            <w:vAlign w:val="bottom"/>
          </w:tcPr>
          <w:p>
            <w:pPr>
              <w:spacing w:after="0"/>
              <w:rPr>
                <w:sz w:val="1"/>
                <w:szCs w:val="1"/>
                <w:color w:val="auto"/>
              </w:rPr>
            </w:pPr>
          </w:p>
        </w:tc>
      </w:tr>
      <w:tr>
        <w:trPr>
          <w:trHeight w:val="168"/>
        </w:trPr>
        <w:tc>
          <w:tcPr>
            <w:tcW w:w="3380" w:type="dxa"/>
            <w:vAlign w:val="bottom"/>
            <w:gridSpan w:val="2"/>
          </w:tcPr>
          <w:p>
            <w:pPr>
              <w:ind w:left="20"/>
              <w:spacing w:after="0" w:line="168" w:lineRule="exact"/>
              <w:rPr>
                <w:sz w:val="20"/>
                <w:szCs w:val="20"/>
                <w:color w:val="auto"/>
              </w:rPr>
            </w:pPr>
            <w:r>
              <w:rPr>
                <w:rFonts w:ascii="Times New Roman" w:cs="Times New Roman" w:eastAsia="Times New Roman" w:hAnsi="Times New Roman"/>
                <w:sz w:val="17"/>
                <w:szCs w:val="17"/>
                <w:color w:val="auto"/>
              </w:rPr>
              <w:t>Residential Homes For Rent, LLC (d/b/a</w:t>
            </w: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3380" w:type="dxa"/>
            <w:vAlign w:val="bottom"/>
            <w:gridSpan w:val="2"/>
          </w:tcPr>
          <w:p>
            <w:pPr>
              <w:ind w:left="20"/>
              <w:spacing w:after="0" w:line="232" w:lineRule="exact"/>
              <w:rPr>
                <w:sz w:val="20"/>
                <w:szCs w:val="20"/>
                <w:color w:val="auto"/>
              </w:rPr>
            </w:pPr>
            <w:r>
              <w:rPr>
                <w:rFonts w:ascii="Times New Roman" w:cs="Times New Roman" w:eastAsia="Times New Roman" w:hAnsi="Times New Roman"/>
                <w:sz w:val="17"/>
                <w:szCs w:val="17"/>
                <w:color w:val="auto"/>
              </w:rPr>
              <w:t>Second Avenue)</w:t>
            </w:r>
            <w:r>
              <w:rPr>
                <w:rFonts w:ascii="Times New Roman" w:cs="Times New Roman" w:eastAsia="Times New Roman" w:hAnsi="Times New Roman"/>
                <w:sz w:val="22"/>
                <w:szCs w:val="22"/>
                <w:color w:val="auto"/>
                <w:vertAlign w:val="superscript"/>
              </w:rPr>
              <w:t>(3)</w:t>
            </w:r>
          </w:p>
        </w:tc>
        <w:tc>
          <w:tcPr>
            <w:tcW w:w="15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7/22/2022</w:t>
            </w:r>
          </w:p>
        </w:tc>
        <w:tc>
          <w:tcPr>
            <w:tcW w:w="100" w:type="dxa"/>
            <w:vAlign w:val="bottom"/>
          </w:tcPr>
          <w:p>
            <w:pPr>
              <w:spacing w:after="0"/>
              <w:rPr>
                <w:sz w:val="20"/>
                <w:szCs w:val="20"/>
                <w:color w:val="auto"/>
              </w:rPr>
            </w:pPr>
          </w:p>
        </w:tc>
        <w:tc>
          <w:tcPr>
            <w:tcW w:w="1220" w:type="dxa"/>
            <w:vAlign w:val="bottom"/>
            <w:gridSpan w:val="2"/>
          </w:tcPr>
          <w:p>
            <w:pPr>
              <w:ind w:left="800"/>
              <w:spacing w:after="0"/>
              <w:rPr>
                <w:sz w:val="20"/>
                <w:szCs w:val="20"/>
                <w:color w:val="auto"/>
              </w:rPr>
            </w:pPr>
            <w:r>
              <w:rPr>
                <w:rFonts w:ascii="Times New Roman" w:cs="Times New Roman" w:eastAsia="Times New Roman" w:hAnsi="Times New Roman"/>
                <w:sz w:val="17"/>
                <w:szCs w:val="17"/>
                <w:color w:val="auto"/>
              </w:rPr>
              <w:t>N/A</w:t>
            </w:r>
          </w:p>
        </w:tc>
        <w:tc>
          <w:tcPr>
            <w:tcW w:w="280" w:type="dxa"/>
            <w:vAlign w:val="bottom"/>
          </w:tcPr>
          <w:p>
            <w:pPr>
              <w:spacing w:after="0"/>
              <w:rPr>
                <w:sz w:val="20"/>
                <w:szCs w:val="20"/>
                <w:color w:val="auto"/>
              </w:rPr>
            </w:pPr>
          </w:p>
        </w:tc>
        <w:tc>
          <w:tcPr>
            <w:tcW w:w="1220" w:type="dxa"/>
            <w:vAlign w:val="bottom"/>
            <w:gridSpan w:val="2"/>
          </w:tcPr>
          <w:p>
            <w:pPr>
              <w:ind w:left="820"/>
              <w:spacing w:after="0"/>
              <w:rPr>
                <w:sz w:val="20"/>
                <w:szCs w:val="20"/>
                <w:color w:val="auto"/>
              </w:rPr>
            </w:pPr>
            <w:r>
              <w:rPr>
                <w:rFonts w:ascii="Times New Roman" w:cs="Times New Roman" w:eastAsia="Times New Roman" w:hAnsi="Times New Roman"/>
                <w:sz w:val="17"/>
                <w:szCs w:val="17"/>
                <w:color w:val="auto"/>
              </w:rPr>
              <w:t>N/A</w:t>
            </w:r>
          </w:p>
        </w:tc>
        <w:tc>
          <w:tcPr>
            <w:tcW w:w="2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83,333</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3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Rover Group, Inc.</w:t>
            </w:r>
          </w:p>
        </w:tc>
        <w:tc>
          <w:tcPr>
            <w:tcW w:w="16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w w:val="96"/>
              </w:rPr>
              <w:t>Various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110,000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4.14</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454,883</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126,067</w:t>
            </w:r>
          </w:p>
        </w:tc>
        <w:tc>
          <w:tcPr>
            <w:tcW w:w="0" w:type="dxa"/>
            <w:vAlign w:val="bottom"/>
          </w:tcPr>
          <w:p>
            <w:pPr>
              <w:spacing w:after="0"/>
              <w:rPr>
                <w:sz w:val="1"/>
                <w:szCs w:val="1"/>
                <w:color w:val="auto"/>
              </w:rPr>
            </w:pPr>
          </w:p>
        </w:tc>
      </w:tr>
      <w:tr>
        <w:trPr>
          <w:trHeight w:val="213"/>
        </w:trPr>
        <w:tc>
          <w:tcPr>
            <w:tcW w:w="338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1,436,769</w:t>
            </w:r>
          </w:p>
        </w:tc>
        <w:tc>
          <w:tcPr>
            <w:tcW w:w="100" w:type="dxa"/>
            <w:vAlign w:val="bottom"/>
          </w:tcPr>
          <w:p>
            <w:pPr>
              <w:spacing w:after="0"/>
              <w:rPr>
                <w:sz w:val="18"/>
                <w:szCs w:val="18"/>
                <w:color w:val="auto"/>
              </w:rPr>
            </w:pPr>
          </w:p>
        </w:tc>
        <w:tc>
          <w:tcPr>
            <w:tcW w:w="50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7"/>
                <w:szCs w:val="17"/>
                <w:b w:val="1"/>
                <w:bCs w:val="1"/>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(2,443,735)</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_________________________________</w:t>
      </w:r>
    </w:p>
    <w:p>
      <w:pPr>
        <w:spacing w:after="0" w:line="22" w:lineRule="exact"/>
        <w:rPr>
          <w:sz w:val="20"/>
          <w:szCs w:val="20"/>
          <w:color w:val="auto"/>
        </w:rPr>
      </w:pPr>
    </w:p>
    <w:p>
      <w:pPr>
        <w:ind w:left="460" w:hanging="457"/>
        <w:spacing w:after="0"/>
        <w:tabs>
          <w:tab w:leader="none" w:pos="46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average net share price is the net share price realized after deducting all commissions and fees on the sale(s), if applicable.</w:t>
      </w:r>
    </w:p>
    <w:p>
      <w:pPr>
        <w:spacing w:after="0" w:line="14" w:lineRule="exact"/>
        <w:rPr>
          <w:rFonts w:ascii="Times New Roman" w:cs="Times New Roman" w:eastAsia="Times New Roman" w:hAnsi="Times New Roman"/>
          <w:sz w:val="16"/>
          <w:szCs w:val="16"/>
          <w:color w:val="auto"/>
        </w:rPr>
      </w:pPr>
    </w:p>
    <w:p>
      <w:pPr>
        <w:ind w:left="460" w:hanging="457"/>
        <w:spacing w:after="0"/>
        <w:tabs>
          <w:tab w:leader="none" w:pos="46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Realized gain does not include adjustments to amounts held in escrow receivable.</w:t>
      </w:r>
    </w:p>
    <w:p>
      <w:pPr>
        <w:spacing w:after="0" w:line="6" w:lineRule="exact"/>
        <w:rPr>
          <w:rFonts w:ascii="Times New Roman" w:cs="Times New Roman" w:eastAsia="Times New Roman" w:hAnsi="Times New Roman"/>
          <w:sz w:val="16"/>
          <w:szCs w:val="16"/>
          <w:color w:val="auto"/>
        </w:rPr>
      </w:pPr>
    </w:p>
    <w:p>
      <w:pPr>
        <w:ind w:left="460" w:hanging="457"/>
        <w:spacing w:after="0" w:line="238" w:lineRule="auto"/>
        <w:tabs>
          <w:tab w:leader="none" w:pos="46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Subsequent to June 30, 2022, $0.1 million has been received from Residential Homes for Rent, LLC (d/b/a Second Avenue) related to the 15% term loan due December 23, 2023. Of the proceeds received, $0.1 million repaid a portion of the outstanding principal and the remaining proceeds were attributed to interest.</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From July 1, 2022 through August 3, 2022, the Company did not purchase any investments.</w:t>
      </w:r>
    </w:p>
    <w:p>
      <w:pPr>
        <w:spacing w:after="0" w:line="244" w:lineRule="exact"/>
        <w:rPr>
          <w:sz w:val="20"/>
          <w:szCs w:val="20"/>
          <w:color w:val="auto"/>
        </w:rPr>
      </w:pPr>
    </w:p>
    <w:p>
      <w:pPr>
        <w:jc w:val="both"/>
        <w:ind w:firstLine="349"/>
        <w:spacing w:after="0" w:line="261" w:lineRule="auto"/>
        <w:rPr>
          <w:sz w:val="20"/>
          <w:szCs w:val="20"/>
          <w:color w:val="auto"/>
        </w:rPr>
      </w:pPr>
      <w:r>
        <w:rPr>
          <w:rFonts w:ascii="Times New Roman" w:cs="Times New Roman" w:eastAsia="Times New Roman" w:hAnsi="Times New Roman"/>
          <w:sz w:val="17"/>
          <w:szCs w:val="17"/>
          <w:color w:val="auto"/>
        </w:rPr>
        <w:t>The Company is frequently in negotiations with various private companies with respect to investments in such companies. Investments in private companies are generally subject to satisfaction of applicable closing conditions. In the case of secondary market transactions, such closing conditions may include approval of the issuer, waiver or failure to exercise rights of first refusal by the issuer and/or its stockholders and termination rights by the seller or the Company. Equity investments made through the secondary market may involve making deposits in escrow accounts until the applicable closing conditions are satisfied, at which time the escrow accounts will close and such equity investments will be effectuated. From July 1, 2022 through August 3, 2022, the Company had $2.3 million in non-binding investment agreements that required it to make a future investment in a portfolio company.</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Modified Dutch Auction Tender Offer</w:t>
      </w:r>
    </w:p>
    <w:p>
      <w:pPr>
        <w:spacing w:after="0" w:line="246" w:lineRule="exact"/>
        <w:rPr>
          <w:sz w:val="20"/>
          <w:szCs w:val="20"/>
          <w:color w:val="auto"/>
        </w:rPr>
      </w:pPr>
    </w:p>
    <w:p>
      <w:pPr>
        <w:jc w:val="both"/>
        <w:ind w:firstLine="349"/>
        <w:spacing w:after="0" w:line="291" w:lineRule="auto"/>
        <w:rPr>
          <w:sz w:val="20"/>
          <w:szCs w:val="20"/>
          <w:color w:val="auto"/>
        </w:rPr>
      </w:pPr>
      <w:r>
        <w:rPr>
          <w:rFonts w:ascii="Times New Roman" w:cs="Times New Roman" w:eastAsia="Times New Roman" w:hAnsi="Times New Roman"/>
          <w:sz w:val="17"/>
          <w:szCs w:val="17"/>
          <w:color w:val="auto"/>
        </w:rPr>
        <w:t>On August 1, 2022, the Company's Board approved a tender offer, which the Company expects will commence on or about August 8, 2022. The Company will make the requisite tender offer filings and mailings upon commencement.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COVID-19</w:t>
      </w:r>
    </w:p>
    <w:p>
      <w:pPr>
        <w:spacing w:after="0" w:line="24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The Company has been closely monitoring the COVID-19 pandemic, its broader impact on the global economy and the more recent impacts on the U.S. economy. We have and continue to assess the impact of the COVID-19 pandemic on our portfolio companies. We cannot predict the full impact of the COVID-19 pandemic, including its duration in the United States and worldwide, the effectiveness of governmental responses designed to mitigate strain to businesses and the economy and the magnitude of the economic impact of the outbreak. The COVID-19 pandemic and preventative measures taken to contain or mitigate its spread have caused, and are continuing to cause, business shutdowns, cancellations of events and travel, significant reductions in demand for certain goods and services, reductions in business activity and financial transactions, supply chain interruptions and overall economic and financial market instability both globally and in the United States. Such effects will likely continue for the duration of the pandemic, which is uncertain, and for some period thereafter. Our portfolio companies and, by extension, our operating results may be adversely impacted by the COVID-19 pandemic and, depending on the duration and extent of the disruption to the operations of our portfolio companies, certain portfolio companies may experience financial distress and may possibly default on their financial obligations to us and their other capital providers. Some of our portfolio companies have significantly curtailed business operations, furloughed or laid off employees and terminated service providers,</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53</w:t>
      </w:r>
    </w:p>
    <w:p>
      <w:pPr>
        <w:sectPr>
          <w:pgSz w:w="11900" w:h="16838" w:orient="portrait"/>
          <w:cols w:equalWidth="0" w:num="1">
            <w:col w:w="11240"/>
          </w:cols>
          <w:pgMar w:left="320" w:top="118"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SURO CAPITAL CORP. AND SUBSIDIARIES</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June 30, 2022</w:t>
      </w:r>
    </w:p>
    <w:p>
      <w:pPr>
        <w:spacing w:after="0" w:line="36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and deferred capital expenditures, which could impair their business on a permanent basis and additional portfolio companies may take similar actions. We continue to closely monitor our portfolio companies, which includes assessing each portfolio company’s operational and liquidity exposure and outlook; however, any of these developments would likely result in a decrease in the value of our investment in any such portfolio company. In addition, to the extent that the impact to our portfolio companies results in reduced interest payments or permanent impairments on our investments, we could see a decrease in our net investment income, which would increase the percentage of our cash flows dedicated to our debt obligations and could impact the amount of any future distributions to our stockholders.</w:t>
      </w:r>
    </w:p>
    <w:p>
      <w:pPr>
        <w:spacing w:after="0" w:line="200" w:lineRule="exact"/>
        <w:rPr>
          <w:sz w:val="20"/>
          <w:szCs w:val="20"/>
          <w:color w:val="auto"/>
        </w:rPr>
      </w:pPr>
    </w:p>
    <w:p>
      <w:pPr>
        <w:spacing w:after="0" w:line="2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In response to the COVID-19 pandemic, we instituted a temporary work-from-home policy in March 2020, pursuant to which our employees primarily worked remotely without disruption to our operations. This policy was amended in February 2022 when it was deemed safe to return to our offices. As of August 3, 2022, there is no indication of a reportable subsequent event impacting the Company’s financial statements for the six months ended June 30, 2022. The Company continues to observe and respond to the evolving COVID-19 environment and its potential impact on areas across its business.</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13—SUPPLEMENTAL FINANCIAL DATA</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Summarized Financial Information of Unconsolidated Subsidiaries</w:t>
      </w:r>
    </w:p>
    <w:p>
      <w:pPr>
        <w:spacing w:after="0" w:line="246" w:lineRule="exact"/>
        <w:rPr>
          <w:sz w:val="20"/>
          <w:szCs w:val="20"/>
          <w:color w:val="auto"/>
        </w:rPr>
      </w:pPr>
    </w:p>
    <w:p>
      <w:pPr>
        <w:jc w:val="both"/>
        <w:ind w:firstLine="349"/>
        <w:spacing w:after="0" w:line="272" w:lineRule="auto"/>
        <w:rPr>
          <w:sz w:val="20"/>
          <w:szCs w:val="20"/>
          <w:color w:val="auto"/>
        </w:rPr>
      </w:pPr>
      <w:r>
        <w:rPr>
          <w:rFonts w:ascii="Times New Roman" w:cs="Times New Roman" w:eastAsia="Times New Roman" w:hAnsi="Times New Roman"/>
          <w:sz w:val="17"/>
          <w:szCs w:val="17"/>
          <w:color w:val="auto"/>
        </w:rPr>
        <w:t>In accordance with the SEC’s Regulation S-X and GAAP, the Company is not permitted to consolidate any subsidiary or other entity that is not an investment company, including those in which the Company has a controlling interest; however, the Company must disclose certain financial information related to any subsidiaries or other entities that are considered to be “significant subsidiaries” under the applicable rules of Regulation S-X.</w:t>
      </w:r>
    </w:p>
    <w:p>
      <w:pPr>
        <w:spacing w:after="0" w:line="200" w:lineRule="exact"/>
        <w:rPr>
          <w:sz w:val="20"/>
          <w:szCs w:val="20"/>
          <w:color w:val="auto"/>
        </w:rPr>
      </w:pPr>
    </w:p>
    <w:p>
      <w:pPr>
        <w:spacing w:after="0" w:line="2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The Company’s three controlled portfolio companies as of June 30, 2022, SPBRX, INC. (f/k/a GSV Sustainability Partners, Inc.), Architect Capital PayJoy SPV, LLC and Colombier Sponsor LLC, did not meet the definition of a “significant subsidiary” as set forth in Rule 1-02(w)(2). For comparability purposes, the Company has omitted the previously disclosed summarized financial information of the Company’s significant subsidiaries for the quarter ended June 30, 2021 as the Company’s significant subsidiaries would not have been considered significant subsidiaries under the Final Rules.</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54</w:t>
      </w:r>
    </w:p>
    <w:p>
      <w:pPr>
        <w:sectPr>
          <w:pgSz w:w="11900" w:h="16838" w:orient="portrait"/>
          <w:cols w:equalWidth="0" w:num="1">
            <w:col w:w="11240"/>
          </w:cols>
          <w:pgMar w:left="320" w:top="118"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4"/>
          <w:szCs w:val="14"/>
          <w:color w:val="0000FF"/>
        </w:rPr>
        <w:t>TABLE OF CONTENTS</w:t>
      </w:r>
    </w:p>
    <w:p>
      <w:pPr>
        <w:spacing w:after="0" w:line="200" w:lineRule="exact"/>
        <w:rPr>
          <w:sz w:val="20"/>
          <w:szCs w:val="20"/>
          <w:color w:val="auto"/>
        </w:rPr>
      </w:pPr>
    </w:p>
    <w:p>
      <w:pPr>
        <w:spacing w:after="0" w:line="378"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7"/>
          <w:szCs w:val="17"/>
          <w:b w:val="1"/>
          <w:bCs w:val="1"/>
          <w:color w:val="auto"/>
        </w:rPr>
        <w:t>Item 2.</w:t>
        <w:tab/>
        <w:t>Management’s Discussion and Analysis of Financial Condition and Results of Operations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Forward-Looking Statements</w:t>
      </w:r>
    </w:p>
    <w:p>
      <w:pPr>
        <w:spacing w:after="0" w:line="246" w:lineRule="exact"/>
        <w:rPr>
          <w:sz w:val="20"/>
          <w:szCs w:val="20"/>
          <w:color w:val="auto"/>
        </w:rPr>
      </w:pPr>
    </w:p>
    <w:p>
      <w:pPr>
        <w:jc w:val="both"/>
        <w:ind w:firstLine="349"/>
        <w:spacing w:after="0" w:line="266" w:lineRule="auto"/>
        <w:rPr>
          <w:sz w:val="20"/>
          <w:szCs w:val="20"/>
          <w:color w:val="auto"/>
        </w:rPr>
      </w:pPr>
      <w:r>
        <w:rPr>
          <w:rFonts w:ascii="Times New Roman" w:cs="Times New Roman" w:eastAsia="Times New Roman" w:hAnsi="Times New Roman"/>
          <w:sz w:val="17"/>
          <w:szCs w:val="17"/>
          <w:color w:val="auto"/>
        </w:rPr>
        <w:t>This quarterly report on Form 10-Q contains forward-looking statements that involve substantial risks and uncertainties. These forward-looking statements are not historical facts, but rather are based on current expectations, estimates and projections about us, our current and prospective portfolio investments, our industry, our beliefs, and our assumptions. Words such as “anticipates,” “expects,” “intends,” “plans,” “will,” “may,” “continue,” “believes,” “seeks,” “estimates,” “would,” “could,” “should,” “targets,” “projects,” and variations of these words and similar expressions are intended to identify forward-looking statements.</w:t>
      </w:r>
    </w:p>
    <w:p>
      <w:pPr>
        <w:spacing w:after="0" w:line="19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The forward-looking statements contained in this quarterly report on Form 10-Q involve risks and uncertainties, including, without limitation, statements as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w:t>
      </w:r>
    </w:p>
    <w:p>
      <w:pPr>
        <w:spacing w:after="0" w:line="226" w:lineRule="exact"/>
        <w:rPr>
          <w:sz w:val="20"/>
          <w:szCs w:val="20"/>
          <w:color w:val="auto"/>
        </w:rPr>
      </w:pPr>
    </w:p>
    <w:p>
      <w:pPr>
        <w:jc w:val="both"/>
        <w:ind w:left="620" w:hanging="306"/>
        <w:spacing w:after="0" w:line="272" w:lineRule="auto"/>
        <w:tabs>
          <w:tab w:leader="none" w:pos="616"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effect and consequences of the novel coronavirus (“COVID-19”) public health crisis on matters including global, U.S. and local economies, our business operations and continuity, potential disruption to our portfolio companies, tightened availability to capital and financing, the health and productivity of our employees, the ability of third-party providers to continue uninterrupted service, and the regulatory environment in which we operate;</w:t>
      </w:r>
    </w:p>
    <w:p>
      <w:pPr>
        <w:spacing w:after="0" w:line="189" w:lineRule="exact"/>
        <w:rPr>
          <w:rFonts w:ascii="Times New Roman" w:cs="Times New Roman" w:eastAsia="Times New Roman" w:hAnsi="Times New Roman"/>
          <w:sz w:val="17"/>
          <w:szCs w:val="17"/>
          <w:color w:val="auto"/>
        </w:rPr>
      </w:pPr>
    </w:p>
    <w:p>
      <w:pPr>
        <w:ind w:left="540" w:hanging="226"/>
        <w:spacing w:after="0"/>
        <w:tabs>
          <w:tab w:leader="none" w:pos="54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future operating results;</w:t>
      </w:r>
    </w:p>
    <w:p>
      <w:pPr>
        <w:spacing w:after="0" w:line="244" w:lineRule="exact"/>
        <w:rPr>
          <w:rFonts w:ascii="Times New Roman" w:cs="Times New Roman" w:eastAsia="Times New Roman" w:hAnsi="Times New Roman"/>
          <w:sz w:val="17"/>
          <w:szCs w:val="17"/>
          <w:color w:val="auto"/>
        </w:rPr>
      </w:pPr>
    </w:p>
    <w:p>
      <w:pPr>
        <w:ind w:left="540" w:hanging="226"/>
        <w:spacing w:after="0"/>
        <w:tabs>
          <w:tab w:leader="none" w:pos="54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business prospects and the prospects of our portfolio companies;</w:t>
      </w:r>
    </w:p>
    <w:p>
      <w:pPr>
        <w:spacing w:after="0" w:line="244" w:lineRule="exact"/>
        <w:rPr>
          <w:rFonts w:ascii="Times New Roman" w:cs="Times New Roman" w:eastAsia="Times New Roman" w:hAnsi="Times New Roman"/>
          <w:sz w:val="17"/>
          <w:szCs w:val="17"/>
          <w:color w:val="auto"/>
        </w:rPr>
      </w:pPr>
    </w:p>
    <w:p>
      <w:pPr>
        <w:ind w:left="540" w:hanging="226"/>
        <w:spacing w:after="0"/>
        <w:tabs>
          <w:tab w:leader="none" w:pos="54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 of investments that we expect to make;</w:t>
      </w:r>
    </w:p>
    <w:p>
      <w:pPr>
        <w:spacing w:after="0" w:line="244" w:lineRule="exact"/>
        <w:rPr>
          <w:rFonts w:ascii="Times New Roman" w:cs="Times New Roman" w:eastAsia="Times New Roman" w:hAnsi="Times New Roman"/>
          <w:sz w:val="17"/>
          <w:szCs w:val="17"/>
          <w:color w:val="auto"/>
        </w:rPr>
      </w:pPr>
    </w:p>
    <w:p>
      <w:pPr>
        <w:ind w:left="540" w:hanging="226"/>
        <w:spacing w:after="0"/>
        <w:tabs>
          <w:tab w:leader="none" w:pos="54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contractual arrangements and relationships with third parties;</w:t>
      </w:r>
    </w:p>
    <w:p>
      <w:pPr>
        <w:spacing w:after="0" w:line="244" w:lineRule="exact"/>
        <w:rPr>
          <w:rFonts w:ascii="Times New Roman" w:cs="Times New Roman" w:eastAsia="Times New Roman" w:hAnsi="Times New Roman"/>
          <w:sz w:val="17"/>
          <w:szCs w:val="17"/>
          <w:color w:val="auto"/>
        </w:rPr>
      </w:pPr>
    </w:p>
    <w:p>
      <w:pPr>
        <w:ind w:left="540" w:hanging="226"/>
        <w:spacing w:after="0"/>
        <w:tabs>
          <w:tab w:leader="none" w:pos="54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dependence of our future success on the general economy and its impact on the industries in which we invest;</w:t>
      </w:r>
    </w:p>
    <w:p>
      <w:pPr>
        <w:spacing w:after="0" w:line="244" w:lineRule="exact"/>
        <w:rPr>
          <w:rFonts w:ascii="Times New Roman" w:cs="Times New Roman" w:eastAsia="Times New Roman" w:hAnsi="Times New Roman"/>
          <w:sz w:val="17"/>
          <w:szCs w:val="17"/>
          <w:color w:val="auto"/>
        </w:rPr>
      </w:pPr>
    </w:p>
    <w:p>
      <w:pPr>
        <w:ind w:left="540" w:hanging="226"/>
        <w:spacing w:after="0"/>
        <w:tabs>
          <w:tab w:leader="none" w:pos="54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ability of our portfolio companies to achieve their objectives;</w:t>
      </w:r>
    </w:p>
    <w:p>
      <w:pPr>
        <w:spacing w:after="0" w:line="244" w:lineRule="exact"/>
        <w:rPr>
          <w:rFonts w:ascii="Times New Roman" w:cs="Times New Roman" w:eastAsia="Times New Roman" w:hAnsi="Times New Roman"/>
          <w:sz w:val="17"/>
          <w:szCs w:val="17"/>
          <w:color w:val="auto"/>
        </w:rPr>
      </w:pPr>
    </w:p>
    <w:p>
      <w:pPr>
        <w:ind w:left="540" w:hanging="226"/>
        <w:spacing w:after="0"/>
        <w:tabs>
          <w:tab w:leader="none" w:pos="54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expected financings and investments;</w:t>
      </w:r>
    </w:p>
    <w:p>
      <w:pPr>
        <w:spacing w:after="0" w:line="244" w:lineRule="exact"/>
        <w:rPr>
          <w:rFonts w:ascii="Times New Roman" w:cs="Times New Roman" w:eastAsia="Times New Roman" w:hAnsi="Times New Roman"/>
          <w:sz w:val="17"/>
          <w:szCs w:val="17"/>
          <w:color w:val="auto"/>
        </w:rPr>
      </w:pPr>
    </w:p>
    <w:p>
      <w:pPr>
        <w:ind w:left="540" w:hanging="226"/>
        <w:spacing w:after="0"/>
        <w:tabs>
          <w:tab w:leader="none" w:pos="54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adequacy of our cash resources and working capital; and</w:t>
      </w:r>
    </w:p>
    <w:p>
      <w:pPr>
        <w:spacing w:after="0" w:line="244" w:lineRule="exact"/>
        <w:rPr>
          <w:rFonts w:ascii="Times New Roman" w:cs="Times New Roman" w:eastAsia="Times New Roman" w:hAnsi="Times New Roman"/>
          <w:sz w:val="17"/>
          <w:szCs w:val="17"/>
          <w:color w:val="auto"/>
        </w:rPr>
      </w:pPr>
    </w:p>
    <w:p>
      <w:pPr>
        <w:ind w:left="540" w:hanging="226"/>
        <w:spacing w:after="0"/>
        <w:tabs>
          <w:tab w:leader="none" w:pos="54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timing of cash flows, if any, from the operations of our portfolio companies.</w:t>
      </w:r>
    </w:p>
    <w:p>
      <w:pPr>
        <w:spacing w:after="0" w:line="244" w:lineRule="exact"/>
        <w:rPr>
          <w:sz w:val="20"/>
          <w:szCs w:val="20"/>
          <w:color w:val="auto"/>
        </w:rPr>
      </w:pPr>
    </w:p>
    <w:p>
      <w:pPr>
        <w:jc w:val="both"/>
        <w:ind w:firstLine="349"/>
        <w:spacing w:after="0" w:line="272" w:lineRule="auto"/>
        <w:rPr>
          <w:sz w:val="20"/>
          <w:szCs w:val="20"/>
          <w:color w:val="auto"/>
        </w:rPr>
      </w:pPr>
      <w:r>
        <w:rPr>
          <w:rFonts w:ascii="Times New Roman" w:cs="Times New Roman" w:eastAsia="Times New Roman" w:hAnsi="Times New Roman"/>
          <w:sz w:val="17"/>
          <w:szCs w:val="17"/>
          <w:color w:val="auto"/>
        </w:rPr>
        <w:t>These statements are not guarantees of future performance and are subject to risks, uncertainties, and other factors, some of which are beyond our control and difficult to predict and could cause actual results to differ materially from those expressed or forecasted in the forward-looking statements, including without limitation:</w:t>
      </w:r>
    </w:p>
    <w:p>
      <w:pPr>
        <w:spacing w:after="0" w:line="189" w:lineRule="exact"/>
        <w:rPr>
          <w:sz w:val="20"/>
          <w:szCs w:val="20"/>
          <w:color w:val="auto"/>
        </w:rPr>
      </w:pPr>
    </w:p>
    <w:p>
      <w:pPr>
        <w:ind w:left="620" w:hanging="306"/>
        <w:spacing w:after="0" w:line="291" w:lineRule="auto"/>
        <w:tabs>
          <w:tab w:leader="none" w:pos="553"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economic downturn could impair our portfolio companies’ ability to continue to operate, which could lead to the loss of some or all of our investments in such portfolio companies;</w:t>
      </w:r>
    </w:p>
    <w:p>
      <w:pPr>
        <w:spacing w:after="0" w:line="172" w:lineRule="exact"/>
        <w:rPr>
          <w:rFonts w:ascii="Times New Roman" w:cs="Times New Roman" w:eastAsia="Times New Roman" w:hAnsi="Times New Roman"/>
          <w:sz w:val="17"/>
          <w:szCs w:val="17"/>
          <w:color w:val="auto"/>
        </w:rPr>
      </w:pPr>
    </w:p>
    <w:p>
      <w:pPr>
        <w:ind w:left="620" w:hanging="306"/>
        <w:spacing w:after="0" w:line="291" w:lineRule="auto"/>
        <w:tabs>
          <w:tab w:leader="none" w:pos="594"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economic downturn could disproportionately impact the market sectors in which a significant portion of our portfolio is concentrated, causing us to suffer losses in our portfolio;</w:t>
      </w:r>
    </w:p>
    <w:p>
      <w:pPr>
        <w:spacing w:after="0" w:line="172" w:lineRule="exact"/>
        <w:rPr>
          <w:rFonts w:ascii="Times New Roman" w:cs="Times New Roman" w:eastAsia="Times New Roman" w:hAnsi="Times New Roman"/>
          <w:sz w:val="17"/>
          <w:szCs w:val="17"/>
          <w:color w:val="auto"/>
        </w:rPr>
      </w:pPr>
    </w:p>
    <w:p>
      <w:pPr>
        <w:ind w:left="540" w:hanging="226"/>
        <w:spacing w:after="0"/>
        <w:tabs>
          <w:tab w:leader="none" w:pos="54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contraction of available credit and/or an inability to access the equity markets could impair our investment activities;</w:t>
      </w:r>
    </w:p>
    <w:p>
      <w:pPr>
        <w:spacing w:after="0" w:line="244" w:lineRule="exact"/>
        <w:rPr>
          <w:rFonts w:ascii="Times New Roman" w:cs="Times New Roman" w:eastAsia="Times New Roman" w:hAnsi="Times New Roman"/>
          <w:sz w:val="17"/>
          <w:szCs w:val="17"/>
          <w:color w:val="auto"/>
        </w:rPr>
      </w:pPr>
    </w:p>
    <w:p>
      <w:pPr>
        <w:ind w:left="620" w:hanging="306"/>
        <w:spacing w:after="0" w:line="291" w:lineRule="auto"/>
        <w:tabs>
          <w:tab w:leader="none" w:pos="547"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increases in inflation or an inflationary economic environment could adversely affect our portfolio companies' operating results, causing us to suffer losses in our portfolio;</w:t>
      </w:r>
    </w:p>
    <w:p>
      <w:pPr>
        <w:spacing w:after="0" w:line="172" w:lineRule="exact"/>
        <w:rPr>
          <w:rFonts w:ascii="Times New Roman" w:cs="Times New Roman" w:eastAsia="Times New Roman" w:hAnsi="Times New Roman"/>
          <w:sz w:val="17"/>
          <w:szCs w:val="17"/>
          <w:color w:val="auto"/>
        </w:rPr>
      </w:pPr>
    </w:p>
    <w:p>
      <w:pPr>
        <w:ind w:left="540" w:hanging="226"/>
        <w:spacing w:after="0"/>
        <w:tabs>
          <w:tab w:leader="none" w:pos="54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interest rate volatility could adversely affect our results, particularly because we use leverage as part of our investment strategy; and</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55</w:t>
      </w:r>
    </w:p>
    <w:p>
      <w:pPr>
        <w:sectPr>
          <w:pgSz w:w="11900" w:h="16838" w:orient="portrait"/>
          <w:cols w:equalWidth="0" w:num="1">
            <w:col w:w="11240"/>
          </w:cols>
          <w:pgMar w:left="320" w:top="118"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4"/>
          <w:szCs w:val="14"/>
          <w:color w:val="0000FF"/>
        </w:rPr>
        <w:t>TABLE OF CONTENTS</w:t>
      </w:r>
    </w:p>
    <w:p>
      <w:pPr>
        <w:spacing w:after="0" w:line="200" w:lineRule="exact"/>
        <w:rPr>
          <w:sz w:val="20"/>
          <w:szCs w:val="20"/>
          <w:color w:val="auto"/>
        </w:rPr>
      </w:pPr>
    </w:p>
    <w:p>
      <w:pPr>
        <w:spacing w:after="0" w:line="380" w:lineRule="exact"/>
        <w:rPr>
          <w:sz w:val="20"/>
          <w:szCs w:val="20"/>
          <w:color w:val="auto"/>
        </w:rPr>
      </w:pPr>
    </w:p>
    <w:p>
      <w:pPr>
        <w:ind w:left="620" w:hanging="306"/>
        <w:spacing w:after="0" w:line="291" w:lineRule="auto"/>
        <w:tabs>
          <w:tab w:leader="none" w:pos="587"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risks, uncertainties and other factors we identify in the sections entitled “Risk Factors” in our quarterly reports on Form 10-Q, our annual report on Form 10-K, and in our other filings with the SEC.</w:t>
      </w:r>
    </w:p>
    <w:p>
      <w:pPr>
        <w:spacing w:after="0" w:line="173" w:lineRule="exact"/>
        <w:rPr>
          <w:sz w:val="20"/>
          <w:szCs w:val="20"/>
          <w:color w:val="auto"/>
        </w:rPr>
      </w:pPr>
    </w:p>
    <w:p>
      <w:pPr>
        <w:jc w:val="both"/>
        <w:ind w:firstLine="349"/>
        <w:spacing w:after="0" w:line="259" w:lineRule="auto"/>
        <w:rPr>
          <w:sz w:val="20"/>
          <w:szCs w:val="20"/>
          <w:color w:val="auto"/>
        </w:rPr>
      </w:pPr>
      <w:r>
        <w:rPr>
          <w:rFonts w:ascii="Times New Roman" w:cs="Times New Roman" w:eastAsia="Times New Roman" w:hAnsi="Times New Roman"/>
          <w:sz w:val="17"/>
          <w:szCs w:val="17"/>
          <w:color w:val="auto"/>
        </w:rPr>
        <w:t>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investments, certain margins and levels of profitability and the availability of additional capital. In light of these and other uncertainties, the inclusion of a projection or forward-looking statement in this quarterly report on Form 10-Q should not be regarded as a representation by us that our plans and objectives will be achieved. These risks and uncertainties include those described or identified in our quarterly reports on Form 10-Q and our annual report on Form 10-K, in the “Risk Factors” sections. You should not place undue reliance on these forward-looking statements, which apply only as of the date of this quarterly report on Form 10-Q. The following analysis of our financial condition and results of operations should be read in conjunction with our consolidated financial statements and the related notes thereto contained elsewhere in this quarterly report on Form 10-Q.</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246" w:lineRule="exact"/>
        <w:rPr>
          <w:sz w:val="20"/>
          <w:szCs w:val="20"/>
          <w:color w:val="auto"/>
        </w:rPr>
      </w:pPr>
    </w:p>
    <w:p>
      <w:pPr>
        <w:jc w:val="both"/>
        <w:ind w:firstLine="349"/>
        <w:spacing w:after="0" w:line="272" w:lineRule="auto"/>
        <w:rPr>
          <w:sz w:val="20"/>
          <w:szCs w:val="20"/>
          <w:color w:val="auto"/>
        </w:rPr>
      </w:pPr>
      <w:r>
        <w:rPr>
          <w:rFonts w:ascii="Times New Roman" w:cs="Times New Roman" w:eastAsia="Times New Roman" w:hAnsi="Times New Roman"/>
          <w:sz w:val="17"/>
          <w:szCs w:val="17"/>
          <w:color w:val="auto"/>
        </w:rPr>
        <w:t>We are an internally-managed, non-diversified closed-end management investment company that has elected to be regulated as a business development company ("BDC") under the Investment Company Act of 1940, as amended (the “1940 Act”), and has elected to be treated, and intends to qualify annually, as a regulated investment company (“RIC”) under Subchapter M of the Internal Revenue Code of 1986, as amended (the “Code”).</w:t>
      </w:r>
    </w:p>
    <w:p>
      <w:pPr>
        <w:spacing w:after="0" w:line="189" w:lineRule="exact"/>
        <w:rPr>
          <w:sz w:val="20"/>
          <w:szCs w:val="20"/>
          <w:color w:val="auto"/>
        </w:rPr>
      </w:pPr>
    </w:p>
    <w:p>
      <w:pPr>
        <w:jc w:val="both"/>
        <w:ind w:firstLine="349"/>
        <w:spacing w:after="0" w:line="259" w:lineRule="auto"/>
        <w:rPr>
          <w:sz w:val="20"/>
          <w:szCs w:val="20"/>
          <w:color w:val="auto"/>
        </w:rPr>
      </w:pPr>
      <w:r>
        <w:rPr>
          <w:rFonts w:ascii="Times New Roman" w:cs="Times New Roman" w:eastAsia="Times New Roman" w:hAnsi="Times New Roman"/>
          <w:sz w:val="17"/>
          <w:szCs w:val="17"/>
          <w:color w:val="auto"/>
        </w:rPr>
        <w:t>Our investment objective is to maximize our portfolio’s total return, principally by seeking capital gains on our equity and equity-related investments, and to a lesser extent, income from debt investments. We invest principally in the equity securities of what we believe to be rapidly growing venture-capital-backed emerging companies. We acquire our investments through direct investments in prospective portfolio companies, secondary marketplaces for private companies and negotiations with selling stockholders. In addition, we may invest in private credit and in the founders equity, founders warrants, forward purchase agreements, and private investment in public equity ("PIPE") transactions of special purpose acquisition companies ("SPACs"). We may also invest on an opportunistic basis in select publicly traded equity securities or certain non-U.S. companies that otherwise meet our investment criteria, subject to applicable requirements of the 1940 Act. To the extent we make investments in private equity funds and hedge funds that are excluded from the definition of “investment company” under the 1940 Act by Section 3(c)(1) or 3(c)(7) of the 1940 Act, we will limit such investments to no more than 15% of our net assets.</w:t>
      </w:r>
    </w:p>
    <w:p>
      <w:pPr>
        <w:spacing w:after="0" w:line="201" w:lineRule="exact"/>
        <w:rPr>
          <w:sz w:val="20"/>
          <w:szCs w:val="20"/>
          <w:color w:val="auto"/>
        </w:rPr>
      </w:pPr>
    </w:p>
    <w:p>
      <w:pPr>
        <w:jc w:val="both"/>
        <w:ind w:firstLine="349"/>
        <w:spacing w:after="0" w:line="261" w:lineRule="auto"/>
        <w:rPr>
          <w:sz w:val="20"/>
          <w:szCs w:val="20"/>
          <w:color w:val="auto"/>
        </w:rPr>
      </w:pPr>
      <w:r>
        <w:rPr>
          <w:rFonts w:ascii="Times New Roman" w:cs="Times New Roman" w:eastAsia="Times New Roman" w:hAnsi="Times New Roman"/>
          <w:sz w:val="17"/>
          <w:szCs w:val="17"/>
          <w:color w:val="auto"/>
        </w:rPr>
        <w:t>In regard to the regulatory requirements for BDCs under the 1940 Act, some of these investments may not qualify as investments in “eligible portfolio companies,” and thus may not be considered “qualifying assets.” “Eligible portfolio companies” generally include U.S. companies that are not investment companies and that do not have securities listed on a national exchange. If at any time less than 70% of our gross assets are comprised of qualifying assets, including as a result of an increase in the value of any non-qualifying assets or decrease in the value of any qualifying assets, we would generally not be permitted to acquire any additional non-qualifying assets until such time as 70% of our then-current gross assets were comprised of qualifying assets. We would not be required, however, to dispose of any non-qualifying assets in such circumstances.</w:t>
      </w:r>
    </w:p>
    <w:p>
      <w:pPr>
        <w:spacing w:after="0" w:line="199" w:lineRule="exact"/>
        <w:rPr>
          <w:sz w:val="20"/>
          <w:szCs w:val="20"/>
          <w:color w:val="auto"/>
        </w:rPr>
      </w:pPr>
    </w:p>
    <w:p>
      <w:pPr>
        <w:jc w:val="both"/>
        <w:ind w:firstLine="349"/>
        <w:spacing w:after="0" w:line="263" w:lineRule="auto"/>
        <w:rPr>
          <w:sz w:val="20"/>
          <w:szCs w:val="20"/>
          <w:color w:val="auto"/>
        </w:rPr>
      </w:pPr>
      <w:r>
        <w:rPr>
          <w:rFonts w:ascii="Times New Roman" w:cs="Times New Roman" w:eastAsia="Times New Roman" w:hAnsi="Times New Roman"/>
          <w:sz w:val="17"/>
          <w:szCs w:val="17"/>
          <w:color w:val="auto"/>
        </w:rPr>
        <w:t>Our investment philosophy is based on a disciplined approach of identifying promising investments in high-growth, venture-backed companies across several key industry themes which may include, among others, social/mobile, cloud computing and big data, internet commerce, financial technology, mobility, and enterprise software. Our investment decisions are based on a disciplined analysis of available information regarding each potential portfolio company’s business operations, focusing on the portfolio company’s growth potential, the quality of recurring revenues, and path to profitability, as well as an understanding of key market fundamentals. Venture capital funds or other institutional investors have invested in the vast majority of companies that we evaluate.</w:t>
      </w:r>
    </w:p>
    <w:p>
      <w:pPr>
        <w:spacing w:after="0" w:line="197" w:lineRule="exact"/>
        <w:rPr>
          <w:sz w:val="20"/>
          <w:szCs w:val="20"/>
          <w:color w:val="auto"/>
        </w:rPr>
      </w:pPr>
    </w:p>
    <w:p>
      <w:pPr>
        <w:jc w:val="both"/>
        <w:ind w:firstLine="349"/>
        <w:spacing w:after="0" w:line="262" w:lineRule="auto"/>
        <w:rPr>
          <w:sz w:val="20"/>
          <w:szCs w:val="20"/>
          <w:color w:val="auto"/>
        </w:rPr>
      </w:pPr>
      <w:r>
        <w:rPr>
          <w:rFonts w:ascii="Times New Roman" w:cs="Times New Roman" w:eastAsia="Times New Roman" w:hAnsi="Times New Roman"/>
          <w:sz w:val="17"/>
          <w:szCs w:val="17"/>
          <w:color w:val="auto"/>
        </w:rPr>
        <w:t>We seek to deploy capital primarily in the form of non-controlling equity and equity-related investments, including common stock, warrants, preferred stock and similar forms of senior equity, which may or may not be convertible into a portfolio company’s common equity, and convertible debt securities with a significant equity component. Typically, our preferred stock investments are non-income producing, have different voting rights than our common stock investments and are generally convertible into common stock at our discretion. As our investment strategy is primarily focused on equity positions, our investments generally do not produce current income and therefore we may be dependent on future capital raising to meet our operating needs if no other source of liquidity is available.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56</w:t>
      </w:r>
    </w:p>
    <w:p>
      <w:pPr>
        <w:sectPr>
          <w:pgSz w:w="11900" w:h="16838" w:orient="portrait"/>
          <w:cols w:equalWidth="0" w:num="1">
            <w:col w:w="11240"/>
          </w:cols>
          <w:pgMar w:left="320" w:top="118"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4"/>
          <w:szCs w:val="14"/>
          <w:color w:val="0000FF"/>
        </w:rPr>
        <w:t>TABLE OF CONTENTS</w:t>
      </w:r>
    </w:p>
    <w:p>
      <w:pPr>
        <w:spacing w:after="0" w:line="200" w:lineRule="exact"/>
        <w:rPr>
          <w:sz w:val="20"/>
          <w:szCs w:val="20"/>
          <w:color w:val="auto"/>
        </w:rPr>
      </w:pPr>
    </w:p>
    <w:p>
      <w:pPr>
        <w:spacing w:after="0" w:line="38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We seek to create a low-turnover portfolio that includes investments in companies representing a broad range of investment themes.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Internalization of Operating Structure</w:t>
      </w:r>
    </w:p>
    <w:p>
      <w:pPr>
        <w:spacing w:after="0" w:line="24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On and effective March 12, 2019 (the "Effective Date"), our Board of Directors approved internalizing our operating structure (the "Internalization") and we began operating as an internally managed non-diversified closed-end management investment company that has elected to be regulated as a BDC under the 1940 Act. Our Board of Directors approved the Internalization in order to better align the interests of the Company's stockholders with its management. As an internally managed BDC, the Company is managed by its employees, rather than the employees of an external investment adviser, thereby allowing for greater transparency to stockholders through robust disclosure regarding the Company's compensation structure. Prior to the Effective Date, we were externally managed by our former investment adviser, GSV Asset Management, LLC (“GSV Asset Management”), pursuant to an investment advisory agreement (the “Investment Advisory Agreement”), and our former administrator, GSV Capital Service Company, LLC (“GSV Capital Service Company”), provided the administrative services necessary for our operations pursuant to an administration agreement (the “Administration Agreement”). In connection with our Internalization, the Investment Advisory Agreement and the Administration Agreement were terminated as of the Effective Date, in accordance with their respective terms. As a result, we no longer pay any fees or expenses under an investment advisory agreement or administration agreement, and instead pay the operating costs associated with employing investment management professionals including, without limitation, compensation expenses related to salaries, discretionary bonuses and restricted stock grants.</w:t>
      </w:r>
    </w:p>
    <w:p>
      <w:pPr>
        <w:spacing w:after="0" w:line="205"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7"/>
          <w:szCs w:val="17"/>
          <w:color w:val="auto"/>
        </w:rPr>
        <w:t>Except as otherwise disclosed herein, this Form 10-Q discusses our business and operations as an internally-managed BDC during the period covered by this Form 10-Q.</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Recent COVID-19 Developments</w:t>
      </w:r>
    </w:p>
    <w:p>
      <w:pPr>
        <w:spacing w:after="0" w:line="248"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7"/>
          <w:szCs w:val="17"/>
          <w:color w:val="auto"/>
        </w:rPr>
        <w:t>In March 2020, the outbreak of the novel coronavirus (“COVID-19”) was recognized as a pandemic by the World Health Organization. As of the quarter ended June 30, 2022, and subsequent to June 30, 2022, the COVID-19 pandemic has had a significant impact on the U.S. and global economy.</w:t>
      </w:r>
    </w:p>
    <w:p>
      <w:pPr>
        <w:spacing w:after="0" w:line="17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We have and continue to assess the impact of the COVID-19 pandemic on our portfolio companies. We cannot predict the full impact of the COVID-19 pandemic, including its duration in the United States and worldwide, the effectiveness of governmental responses designed to mitigate strain to businesses and the economy, and the magnitude of the economic impact of the outbreak, including with respect to the travel restrictions, business closures and other quarantine measures imposed on service providers and other individuals by various local, state, and federal governmental authorities, as well as non-U.S. governmental authorities. As such, we are unable to predict the duration of any business and supply chain disruptions, the extent to which the COVID-19 pandemic will negatively affect our portfolio companies’ operating results or the impact that such disruptions may have on our results of operations and financial condition. Our portfolio companies and, by extension, our operating results may be adversely impacted by the COVID-19 pandemic and, depending on the duration and extent of the disruption to the operations of our portfolio companies, certain portfolio companies may experience financial distress and may possibly default on their financial obligations to us and their other capital providers. Any of these developments would likely result in a decrease in the value of our investment in any such portfolio company. In addition, to the extent that the impact to our portfolio companies results in reduced interest payments or permanent impairments on our investments, we could see a decrease in our net investment income, which would increase the percentage of our cash flows dedicated to our debt obligations and could impact the amount of any future distributions to our stockholders.</w:t>
      </w:r>
    </w:p>
    <w:p>
      <w:pPr>
        <w:spacing w:after="0" w:line="20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In response to the COVID-19 pandemic, we instituted a temporary work-from-home policy in March 2020, pursuant to which our employees primarily worked remotely without disruption to our operations. This policy was amended in February 2022 when it was deemed safe to return to our offices. As of August 3, 2022, there is no indication of a reportable subsequent event related to COVID-19 impacting the Company’s financial statements for the quarter ended June 30, 2022. The Company continues to observe and respond to the evolving COVID-19 environment and its potential impact on areas across its business.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57</w:t>
      </w:r>
    </w:p>
    <w:p>
      <w:pPr>
        <w:sectPr>
          <w:pgSz w:w="11900" w:h="16838" w:orient="portrait"/>
          <w:cols w:equalWidth="0" w:num="1">
            <w:col w:w="11240"/>
          </w:cols>
          <w:pgMar w:left="320" w:top="118"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Portfolio and Investment Activity</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Six Months Ended June 30, 2022</w:t>
      </w:r>
    </w:p>
    <w:p>
      <w:pPr>
        <w:spacing w:after="0" w:line="248"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The value of our investment portfolio will change over time due to changes in the fair value of our underlying investments, as well as changes in the composition of our portfolio resulting from purchases of new and follow-on investments and the sales of existing investments. The fair value, as of June 30, 2022, of all of our portfolio investments was $200,066,714.</w:t>
      </w:r>
    </w:p>
    <w:p>
      <w:pPr>
        <w:spacing w:after="0" w:line="189"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color w:val="auto"/>
        </w:rPr>
        <w:t>During the six months ended June 30, 2022, we funded investments in an aggregate amount of $11,000,000 (not including capitalized transaction costs) as shown in the following table: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Portfolio Company</w:t>
            </w:r>
          </w:p>
        </w:tc>
        <w:tc>
          <w:tcPr>
            <w:tcW w:w="47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6"/>
              </w:rPr>
              <w:t>Investment</w:t>
            </w:r>
          </w:p>
        </w:tc>
        <w:tc>
          <w:tcPr>
            <w:tcW w:w="1860" w:type="dxa"/>
            <w:vAlign w:val="bottom"/>
            <w:gridSpan w:val="2"/>
          </w:tcPr>
          <w:p>
            <w:pPr>
              <w:ind w:left="300"/>
              <w:spacing w:after="0"/>
              <w:rPr>
                <w:sz w:val="20"/>
                <w:szCs w:val="20"/>
                <w:color w:val="auto"/>
              </w:rPr>
            </w:pPr>
            <w:r>
              <w:rPr>
                <w:rFonts w:ascii="Times New Roman" w:cs="Times New Roman" w:eastAsia="Times New Roman" w:hAnsi="Times New Roman"/>
                <w:sz w:val="16"/>
                <w:szCs w:val="16"/>
                <w:b w:val="1"/>
                <w:bCs w:val="1"/>
                <w:color w:val="auto"/>
              </w:rPr>
              <w:t>Transaction Date</w:t>
            </w:r>
          </w:p>
        </w:tc>
        <w:tc>
          <w:tcPr>
            <w:tcW w:w="120" w:type="dxa"/>
            <w:vAlign w:val="bottom"/>
          </w:tcPr>
          <w:p>
            <w:pPr>
              <w:spacing w:after="0"/>
              <w:rPr>
                <w:sz w:val="18"/>
                <w:szCs w:val="18"/>
                <w:color w:val="auto"/>
              </w:rPr>
            </w:pPr>
          </w:p>
        </w:tc>
        <w:tc>
          <w:tcPr>
            <w:tcW w:w="1260" w:type="dxa"/>
            <w:vAlign w:val="bottom"/>
          </w:tcPr>
          <w:p>
            <w:pPr>
              <w:jc w:val="right"/>
              <w:ind w:right="82"/>
              <w:spacing w:after="0"/>
              <w:rPr>
                <w:sz w:val="20"/>
                <w:szCs w:val="20"/>
                <w:color w:val="auto"/>
              </w:rPr>
            </w:pPr>
            <w:r>
              <w:rPr>
                <w:rFonts w:ascii="Times New Roman" w:cs="Times New Roman" w:eastAsia="Times New Roman" w:hAnsi="Times New Roman"/>
                <w:sz w:val="16"/>
                <w:szCs w:val="16"/>
                <w:b w:val="1"/>
                <w:bCs w:val="1"/>
                <w:color w:val="auto"/>
                <w:w w:val="97"/>
              </w:rPr>
              <w:t>Gross Payments</w:t>
            </w:r>
          </w:p>
        </w:tc>
      </w:tr>
      <w:tr>
        <w:trPr>
          <w:trHeight w:val="203"/>
        </w:trPr>
        <w:tc>
          <w:tcPr>
            <w:tcW w:w="3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Shogun Enterprises, Inc.</w:t>
            </w:r>
          </w:p>
        </w:tc>
        <w:tc>
          <w:tcPr>
            <w:tcW w:w="80" w:type="dxa"/>
            <w:vAlign w:val="bottom"/>
            <w:tcBorders>
              <w:top w:val="single" w:sz="8" w:color="CCEEFF"/>
            </w:tcBorders>
            <w:shd w:val="clear" w:color="auto" w:fill="CCEEFF"/>
          </w:tcPr>
          <w:p>
            <w:pPr>
              <w:spacing w:after="0"/>
              <w:rPr>
                <w:sz w:val="17"/>
                <w:szCs w:val="17"/>
                <w:color w:val="auto"/>
              </w:rPr>
            </w:pPr>
          </w:p>
        </w:tc>
        <w:tc>
          <w:tcPr>
            <w:tcW w:w="4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7"/>
              </w:rPr>
              <w:t>Convertible Note</w:t>
            </w:r>
          </w:p>
        </w:tc>
        <w:tc>
          <w:tcPr>
            <w:tcW w:w="100" w:type="dxa"/>
            <w:vAlign w:val="bottom"/>
            <w:tcBorders>
              <w:top w:val="single" w:sz="8" w:color="CCEEFF"/>
            </w:tcBorders>
            <w:shd w:val="clear" w:color="auto" w:fill="CCEEFF"/>
          </w:tcPr>
          <w:p>
            <w:pPr>
              <w:spacing w:after="0"/>
              <w:rPr>
                <w:sz w:val="17"/>
                <w:szCs w:val="17"/>
                <w:color w:val="auto"/>
              </w:rPr>
            </w:pPr>
          </w:p>
        </w:tc>
        <w:tc>
          <w:tcPr>
            <w:tcW w:w="17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5/2/2022</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500,000</w:t>
            </w:r>
          </w:p>
        </w:tc>
      </w:tr>
      <w:tr>
        <w:trPr>
          <w:trHeight w:val="205"/>
        </w:trPr>
        <w:tc>
          <w:tcPr>
            <w:tcW w:w="32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EDGE Markets, Inc.</w:t>
            </w:r>
          </w:p>
        </w:tc>
        <w:tc>
          <w:tcPr>
            <w:tcW w:w="47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7"/>
              </w:rPr>
              <w:t>Preferred Shares, Series Seed</w:t>
            </w:r>
          </w:p>
        </w:tc>
        <w:tc>
          <w:tcPr>
            <w:tcW w:w="17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5/18/2022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500,000</w:t>
            </w:r>
          </w:p>
        </w:tc>
      </w:tr>
      <w:tr>
        <w:trPr>
          <w:trHeight w:val="207"/>
        </w:trPr>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Whoop, Inc.</w:t>
            </w:r>
          </w:p>
        </w:tc>
        <w:tc>
          <w:tcPr>
            <w:tcW w:w="47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7"/>
              </w:rPr>
              <w:t>Preferred Shares, Series C</w:t>
            </w: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6/30/2022</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10,000,000</w:t>
            </w:r>
          </w:p>
        </w:tc>
      </w:tr>
      <w:tr>
        <w:trPr>
          <w:trHeight w:val="202"/>
        </w:trPr>
        <w:tc>
          <w:tcPr>
            <w:tcW w:w="328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4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11,000,000</w:t>
            </w:r>
          </w:p>
        </w:tc>
      </w:tr>
      <w:tr>
        <w:trPr>
          <w:trHeight w:val="20"/>
        </w:trPr>
        <w:tc>
          <w:tcPr>
            <w:tcW w:w="3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During the six months ended June 30, 2022, we capitalized fees of $8,515.</w:t>
      </w:r>
    </w:p>
    <w:p>
      <w:pPr>
        <w:spacing w:after="0" w:line="244" w:lineRule="exact"/>
        <w:rPr>
          <w:sz w:val="20"/>
          <w:szCs w:val="20"/>
          <w:color w:val="auto"/>
        </w:rPr>
      </w:pPr>
    </w:p>
    <w:p>
      <w:pPr>
        <w:jc w:val="both"/>
        <w:ind w:firstLine="174"/>
        <w:spacing w:after="0" w:line="291" w:lineRule="auto"/>
        <w:rPr>
          <w:sz w:val="20"/>
          <w:szCs w:val="20"/>
          <w:color w:val="auto"/>
        </w:rPr>
      </w:pPr>
      <w:r>
        <w:rPr>
          <w:rFonts w:ascii="Times New Roman" w:cs="Times New Roman" w:eastAsia="Times New Roman" w:hAnsi="Times New Roman"/>
          <w:sz w:val="17"/>
          <w:szCs w:val="17"/>
          <w:color w:val="auto"/>
        </w:rPr>
        <w:t>During the six months ended June 30, 2022, we exited or received proceeds from investments in the amount of $5,051,279, net of transaction costs, and realized a net gain on investments of $1,130,050 (including adjustments to amounts held in escrow receivable) as shown in following table:</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9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Portfolio Company</w:t>
            </w:r>
          </w:p>
        </w:tc>
        <w:tc>
          <w:tcPr>
            <w:tcW w:w="13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6"/>
              </w:rPr>
              <w:t>Transaction Date</w:t>
            </w:r>
          </w:p>
        </w:tc>
        <w:tc>
          <w:tcPr>
            <w:tcW w:w="1140" w:type="dxa"/>
            <w:vAlign w:val="bottom"/>
            <w:gridSpan w:val="2"/>
            <w:vMerge w:val="restart"/>
          </w:tcPr>
          <w:p>
            <w:pPr>
              <w:ind w:left="30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44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6"/>
              </w:rPr>
              <w:t>Average Net Share</w:t>
            </w:r>
          </w:p>
        </w:tc>
        <w:tc>
          <w:tcPr>
            <w:tcW w:w="100" w:type="dxa"/>
            <w:vAlign w:val="bottom"/>
          </w:tcPr>
          <w:p>
            <w:pPr>
              <w:spacing w:after="0"/>
              <w:rPr>
                <w:sz w:val="16"/>
                <w:szCs w:val="16"/>
                <w:color w:val="auto"/>
              </w:rPr>
            </w:pPr>
          </w:p>
        </w:tc>
        <w:tc>
          <w:tcPr>
            <w:tcW w:w="1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Net Proceeds</w:t>
            </w:r>
          </w:p>
        </w:tc>
        <w:tc>
          <w:tcPr>
            <w:tcW w:w="120" w:type="dxa"/>
            <w:vAlign w:val="bottom"/>
          </w:tcPr>
          <w:p>
            <w:pPr>
              <w:spacing w:after="0"/>
              <w:rPr>
                <w:sz w:val="16"/>
                <w:szCs w:val="16"/>
                <w:color w:val="auto"/>
              </w:rPr>
            </w:pPr>
          </w:p>
        </w:tc>
        <w:tc>
          <w:tcPr>
            <w:tcW w:w="1020" w:type="dxa"/>
            <w:vAlign w:val="bottom"/>
          </w:tcPr>
          <w:p>
            <w:pPr>
              <w:jc w:val="right"/>
              <w:ind w:right="202"/>
              <w:spacing w:after="0"/>
              <w:rPr>
                <w:sz w:val="20"/>
                <w:szCs w:val="20"/>
                <w:color w:val="auto"/>
              </w:rPr>
            </w:pPr>
            <w:r>
              <w:rPr>
                <w:rFonts w:ascii="Times New Roman" w:cs="Times New Roman" w:eastAsia="Times New Roman" w:hAnsi="Times New Roman"/>
                <w:sz w:val="16"/>
                <w:szCs w:val="16"/>
                <w:b w:val="1"/>
                <w:bCs w:val="1"/>
                <w:color w:val="auto"/>
              </w:rPr>
              <w:t>Realized</w:t>
            </w:r>
          </w:p>
        </w:tc>
        <w:tc>
          <w:tcPr>
            <w:tcW w:w="0" w:type="dxa"/>
            <w:vAlign w:val="bottom"/>
          </w:tcPr>
          <w:p>
            <w:pPr>
              <w:spacing w:after="0"/>
              <w:rPr>
                <w:sz w:val="1"/>
                <w:szCs w:val="1"/>
                <w:color w:val="auto"/>
              </w:rPr>
            </w:pPr>
          </w:p>
        </w:tc>
      </w:tr>
      <w:tr>
        <w:trPr>
          <w:trHeight w:val="207"/>
        </w:trPr>
        <w:tc>
          <w:tcPr>
            <w:tcW w:w="4940" w:type="dxa"/>
            <w:vAlign w:val="bottom"/>
            <w:gridSpan w:val="2"/>
            <w:vMerge w:val="continue"/>
          </w:tcPr>
          <w:p>
            <w:pPr>
              <w:spacing w:after="0"/>
              <w:rPr>
                <w:sz w:val="17"/>
                <w:szCs w:val="17"/>
                <w:color w:val="auto"/>
              </w:rPr>
            </w:pPr>
          </w:p>
        </w:tc>
        <w:tc>
          <w:tcPr>
            <w:tcW w:w="1380" w:type="dxa"/>
            <w:vAlign w:val="bottom"/>
            <w:gridSpan w:val="2"/>
            <w:vMerge w:val="continue"/>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gridSpan w:val="2"/>
          </w:tcPr>
          <w:p>
            <w:pPr>
              <w:jc w:val="center"/>
              <w:ind w:right="360"/>
              <w:spacing w:after="0" w:line="207" w:lineRule="exact"/>
              <w:rPr>
                <w:sz w:val="20"/>
                <w:szCs w:val="20"/>
                <w:color w:val="auto"/>
              </w:rPr>
            </w:pPr>
            <w:r>
              <w:rPr>
                <w:rFonts w:ascii="Times New Roman" w:cs="Times New Roman" w:eastAsia="Times New Roman" w:hAnsi="Times New Roman"/>
                <w:sz w:val="16"/>
                <w:szCs w:val="16"/>
                <w:b w:val="1"/>
                <w:bCs w:val="1"/>
                <w:color w:val="auto"/>
                <w:w w:val="90"/>
              </w:rPr>
              <w:t xml:space="preserve">Price </w:t>
            </w:r>
            <w:r>
              <w:rPr>
                <w:rFonts w:ascii="Times New Roman" w:cs="Times New Roman" w:eastAsia="Times New Roman" w:hAnsi="Times New Roman"/>
                <w:sz w:val="20"/>
                <w:szCs w:val="20"/>
                <w:b w:val="1"/>
                <w:bCs w:val="1"/>
                <w:color w:val="auto"/>
                <w:w w:val="90"/>
                <w:vertAlign w:val="superscript"/>
              </w:rPr>
              <w:t>(1)</w:t>
            </w:r>
          </w:p>
        </w:tc>
        <w:tc>
          <w:tcPr>
            <w:tcW w:w="100" w:type="dxa"/>
            <w:vAlign w:val="bottom"/>
          </w:tcPr>
          <w:p>
            <w:pPr>
              <w:spacing w:after="0"/>
              <w:rPr>
                <w:sz w:val="17"/>
                <w:szCs w:val="17"/>
                <w:color w:val="auto"/>
              </w:rPr>
            </w:pPr>
          </w:p>
        </w:tc>
        <w:tc>
          <w:tcPr>
            <w:tcW w:w="11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ind w:right="42"/>
              <w:spacing w:after="0" w:line="207" w:lineRule="exact"/>
              <w:rPr>
                <w:sz w:val="20"/>
                <w:szCs w:val="20"/>
                <w:color w:val="auto"/>
              </w:rPr>
            </w:pPr>
            <w:r>
              <w:rPr>
                <w:rFonts w:ascii="Times New Roman" w:cs="Times New Roman" w:eastAsia="Times New Roman" w:hAnsi="Times New Roman"/>
                <w:sz w:val="16"/>
                <w:szCs w:val="16"/>
                <w:b w:val="1"/>
                <w:bCs w:val="1"/>
                <w:color w:val="auto"/>
                <w:w w:val="92"/>
              </w:rPr>
              <w:t>Gain/(Loss)</w:t>
            </w:r>
            <w:r>
              <w:rPr>
                <w:rFonts w:ascii="Times New Roman" w:cs="Times New Roman" w:eastAsia="Times New Roman" w:hAnsi="Times New Roman"/>
                <w:sz w:val="20"/>
                <w:szCs w:val="20"/>
                <w:b w:val="1"/>
                <w:bCs w:val="1"/>
                <w:color w:val="auto"/>
                <w:w w:val="92"/>
                <w:vertAlign w:val="superscript"/>
              </w:rPr>
              <w:t>(2)</w:t>
            </w:r>
          </w:p>
        </w:tc>
        <w:tc>
          <w:tcPr>
            <w:tcW w:w="0" w:type="dxa"/>
            <w:vAlign w:val="bottom"/>
          </w:tcPr>
          <w:p>
            <w:pPr>
              <w:spacing w:after="0"/>
              <w:rPr>
                <w:sz w:val="1"/>
                <w:szCs w:val="1"/>
                <w:color w:val="auto"/>
              </w:rPr>
            </w:pPr>
          </w:p>
        </w:tc>
      </w:tr>
      <w:tr>
        <w:trPr>
          <w:trHeight w:val="200"/>
        </w:trPr>
        <w:tc>
          <w:tcPr>
            <w:tcW w:w="48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NewLake Capital Partners, Inc. (f/k/a GreenAcreage Real Estate Corp.)</w:t>
            </w:r>
          </w:p>
        </w:tc>
        <w:tc>
          <w:tcPr>
            <w:tcW w:w="12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4"/>
              </w:rPr>
              <w:t>Various</w:t>
            </w:r>
          </w:p>
        </w:tc>
        <w:tc>
          <w:tcPr>
            <w:tcW w:w="10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31,028</w:t>
            </w: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26.96</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836,485</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215,799</w:t>
            </w:r>
          </w:p>
        </w:tc>
        <w:tc>
          <w:tcPr>
            <w:tcW w:w="0" w:type="dxa"/>
            <w:vAlign w:val="bottom"/>
          </w:tcPr>
          <w:p>
            <w:pPr>
              <w:spacing w:after="0"/>
              <w:rPr>
                <w:sz w:val="1"/>
                <w:szCs w:val="1"/>
                <w:color w:val="auto"/>
              </w:rPr>
            </w:pPr>
          </w:p>
        </w:tc>
      </w:tr>
      <w:tr>
        <w:trPr>
          <w:trHeight w:val="205"/>
        </w:trPr>
        <w:tc>
          <w:tcPr>
            <w:tcW w:w="49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Rover Group, Inc.</w:t>
            </w:r>
          </w:p>
        </w:tc>
        <w:tc>
          <w:tcPr>
            <w:tcW w:w="13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4"/>
              </w:rPr>
              <w:t>Various</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474,335</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2,659,209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1,241,310</w:t>
            </w:r>
          </w:p>
        </w:tc>
        <w:tc>
          <w:tcPr>
            <w:tcW w:w="0" w:type="dxa"/>
            <w:vAlign w:val="bottom"/>
          </w:tcPr>
          <w:p>
            <w:pPr>
              <w:spacing w:after="0"/>
              <w:rPr>
                <w:sz w:val="1"/>
                <w:szCs w:val="1"/>
                <w:color w:val="auto"/>
              </w:rPr>
            </w:pPr>
          </w:p>
        </w:tc>
      </w:tr>
      <w:tr>
        <w:trPr>
          <w:trHeight w:val="209"/>
        </w:trPr>
        <w:tc>
          <w:tcPr>
            <w:tcW w:w="4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Rent the Runway, Inc.</w:t>
            </w:r>
          </w:p>
        </w:tc>
        <w:tc>
          <w:tcPr>
            <w:tcW w:w="13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4"/>
              </w:rPr>
              <w:t>Various</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181,115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(578,626)</w:t>
            </w:r>
          </w:p>
        </w:tc>
        <w:tc>
          <w:tcPr>
            <w:tcW w:w="0" w:type="dxa"/>
            <w:vAlign w:val="bottom"/>
          </w:tcPr>
          <w:p>
            <w:pPr>
              <w:spacing w:after="0"/>
              <w:rPr>
                <w:sz w:val="1"/>
                <w:szCs w:val="1"/>
                <w:color w:val="auto"/>
              </w:rPr>
            </w:pPr>
          </w:p>
        </w:tc>
      </w:tr>
      <w:tr>
        <w:trPr>
          <w:trHeight w:val="207"/>
        </w:trPr>
        <w:tc>
          <w:tcPr>
            <w:tcW w:w="4940" w:type="dxa"/>
            <w:vAlign w:val="bottom"/>
            <w:gridSpan w:val="2"/>
          </w:tcPr>
          <w:p>
            <w:pPr>
              <w:ind w:left="20"/>
              <w:spacing w:after="0" w:line="207" w:lineRule="exact"/>
              <w:rPr>
                <w:sz w:val="20"/>
                <w:szCs w:val="20"/>
                <w:color w:val="auto"/>
              </w:rPr>
            </w:pPr>
            <w:r>
              <w:rPr>
                <w:rFonts w:ascii="Times New Roman" w:cs="Times New Roman" w:eastAsia="Times New Roman" w:hAnsi="Times New Roman"/>
                <w:sz w:val="16"/>
                <w:szCs w:val="16"/>
                <w:color w:val="auto"/>
              </w:rPr>
              <w:t>Residential Homes for Rent, LLC (d/b/a Second Avenue)</w:t>
            </w:r>
            <w:r>
              <w:rPr>
                <w:rFonts w:ascii="Times New Roman" w:cs="Times New Roman" w:eastAsia="Times New Roman" w:hAnsi="Times New Roman"/>
                <w:sz w:val="20"/>
                <w:szCs w:val="20"/>
                <w:color w:val="auto"/>
                <w:vertAlign w:val="superscript"/>
              </w:rPr>
              <w:t>(3)</w:t>
            </w:r>
          </w:p>
        </w:tc>
        <w:tc>
          <w:tcPr>
            <w:tcW w:w="13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4"/>
              </w:rPr>
              <w:t>Various</w:t>
            </w:r>
          </w:p>
        </w:tc>
        <w:tc>
          <w:tcPr>
            <w:tcW w:w="11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rPr>
              <w:t>N/A</w:t>
            </w:r>
          </w:p>
        </w:tc>
        <w:tc>
          <w:tcPr>
            <w:tcW w:w="260" w:type="dxa"/>
            <w:vAlign w:val="bottom"/>
          </w:tcPr>
          <w:p>
            <w:pPr>
              <w:spacing w:after="0"/>
              <w:rPr>
                <w:sz w:val="17"/>
                <w:szCs w:val="17"/>
                <w:color w:val="auto"/>
              </w:rPr>
            </w:pPr>
          </w:p>
        </w:tc>
        <w:tc>
          <w:tcPr>
            <w:tcW w:w="1180" w:type="dxa"/>
            <w:vAlign w:val="bottom"/>
            <w:gridSpan w:val="2"/>
          </w:tcPr>
          <w:p>
            <w:pPr>
              <w:ind w:left="800"/>
              <w:spacing w:after="0"/>
              <w:rPr>
                <w:sz w:val="20"/>
                <w:szCs w:val="20"/>
                <w:color w:val="auto"/>
              </w:rPr>
            </w:pPr>
            <w:r>
              <w:rPr>
                <w:rFonts w:ascii="Times New Roman" w:cs="Times New Roman" w:eastAsia="Times New Roman" w:hAnsi="Times New Roman"/>
                <w:sz w:val="16"/>
                <w:szCs w:val="16"/>
                <w:color w:val="auto"/>
              </w:rPr>
              <w:t>N/A</w:t>
            </w: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0"/>
        </w:trPr>
        <w:tc>
          <w:tcPr>
            <w:tcW w:w="4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True Global Ventures 4 Plus Pte Ltd</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5/31/2022</w:t>
            </w: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N/A</w:t>
            </w: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N/A</w:t>
            </w:r>
          </w:p>
        </w:tc>
        <w:tc>
          <w:tcPr>
            <w:tcW w:w="1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874,470</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160,965</w:t>
            </w:r>
          </w:p>
        </w:tc>
        <w:tc>
          <w:tcPr>
            <w:tcW w:w="0" w:type="dxa"/>
            <w:vAlign w:val="bottom"/>
          </w:tcPr>
          <w:p>
            <w:pPr>
              <w:spacing w:after="0"/>
              <w:rPr>
                <w:sz w:val="1"/>
                <w:szCs w:val="1"/>
                <w:color w:val="auto"/>
              </w:rPr>
            </w:pPr>
          </w:p>
        </w:tc>
      </w:tr>
      <w:tr>
        <w:trPr>
          <w:trHeight w:val="200"/>
        </w:trPr>
        <w:tc>
          <w:tcPr>
            <w:tcW w:w="494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5,051,279</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1,039,448</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_________________________________</w:t>
      </w:r>
    </w:p>
    <w:p>
      <w:pPr>
        <w:spacing w:after="0" w:line="22" w:lineRule="exact"/>
        <w:rPr>
          <w:sz w:val="20"/>
          <w:szCs w:val="20"/>
          <w:color w:val="auto"/>
        </w:rPr>
      </w:pPr>
    </w:p>
    <w:p>
      <w:pPr>
        <w:ind w:left="460" w:hanging="457"/>
        <w:spacing w:after="0"/>
        <w:tabs>
          <w:tab w:leader="none" w:pos="46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average net share price is the net share price realized after deducting all commissions and fees on the sale(s), if applicable.</w:t>
      </w:r>
    </w:p>
    <w:p>
      <w:pPr>
        <w:spacing w:after="0" w:line="7" w:lineRule="exact"/>
        <w:rPr>
          <w:rFonts w:ascii="Times New Roman" w:cs="Times New Roman" w:eastAsia="Times New Roman" w:hAnsi="Times New Roman"/>
          <w:sz w:val="14"/>
          <w:szCs w:val="14"/>
          <w:color w:val="auto"/>
        </w:rPr>
      </w:pPr>
    </w:p>
    <w:p>
      <w:pPr>
        <w:ind w:left="460" w:hanging="457"/>
        <w:spacing w:after="0" w:line="236" w:lineRule="auto"/>
        <w:tabs>
          <w:tab w:leader="none" w:pos="46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Realized gain/(loss) does not include adjustments to amounts held in escrow receivable.</w:t>
      </w:r>
    </w:p>
    <w:p>
      <w:pPr>
        <w:ind w:left="460" w:hanging="457"/>
        <w:spacing w:after="0" w:line="256" w:lineRule="auto"/>
        <w:tabs>
          <w:tab w:leader="none" w:pos="452"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the six months ended June 30, 2022, approximately $0.6 million has been received from Residential Homes for Rent, LLC (d/b/a Second Avenue) related to the 15% term loan due December 23, 2023. Of the proceeds received, approximately $0.5 million repaid a portion of the outstanding principal and the remaining was attributed to interest.</w:t>
      </w:r>
    </w:p>
    <w:p>
      <w:pPr>
        <w:spacing w:after="0" w:line="214" w:lineRule="exact"/>
        <w:rPr>
          <w:sz w:val="20"/>
          <w:szCs w:val="20"/>
          <w:color w:val="auto"/>
        </w:rPr>
      </w:pPr>
    </w:p>
    <w:p>
      <w:pPr>
        <w:ind w:right="40"/>
        <w:spacing w:after="0" w:line="291" w:lineRule="auto"/>
        <w:rPr>
          <w:sz w:val="20"/>
          <w:szCs w:val="20"/>
          <w:color w:val="auto"/>
        </w:rPr>
      </w:pPr>
      <w:r>
        <w:rPr>
          <w:rFonts w:ascii="Times New Roman" w:cs="Times New Roman" w:eastAsia="Times New Roman" w:hAnsi="Times New Roman"/>
          <w:sz w:val="17"/>
          <w:szCs w:val="17"/>
          <w:color w:val="auto"/>
        </w:rPr>
        <w:t>During the six months ended June 30, 2022, we did not write-off any investments and our OneValley, Inc. (f/k/a NestGSV, Inc.) Series B preferred warrants with a strike price of $2.31 expired on May 29, 2022.</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58</w:t>
      </w:r>
    </w:p>
    <w:p>
      <w:pPr>
        <w:sectPr>
          <w:pgSz w:w="11900" w:h="16838" w:orient="portrait"/>
          <w:cols w:equalWidth="0" w:num="1">
            <w:col w:w="11240"/>
          </w:cols>
          <w:pgMar w:left="320" w:top="118"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4"/>
          <w:szCs w:val="14"/>
          <w:color w:val="0000FF"/>
        </w:rPr>
        <w:t>TABLE OF CONTENTS</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Six Months Ended June 30, 2021</w:t>
      </w:r>
    </w:p>
    <w:p>
      <w:pPr>
        <w:spacing w:after="0" w:line="248" w:lineRule="exact"/>
        <w:rPr>
          <w:sz w:val="20"/>
          <w:szCs w:val="20"/>
          <w:color w:val="auto"/>
        </w:rPr>
      </w:pPr>
    </w:p>
    <w:p>
      <w:pPr>
        <w:ind w:right="80"/>
        <w:spacing w:after="0" w:line="279" w:lineRule="auto"/>
        <w:rPr>
          <w:sz w:val="20"/>
          <w:szCs w:val="20"/>
          <w:color w:val="auto"/>
        </w:rPr>
      </w:pPr>
      <w:r>
        <w:rPr>
          <w:rFonts w:ascii="Times New Roman" w:cs="Times New Roman" w:eastAsia="Times New Roman" w:hAnsi="Times New Roman"/>
          <w:sz w:val="17"/>
          <w:szCs w:val="17"/>
          <w:color w:val="auto"/>
        </w:rPr>
        <w:t>During the six months ended June 30, 2021, we funded investments in an aggregate amount of $39,342,140 (not including capitalized transaction costs) as shown in the following table: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Portfolio Company</w:t>
            </w:r>
          </w:p>
        </w:tc>
        <w:tc>
          <w:tcPr>
            <w:tcW w:w="80" w:type="dxa"/>
            <w:vAlign w:val="bottom"/>
            <w:tcBorders>
              <w:bottom w:val="single" w:sz="8" w:color="CCEEFF"/>
            </w:tcBorders>
          </w:tcPr>
          <w:p>
            <w:pPr>
              <w:spacing w:after="0"/>
              <w:rPr>
                <w:sz w:val="18"/>
                <w:szCs w:val="18"/>
                <w:color w:val="auto"/>
              </w:rPr>
            </w:pPr>
          </w:p>
        </w:tc>
        <w:tc>
          <w:tcPr>
            <w:tcW w:w="4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Investment</w:t>
            </w:r>
          </w:p>
        </w:tc>
        <w:tc>
          <w:tcPr>
            <w:tcW w:w="100" w:type="dxa"/>
            <w:vAlign w:val="bottom"/>
            <w:tcBorders>
              <w:bottom w:val="single" w:sz="8" w:color="CCEEFF"/>
            </w:tcBorders>
          </w:tcPr>
          <w:p>
            <w:pPr>
              <w:spacing w:after="0"/>
              <w:rPr>
                <w:sz w:val="18"/>
                <w:szCs w:val="18"/>
                <w:color w:val="auto"/>
              </w:rPr>
            </w:pPr>
          </w:p>
        </w:tc>
        <w:tc>
          <w:tcPr>
            <w:tcW w:w="1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Transaction Date</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6"/>
                <w:szCs w:val="16"/>
                <w:b w:val="1"/>
                <w:bCs w:val="1"/>
                <w:color w:val="auto"/>
                <w:w w:val="97"/>
              </w:rPr>
              <w:t>Gross Payments</w:t>
            </w:r>
          </w:p>
        </w:tc>
        <w:tc>
          <w:tcPr>
            <w:tcW w:w="0" w:type="dxa"/>
            <w:vAlign w:val="bottom"/>
          </w:tcPr>
          <w:p>
            <w:pPr>
              <w:spacing w:after="0"/>
              <w:rPr>
                <w:sz w:val="1"/>
                <w:szCs w:val="1"/>
                <w:color w:val="auto"/>
              </w:rPr>
            </w:pPr>
          </w:p>
        </w:tc>
      </w:tr>
      <w:tr>
        <w:trPr>
          <w:trHeight w:val="151"/>
        </w:trPr>
        <w:tc>
          <w:tcPr>
            <w:tcW w:w="3220" w:type="dxa"/>
            <w:vAlign w:val="bottom"/>
            <w:shd w:val="clear" w:color="auto" w:fill="CCEEFF"/>
          </w:tcPr>
          <w:p>
            <w:pPr>
              <w:ind w:left="20"/>
              <w:spacing w:after="0" w:line="152" w:lineRule="exact"/>
              <w:rPr>
                <w:sz w:val="20"/>
                <w:szCs w:val="20"/>
                <w:color w:val="auto"/>
              </w:rPr>
            </w:pPr>
            <w:r>
              <w:rPr>
                <w:rFonts w:ascii="Times New Roman" w:cs="Times New Roman" w:eastAsia="Times New Roman" w:hAnsi="Times New Roman"/>
                <w:sz w:val="16"/>
                <w:szCs w:val="16"/>
                <w:color w:val="auto"/>
              </w:rPr>
              <w:t>NewLake Capital Partners, Inc. (f/k/a</w:t>
            </w:r>
          </w:p>
        </w:tc>
        <w:tc>
          <w:tcPr>
            <w:tcW w:w="80" w:type="dxa"/>
            <w:vAlign w:val="bottom"/>
            <w:shd w:val="clear" w:color="auto" w:fill="CCEEFF"/>
          </w:tcPr>
          <w:p>
            <w:pPr>
              <w:spacing w:after="0"/>
              <w:rPr>
                <w:sz w:val="13"/>
                <w:szCs w:val="13"/>
                <w:color w:val="auto"/>
              </w:rPr>
            </w:pPr>
          </w:p>
        </w:tc>
        <w:tc>
          <w:tcPr>
            <w:tcW w:w="470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7"/>
              </w:rPr>
              <w:t>Common Shares</w:t>
            </w:r>
          </w:p>
        </w:tc>
        <w:tc>
          <w:tcPr>
            <w:tcW w:w="17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2/12/2021</w:t>
            </w:r>
          </w:p>
        </w:tc>
        <w:tc>
          <w:tcPr>
            <w:tcW w:w="10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499,986</w:t>
            </w:r>
          </w:p>
        </w:tc>
        <w:tc>
          <w:tcPr>
            <w:tcW w:w="0" w:type="dxa"/>
            <w:vAlign w:val="bottom"/>
          </w:tcPr>
          <w:p>
            <w:pPr>
              <w:spacing w:after="0"/>
              <w:rPr>
                <w:sz w:val="1"/>
                <w:szCs w:val="1"/>
                <w:color w:val="auto"/>
              </w:rPr>
            </w:pPr>
          </w:p>
        </w:tc>
      </w:tr>
      <w:tr>
        <w:trPr>
          <w:trHeight w:val="207"/>
        </w:trPr>
        <w:tc>
          <w:tcPr>
            <w:tcW w:w="3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GreenAcreage Real Estate Corp.)</w:t>
            </w:r>
          </w:p>
        </w:tc>
        <w:tc>
          <w:tcPr>
            <w:tcW w:w="4700" w:type="dxa"/>
            <w:vAlign w:val="bottom"/>
            <w:gridSpan w:val="2"/>
            <w:vMerge w:val="continue"/>
            <w:shd w:val="clear" w:color="auto" w:fill="CCEEFF"/>
          </w:tcPr>
          <w:p>
            <w:pPr>
              <w:spacing w:after="0"/>
              <w:rPr>
                <w:sz w:val="17"/>
                <w:szCs w:val="17"/>
                <w:color w:val="auto"/>
              </w:rPr>
            </w:pPr>
          </w:p>
        </w:tc>
        <w:tc>
          <w:tcPr>
            <w:tcW w:w="17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12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300" w:type="dxa"/>
            <w:vAlign w:val="bottom"/>
            <w:gridSpan w:val="2"/>
          </w:tcPr>
          <w:p>
            <w:pPr>
              <w:ind w:left="20"/>
              <w:spacing w:after="0" w:line="207" w:lineRule="exact"/>
              <w:rPr>
                <w:sz w:val="20"/>
                <w:szCs w:val="20"/>
                <w:color w:val="auto"/>
              </w:rPr>
            </w:pPr>
            <w:r>
              <w:rPr>
                <w:rFonts w:ascii="Times New Roman" w:cs="Times New Roman" w:eastAsia="Times New Roman" w:hAnsi="Times New Roman"/>
                <w:sz w:val="16"/>
                <w:szCs w:val="16"/>
                <w:color w:val="auto"/>
              </w:rPr>
              <w:t>Churchill Sponsor VI LLC</w:t>
            </w:r>
            <w:r>
              <w:rPr>
                <w:rFonts w:ascii="Times New Roman" w:cs="Times New Roman" w:eastAsia="Times New Roman" w:hAnsi="Times New Roman"/>
                <w:sz w:val="20"/>
                <w:szCs w:val="20"/>
                <w:color w:val="auto"/>
                <w:vertAlign w:val="superscript"/>
              </w:rPr>
              <w:t>(1)</w:t>
            </w:r>
          </w:p>
        </w:tc>
        <w:tc>
          <w:tcPr>
            <w:tcW w:w="47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6"/>
              </w:rPr>
              <w:t>Common Share Units &amp; Warrant Units</w:t>
            </w:r>
          </w:p>
        </w:tc>
        <w:tc>
          <w:tcPr>
            <w:tcW w:w="17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2/25/2021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200,000</w:t>
            </w:r>
          </w:p>
        </w:tc>
        <w:tc>
          <w:tcPr>
            <w:tcW w:w="0" w:type="dxa"/>
            <w:vAlign w:val="bottom"/>
          </w:tcPr>
          <w:p>
            <w:pPr>
              <w:spacing w:after="0"/>
              <w:rPr>
                <w:sz w:val="1"/>
                <w:szCs w:val="1"/>
                <w:color w:val="auto"/>
              </w:rPr>
            </w:pPr>
          </w:p>
        </w:tc>
      </w:tr>
      <w:tr>
        <w:trPr>
          <w:trHeight w:val="207"/>
        </w:trPr>
        <w:tc>
          <w:tcPr>
            <w:tcW w:w="3300" w:type="dxa"/>
            <w:vAlign w:val="bottom"/>
            <w:gridSpan w:val="2"/>
            <w:shd w:val="clear" w:color="auto" w:fill="CCEEFF"/>
          </w:tcPr>
          <w:p>
            <w:pPr>
              <w:ind w:left="20"/>
              <w:spacing w:after="0" w:line="207" w:lineRule="exact"/>
              <w:rPr>
                <w:sz w:val="20"/>
                <w:szCs w:val="20"/>
                <w:color w:val="auto"/>
              </w:rPr>
            </w:pPr>
            <w:r>
              <w:rPr>
                <w:rFonts w:ascii="Times New Roman" w:cs="Times New Roman" w:eastAsia="Times New Roman" w:hAnsi="Times New Roman"/>
                <w:sz w:val="16"/>
                <w:szCs w:val="16"/>
                <w:color w:val="auto"/>
              </w:rPr>
              <w:t>Churchill Sponsor VII LLC</w:t>
            </w:r>
            <w:r>
              <w:rPr>
                <w:rFonts w:ascii="Times New Roman" w:cs="Times New Roman" w:eastAsia="Times New Roman" w:hAnsi="Times New Roman"/>
                <w:sz w:val="20"/>
                <w:szCs w:val="20"/>
                <w:color w:val="auto"/>
                <w:vertAlign w:val="superscript"/>
              </w:rPr>
              <w:t>(2)</w:t>
            </w:r>
          </w:p>
        </w:tc>
        <w:tc>
          <w:tcPr>
            <w:tcW w:w="47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6"/>
              </w:rPr>
              <w:t>Common Share Units &amp; Warrant Units</w:t>
            </w: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2/25/2021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300,000</w:t>
            </w:r>
          </w:p>
        </w:tc>
        <w:tc>
          <w:tcPr>
            <w:tcW w:w="0" w:type="dxa"/>
            <w:vAlign w:val="bottom"/>
          </w:tcPr>
          <w:p>
            <w:pPr>
              <w:spacing w:after="0"/>
              <w:rPr>
                <w:sz w:val="1"/>
                <w:szCs w:val="1"/>
                <w:color w:val="auto"/>
              </w:rPr>
            </w:pPr>
          </w:p>
        </w:tc>
      </w:tr>
      <w:tr>
        <w:trPr>
          <w:trHeight w:val="207"/>
        </w:trPr>
        <w:tc>
          <w:tcPr>
            <w:tcW w:w="3300" w:type="dxa"/>
            <w:vAlign w:val="bottom"/>
            <w:gridSpan w:val="2"/>
          </w:tcPr>
          <w:p>
            <w:pPr>
              <w:ind w:left="20"/>
              <w:spacing w:after="0" w:line="207" w:lineRule="exact"/>
              <w:rPr>
                <w:sz w:val="20"/>
                <w:szCs w:val="20"/>
                <w:color w:val="auto"/>
              </w:rPr>
            </w:pPr>
            <w:r>
              <w:rPr>
                <w:rFonts w:ascii="Times New Roman" w:cs="Times New Roman" w:eastAsia="Times New Roman" w:hAnsi="Times New Roman"/>
                <w:sz w:val="16"/>
                <w:szCs w:val="16"/>
                <w:color w:val="auto"/>
              </w:rPr>
              <w:t>Shogun Enterprises, Inc.</w:t>
            </w:r>
            <w:r>
              <w:rPr>
                <w:rFonts w:ascii="Times New Roman" w:cs="Times New Roman" w:eastAsia="Times New Roman" w:hAnsi="Times New Roman"/>
                <w:sz w:val="20"/>
                <w:szCs w:val="20"/>
                <w:color w:val="auto"/>
                <w:vertAlign w:val="superscript"/>
              </w:rPr>
              <w:t>(3)</w:t>
            </w:r>
          </w:p>
        </w:tc>
        <w:tc>
          <w:tcPr>
            <w:tcW w:w="47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7"/>
              </w:rPr>
              <w:t>Preferred Shares, Series B-1</w:t>
            </w:r>
          </w:p>
        </w:tc>
        <w:tc>
          <w:tcPr>
            <w:tcW w:w="17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2/26/2021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3,499,994</w:t>
            </w:r>
          </w:p>
        </w:tc>
        <w:tc>
          <w:tcPr>
            <w:tcW w:w="0" w:type="dxa"/>
            <w:vAlign w:val="bottom"/>
          </w:tcPr>
          <w:p>
            <w:pPr>
              <w:spacing w:after="0"/>
              <w:rPr>
                <w:sz w:val="1"/>
                <w:szCs w:val="1"/>
                <w:color w:val="auto"/>
              </w:rPr>
            </w:pPr>
          </w:p>
        </w:tc>
      </w:tr>
      <w:tr>
        <w:trPr>
          <w:trHeight w:val="207"/>
        </w:trPr>
        <w:tc>
          <w:tcPr>
            <w:tcW w:w="3300" w:type="dxa"/>
            <w:vAlign w:val="bottom"/>
            <w:gridSpan w:val="2"/>
            <w:shd w:val="clear" w:color="auto" w:fill="CCEEFF"/>
          </w:tcPr>
          <w:p>
            <w:pPr>
              <w:ind w:left="20"/>
              <w:spacing w:after="0" w:line="207" w:lineRule="exact"/>
              <w:rPr>
                <w:sz w:val="20"/>
                <w:szCs w:val="20"/>
                <w:color w:val="auto"/>
              </w:rPr>
            </w:pPr>
            <w:r>
              <w:rPr>
                <w:rFonts w:ascii="Times New Roman" w:cs="Times New Roman" w:eastAsia="Times New Roman" w:hAnsi="Times New Roman"/>
                <w:sz w:val="16"/>
                <w:szCs w:val="16"/>
                <w:color w:val="auto"/>
              </w:rPr>
              <w:t>Shogun Enterprises, Inc.</w:t>
            </w:r>
            <w:r>
              <w:rPr>
                <w:rFonts w:ascii="Times New Roman" w:cs="Times New Roman" w:eastAsia="Times New Roman" w:hAnsi="Times New Roman"/>
                <w:sz w:val="20"/>
                <w:szCs w:val="20"/>
                <w:color w:val="auto"/>
                <w:vertAlign w:val="superscript"/>
              </w:rPr>
              <w:t>(3)</w:t>
            </w:r>
          </w:p>
        </w:tc>
        <w:tc>
          <w:tcPr>
            <w:tcW w:w="47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7"/>
              </w:rPr>
              <w:t>Preferred Shares, Series B-2</w:t>
            </w: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2/26/2021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3,499,998</w:t>
            </w:r>
          </w:p>
        </w:tc>
        <w:tc>
          <w:tcPr>
            <w:tcW w:w="0" w:type="dxa"/>
            <w:vAlign w:val="bottom"/>
          </w:tcPr>
          <w:p>
            <w:pPr>
              <w:spacing w:after="0"/>
              <w:rPr>
                <w:sz w:val="1"/>
                <w:szCs w:val="1"/>
                <w:color w:val="auto"/>
              </w:rPr>
            </w:pPr>
          </w:p>
        </w:tc>
      </w:tr>
      <w:tr>
        <w:trPr>
          <w:trHeight w:val="207"/>
        </w:trPr>
        <w:tc>
          <w:tcPr>
            <w:tcW w:w="3300" w:type="dxa"/>
            <w:vAlign w:val="bottom"/>
            <w:gridSpan w:val="2"/>
          </w:tcPr>
          <w:p>
            <w:pPr>
              <w:ind w:left="20"/>
              <w:spacing w:after="0" w:line="207" w:lineRule="exact"/>
              <w:rPr>
                <w:sz w:val="20"/>
                <w:szCs w:val="20"/>
                <w:color w:val="auto"/>
              </w:rPr>
            </w:pPr>
            <w:r>
              <w:rPr>
                <w:rFonts w:ascii="Times New Roman" w:cs="Times New Roman" w:eastAsia="Times New Roman" w:hAnsi="Times New Roman"/>
                <w:sz w:val="16"/>
                <w:szCs w:val="16"/>
                <w:color w:val="auto"/>
              </w:rPr>
              <w:t>Architect Capital PayJoy SPV, LLC</w:t>
            </w:r>
            <w:r>
              <w:rPr>
                <w:rFonts w:ascii="Times New Roman" w:cs="Times New Roman" w:eastAsia="Times New Roman" w:hAnsi="Times New Roman"/>
                <w:sz w:val="20"/>
                <w:szCs w:val="20"/>
                <w:color w:val="auto"/>
                <w:vertAlign w:val="superscript"/>
              </w:rPr>
              <w:t>(4)</w:t>
            </w:r>
          </w:p>
        </w:tc>
        <w:tc>
          <w:tcPr>
            <w:tcW w:w="47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6"/>
              </w:rPr>
              <w:t>Membership Interest in Lending SPV</w:t>
            </w:r>
          </w:p>
        </w:tc>
        <w:tc>
          <w:tcPr>
            <w:tcW w:w="18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4"/>
              </w:rPr>
              <w:t>Various</w:t>
            </w:r>
          </w:p>
        </w:tc>
        <w:tc>
          <w:tcPr>
            <w:tcW w:w="1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2,630,333</w:t>
            </w:r>
          </w:p>
        </w:tc>
        <w:tc>
          <w:tcPr>
            <w:tcW w:w="0" w:type="dxa"/>
            <w:vAlign w:val="bottom"/>
          </w:tcPr>
          <w:p>
            <w:pPr>
              <w:spacing w:after="0"/>
              <w:rPr>
                <w:sz w:val="1"/>
                <w:szCs w:val="1"/>
                <w:color w:val="auto"/>
              </w:rPr>
            </w:pPr>
          </w:p>
        </w:tc>
      </w:tr>
      <w:tr>
        <w:trPr>
          <w:trHeight w:val="155"/>
        </w:trPr>
        <w:tc>
          <w:tcPr>
            <w:tcW w:w="3300" w:type="dxa"/>
            <w:vAlign w:val="bottom"/>
            <w:gridSpan w:val="2"/>
            <w:shd w:val="clear" w:color="auto" w:fill="CCEEFF"/>
          </w:tcPr>
          <w:p>
            <w:pPr>
              <w:ind w:left="20"/>
              <w:spacing w:after="0" w:line="155" w:lineRule="exact"/>
              <w:rPr>
                <w:sz w:val="20"/>
                <w:szCs w:val="20"/>
                <w:color w:val="auto"/>
              </w:rPr>
            </w:pPr>
            <w:r>
              <w:rPr>
                <w:rFonts w:ascii="Times New Roman" w:cs="Times New Roman" w:eastAsia="Times New Roman" w:hAnsi="Times New Roman"/>
                <w:sz w:val="16"/>
                <w:szCs w:val="16"/>
                <w:color w:val="auto"/>
              </w:rPr>
              <w:t>Commercial Streaming Solutions Inc. (d/b/a</w:t>
            </w:r>
          </w:p>
        </w:tc>
        <w:tc>
          <w:tcPr>
            <w:tcW w:w="4700" w:type="dxa"/>
            <w:vAlign w:val="bottom"/>
            <w:gridSpan w:val="2"/>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7"/>
              </w:rPr>
              <w:t>Simple Agreement for Future Equity ("SAFE")</w:t>
            </w:r>
          </w:p>
        </w:tc>
        <w:tc>
          <w:tcPr>
            <w:tcW w:w="17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3/26/2021</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1,000,000</w:t>
            </w:r>
          </w:p>
        </w:tc>
        <w:tc>
          <w:tcPr>
            <w:tcW w:w="0" w:type="dxa"/>
            <w:vAlign w:val="bottom"/>
          </w:tcPr>
          <w:p>
            <w:pPr>
              <w:spacing w:after="0"/>
              <w:rPr>
                <w:sz w:val="1"/>
                <w:szCs w:val="1"/>
                <w:color w:val="auto"/>
              </w:rPr>
            </w:pPr>
          </w:p>
        </w:tc>
      </w:tr>
      <w:tr>
        <w:trPr>
          <w:trHeight w:val="207"/>
        </w:trPr>
        <w:tc>
          <w:tcPr>
            <w:tcW w:w="3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BettorView)</w:t>
            </w:r>
          </w:p>
        </w:tc>
        <w:tc>
          <w:tcPr>
            <w:tcW w:w="4700" w:type="dxa"/>
            <w:vAlign w:val="bottom"/>
            <w:gridSpan w:val="2"/>
            <w:vMerge w:val="continue"/>
            <w:shd w:val="clear" w:color="auto" w:fill="CCEEFF"/>
          </w:tcPr>
          <w:p>
            <w:pPr>
              <w:spacing w:after="0"/>
              <w:rPr>
                <w:sz w:val="17"/>
                <w:szCs w:val="17"/>
                <w:color w:val="auto"/>
              </w:rPr>
            </w:pPr>
          </w:p>
        </w:tc>
        <w:tc>
          <w:tcPr>
            <w:tcW w:w="17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300" w:type="dxa"/>
            <w:vAlign w:val="bottom"/>
            <w:gridSpan w:val="2"/>
          </w:tcPr>
          <w:p>
            <w:pPr>
              <w:ind w:left="20"/>
              <w:spacing w:after="0" w:line="207" w:lineRule="exact"/>
              <w:rPr>
                <w:sz w:val="20"/>
                <w:szCs w:val="20"/>
                <w:color w:val="auto"/>
              </w:rPr>
            </w:pPr>
            <w:r>
              <w:rPr>
                <w:rFonts w:ascii="Times New Roman" w:cs="Times New Roman" w:eastAsia="Times New Roman" w:hAnsi="Times New Roman"/>
                <w:sz w:val="16"/>
                <w:szCs w:val="16"/>
                <w:color w:val="auto"/>
              </w:rPr>
              <w:t>Colombier Sponsor LLC</w:t>
            </w:r>
            <w:r>
              <w:rPr>
                <w:rFonts w:ascii="Times New Roman" w:cs="Times New Roman" w:eastAsia="Times New Roman" w:hAnsi="Times New Roman"/>
                <w:sz w:val="20"/>
                <w:szCs w:val="20"/>
                <w:color w:val="auto"/>
                <w:vertAlign w:val="superscript"/>
              </w:rPr>
              <w:t>(5)</w:t>
            </w:r>
          </w:p>
        </w:tc>
        <w:tc>
          <w:tcPr>
            <w:tcW w:w="47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6"/>
              </w:rPr>
              <w:t>Class B Units &amp; Class W Units</w:t>
            </w:r>
          </w:p>
        </w:tc>
        <w:tc>
          <w:tcPr>
            <w:tcW w:w="17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4/1/2021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502,193</w:t>
            </w:r>
          </w:p>
        </w:tc>
        <w:tc>
          <w:tcPr>
            <w:tcW w:w="0" w:type="dxa"/>
            <w:vAlign w:val="bottom"/>
          </w:tcPr>
          <w:p>
            <w:pPr>
              <w:spacing w:after="0"/>
              <w:rPr>
                <w:sz w:val="1"/>
                <w:szCs w:val="1"/>
                <w:color w:val="auto"/>
              </w:rPr>
            </w:pPr>
          </w:p>
        </w:tc>
      </w:tr>
      <w:tr>
        <w:trPr>
          <w:trHeight w:val="207"/>
        </w:trPr>
        <w:tc>
          <w:tcPr>
            <w:tcW w:w="3300" w:type="dxa"/>
            <w:vAlign w:val="bottom"/>
            <w:gridSpan w:val="2"/>
            <w:shd w:val="clear" w:color="auto" w:fill="CCEEFF"/>
          </w:tcPr>
          <w:p>
            <w:pPr>
              <w:ind w:left="20"/>
              <w:spacing w:after="0" w:line="207" w:lineRule="exact"/>
              <w:rPr>
                <w:sz w:val="20"/>
                <w:szCs w:val="20"/>
                <w:color w:val="auto"/>
              </w:rPr>
            </w:pPr>
            <w:r>
              <w:rPr>
                <w:rFonts w:ascii="Times New Roman" w:cs="Times New Roman" w:eastAsia="Times New Roman" w:hAnsi="Times New Roman"/>
                <w:sz w:val="16"/>
                <w:szCs w:val="16"/>
                <w:color w:val="auto"/>
              </w:rPr>
              <w:t>Colombier Sponsor LLC</w:t>
            </w:r>
            <w:r>
              <w:rPr>
                <w:rFonts w:ascii="Times New Roman" w:cs="Times New Roman" w:eastAsia="Times New Roman" w:hAnsi="Times New Roman"/>
                <w:sz w:val="20"/>
                <w:szCs w:val="20"/>
                <w:color w:val="auto"/>
                <w:vertAlign w:val="superscript"/>
              </w:rPr>
              <w:t>(5)</w:t>
            </w:r>
          </w:p>
        </w:tc>
        <w:tc>
          <w:tcPr>
            <w:tcW w:w="47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6"/>
              </w:rPr>
              <w:t>Class B Units &amp; Class W Units</w:t>
            </w: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6/7/2021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2,209,649</w:t>
            </w:r>
          </w:p>
        </w:tc>
        <w:tc>
          <w:tcPr>
            <w:tcW w:w="0" w:type="dxa"/>
            <w:vAlign w:val="bottom"/>
          </w:tcPr>
          <w:p>
            <w:pPr>
              <w:spacing w:after="0"/>
              <w:rPr>
                <w:sz w:val="1"/>
                <w:szCs w:val="1"/>
                <w:color w:val="auto"/>
              </w:rPr>
            </w:pPr>
          </w:p>
        </w:tc>
      </w:tr>
      <w:tr>
        <w:trPr>
          <w:trHeight w:val="207"/>
        </w:trPr>
        <w:tc>
          <w:tcPr>
            <w:tcW w:w="3300" w:type="dxa"/>
            <w:vAlign w:val="bottom"/>
            <w:gridSpan w:val="2"/>
          </w:tcPr>
          <w:p>
            <w:pPr>
              <w:ind w:left="20"/>
              <w:spacing w:after="0" w:line="207" w:lineRule="exact"/>
              <w:rPr>
                <w:sz w:val="20"/>
                <w:szCs w:val="20"/>
                <w:color w:val="auto"/>
              </w:rPr>
            </w:pPr>
            <w:r>
              <w:rPr>
                <w:rFonts w:ascii="Times New Roman" w:cs="Times New Roman" w:eastAsia="Times New Roman" w:hAnsi="Times New Roman"/>
                <w:sz w:val="16"/>
                <w:szCs w:val="16"/>
                <w:color w:val="auto"/>
              </w:rPr>
              <w:t>Churchill Capital Corp. II</w:t>
            </w:r>
            <w:r>
              <w:rPr>
                <w:rFonts w:ascii="Times New Roman" w:cs="Times New Roman" w:eastAsia="Times New Roman" w:hAnsi="Times New Roman"/>
                <w:sz w:val="20"/>
                <w:szCs w:val="20"/>
                <w:color w:val="auto"/>
                <w:vertAlign w:val="superscript"/>
              </w:rPr>
              <w:t>(6)</w:t>
            </w:r>
          </w:p>
        </w:tc>
        <w:tc>
          <w:tcPr>
            <w:tcW w:w="47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7"/>
              </w:rPr>
              <w:t>Common Shares, Class A</w:t>
            </w:r>
          </w:p>
        </w:tc>
        <w:tc>
          <w:tcPr>
            <w:tcW w:w="17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6/8/2021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10,000,000</w:t>
            </w:r>
          </w:p>
        </w:tc>
        <w:tc>
          <w:tcPr>
            <w:tcW w:w="0" w:type="dxa"/>
            <w:vAlign w:val="bottom"/>
          </w:tcPr>
          <w:p>
            <w:pPr>
              <w:spacing w:after="0"/>
              <w:rPr>
                <w:sz w:val="1"/>
                <w:szCs w:val="1"/>
                <w:color w:val="auto"/>
              </w:rPr>
            </w:pPr>
          </w:p>
        </w:tc>
      </w:tr>
      <w:tr>
        <w:trPr>
          <w:trHeight w:val="207"/>
        </w:trPr>
        <w:tc>
          <w:tcPr>
            <w:tcW w:w="3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Trax Ltd.</w:t>
            </w:r>
          </w:p>
        </w:tc>
        <w:tc>
          <w:tcPr>
            <w:tcW w:w="47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7"/>
              </w:rPr>
              <w:t>Common Shares &amp; Investec Preferred Shares</w:t>
            </w: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6/9/2021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10,000,000</w:t>
            </w:r>
          </w:p>
        </w:tc>
        <w:tc>
          <w:tcPr>
            <w:tcW w:w="0" w:type="dxa"/>
            <w:vAlign w:val="bottom"/>
          </w:tcPr>
          <w:p>
            <w:pPr>
              <w:spacing w:after="0"/>
              <w:rPr>
                <w:sz w:val="1"/>
                <w:szCs w:val="1"/>
                <w:color w:val="auto"/>
              </w:rPr>
            </w:pPr>
          </w:p>
        </w:tc>
      </w:tr>
      <w:tr>
        <w:trPr>
          <w:trHeight w:val="205"/>
        </w:trPr>
        <w:tc>
          <w:tcPr>
            <w:tcW w:w="33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Blink Health, Inc.</w:t>
            </w:r>
          </w:p>
        </w:tc>
        <w:tc>
          <w:tcPr>
            <w:tcW w:w="4700" w:type="dxa"/>
            <w:vAlign w:val="bottom"/>
            <w:tcBorders>
              <w:bottom w:val="single" w:sz="8" w:color="CCEEFF"/>
            </w:tcBorders>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7"/>
              </w:rPr>
              <w:t>Preferred Shares, Series C</w:t>
            </w:r>
          </w:p>
        </w:tc>
        <w:tc>
          <w:tcPr>
            <w:tcW w:w="176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6"/>
                <w:szCs w:val="16"/>
                <w:color w:val="auto"/>
                <w:w w:val="98"/>
              </w:rPr>
              <w:t>6/28/2021</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4,999,987</w:t>
            </w:r>
          </w:p>
        </w:tc>
        <w:tc>
          <w:tcPr>
            <w:tcW w:w="0" w:type="dxa"/>
            <w:vAlign w:val="bottom"/>
          </w:tcPr>
          <w:p>
            <w:pPr>
              <w:spacing w:after="0"/>
              <w:rPr>
                <w:sz w:val="1"/>
                <w:szCs w:val="1"/>
                <w:color w:val="auto"/>
              </w:rPr>
            </w:pPr>
          </w:p>
        </w:tc>
      </w:tr>
      <w:tr>
        <w:trPr>
          <w:trHeight w:val="227"/>
        </w:trPr>
        <w:tc>
          <w:tcPr>
            <w:tcW w:w="330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46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7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39,342,140</w:t>
            </w:r>
          </w:p>
        </w:tc>
        <w:tc>
          <w:tcPr>
            <w:tcW w:w="0" w:type="dxa"/>
            <w:vAlign w:val="bottom"/>
          </w:tcPr>
          <w:p>
            <w:pPr>
              <w:spacing w:after="0"/>
              <w:rPr>
                <w:sz w:val="1"/>
                <w:szCs w:val="1"/>
                <w:color w:val="auto"/>
              </w:rPr>
            </w:pPr>
          </w:p>
        </w:tc>
      </w:tr>
      <w:tr>
        <w:trPr>
          <w:trHeight w:val="20"/>
        </w:trPr>
        <w:tc>
          <w:tcPr>
            <w:tcW w:w="3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_________________________________</w:t>
      </w:r>
    </w:p>
    <w:p>
      <w:pPr>
        <w:spacing w:after="0" w:line="12" w:lineRule="exact"/>
        <w:rPr>
          <w:sz w:val="20"/>
          <w:szCs w:val="20"/>
          <w:color w:val="auto"/>
        </w:rPr>
      </w:pPr>
    </w:p>
    <w:p>
      <w:pPr>
        <w:jc w:val="both"/>
        <w:ind w:left="460" w:hanging="457"/>
        <w:spacing w:after="0" w:line="249" w:lineRule="auto"/>
        <w:tabs>
          <w:tab w:leader="none" w:pos="452"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Churchill Sponsor VI LLC is the sponsor of Churchill Capital Corp VI, a special purpose acquisition company formed for the purpose of effecting a merger, capital stock exchange, asset acquisition, stock purchase, reorganization or similar business combination with one or more businesses. Our investment in Churchill Sponsor VI LLC constituted a “remote-affiliate” transaction for purposes of the 1940 Act in light of the fact that Mark Klein, our Chairman, CEO and President, has a non-controlling interest in the entity that controls Churchill Sponsor VI LLC, and is a non-controlling board member of Churchill Capital Corp VI.</w:t>
      </w:r>
    </w:p>
    <w:p>
      <w:pPr>
        <w:spacing w:after="0" w:line="1" w:lineRule="exact"/>
        <w:rPr>
          <w:rFonts w:ascii="Times New Roman" w:cs="Times New Roman" w:eastAsia="Times New Roman" w:hAnsi="Times New Roman"/>
          <w:sz w:val="14"/>
          <w:szCs w:val="14"/>
          <w:color w:val="auto"/>
        </w:rPr>
      </w:pPr>
    </w:p>
    <w:p>
      <w:pPr>
        <w:jc w:val="both"/>
        <w:ind w:left="460" w:hanging="457"/>
        <w:spacing w:after="0" w:line="245" w:lineRule="auto"/>
        <w:tabs>
          <w:tab w:leader="none" w:pos="452"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Churchill Sponsor VII LLC is the sponsor of Churchill Capital Corp VII, a special purpose acquisition company formed for the purpose of effecting a merger, capital stock exchange, asset acquisition, stock purchase, reorganization or similar business combination with one or more businesses. Our investment in Churchill Sponsor VII LLC constituted a “remote-affiliate” transaction for purposes of the 1940 Act in light of the fact that Mark Klein, our Chairman, CEO and President, has a non-controlling interest in the entity that controls Churchill Sponsor VII LLC, and is a non-controlling board member of Churchill Capital Corp VII.</w:t>
      </w:r>
    </w:p>
    <w:p>
      <w:pPr>
        <w:spacing w:after="0" w:line="2" w:lineRule="exact"/>
        <w:rPr>
          <w:rFonts w:ascii="Times New Roman" w:cs="Times New Roman" w:eastAsia="Times New Roman" w:hAnsi="Times New Roman"/>
          <w:sz w:val="14"/>
          <w:szCs w:val="14"/>
          <w:color w:val="auto"/>
        </w:rPr>
      </w:pPr>
    </w:p>
    <w:p>
      <w:pPr>
        <w:ind w:left="460" w:hanging="457"/>
        <w:spacing w:after="0" w:line="262" w:lineRule="auto"/>
        <w:tabs>
          <w:tab w:leader="none" w:pos="452" w:val="left"/>
        </w:tabs>
        <w:numPr>
          <w:ilvl w:val="0"/>
          <w:numId w:val="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initial investment in Shogun Enterprises, Inc. constituted a "remote-affiliate" transaction for purposes of the 1940 Act in light of the fact that Keri Findley, a former senior managing director of the Company until her departure on March 9, 2022, is a non-controlling member of the board of directors of Shogun Enterprises, Inc. and holds a minority equity interest in such company.</w:t>
      </w:r>
    </w:p>
    <w:p>
      <w:pPr>
        <w:jc w:val="both"/>
        <w:ind w:left="460" w:hanging="457"/>
        <w:spacing w:after="0" w:line="249" w:lineRule="auto"/>
        <w:tabs>
          <w:tab w:leader="none" w:pos="452"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June 30, 2021, $2.6 million of the $10.0 million capital commitment representing SuRo Capital Corp.'s Membership Interest in Architect Capital PayJoy SPV, LLC had been called and funded. Our investment in Architect Capital PayJoy SPV, LLC constituted a "remote-affiliate" transaction for purposes of the 1940 Act in light of the fact that Keri Findley, a former senior managing director of the Company until her departure on March 9, 2022, is a non-controlling member of the board of directors of the investment manager to Architect Capital PayJoy SPV, LLC and holds a minority equity interest in such investment manager.</w:t>
      </w:r>
    </w:p>
    <w:p>
      <w:pPr>
        <w:spacing w:after="0" w:line="1" w:lineRule="exact"/>
        <w:rPr>
          <w:rFonts w:ascii="Times New Roman" w:cs="Times New Roman" w:eastAsia="Times New Roman" w:hAnsi="Times New Roman"/>
          <w:sz w:val="14"/>
          <w:szCs w:val="14"/>
          <w:color w:val="auto"/>
        </w:rPr>
      </w:pPr>
    </w:p>
    <w:p>
      <w:pPr>
        <w:jc w:val="both"/>
        <w:ind w:left="460" w:hanging="457"/>
        <w:spacing w:after="0" w:line="244" w:lineRule="auto"/>
        <w:tabs>
          <w:tab w:leader="none" w:pos="452"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Colombier Sponsor LLC is the sponsor of Colombier Acquisition Corp., a special purpose acquisition company formed for the purpose of effecting a merger, capital stock exchange, asset acquisition, stock purchase, reorganization or similar business combination with one or more businesses. Keri Findley, a former senior managing director of the Company, and Claire Councill, a former investment professional of the Company, are non-controlling members of the board of directors of Colombier Acquisition Corp.</w:t>
      </w:r>
    </w:p>
    <w:p>
      <w:pPr>
        <w:jc w:val="both"/>
        <w:ind w:left="460" w:hanging="457"/>
        <w:spacing w:after="0" w:line="248" w:lineRule="auto"/>
        <w:tabs>
          <w:tab w:leader="none" w:pos="452"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June 11, 2021, the Company executed a private investment in public equity transaction, through Churchill Capital Corp. II, a special purpose acquisition company, in order to acquire shares of Software Luxembourg Holding S.A. alongside the merger of Software Luxembourg Holding S.A. and Churchill Capital Corp. II. Following the merger, Software Luxembourg Holding S.A. changed its name to Skillsoft Corp. This investment constitutes a “remote-affiliate” transaction for purposes of the 1940 Act in light of the fact that Mark Klein, our Chairman, CEO and President, has a non-controlling interest in the entity that controls Churchill Sponsor II LLC, the sponsor of Churchill Capital Corp II, and is a non-controlling board member of Churchill Capital Corp II.</w:t>
      </w:r>
    </w:p>
    <w:p>
      <w:pPr>
        <w:spacing w:after="0" w:line="22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During the six months ended June 30, 2021, we capitalized fees of $20,723.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59</w:t>
      </w:r>
    </w:p>
    <w:p>
      <w:pPr>
        <w:sectPr>
          <w:pgSz w:w="11900" w:h="16838" w:orient="portrait"/>
          <w:cols w:equalWidth="0" w:num="1">
            <w:col w:w="11240"/>
          </w:cols>
          <w:pgMar w:left="320" w:top="118"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4"/>
          <w:szCs w:val="14"/>
          <w:color w:val="0000FF"/>
        </w:rPr>
        <w:t>TABLE OF CONTENTS</w:t>
      </w:r>
    </w:p>
    <w:p>
      <w:pPr>
        <w:spacing w:after="0" w:line="200" w:lineRule="exact"/>
        <w:rPr>
          <w:sz w:val="20"/>
          <w:szCs w:val="20"/>
          <w:color w:val="auto"/>
        </w:rPr>
      </w:pPr>
    </w:p>
    <w:p>
      <w:pPr>
        <w:spacing w:after="0" w:line="380" w:lineRule="exact"/>
        <w:rPr>
          <w:sz w:val="20"/>
          <w:szCs w:val="20"/>
          <w:color w:val="auto"/>
        </w:rPr>
      </w:pPr>
    </w:p>
    <w:p>
      <w:pPr>
        <w:ind w:firstLine="283"/>
        <w:spacing w:after="0" w:line="279" w:lineRule="auto"/>
        <w:rPr>
          <w:sz w:val="20"/>
          <w:szCs w:val="20"/>
          <w:color w:val="auto"/>
        </w:rPr>
      </w:pPr>
      <w:r>
        <w:rPr>
          <w:rFonts w:ascii="Times New Roman" w:cs="Times New Roman" w:eastAsia="Times New Roman" w:hAnsi="Times New Roman"/>
          <w:sz w:val="17"/>
          <w:szCs w:val="17"/>
          <w:color w:val="auto"/>
        </w:rPr>
        <w:t>During the six months ended June 30, 2021, we exited investments in an amount of $157,230,033, net of transaction costs, and realized a net gain on investments of $139,811,330 (including adjustments to amounts held in escrow receivable) as shown in following table:</w:t>
      </w:r>
    </w:p>
    <w:tbl>
      <w:tblPr>
        <w:tblLayout w:type="fixed"/>
        <w:tblInd w:w="0" w:type="dxa"/>
        <w:tblCellMar>
          <w:top w:w="0" w:type="dxa"/>
          <w:left w:w="0" w:type="dxa"/>
          <w:bottom w:w="0" w:type="dxa"/>
          <w:right w:w="0" w:type="dxa"/>
        </w:tblCellMar>
      </w:tblPr>
      <w:tr>
        <w:trPr>
          <w:trHeight w:val="211"/>
        </w:trPr>
        <w:tc>
          <w:tcPr>
            <w:tcW w:w="79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Portfolio Company</w:t>
            </w:r>
          </w:p>
        </w:tc>
        <w:tc>
          <w:tcPr>
            <w:tcW w:w="180" w:type="dxa"/>
            <w:vAlign w:val="bottom"/>
          </w:tcPr>
          <w:p>
            <w:pPr>
              <w:spacing w:after="0"/>
              <w:rPr>
                <w:sz w:val="18"/>
                <w:szCs w:val="18"/>
                <w:color w:val="auto"/>
              </w:rPr>
            </w:pP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Net Proceeds</w:t>
            </w:r>
          </w:p>
        </w:tc>
        <w:tc>
          <w:tcPr>
            <w:tcW w:w="140" w:type="dxa"/>
            <w:vAlign w:val="bottom"/>
          </w:tcPr>
          <w:p>
            <w:pPr>
              <w:spacing w:after="0"/>
              <w:rPr>
                <w:sz w:val="18"/>
                <w:szCs w:val="18"/>
                <w:color w:val="auto"/>
              </w:rPr>
            </w:pPr>
          </w:p>
        </w:tc>
        <w:tc>
          <w:tcPr>
            <w:tcW w:w="1280" w:type="dxa"/>
            <w:vAlign w:val="bottom"/>
          </w:tcPr>
          <w:p>
            <w:pPr>
              <w:jc w:val="right"/>
              <w:ind w:right="102"/>
              <w:spacing w:after="0" w:line="210" w:lineRule="exact"/>
              <w:rPr>
                <w:sz w:val="20"/>
                <w:szCs w:val="20"/>
                <w:color w:val="auto"/>
              </w:rPr>
            </w:pPr>
            <w:r>
              <w:rPr>
                <w:rFonts w:ascii="Times New Roman" w:cs="Times New Roman" w:eastAsia="Times New Roman" w:hAnsi="Times New Roman"/>
                <w:sz w:val="16"/>
                <w:szCs w:val="16"/>
                <w:b w:val="1"/>
                <w:bCs w:val="1"/>
                <w:color w:val="auto"/>
                <w:w w:val="96"/>
              </w:rPr>
              <w:t>Realized Gain</w:t>
            </w:r>
            <w:r>
              <w:rPr>
                <w:rFonts w:ascii="Times New Roman" w:cs="Times New Roman" w:eastAsia="Times New Roman" w:hAnsi="Times New Roman"/>
                <w:sz w:val="20"/>
                <w:szCs w:val="20"/>
                <w:b w:val="1"/>
                <w:bCs w:val="1"/>
                <w:color w:val="auto"/>
                <w:w w:val="96"/>
                <w:vertAlign w:val="superscript"/>
              </w:rPr>
              <w:t>(1)</w:t>
            </w:r>
          </w:p>
        </w:tc>
      </w:tr>
      <w:tr>
        <w:trPr>
          <w:trHeight w:val="200"/>
        </w:trPr>
        <w:tc>
          <w:tcPr>
            <w:tcW w:w="7820" w:type="dxa"/>
            <w:vAlign w:val="bottom"/>
            <w:tcBorders>
              <w:top w:val="single" w:sz="8" w:color="auto"/>
            </w:tcBorders>
            <w:shd w:val="clear" w:color="auto" w:fill="CCEEFF"/>
          </w:tcPr>
          <w:p>
            <w:pPr>
              <w:ind w:left="20"/>
              <w:spacing w:after="0" w:line="200" w:lineRule="exact"/>
              <w:rPr>
                <w:sz w:val="20"/>
                <w:szCs w:val="20"/>
                <w:color w:val="auto"/>
              </w:rPr>
            </w:pPr>
            <w:r>
              <w:rPr>
                <w:rFonts w:ascii="Times New Roman" w:cs="Times New Roman" w:eastAsia="Times New Roman" w:hAnsi="Times New Roman"/>
                <w:sz w:val="16"/>
                <w:szCs w:val="16"/>
                <w:color w:val="auto"/>
              </w:rPr>
              <w:t>Palantir Technologies, Inc.</w:t>
            </w:r>
            <w:r>
              <w:rPr>
                <w:rFonts w:ascii="Times New Roman" w:cs="Times New Roman" w:eastAsia="Times New Roman" w:hAnsi="Times New Roman"/>
                <w:sz w:val="20"/>
                <w:szCs w:val="20"/>
                <w:color w:val="auto"/>
                <w:vertAlign w:val="superscript"/>
              </w:rPr>
              <w:t>(2)</w:t>
            </w: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123,419,184</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110,544,068</w:t>
            </w:r>
          </w:p>
        </w:tc>
      </w:tr>
      <w:tr>
        <w:trPr>
          <w:trHeight w:val="207"/>
        </w:trPr>
        <w:tc>
          <w:tcPr>
            <w:tcW w:w="7940" w:type="dxa"/>
            <w:vAlign w:val="bottom"/>
            <w:gridSpan w:val="2"/>
          </w:tcPr>
          <w:p>
            <w:pPr>
              <w:ind w:left="20"/>
              <w:spacing w:after="0" w:line="207" w:lineRule="exact"/>
              <w:rPr>
                <w:sz w:val="20"/>
                <w:szCs w:val="20"/>
                <w:color w:val="auto"/>
              </w:rPr>
            </w:pPr>
            <w:r>
              <w:rPr>
                <w:rFonts w:ascii="Times New Roman" w:cs="Times New Roman" w:eastAsia="Times New Roman" w:hAnsi="Times New Roman"/>
                <w:sz w:val="16"/>
                <w:szCs w:val="16"/>
                <w:color w:val="auto"/>
              </w:rPr>
              <w:t>Palantir Lending Trust SPV I</w:t>
            </w:r>
            <w:r>
              <w:rPr>
                <w:rFonts w:ascii="Times New Roman" w:cs="Times New Roman" w:eastAsia="Times New Roman" w:hAnsi="Times New Roman"/>
                <w:sz w:val="20"/>
                <w:szCs w:val="20"/>
                <w:color w:val="auto"/>
                <w:vertAlign w:val="superscript"/>
              </w:rPr>
              <w:t>(3)</w:t>
            </w: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1,877,083</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1,877,083</w:t>
            </w:r>
          </w:p>
        </w:tc>
      </w:tr>
      <w:tr>
        <w:trPr>
          <w:trHeight w:val="207"/>
        </w:trPr>
        <w:tc>
          <w:tcPr>
            <w:tcW w:w="7940" w:type="dxa"/>
            <w:vAlign w:val="bottom"/>
            <w:gridSpan w:val="2"/>
            <w:shd w:val="clear" w:color="auto" w:fill="CCEEFF"/>
          </w:tcPr>
          <w:p>
            <w:pPr>
              <w:ind w:left="20"/>
              <w:spacing w:after="0" w:line="207" w:lineRule="exact"/>
              <w:rPr>
                <w:sz w:val="20"/>
                <w:szCs w:val="20"/>
                <w:color w:val="auto"/>
              </w:rPr>
            </w:pPr>
            <w:r>
              <w:rPr>
                <w:rFonts w:ascii="Times New Roman" w:cs="Times New Roman" w:eastAsia="Times New Roman" w:hAnsi="Times New Roman"/>
                <w:sz w:val="16"/>
                <w:szCs w:val="16"/>
                <w:color w:val="auto"/>
              </w:rPr>
              <w:t>Residential Homes for Rent, LLC (d/b/a Second Avenue)</w:t>
            </w:r>
            <w:r>
              <w:rPr>
                <w:rFonts w:ascii="Times New Roman" w:cs="Times New Roman" w:eastAsia="Times New Roman" w:hAnsi="Times New Roman"/>
                <w:sz w:val="20"/>
                <w:szCs w:val="20"/>
                <w:color w:val="auto"/>
                <w:vertAlign w:val="superscript"/>
              </w:rPr>
              <w:t>(4)</w:t>
            </w: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711,701</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5"/>
        </w:trPr>
        <w:tc>
          <w:tcPr>
            <w:tcW w:w="79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SP Holdings Group, Inc.</w:t>
            </w: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490,246</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490,246</w:t>
            </w:r>
          </w:p>
        </w:tc>
      </w:tr>
      <w:tr>
        <w:trPr>
          <w:trHeight w:val="209"/>
        </w:trPr>
        <w:tc>
          <w:tcPr>
            <w:tcW w:w="7940" w:type="dxa"/>
            <w:vAlign w:val="bottom"/>
            <w:gridSpan w:val="2"/>
            <w:shd w:val="clear" w:color="auto" w:fill="CCEEFF"/>
          </w:tcPr>
          <w:p>
            <w:pPr>
              <w:ind w:left="20"/>
              <w:spacing w:after="0" w:line="209" w:lineRule="exact"/>
              <w:rPr>
                <w:sz w:val="20"/>
                <w:szCs w:val="20"/>
                <w:color w:val="auto"/>
              </w:rPr>
            </w:pPr>
            <w:r>
              <w:rPr>
                <w:rFonts w:ascii="Times New Roman" w:cs="Times New Roman" w:eastAsia="Times New Roman" w:hAnsi="Times New Roman"/>
                <w:sz w:val="16"/>
                <w:szCs w:val="16"/>
                <w:color w:val="auto"/>
              </w:rPr>
              <w:t>Coursera, Inc.</w:t>
            </w:r>
            <w:r>
              <w:rPr>
                <w:rFonts w:ascii="Times New Roman" w:cs="Times New Roman" w:eastAsia="Times New Roman" w:hAnsi="Times New Roman"/>
                <w:sz w:val="20"/>
                <w:szCs w:val="20"/>
                <w:color w:val="auto"/>
                <w:vertAlign w:val="superscript"/>
              </w:rPr>
              <w:t>(5)</w:t>
            </w:r>
          </w:p>
        </w:tc>
        <w:tc>
          <w:tcPr>
            <w:tcW w:w="1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30,731,819</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26,897,290</w:t>
            </w:r>
          </w:p>
        </w:tc>
      </w:tr>
      <w:tr>
        <w:trPr>
          <w:trHeight w:val="200"/>
        </w:trPr>
        <w:tc>
          <w:tcPr>
            <w:tcW w:w="794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8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157,230,033</w:t>
            </w:r>
          </w:p>
        </w:tc>
        <w:tc>
          <w:tcPr>
            <w:tcW w:w="12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139,808,687</w:t>
            </w:r>
          </w:p>
        </w:tc>
      </w:tr>
      <w:tr>
        <w:trPr>
          <w:trHeight w:val="20"/>
        </w:trPr>
        <w:tc>
          <w:tcPr>
            <w:tcW w:w="7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_________________________________</w:t>
      </w:r>
    </w:p>
    <w:p>
      <w:pPr>
        <w:spacing w:after="0" w:line="12" w:lineRule="exact"/>
        <w:rPr>
          <w:sz w:val="20"/>
          <w:szCs w:val="20"/>
          <w:color w:val="auto"/>
        </w:rPr>
      </w:pPr>
    </w:p>
    <w:p>
      <w:pPr>
        <w:ind w:left="460" w:hanging="457"/>
        <w:spacing w:after="0"/>
        <w:tabs>
          <w:tab w:leader="none" w:pos="46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Realized gain/(loss) does not include adjustments to amounts held in escrow receivable.</w:t>
      </w:r>
    </w:p>
    <w:p>
      <w:pPr>
        <w:spacing w:after="0" w:line="3" w:lineRule="exact"/>
        <w:rPr>
          <w:rFonts w:ascii="Times New Roman" w:cs="Times New Roman" w:eastAsia="Times New Roman" w:hAnsi="Times New Roman"/>
          <w:sz w:val="14"/>
          <w:szCs w:val="14"/>
          <w:color w:val="auto"/>
        </w:rPr>
      </w:pPr>
    </w:p>
    <w:p>
      <w:pPr>
        <w:ind w:left="460" w:hanging="457"/>
        <w:spacing w:after="0"/>
        <w:tabs>
          <w:tab w:leader="none" w:pos="46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March 4, 2021, all remaining shares of Palantir Technologies, Inc. held by us had been sold.</w:t>
      </w:r>
    </w:p>
    <w:p>
      <w:pPr>
        <w:spacing w:after="0" w:line="7" w:lineRule="exact"/>
        <w:rPr>
          <w:rFonts w:ascii="Times New Roman" w:cs="Times New Roman" w:eastAsia="Times New Roman" w:hAnsi="Times New Roman"/>
          <w:sz w:val="14"/>
          <w:szCs w:val="14"/>
          <w:color w:val="auto"/>
        </w:rPr>
      </w:pPr>
    </w:p>
    <w:p>
      <w:pPr>
        <w:jc w:val="both"/>
        <w:ind w:left="460" w:hanging="457"/>
        <w:spacing w:after="0" w:line="245" w:lineRule="auto"/>
        <w:tabs>
          <w:tab w:leader="none" w:pos="452"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Palantir Lending Trust SPV I promissory note was initially collateralized with 2,260,000 Class A common shares of Palantir Technologies, Inc. to which SuRo Capital Corp. retains a beneficial equity upside interest. As of June 30, 2022, 512,290 Class A common shares remain in Palantir Lending Trust SPV I, none of which are subject to lock-up restrictions. The realized gain from SuRo Capital Corp.'s investment in Palantir Lending Trust SPV I is generated by the proceeds from the sale of a portion of the shares collateralizing the promissory note to Palantir Lending Trust SPV I and attributable to the Equity Participation in Underlying Collateral.</w:t>
      </w:r>
    </w:p>
    <w:p>
      <w:pPr>
        <w:spacing w:after="0" w:line="2" w:lineRule="exact"/>
        <w:rPr>
          <w:rFonts w:ascii="Times New Roman" w:cs="Times New Roman" w:eastAsia="Times New Roman" w:hAnsi="Times New Roman"/>
          <w:sz w:val="14"/>
          <w:szCs w:val="14"/>
          <w:color w:val="auto"/>
        </w:rPr>
      </w:pPr>
    </w:p>
    <w:p>
      <w:pPr>
        <w:ind w:left="460" w:hanging="457"/>
        <w:spacing w:after="0" w:line="250" w:lineRule="auto"/>
        <w:tabs>
          <w:tab w:leader="none" w:pos="452"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June 30, 2021, approximately $0.7 million had been received from Residential Homes for Rent, LLC (d/b/a Second Avenue) related to the 15% term loan due December 23, 2023. Of the proceeds received, approximately $0.5 million repaid a portion of the outstanding principal and the remaining was attributed to interest.</w:t>
      </w:r>
    </w:p>
    <w:p>
      <w:pPr>
        <w:ind w:left="460" w:hanging="457"/>
        <w:spacing w:after="0"/>
        <w:tabs>
          <w:tab w:leader="none" w:pos="46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June 30, 2021, we held 2,346,271 remaining common shares of Coursera, Inc., all of which were subject to lock-up restriction.</w:t>
      </w:r>
    </w:p>
    <w:p>
      <w:pPr>
        <w:spacing w:after="0" w:line="7" w:lineRule="exact"/>
        <w:rPr>
          <w:sz w:val="20"/>
          <w:szCs w:val="20"/>
          <w:color w:val="auto"/>
        </w:rPr>
      </w:pPr>
    </w:p>
    <w:p>
      <w:pPr>
        <w:ind w:firstLine="197"/>
        <w:spacing w:after="0" w:line="280" w:lineRule="auto"/>
        <w:rPr>
          <w:sz w:val="20"/>
          <w:szCs w:val="20"/>
          <w:color w:val="auto"/>
        </w:rPr>
      </w:pPr>
      <w:r>
        <w:rPr>
          <w:rFonts w:ascii="Times New Roman" w:cs="Times New Roman" w:eastAsia="Times New Roman" w:hAnsi="Times New Roman"/>
          <w:sz w:val="17"/>
          <w:szCs w:val="17"/>
          <w:color w:val="auto"/>
        </w:rPr>
        <w:t>During the six months ended June 30, 2021, we did not write-off any investments and our OneValley, Inc. (f/k/a NestGSV, Inc.) Series A-3 preferred warrants with a strike price of $1.33 expired on April 4, 2021.</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Results of Operations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Comparison of the three and six months ended June 30, 2022 and 2021</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Operating results for the three and six months ended June 30, 2022 and 2021 are as follows: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0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240" w:type="dxa"/>
            <w:vAlign w:val="bottom"/>
            <w:gridSpan w:val="5"/>
          </w:tcPr>
          <w:p>
            <w:pPr>
              <w:jc w:val="right"/>
              <w:ind w:right="740"/>
              <w:spacing w:after="0"/>
              <w:rPr>
                <w:sz w:val="20"/>
                <w:szCs w:val="20"/>
                <w:color w:val="auto"/>
              </w:rPr>
            </w:pPr>
            <w:r>
              <w:rPr>
                <w:rFonts w:ascii="Times New Roman" w:cs="Times New Roman" w:eastAsia="Times New Roman" w:hAnsi="Times New Roman"/>
                <w:sz w:val="17"/>
                <w:szCs w:val="17"/>
                <w:b w:val="1"/>
                <w:bCs w:val="1"/>
                <w:color w:val="auto"/>
              </w:rPr>
              <w:t>Three Months Ended June 30,</w:t>
            </w:r>
          </w:p>
        </w:tc>
        <w:tc>
          <w:tcPr>
            <w:tcW w:w="400" w:type="dxa"/>
            <w:vAlign w:val="bottom"/>
          </w:tcPr>
          <w:p>
            <w:pPr>
              <w:spacing w:after="0"/>
              <w:rPr>
                <w:sz w:val="19"/>
                <w:szCs w:val="19"/>
                <w:color w:val="auto"/>
              </w:rPr>
            </w:pPr>
          </w:p>
        </w:tc>
        <w:tc>
          <w:tcPr>
            <w:tcW w:w="3160" w:type="dxa"/>
            <w:vAlign w:val="bottom"/>
            <w:gridSpan w:val="4"/>
          </w:tcPr>
          <w:p>
            <w:pPr>
              <w:jc w:val="right"/>
              <w:ind w:right="674"/>
              <w:spacing w:after="0"/>
              <w:rPr>
                <w:sz w:val="20"/>
                <w:szCs w:val="20"/>
                <w:color w:val="auto"/>
              </w:rPr>
            </w:pPr>
            <w:r>
              <w:rPr>
                <w:rFonts w:ascii="Times New Roman" w:cs="Times New Roman" w:eastAsia="Times New Roman" w:hAnsi="Times New Roman"/>
                <w:sz w:val="17"/>
                <w:szCs w:val="17"/>
                <w:b w:val="1"/>
                <w:bCs w:val="1"/>
                <w:color w:val="auto"/>
              </w:rPr>
              <w:t>Six Months Ended June 30,</w:t>
            </w:r>
          </w:p>
        </w:tc>
        <w:tc>
          <w:tcPr>
            <w:tcW w:w="0" w:type="dxa"/>
            <w:vAlign w:val="bottom"/>
          </w:tcPr>
          <w:p>
            <w:pPr>
              <w:spacing w:after="0"/>
              <w:rPr>
                <w:sz w:val="1"/>
                <w:szCs w:val="1"/>
                <w:color w:val="auto"/>
              </w:rPr>
            </w:pPr>
          </w:p>
        </w:tc>
      </w:tr>
      <w:tr>
        <w:trPr>
          <w:trHeight w:val="213"/>
        </w:trPr>
        <w:tc>
          <w:tcPr>
            <w:tcW w:w="406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ind w:right="614"/>
              <w:spacing w:after="0"/>
              <w:rPr>
                <w:sz w:val="20"/>
                <w:szCs w:val="20"/>
                <w:color w:val="auto"/>
              </w:rPr>
            </w:pPr>
            <w:r>
              <w:rPr>
                <w:rFonts w:ascii="Times New Roman" w:cs="Times New Roman" w:eastAsia="Times New Roman" w:hAnsi="Times New Roman"/>
                <w:sz w:val="17"/>
                <w:szCs w:val="17"/>
                <w:b w:val="1"/>
                <w:bCs w:val="1"/>
                <w:color w:val="auto"/>
              </w:rPr>
              <w:t>2022</w:t>
            </w:r>
          </w:p>
        </w:tc>
        <w:tc>
          <w:tcPr>
            <w:tcW w:w="14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74"/>
              <w:spacing w:after="0"/>
              <w:rPr>
                <w:sz w:val="20"/>
                <w:szCs w:val="20"/>
                <w:color w:val="auto"/>
              </w:rPr>
            </w:pPr>
            <w:r>
              <w:rPr>
                <w:rFonts w:ascii="Times New Roman" w:cs="Times New Roman" w:eastAsia="Times New Roman" w:hAnsi="Times New Roman"/>
                <w:sz w:val="17"/>
                <w:szCs w:val="17"/>
                <w:b w:val="1"/>
                <w:bCs w:val="1"/>
                <w:color w:val="auto"/>
              </w:rPr>
              <w:t>2021</w:t>
            </w:r>
          </w:p>
        </w:tc>
        <w:tc>
          <w:tcPr>
            <w:tcW w:w="80" w:type="dxa"/>
            <w:vAlign w:val="bottom"/>
            <w:tcBorders>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614"/>
              <w:spacing w:after="0"/>
              <w:rPr>
                <w:sz w:val="20"/>
                <w:szCs w:val="20"/>
                <w:color w:val="auto"/>
              </w:rPr>
            </w:pPr>
            <w:r>
              <w:rPr>
                <w:rFonts w:ascii="Times New Roman" w:cs="Times New Roman" w:eastAsia="Times New Roman" w:hAnsi="Times New Roman"/>
                <w:sz w:val="17"/>
                <w:szCs w:val="17"/>
                <w:b w:val="1"/>
                <w:bCs w:val="1"/>
                <w:color w:val="auto"/>
              </w:rPr>
              <w:t>2022</w:t>
            </w:r>
          </w:p>
        </w:tc>
        <w:tc>
          <w:tcPr>
            <w:tcW w:w="80" w:type="dxa"/>
            <w:vAlign w:val="bottom"/>
            <w:tcBorders>
              <w:top w:val="single" w:sz="8" w:color="auto"/>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594"/>
              <w:spacing w:after="0"/>
              <w:rPr>
                <w:sz w:val="20"/>
                <w:szCs w:val="20"/>
                <w:color w:val="auto"/>
              </w:rPr>
            </w:pPr>
            <w:r>
              <w:rPr>
                <w:rFonts w:ascii="Times New Roman" w:cs="Times New Roman" w:eastAsia="Times New Roman" w:hAnsi="Times New Roman"/>
                <w:sz w:val="17"/>
                <w:szCs w:val="17"/>
                <w:b w:val="1"/>
                <w:bCs w:val="1"/>
                <w:color w:val="auto"/>
              </w:rPr>
              <w:t>2021</w:t>
            </w:r>
          </w:p>
        </w:tc>
        <w:tc>
          <w:tcPr>
            <w:tcW w:w="0" w:type="dxa"/>
            <w:vAlign w:val="bottom"/>
          </w:tcPr>
          <w:p>
            <w:pPr>
              <w:spacing w:after="0"/>
              <w:rPr>
                <w:sz w:val="1"/>
                <w:szCs w:val="1"/>
                <w:color w:val="auto"/>
              </w:rPr>
            </w:pPr>
          </w:p>
        </w:tc>
      </w:tr>
      <w:tr>
        <w:trPr>
          <w:trHeight w:val="213"/>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Total Investment Income</w:t>
            </w:r>
          </w:p>
        </w:tc>
        <w:tc>
          <w:tcPr>
            <w:tcW w:w="38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890,631</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274,820</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b w:val="1"/>
                <w:bCs w:val="1"/>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1,473,731</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566,172</w:t>
            </w:r>
          </w:p>
        </w:tc>
        <w:tc>
          <w:tcPr>
            <w:tcW w:w="0" w:type="dxa"/>
            <w:vAlign w:val="bottom"/>
          </w:tcPr>
          <w:p>
            <w:pPr>
              <w:spacing w:after="0"/>
              <w:rPr>
                <w:sz w:val="1"/>
                <w:szCs w:val="1"/>
                <w:color w:val="auto"/>
              </w:rPr>
            </w:pPr>
          </w:p>
        </w:tc>
      </w:tr>
      <w:tr>
        <w:trPr>
          <w:trHeight w:val="220"/>
        </w:trPr>
        <w:tc>
          <w:tcPr>
            <w:tcW w:w="4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Interest income</w:t>
            </w:r>
          </w:p>
        </w:tc>
        <w:tc>
          <w:tcPr>
            <w:tcW w:w="3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699,282</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145,851</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1,151,737</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312,696</w:t>
            </w:r>
          </w:p>
        </w:tc>
        <w:tc>
          <w:tcPr>
            <w:tcW w:w="0" w:type="dxa"/>
            <w:vAlign w:val="bottom"/>
          </w:tcPr>
          <w:p>
            <w:pPr>
              <w:spacing w:after="0"/>
              <w:rPr>
                <w:sz w:val="1"/>
                <w:szCs w:val="1"/>
                <w:color w:val="auto"/>
              </w:rPr>
            </w:pPr>
          </w:p>
        </w:tc>
      </w:tr>
      <w:tr>
        <w:trPr>
          <w:trHeight w:val="220"/>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Dividend income</w:t>
            </w:r>
          </w:p>
        </w:tc>
        <w:tc>
          <w:tcPr>
            <w:tcW w:w="3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191,349</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128,969</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321,994</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253,476</w:t>
            </w:r>
          </w:p>
        </w:tc>
        <w:tc>
          <w:tcPr>
            <w:tcW w:w="0" w:type="dxa"/>
            <w:vAlign w:val="bottom"/>
          </w:tcPr>
          <w:p>
            <w:pPr>
              <w:spacing w:after="0"/>
              <w:rPr>
                <w:sz w:val="1"/>
                <w:szCs w:val="1"/>
                <w:color w:val="auto"/>
              </w:rPr>
            </w:pPr>
          </w:p>
        </w:tc>
      </w:tr>
      <w:tr>
        <w:trPr>
          <w:trHeight w:val="220"/>
        </w:trPr>
        <w:tc>
          <w:tcPr>
            <w:tcW w:w="40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Total Operating Expenses</w:t>
            </w:r>
          </w:p>
        </w:tc>
        <w:tc>
          <w:tcPr>
            <w:tcW w:w="380" w:type="dxa"/>
            <w:vAlign w:val="bottom"/>
          </w:tcPr>
          <w:p>
            <w:pPr>
              <w:jc w:val="right"/>
              <w:ind w:right="19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4,701,519</w:t>
            </w:r>
          </w:p>
        </w:tc>
        <w:tc>
          <w:tcPr>
            <w:tcW w:w="140" w:type="dxa"/>
            <w:vAlign w:val="bottom"/>
          </w:tcPr>
          <w:p>
            <w:pPr>
              <w:spacing w:after="0"/>
              <w:rPr>
                <w:sz w:val="19"/>
                <w:szCs w:val="19"/>
                <w:color w:val="auto"/>
              </w:rPr>
            </w:pPr>
          </w:p>
        </w:tc>
        <w:tc>
          <w:tcPr>
            <w:tcW w:w="380" w:type="dxa"/>
            <w:vAlign w:val="bottom"/>
          </w:tcPr>
          <w:p>
            <w:pPr>
              <w:jc w:val="right"/>
              <w:ind w:right="19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2,317,820</w:t>
            </w:r>
          </w:p>
        </w:tc>
        <w:tc>
          <w:tcPr>
            <w:tcW w:w="80" w:type="dxa"/>
            <w:vAlign w:val="bottom"/>
          </w:tcPr>
          <w:p>
            <w:pPr>
              <w:spacing w:after="0"/>
              <w:rPr>
                <w:sz w:val="19"/>
                <w:szCs w:val="19"/>
                <w:color w:val="auto"/>
              </w:rPr>
            </w:pPr>
          </w:p>
        </w:tc>
        <w:tc>
          <w:tcPr>
            <w:tcW w:w="400" w:type="dxa"/>
            <w:vAlign w:val="bottom"/>
          </w:tcPr>
          <w:p>
            <w:pPr>
              <w:jc w:val="right"/>
              <w:ind w:right="194"/>
              <w:spacing w:after="0"/>
              <w:rPr>
                <w:sz w:val="20"/>
                <w:szCs w:val="20"/>
                <w:color w:val="auto"/>
              </w:rPr>
            </w:pPr>
            <w:r>
              <w:rPr>
                <w:rFonts w:ascii="Times New Roman" w:cs="Times New Roman" w:eastAsia="Times New Roman" w:hAnsi="Times New Roman"/>
                <w:sz w:val="17"/>
                <w:szCs w:val="17"/>
                <w:b w:val="1"/>
                <w:bCs w:val="1"/>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9,509,324</w:t>
            </w:r>
          </w:p>
        </w:tc>
        <w:tc>
          <w:tcPr>
            <w:tcW w:w="80" w:type="dxa"/>
            <w:vAlign w:val="bottom"/>
          </w:tcPr>
          <w:p>
            <w:pPr>
              <w:spacing w:after="0"/>
              <w:rPr>
                <w:sz w:val="19"/>
                <w:szCs w:val="19"/>
                <w:color w:val="auto"/>
              </w:rPr>
            </w:pPr>
          </w:p>
        </w:tc>
        <w:tc>
          <w:tcPr>
            <w:tcW w:w="400" w:type="dxa"/>
            <w:vAlign w:val="bottom"/>
          </w:tcPr>
          <w:p>
            <w:pPr>
              <w:jc w:val="right"/>
              <w:ind w:right="21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5,443,490</w:t>
            </w:r>
          </w:p>
        </w:tc>
        <w:tc>
          <w:tcPr>
            <w:tcW w:w="0" w:type="dxa"/>
            <w:vAlign w:val="bottom"/>
          </w:tcPr>
          <w:p>
            <w:pPr>
              <w:spacing w:after="0"/>
              <w:rPr>
                <w:sz w:val="1"/>
                <w:szCs w:val="1"/>
                <w:color w:val="auto"/>
              </w:rPr>
            </w:pPr>
          </w:p>
        </w:tc>
      </w:tr>
      <w:tr>
        <w:trPr>
          <w:trHeight w:val="220"/>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Compensation expense</w:t>
            </w:r>
          </w:p>
        </w:tc>
        <w:tc>
          <w:tcPr>
            <w:tcW w:w="3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1,759,261</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1,345,892</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3,619,963</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2,639,202</w:t>
            </w:r>
          </w:p>
        </w:tc>
        <w:tc>
          <w:tcPr>
            <w:tcW w:w="0" w:type="dxa"/>
            <w:vAlign w:val="bottom"/>
          </w:tcPr>
          <w:p>
            <w:pPr>
              <w:spacing w:after="0"/>
              <w:rPr>
                <w:sz w:val="1"/>
                <w:szCs w:val="1"/>
                <w:color w:val="auto"/>
              </w:rPr>
            </w:pPr>
          </w:p>
        </w:tc>
      </w:tr>
      <w:tr>
        <w:trPr>
          <w:trHeight w:val="220"/>
        </w:trPr>
        <w:tc>
          <w:tcPr>
            <w:tcW w:w="4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Directors’ fees</w:t>
            </w:r>
          </w:p>
        </w:tc>
        <w:tc>
          <w:tcPr>
            <w:tcW w:w="3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191,829</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111,250</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352,394</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222,500</w:t>
            </w:r>
          </w:p>
        </w:tc>
        <w:tc>
          <w:tcPr>
            <w:tcW w:w="0" w:type="dxa"/>
            <w:vAlign w:val="bottom"/>
          </w:tcPr>
          <w:p>
            <w:pPr>
              <w:spacing w:after="0"/>
              <w:rPr>
                <w:sz w:val="1"/>
                <w:szCs w:val="1"/>
                <w:color w:val="auto"/>
              </w:rPr>
            </w:pPr>
          </w:p>
        </w:tc>
      </w:tr>
      <w:tr>
        <w:trPr>
          <w:trHeight w:val="220"/>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Professional fees</w:t>
            </w:r>
          </w:p>
        </w:tc>
        <w:tc>
          <w:tcPr>
            <w:tcW w:w="3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1,078,459</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529,524</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2,351,172</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1,502,683</w:t>
            </w:r>
          </w:p>
        </w:tc>
        <w:tc>
          <w:tcPr>
            <w:tcW w:w="0" w:type="dxa"/>
            <w:vAlign w:val="bottom"/>
          </w:tcPr>
          <w:p>
            <w:pPr>
              <w:spacing w:after="0"/>
              <w:rPr>
                <w:sz w:val="1"/>
                <w:szCs w:val="1"/>
                <w:color w:val="auto"/>
              </w:rPr>
            </w:pPr>
          </w:p>
        </w:tc>
      </w:tr>
      <w:tr>
        <w:trPr>
          <w:trHeight w:val="220"/>
        </w:trPr>
        <w:tc>
          <w:tcPr>
            <w:tcW w:w="4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Interest expense</w:t>
            </w:r>
          </w:p>
        </w:tc>
        <w:tc>
          <w:tcPr>
            <w:tcW w:w="3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1,226,767</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2,427,553</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504,793</w:t>
            </w:r>
          </w:p>
        </w:tc>
        <w:tc>
          <w:tcPr>
            <w:tcW w:w="0" w:type="dxa"/>
            <w:vAlign w:val="bottom"/>
          </w:tcPr>
          <w:p>
            <w:pPr>
              <w:spacing w:after="0"/>
              <w:rPr>
                <w:sz w:val="1"/>
                <w:szCs w:val="1"/>
                <w:color w:val="auto"/>
              </w:rPr>
            </w:pPr>
          </w:p>
        </w:tc>
      </w:tr>
      <w:tr>
        <w:trPr>
          <w:trHeight w:val="220"/>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Tax expense</w:t>
            </w:r>
          </w:p>
        </w:tc>
        <w:tc>
          <w:tcPr>
            <w:tcW w:w="3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5,691</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7,598</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7,741</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9,623</w:t>
            </w:r>
          </w:p>
        </w:tc>
        <w:tc>
          <w:tcPr>
            <w:tcW w:w="0" w:type="dxa"/>
            <w:vAlign w:val="bottom"/>
          </w:tcPr>
          <w:p>
            <w:pPr>
              <w:spacing w:after="0"/>
              <w:rPr>
                <w:sz w:val="1"/>
                <w:szCs w:val="1"/>
                <w:color w:val="auto"/>
              </w:rPr>
            </w:pPr>
          </w:p>
        </w:tc>
      </w:tr>
      <w:tr>
        <w:trPr>
          <w:trHeight w:val="220"/>
        </w:trPr>
        <w:tc>
          <w:tcPr>
            <w:tcW w:w="4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expenses</w:t>
            </w:r>
          </w:p>
        </w:tc>
        <w:tc>
          <w:tcPr>
            <w:tcW w:w="3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439,512</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323,556</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750,501</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564,689</w:t>
            </w:r>
          </w:p>
        </w:tc>
        <w:tc>
          <w:tcPr>
            <w:tcW w:w="0" w:type="dxa"/>
            <w:vAlign w:val="bottom"/>
          </w:tcPr>
          <w:p>
            <w:pPr>
              <w:spacing w:after="0"/>
              <w:rPr>
                <w:sz w:val="1"/>
                <w:szCs w:val="1"/>
                <w:color w:val="auto"/>
              </w:rPr>
            </w:pPr>
          </w:p>
        </w:tc>
      </w:tr>
      <w:tr>
        <w:trPr>
          <w:trHeight w:val="220"/>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Net Investment Loss</w:t>
            </w:r>
          </w:p>
        </w:tc>
        <w:tc>
          <w:tcPr>
            <w:tcW w:w="38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(3,810,888)</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(2,043,000)</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b w:val="1"/>
                <w:bCs w:val="1"/>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(8,035,593)</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(4,877,318)</w:t>
            </w:r>
          </w:p>
        </w:tc>
        <w:tc>
          <w:tcPr>
            <w:tcW w:w="0" w:type="dxa"/>
            <w:vAlign w:val="bottom"/>
          </w:tcPr>
          <w:p>
            <w:pPr>
              <w:spacing w:after="0"/>
              <w:rPr>
                <w:sz w:val="1"/>
                <w:szCs w:val="1"/>
                <w:color w:val="auto"/>
              </w:rPr>
            </w:pPr>
          </w:p>
        </w:tc>
      </w:tr>
      <w:tr>
        <w:trPr>
          <w:trHeight w:val="220"/>
        </w:trPr>
        <w:tc>
          <w:tcPr>
            <w:tcW w:w="4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realized gain on investments</w:t>
            </w:r>
          </w:p>
        </w:tc>
        <w:tc>
          <w:tcPr>
            <w:tcW w:w="3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(1,966,225)</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27,658,812</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1,130,050</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139,811,330</w:t>
            </w:r>
          </w:p>
        </w:tc>
        <w:tc>
          <w:tcPr>
            <w:tcW w:w="0" w:type="dxa"/>
            <w:vAlign w:val="bottom"/>
          </w:tcPr>
          <w:p>
            <w:pPr>
              <w:spacing w:after="0"/>
              <w:rPr>
                <w:sz w:val="1"/>
                <w:szCs w:val="1"/>
                <w:color w:val="auto"/>
              </w:rPr>
            </w:pPr>
          </w:p>
        </w:tc>
      </w:tr>
      <w:tr>
        <w:trPr>
          <w:trHeight w:val="168"/>
        </w:trPr>
        <w:tc>
          <w:tcPr>
            <w:tcW w:w="4060" w:type="dxa"/>
            <w:vAlign w:val="bottom"/>
            <w:shd w:val="clear" w:color="auto" w:fill="CCEEFF"/>
          </w:tcPr>
          <w:p>
            <w:pPr>
              <w:ind w:left="20"/>
              <w:spacing w:after="0" w:line="168" w:lineRule="exact"/>
              <w:rPr>
                <w:sz w:val="20"/>
                <w:szCs w:val="20"/>
                <w:color w:val="auto"/>
              </w:rPr>
            </w:pPr>
            <w:r>
              <w:rPr>
                <w:rFonts w:ascii="Times New Roman" w:cs="Times New Roman" w:eastAsia="Times New Roman" w:hAnsi="Times New Roman"/>
                <w:sz w:val="17"/>
                <w:szCs w:val="17"/>
                <w:color w:val="auto"/>
              </w:rPr>
              <w:t>Net change in unrealized appreciation/(depreciation) of</w:t>
            </w:r>
          </w:p>
        </w:tc>
        <w:tc>
          <w:tcPr>
            <w:tcW w:w="38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investments</w:t>
            </w:r>
          </w:p>
        </w:tc>
        <w:tc>
          <w:tcPr>
            <w:tcW w:w="38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(88,562,575)</w:t>
            </w:r>
          </w:p>
        </w:tc>
        <w:tc>
          <w:tcPr>
            <w:tcW w:w="1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7,741,252</w:t>
            </w: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(66,977,690)</w:t>
            </w: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6,425,415</w:t>
            </w:r>
          </w:p>
        </w:tc>
        <w:tc>
          <w:tcPr>
            <w:tcW w:w="0" w:type="dxa"/>
            <w:vAlign w:val="bottom"/>
          </w:tcPr>
          <w:p>
            <w:pPr>
              <w:spacing w:after="0"/>
              <w:rPr>
                <w:sz w:val="1"/>
                <w:szCs w:val="1"/>
                <w:color w:val="auto"/>
              </w:rPr>
            </w:pPr>
          </w:p>
        </w:tc>
      </w:tr>
      <w:tr>
        <w:trPr>
          <w:trHeight w:val="168"/>
        </w:trPr>
        <w:tc>
          <w:tcPr>
            <w:tcW w:w="4060" w:type="dxa"/>
            <w:vAlign w:val="bottom"/>
          </w:tcPr>
          <w:p>
            <w:pPr>
              <w:ind w:left="20"/>
              <w:spacing w:after="0" w:line="168" w:lineRule="exact"/>
              <w:rPr>
                <w:sz w:val="20"/>
                <w:szCs w:val="20"/>
                <w:color w:val="auto"/>
              </w:rPr>
            </w:pPr>
            <w:r>
              <w:rPr>
                <w:rFonts w:ascii="Times New Roman" w:cs="Times New Roman" w:eastAsia="Times New Roman" w:hAnsi="Times New Roman"/>
                <w:sz w:val="17"/>
                <w:szCs w:val="17"/>
                <w:b w:val="1"/>
                <w:bCs w:val="1"/>
                <w:color w:val="auto"/>
              </w:rPr>
              <w:t>Net Increase/(Decrease) in Net Assets Resulting from</w:t>
            </w:r>
          </w:p>
        </w:tc>
        <w:tc>
          <w:tcPr>
            <w:tcW w:w="380" w:type="dxa"/>
            <w:vAlign w:val="bottom"/>
            <w:vMerge w:val="restart"/>
          </w:tcPr>
          <w:p>
            <w:pPr>
              <w:jc w:val="right"/>
              <w:ind w:right="19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(94,339,688)</w:t>
            </w:r>
          </w:p>
        </w:tc>
        <w:tc>
          <w:tcPr>
            <w:tcW w:w="140" w:type="dxa"/>
            <w:vAlign w:val="bottom"/>
          </w:tcPr>
          <w:p>
            <w:pPr>
              <w:spacing w:after="0"/>
              <w:rPr>
                <w:sz w:val="14"/>
                <w:szCs w:val="14"/>
                <w:color w:val="auto"/>
              </w:rPr>
            </w:pPr>
          </w:p>
        </w:tc>
        <w:tc>
          <w:tcPr>
            <w:tcW w:w="380" w:type="dxa"/>
            <w:vAlign w:val="bottom"/>
            <w:vMerge w:val="restart"/>
          </w:tcPr>
          <w:p>
            <w:pPr>
              <w:jc w:val="right"/>
              <w:ind w:right="19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33,357,064</w:t>
            </w:r>
          </w:p>
        </w:tc>
        <w:tc>
          <w:tcPr>
            <w:tcW w:w="80" w:type="dxa"/>
            <w:vAlign w:val="bottom"/>
          </w:tcPr>
          <w:p>
            <w:pPr>
              <w:spacing w:after="0"/>
              <w:rPr>
                <w:sz w:val="14"/>
                <w:szCs w:val="14"/>
                <w:color w:val="auto"/>
              </w:rPr>
            </w:pPr>
          </w:p>
        </w:tc>
        <w:tc>
          <w:tcPr>
            <w:tcW w:w="400" w:type="dxa"/>
            <w:vAlign w:val="bottom"/>
            <w:vMerge w:val="restart"/>
          </w:tcPr>
          <w:p>
            <w:pPr>
              <w:jc w:val="right"/>
              <w:ind w:right="194"/>
              <w:spacing w:after="0"/>
              <w:rPr>
                <w:sz w:val="20"/>
                <w:szCs w:val="20"/>
                <w:color w:val="auto"/>
              </w:rPr>
            </w:pPr>
            <w:r>
              <w:rPr>
                <w:rFonts w:ascii="Times New Roman" w:cs="Times New Roman" w:eastAsia="Times New Roman" w:hAnsi="Times New Roman"/>
                <w:sz w:val="17"/>
                <w:szCs w:val="17"/>
                <w:b w:val="1"/>
                <w:bCs w:val="1"/>
                <w:color w:val="auto"/>
              </w:rPr>
              <w:t>$</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(73,883,233)</w:t>
            </w:r>
          </w:p>
        </w:tc>
        <w:tc>
          <w:tcPr>
            <w:tcW w:w="80" w:type="dxa"/>
            <w:vAlign w:val="bottom"/>
          </w:tcPr>
          <w:p>
            <w:pPr>
              <w:spacing w:after="0"/>
              <w:rPr>
                <w:sz w:val="14"/>
                <w:szCs w:val="14"/>
                <w:color w:val="auto"/>
              </w:rPr>
            </w:pPr>
          </w:p>
        </w:tc>
        <w:tc>
          <w:tcPr>
            <w:tcW w:w="400" w:type="dxa"/>
            <w:vAlign w:val="bottom"/>
            <w:vMerge w:val="restart"/>
          </w:tcPr>
          <w:p>
            <w:pPr>
              <w:jc w:val="right"/>
              <w:ind w:right="21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141,359,427</w:t>
            </w:r>
          </w:p>
        </w:tc>
        <w:tc>
          <w:tcPr>
            <w:tcW w:w="0" w:type="dxa"/>
            <w:vAlign w:val="bottom"/>
          </w:tcPr>
          <w:p>
            <w:pPr>
              <w:spacing w:after="0"/>
              <w:rPr>
                <w:sz w:val="1"/>
                <w:szCs w:val="1"/>
                <w:color w:val="auto"/>
              </w:rPr>
            </w:pPr>
          </w:p>
        </w:tc>
      </w:tr>
      <w:tr>
        <w:trPr>
          <w:trHeight w:val="233"/>
        </w:trPr>
        <w:tc>
          <w:tcPr>
            <w:tcW w:w="40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Operations</w:t>
            </w:r>
          </w:p>
        </w:tc>
        <w:tc>
          <w:tcPr>
            <w:tcW w:w="380" w:type="dxa"/>
            <w:vAlign w:val="bottom"/>
            <w:vMerge w:val="continue"/>
          </w:tcPr>
          <w:p>
            <w:pPr>
              <w:spacing w:after="0"/>
              <w:rPr>
                <w:sz w:val="20"/>
                <w:szCs w:val="20"/>
                <w:color w:val="auto"/>
              </w:rPr>
            </w:pPr>
          </w:p>
        </w:tc>
        <w:tc>
          <w:tcPr>
            <w:tcW w:w="138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vMerge w:val="continue"/>
          </w:tcPr>
          <w:p>
            <w:pPr>
              <w:spacing w:after="0"/>
              <w:rPr>
                <w:sz w:val="20"/>
                <w:szCs w:val="20"/>
                <w:color w:val="auto"/>
              </w:rPr>
            </w:pPr>
          </w:p>
        </w:tc>
        <w:tc>
          <w:tcPr>
            <w:tcW w:w="126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vMerge w:val="continue"/>
          </w:tcPr>
          <w:p>
            <w:pPr>
              <w:spacing w:after="0"/>
              <w:rPr>
                <w:sz w:val="20"/>
                <w:szCs w:val="20"/>
                <w:color w:val="auto"/>
              </w:rPr>
            </w:pPr>
          </w:p>
        </w:tc>
        <w:tc>
          <w:tcPr>
            <w:tcW w:w="136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vMerge w:val="continue"/>
          </w:tcPr>
          <w:p>
            <w:pPr>
              <w:spacing w:after="0"/>
              <w:rPr>
                <w:sz w:val="20"/>
                <w:szCs w:val="20"/>
                <w:color w:val="auto"/>
              </w:rPr>
            </w:pPr>
          </w:p>
        </w:tc>
        <w:tc>
          <w:tcPr>
            <w:tcW w:w="13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60</w:t>
      </w:r>
    </w:p>
    <w:p>
      <w:pPr>
        <w:sectPr>
          <w:pgSz w:w="11900" w:h="16838" w:orient="portrait"/>
          <w:cols w:equalWidth="0" w:num="1">
            <w:col w:w="11240"/>
          </w:cols>
          <w:pgMar w:left="320" w:top="118"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Investment Income</w:t>
      </w:r>
    </w:p>
    <w:p>
      <w:pPr>
        <w:spacing w:after="0" w:line="248" w:lineRule="exact"/>
        <w:rPr>
          <w:sz w:val="20"/>
          <w:szCs w:val="20"/>
          <w:color w:val="auto"/>
        </w:rPr>
      </w:pPr>
    </w:p>
    <w:p>
      <w:pPr>
        <w:jc w:val="both"/>
        <w:ind w:firstLine="349"/>
        <w:spacing w:after="0" w:line="266" w:lineRule="auto"/>
        <w:rPr>
          <w:sz w:val="20"/>
          <w:szCs w:val="20"/>
          <w:color w:val="auto"/>
        </w:rPr>
      </w:pPr>
      <w:r>
        <w:rPr>
          <w:rFonts w:ascii="Times New Roman" w:cs="Times New Roman" w:eastAsia="Times New Roman" w:hAnsi="Times New Roman"/>
          <w:sz w:val="17"/>
          <w:szCs w:val="17"/>
          <w:color w:val="auto"/>
        </w:rPr>
        <w:t>Investment income increased to $890,631 for the three months ended June 30, 2022 from $274,820 for the three months ended June 30, 2021. The net increase between periods was due to an increase in interest income from Architect Capital PayJoy SPV, LLC and Shogun Enterprises, Inc. The increase was offset by a decrease in interest income from Residential Homes for Rent, LLC (d/b/a Second Avenue) and a decrease in dividend income from NewLake Capital Partners, Inc. (f/k/a GreenAcreage Real Estate Corp.) during the three months ended June 30, 2022, relative to the three months ended June 30, 2021.</w:t>
      </w:r>
    </w:p>
    <w:p>
      <w:pPr>
        <w:spacing w:after="0" w:line="194" w:lineRule="exact"/>
        <w:rPr>
          <w:sz w:val="20"/>
          <w:szCs w:val="20"/>
          <w:color w:val="auto"/>
        </w:rPr>
      </w:pPr>
    </w:p>
    <w:p>
      <w:pPr>
        <w:jc w:val="both"/>
        <w:ind w:firstLine="349"/>
        <w:spacing w:after="0" w:line="266" w:lineRule="auto"/>
        <w:rPr>
          <w:sz w:val="20"/>
          <w:szCs w:val="20"/>
          <w:color w:val="auto"/>
        </w:rPr>
      </w:pPr>
      <w:r>
        <w:rPr>
          <w:rFonts w:ascii="Times New Roman" w:cs="Times New Roman" w:eastAsia="Times New Roman" w:hAnsi="Times New Roman"/>
          <w:sz w:val="17"/>
          <w:szCs w:val="17"/>
          <w:color w:val="auto"/>
        </w:rPr>
        <w:t>Investment income increased to $1,473,731 for the six months ended June 30, 2022 from $566,172 for the six months ended June 30, 2021. The net increase between periods was due to an increase in interest income from Architect Capital PayJoy SPV, LLC and Shogun Enterprises, Inc. The increase was offset by a decrease in interest income from Residential Homes for Rent, LLC (d/b/a Second Avenue) and a decrease in dividend income from NewLake Capital Partners, Inc. (f/k/a GreenAcreage Real Estate Corp.) during the six months ended June 30, 2022, relative to the six months ended June 30, 2021.</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Operating Expenses</w:t>
      </w:r>
    </w:p>
    <w:p>
      <w:pPr>
        <w:spacing w:after="0" w:line="248" w:lineRule="exact"/>
        <w:rPr>
          <w:sz w:val="20"/>
          <w:szCs w:val="20"/>
          <w:color w:val="auto"/>
        </w:rPr>
      </w:pPr>
    </w:p>
    <w:p>
      <w:pPr>
        <w:jc w:val="both"/>
        <w:ind w:firstLine="349"/>
        <w:spacing w:after="0" w:line="272" w:lineRule="auto"/>
        <w:rPr>
          <w:sz w:val="20"/>
          <w:szCs w:val="20"/>
          <w:color w:val="auto"/>
        </w:rPr>
      </w:pPr>
      <w:r>
        <w:rPr>
          <w:rFonts w:ascii="Times New Roman" w:cs="Times New Roman" w:eastAsia="Times New Roman" w:hAnsi="Times New Roman"/>
          <w:sz w:val="17"/>
          <w:szCs w:val="17"/>
          <w:color w:val="auto"/>
        </w:rPr>
        <w:t>Total operating expenses increased to $4,701,519 for the three months ended June 30, 2022 from $2,317,820 for the three months ended June 30, 2021. The increase in operating expense was primarily due to an increase in interest expense, compensation expense, and professional fees during the three months ended June 30, 2022, relative to the three months ended June 30, 2021.</w:t>
      </w:r>
    </w:p>
    <w:p>
      <w:pPr>
        <w:spacing w:after="0" w:line="189" w:lineRule="exact"/>
        <w:rPr>
          <w:sz w:val="20"/>
          <w:szCs w:val="20"/>
          <w:color w:val="auto"/>
        </w:rPr>
      </w:pPr>
    </w:p>
    <w:p>
      <w:pPr>
        <w:jc w:val="both"/>
        <w:ind w:firstLine="349"/>
        <w:spacing w:after="0" w:line="272" w:lineRule="auto"/>
        <w:rPr>
          <w:sz w:val="20"/>
          <w:szCs w:val="20"/>
          <w:color w:val="auto"/>
        </w:rPr>
      </w:pPr>
      <w:r>
        <w:rPr>
          <w:rFonts w:ascii="Times New Roman" w:cs="Times New Roman" w:eastAsia="Times New Roman" w:hAnsi="Times New Roman"/>
          <w:sz w:val="17"/>
          <w:szCs w:val="17"/>
          <w:color w:val="auto"/>
        </w:rPr>
        <w:t>Total operating expenses increased to $9,509,324 for the six months ended June 30, 2022 from $5,443,490 for the six months ended June 30, 2021. The increase in operating expense was primarily due to an increase in interest expense, compensation expense, and professional fees during the six months ended June 30, 2022, relative to the six months ended June 30, 2021.</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Net Investment Loss</w:t>
      </w:r>
    </w:p>
    <w:p>
      <w:pPr>
        <w:spacing w:after="0" w:line="248" w:lineRule="exact"/>
        <w:rPr>
          <w:sz w:val="20"/>
          <w:szCs w:val="20"/>
          <w:color w:val="auto"/>
        </w:rPr>
      </w:pPr>
    </w:p>
    <w:p>
      <w:pPr>
        <w:jc w:val="both"/>
        <w:ind w:firstLine="349"/>
        <w:spacing w:after="0" w:line="272" w:lineRule="auto"/>
        <w:rPr>
          <w:sz w:val="20"/>
          <w:szCs w:val="20"/>
          <w:color w:val="auto"/>
        </w:rPr>
      </w:pPr>
      <w:r>
        <w:rPr>
          <w:rFonts w:ascii="Times New Roman" w:cs="Times New Roman" w:eastAsia="Times New Roman" w:hAnsi="Times New Roman"/>
          <w:sz w:val="17"/>
          <w:szCs w:val="17"/>
          <w:color w:val="auto"/>
        </w:rPr>
        <w:t>For the three months ended June 30, 2022, we recognized a net investment loss of $3,810,888, compared to a net investment loss of $2,043,000 for the three months ended June 30, 2021. The change between periods resulted from the increase in operating expenses offset by an increase in total investment income between periods during the three months ended June 30, 2022, relative to the three months ended June 30, 2021.</w:t>
      </w:r>
    </w:p>
    <w:p>
      <w:pPr>
        <w:spacing w:after="0" w:line="189" w:lineRule="exact"/>
        <w:rPr>
          <w:sz w:val="20"/>
          <w:szCs w:val="20"/>
          <w:color w:val="auto"/>
        </w:rPr>
      </w:pPr>
    </w:p>
    <w:p>
      <w:pPr>
        <w:jc w:val="both"/>
        <w:ind w:firstLine="349"/>
        <w:spacing w:after="0" w:line="272" w:lineRule="auto"/>
        <w:rPr>
          <w:sz w:val="20"/>
          <w:szCs w:val="20"/>
          <w:color w:val="auto"/>
        </w:rPr>
      </w:pPr>
      <w:r>
        <w:rPr>
          <w:rFonts w:ascii="Times New Roman" w:cs="Times New Roman" w:eastAsia="Times New Roman" w:hAnsi="Times New Roman"/>
          <w:sz w:val="17"/>
          <w:szCs w:val="17"/>
          <w:color w:val="auto"/>
        </w:rPr>
        <w:t>For the six months ended June 30, 2022, we recognized a net investment loss of $8,035,593, compared to a net investment loss of $4,877,318 for the six months ended June 30, 2021. The change between periods resulted from the increase in operating expenses offset by an increase in total investment income between periods during the six months ended June 30, 2022, relative to the six months ended June 30, 2021.</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Net Realized Gain on Investments</w:t>
      </w:r>
    </w:p>
    <w:p>
      <w:pPr>
        <w:spacing w:after="0" w:line="248" w:lineRule="exact"/>
        <w:rPr>
          <w:sz w:val="20"/>
          <w:szCs w:val="20"/>
          <w:color w:val="auto"/>
        </w:rPr>
      </w:pPr>
    </w:p>
    <w:p>
      <w:pPr>
        <w:jc w:val="both"/>
        <w:ind w:firstLine="349"/>
        <w:spacing w:after="0" w:line="291" w:lineRule="auto"/>
        <w:rPr>
          <w:sz w:val="20"/>
          <w:szCs w:val="20"/>
          <w:color w:val="auto"/>
        </w:rPr>
      </w:pPr>
      <w:r>
        <w:rPr>
          <w:rFonts w:ascii="Times New Roman" w:cs="Times New Roman" w:eastAsia="Times New Roman" w:hAnsi="Times New Roman"/>
          <w:sz w:val="17"/>
          <w:szCs w:val="17"/>
          <w:color w:val="auto"/>
        </w:rPr>
        <w:t>For the three months ended June 30, 2022, we recognized a net realized loss on our investments of $1,966,225, compared to a net realized gain of $27,658,812 for the three months ended June 30, 2021.</w:t>
      </w:r>
    </w:p>
    <w:p>
      <w:pPr>
        <w:spacing w:after="0" w:line="173" w:lineRule="exact"/>
        <w:rPr>
          <w:sz w:val="20"/>
          <w:szCs w:val="20"/>
          <w:color w:val="auto"/>
        </w:rPr>
      </w:pPr>
    </w:p>
    <w:p>
      <w:pPr>
        <w:jc w:val="both"/>
        <w:ind w:firstLine="349"/>
        <w:spacing w:after="0" w:line="266" w:lineRule="auto"/>
        <w:rPr>
          <w:sz w:val="20"/>
          <w:szCs w:val="20"/>
          <w:color w:val="auto"/>
        </w:rPr>
      </w:pPr>
      <w:r>
        <w:rPr>
          <w:rFonts w:ascii="Times New Roman" w:cs="Times New Roman" w:eastAsia="Times New Roman" w:hAnsi="Times New Roman"/>
          <w:sz w:val="17"/>
          <w:szCs w:val="17"/>
          <w:color w:val="auto"/>
        </w:rPr>
        <w:t>For the six months ended June 30, 2022, we recognized a net realized gain on our investments of $1,130,050, compared to a net realized gain of $139,811,330 for the six months ended June 30, 2021. The components of our net realized gains on portfolio investments for the six months ended June 30, 2022 and 2021, excluding U.S. Treasury investments and fluctuations in escrow receivables estimates, are reflected in the tables above, under “—Portfolio and Investment Activity.”</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Net Change in Unrealized Appreciation/(Depreciation) of Investments</w:t>
      </w:r>
    </w:p>
    <w:p>
      <w:pPr>
        <w:spacing w:after="0" w:line="248"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For the three months ended June 30, 2022 and 2021, we had a net change in unrealized appreciation/(depreciation) of $(88,562,575) and $7,741,252, respectively. The following tables summarize, by portfolio company, the significant changes in unrealized appreciation/(depreciation) of our investment portfolio for the three months ended June 30, 2022 and 2021.</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61</w:t>
      </w:r>
    </w:p>
    <w:p>
      <w:pPr>
        <w:sectPr>
          <w:pgSz w:w="11900" w:h="16838" w:orient="portrait"/>
          <w:cols w:equalWidth="0" w:num="1">
            <w:col w:w="11240"/>
          </w:cols>
          <w:pgMar w:left="320" w:top="118" w:right="339"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180"/>
        </w:trPr>
        <w:tc>
          <w:tcPr>
            <w:tcW w:w="3760" w:type="dxa"/>
            <w:vAlign w:val="bottom"/>
            <w:gridSpan w:val="2"/>
          </w:tcPr>
          <w:p>
            <w:pPr>
              <w:spacing w:after="0"/>
              <w:rPr>
                <w:sz w:val="20"/>
                <w:szCs w:val="20"/>
                <w:color w:val="auto"/>
              </w:rPr>
            </w:pPr>
            <w:r>
              <w:rPr>
                <w:rFonts w:ascii="Times New Roman" w:cs="Times New Roman" w:eastAsia="Times New Roman" w:hAnsi="Times New Roman"/>
                <w:sz w:val="14"/>
                <w:szCs w:val="14"/>
                <w:color w:val="0000FF"/>
              </w:rPr>
              <w:t>TABLE OF CONTENTS</w:t>
            </w:r>
          </w:p>
        </w:tc>
        <w:tc>
          <w:tcPr>
            <w:tcW w:w="1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25"/>
        </w:trPr>
        <w:tc>
          <w:tcPr>
            <w:tcW w:w="3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w w:val="98"/>
              </w:rPr>
              <w:t>Net Change in Unrealized</w:t>
            </w:r>
          </w:p>
        </w:tc>
        <w:tc>
          <w:tcPr>
            <w:tcW w:w="8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60" w:type="dxa"/>
            <w:vAlign w:val="bottom"/>
          </w:tcPr>
          <w:p>
            <w:pPr>
              <w:jc w:val="center"/>
              <w:ind w:right="24"/>
              <w:spacing w:after="0"/>
              <w:rPr>
                <w:sz w:val="20"/>
                <w:szCs w:val="20"/>
                <w:color w:val="auto"/>
              </w:rPr>
            </w:pPr>
            <w:r>
              <w:rPr>
                <w:rFonts w:ascii="Times New Roman" w:cs="Times New Roman" w:eastAsia="Times New Roman" w:hAnsi="Times New Roman"/>
                <w:sz w:val="14"/>
                <w:szCs w:val="14"/>
                <w:b w:val="1"/>
                <w:bCs w:val="1"/>
                <w:color w:val="auto"/>
                <w:w w:val="98"/>
              </w:rPr>
              <w:t>Net Change in Unrealized</w:t>
            </w:r>
          </w:p>
        </w:tc>
        <w:tc>
          <w:tcPr>
            <w:tcW w:w="0" w:type="dxa"/>
            <w:vAlign w:val="bottom"/>
          </w:tcPr>
          <w:p>
            <w:pPr>
              <w:spacing w:after="0"/>
              <w:rPr>
                <w:sz w:val="1"/>
                <w:szCs w:val="1"/>
                <w:color w:val="auto"/>
              </w:rPr>
            </w:pPr>
          </w:p>
        </w:tc>
      </w:tr>
      <w:tr>
        <w:trPr>
          <w:trHeight w:val="131"/>
        </w:trPr>
        <w:tc>
          <w:tcPr>
            <w:tcW w:w="3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0" w:type="dxa"/>
            <w:vAlign w:val="bottom"/>
            <w:gridSpan w:val="2"/>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w w:val="97"/>
              </w:rPr>
              <w:t>Appreciation/(Depreciation)</w:t>
            </w:r>
          </w:p>
        </w:tc>
        <w:tc>
          <w:tcPr>
            <w:tcW w:w="80" w:type="dxa"/>
            <w:vAlign w:val="bottom"/>
          </w:tcPr>
          <w:p>
            <w:pPr>
              <w:spacing w:after="0"/>
              <w:rPr>
                <w:sz w:val="11"/>
                <w:szCs w:val="11"/>
                <w:color w:val="auto"/>
              </w:rPr>
            </w:pPr>
          </w:p>
        </w:tc>
        <w:tc>
          <w:tcPr>
            <w:tcW w:w="3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80" w:type="dxa"/>
            <w:vAlign w:val="bottom"/>
            <w:gridSpan w:val="2"/>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w w:val="98"/>
              </w:rPr>
              <w:t>Appreciation/(Depreciation)</w:t>
            </w:r>
          </w:p>
        </w:tc>
        <w:tc>
          <w:tcPr>
            <w:tcW w:w="0" w:type="dxa"/>
            <w:vAlign w:val="bottom"/>
          </w:tcPr>
          <w:p>
            <w:pPr>
              <w:spacing w:after="0"/>
              <w:rPr>
                <w:sz w:val="1"/>
                <w:szCs w:val="1"/>
                <w:color w:val="auto"/>
              </w:rPr>
            </w:pPr>
          </w:p>
        </w:tc>
      </w:tr>
      <w:tr>
        <w:trPr>
          <w:trHeight w:val="142"/>
        </w:trPr>
        <w:tc>
          <w:tcPr>
            <w:tcW w:w="3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Portfolio Company</w:t>
            </w:r>
          </w:p>
        </w:tc>
        <w:tc>
          <w:tcPr>
            <w:tcW w:w="1800" w:type="dxa"/>
            <w:vAlign w:val="bottom"/>
            <w:gridSpan w:val="2"/>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w w:val="98"/>
              </w:rPr>
              <w:t>For the Three Months Ended</w:t>
            </w:r>
          </w:p>
        </w:tc>
        <w:tc>
          <w:tcPr>
            <w:tcW w:w="80" w:type="dxa"/>
            <w:vAlign w:val="bottom"/>
          </w:tcPr>
          <w:p>
            <w:pPr>
              <w:spacing w:after="0"/>
              <w:rPr>
                <w:sz w:val="12"/>
                <w:szCs w:val="12"/>
                <w:color w:val="auto"/>
              </w:rPr>
            </w:pPr>
          </w:p>
        </w:tc>
        <w:tc>
          <w:tcPr>
            <w:tcW w:w="3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Portfolio Company</w:t>
            </w:r>
          </w:p>
        </w:tc>
        <w:tc>
          <w:tcPr>
            <w:tcW w:w="1780" w:type="dxa"/>
            <w:vAlign w:val="bottom"/>
            <w:gridSpan w:val="2"/>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w w:val="98"/>
              </w:rPr>
              <w:t>For the Three Months Ended</w:t>
            </w:r>
          </w:p>
        </w:tc>
        <w:tc>
          <w:tcPr>
            <w:tcW w:w="0" w:type="dxa"/>
            <w:vAlign w:val="bottom"/>
          </w:tcPr>
          <w:p>
            <w:pPr>
              <w:spacing w:after="0"/>
              <w:rPr>
                <w:sz w:val="1"/>
                <w:szCs w:val="1"/>
                <w:color w:val="auto"/>
              </w:rPr>
            </w:pPr>
          </w:p>
        </w:tc>
      </w:tr>
      <w:tr>
        <w:trPr>
          <w:trHeight w:val="183"/>
        </w:trPr>
        <w:tc>
          <w:tcPr>
            <w:tcW w:w="37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680" w:type="dxa"/>
            <w:vAlign w:val="bottom"/>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w w:val="98"/>
              </w:rPr>
              <w:t>June 30, 2022</w:t>
            </w:r>
          </w:p>
        </w:tc>
        <w:tc>
          <w:tcPr>
            <w:tcW w:w="80" w:type="dxa"/>
            <w:vAlign w:val="bottom"/>
          </w:tcPr>
          <w:p>
            <w:pPr>
              <w:spacing w:after="0"/>
              <w:rPr>
                <w:sz w:val="15"/>
                <w:szCs w:val="15"/>
                <w:color w:val="auto"/>
              </w:rPr>
            </w:pPr>
          </w:p>
        </w:tc>
        <w:tc>
          <w:tcPr>
            <w:tcW w:w="38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660" w:type="dxa"/>
            <w:vAlign w:val="bottom"/>
          </w:tcPr>
          <w:p>
            <w:pPr>
              <w:jc w:val="center"/>
              <w:ind w:right="24"/>
              <w:spacing w:after="0"/>
              <w:rPr>
                <w:sz w:val="20"/>
                <w:szCs w:val="20"/>
                <w:color w:val="auto"/>
              </w:rPr>
            </w:pPr>
            <w:r>
              <w:rPr>
                <w:rFonts w:ascii="Times New Roman" w:cs="Times New Roman" w:eastAsia="Times New Roman" w:hAnsi="Times New Roman"/>
                <w:sz w:val="14"/>
                <w:szCs w:val="14"/>
                <w:b w:val="1"/>
                <w:bCs w:val="1"/>
                <w:color w:val="auto"/>
                <w:w w:val="98"/>
              </w:rPr>
              <w:t>June 30, 2021</w:t>
            </w:r>
          </w:p>
        </w:tc>
        <w:tc>
          <w:tcPr>
            <w:tcW w:w="0" w:type="dxa"/>
            <w:vAlign w:val="bottom"/>
          </w:tcPr>
          <w:p>
            <w:pPr>
              <w:spacing w:after="0"/>
              <w:rPr>
                <w:sz w:val="1"/>
                <w:szCs w:val="1"/>
                <w:color w:val="auto"/>
              </w:rPr>
            </w:pPr>
          </w:p>
        </w:tc>
      </w:tr>
      <w:tr>
        <w:trPr>
          <w:trHeight w:val="23"/>
        </w:trPr>
        <w:tc>
          <w:tcPr>
            <w:tcW w:w="3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8"/>
        </w:trPr>
        <w:tc>
          <w:tcPr>
            <w:tcW w:w="3660" w:type="dxa"/>
            <w:vAlign w:val="bottom"/>
            <w:shd w:val="clear" w:color="auto" w:fill="CCEEFF"/>
          </w:tcPr>
          <w:p>
            <w:pPr>
              <w:ind w:left="20"/>
              <w:spacing w:after="0" w:line="148" w:lineRule="exact"/>
              <w:rPr>
                <w:sz w:val="20"/>
                <w:szCs w:val="20"/>
                <w:color w:val="auto"/>
              </w:rPr>
            </w:pPr>
            <w:r>
              <w:rPr>
                <w:rFonts w:ascii="Times New Roman" w:cs="Times New Roman" w:eastAsia="Times New Roman" w:hAnsi="Times New Roman"/>
                <w:sz w:val="16"/>
                <w:szCs w:val="16"/>
                <w:color w:val="auto"/>
                <w:w w:val="97"/>
              </w:rPr>
              <w:t>NewLake Capital Partners, Inc. (f/k/a GreenAcreage Real</w:t>
            </w:r>
          </w:p>
        </w:tc>
        <w:tc>
          <w:tcPr>
            <w:tcW w:w="10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(1,625,807)</w:t>
            </w:r>
          </w:p>
        </w:tc>
        <w:tc>
          <w:tcPr>
            <w:tcW w:w="80" w:type="dxa"/>
            <w:vAlign w:val="bottom"/>
            <w:shd w:val="clear" w:color="auto" w:fill="CCEEFF"/>
          </w:tcPr>
          <w:p>
            <w:pPr>
              <w:spacing w:after="0"/>
              <w:rPr>
                <w:sz w:val="12"/>
                <w:szCs w:val="12"/>
                <w:color w:val="auto"/>
              </w:rPr>
            </w:pPr>
          </w:p>
        </w:tc>
        <w:tc>
          <w:tcPr>
            <w:tcW w:w="382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Ozy Media, Inc.</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15,713,063</w:t>
            </w:r>
          </w:p>
        </w:tc>
        <w:tc>
          <w:tcPr>
            <w:tcW w:w="0" w:type="dxa"/>
            <w:vAlign w:val="bottom"/>
          </w:tcPr>
          <w:p>
            <w:pPr>
              <w:spacing w:after="0"/>
              <w:rPr>
                <w:sz w:val="1"/>
                <w:szCs w:val="1"/>
                <w:color w:val="auto"/>
              </w:rPr>
            </w:pPr>
          </w:p>
        </w:tc>
      </w:tr>
      <w:tr>
        <w:trPr>
          <w:trHeight w:val="207"/>
        </w:trPr>
        <w:tc>
          <w:tcPr>
            <w:tcW w:w="3760" w:type="dxa"/>
            <w:vAlign w:val="bottom"/>
            <w:gridSpan w:val="2"/>
            <w:shd w:val="clear" w:color="auto" w:fill="CCEEFF"/>
          </w:tcPr>
          <w:p>
            <w:pPr>
              <w:ind w:left="20"/>
              <w:spacing w:after="0" w:line="207" w:lineRule="exact"/>
              <w:rPr>
                <w:sz w:val="20"/>
                <w:szCs w:val="20"/>
                <w:color w:val="auto"/>
              </w:rPr>
            </w:pPr>
            <w:r>
              <w:rPr>
                <w:rFonts w:ascii="Times New Roman" w:cs="Times New Roman" w:eastAsia="Times New Roman" w:hAnsi="Times New Roman"/>
                <w:sz w:val="16"/>
                <w:szCs w:val="16"/>
                <w:color w:val="auto"/>
              </w:rPr>
              <w:t>Estate Corp.)</w:t>
            </w:r>
            <w:r>
              <w:rPr>
                <w:rFonts w:ascii="Times New Roman" w:cs="Times New Roman" w:eastAsia="Times New Roman" w:hAnsi="Times New Roman"/>
                <w:sz w:val="20"/>
                <w:szCs w:val="20"/>
                <w:color w:val="auto"/>
                <w:vertAlign w:val="superscript"/>
              </w:rPr>
              <w:t>(1)</w:t>
            </w:r>
          </w:p>
        </w:tc>
        <w:tc>
          <w:tcPr>
            <w:tcW w:w="120" w:type="dxa"/>
            <w:vAlign w:val="bottom"/>
            <w:vMerge w:val="continue"/>
            <w:shd w:val="clear" w:color="auto" w:fill="CCEEFF"/>
          </w:tcPr>
          <w:p>
            <w:pPr>
              <w:spacing w:after="0"/>
              <w:rPr>
                <w:sz w:val="17"/>
                <w:szCs w:val="17"/>
                <w:color w:val="auto"/>
              </w:rPr>
            </w:pPr>
          </w:p>
        </w:tc>
        <w:tc>
          <w:tcPr>
            <w:tcW w:w="16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20" w:type="dxa"/>
            <w:vAlign w:val="bottom"/>
            <w:gridSpan w:val="2"/>
            <w:vMerge w:val="continue"/>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16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760" w:type="dxa"/>
            <w:vAlign w:val="bottom"/>
            <w:gridSpan w:val="2"/>
          </w:tcPr>
          <w:p>
            <w:pPr>
              <w:ind w:left="20"/>
              <w:spacing w:after="0" w:line="207" w:lineRule="exact"/>
              <w:rPr>
                <w:sz w:val="20"/>
                <w:szCs w:val="20"/>
                <w:color w:val="auto"/>
              </w:rPr>
            </w:pPr>
            <w:r>
              <w:rPr>
                <w:rFonts w:ascii="Times New Roman" w:cs="Times New Roman" w:eastAsia="Times New Roman" w:hAnsi="Times New Roman"/>
                <w:sz w:val="16"/>
                <w:szCs w:val="16"/>
                <w:color w:val="auto"/>
              </w:rPr>
              <w:t>Rover Group, Inc.</w:t>
            </w:r>
            <w:r>
              <w:rPr>
                <w:rFonts w:ascii="Times New Roman" w:cs="Times New Roman" w:eastAsia="Times New Roman" w:hAnsi="Times New Roman"/>
                <w:sz w:val="20"/>
                <w:szCs w:val="20"/>
                <w:color w:val="auto"/>
                <w:vertAlign w:val="superscript"/>
              </w:rPr>
              <w:t>(1)</w:t>
            </w:r>
          </w:p>
        </w:tc>
        <w:tc>
          <w:tcPr>
            <w:tcW w:w="12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(1,931,885)</w:t>
            </w:r>
          </w:p>
        </w:tc>
        <w:tc>
          <w:tcPr>
            <w:tcW w:w="80" w:type="dxa"/>
            <w:vAlign w:val="bottom"/>
          </w:tcPr>
          <w:p>
            <w:pPr>
              <w:spacing w:after="0"/>
              <w:rPr>
                <w:sz w:val="17"/>
                <w:szCs w:val="17"/>
                <w:color w:val="auto"/>
              </w:rPr>
            </w:pPr>
          </w:p>
        </w:tc>
        <w:tc>
          <w:tcPr>
            <w:tcW w:w="38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Course Hero, Inc.</w:t>
            </w:r>
          </w:p>
        </w:tc>
        <w:tc>
          <w:tcPr>
            <w:tcW w:w="12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12,524,875</w:t>
            </w:r>
          </w:p>
        </w:tc>
        <w:tc>
          <w:tcPr>
            <w:tcW w:w="0" w:type="dxa"/>
            <w:vAlign w:val="bottom"/>
          </w:tcPr>
          <w:p>
            <w:pPr>
              <w:spacing w:after="0"/>
              <w:rPr>
                <w:sz w:val="1"/>
                <w:szCs w:val="1"/>
                <w:color w:val="auto"/>
              </w:rPr>
            </w:pPr>
          </w:p>
        </w:tc>
      </w:tr>
      <w:tr>
        <w:trPr>
          <w:trHeight w:val="207"/>
        </w:trPr>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Blink Health, Inc.</w:t>
            </w:r>
          </w:p>
        </w:tc>
        <w:tc>
          <w:tcPr>
            <w:tcW w:w="12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(2,104,711)</w:t>
            </w:r>
          </w:p>
        </w:tc>
        <w:tc>
          <w:tcPr>
            <w:tcW w:w="80" w:type="dxa"/>
            <w:vAlign w:val="bottom"/>
            <w:shd w:val="clear" w:color="auto" w:fill="CCEEFF"/>
          </w:tcPr>
          <w:p>
            <w:pPr>
              <w:spacing w:after="0"/>
              <w:rPr>
                <w:sz w:val="17"/>
                <w:szCs w:val="17"/>
                <w:color w:val="auto"/>
              </w:rPr>
            </w:pPr>
          </w:p>
        </w:tc>
        <w:tc>
          <w:tcPr>
            <w:tcW w:w="3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Aspiration Partners, Inc.</w:t>
            </w:r>
          </w:p>
        </w:tc>
        <w:tc>
          <w:tcPr>
            <w:tcW w:w="12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7,461,436</w:t>
            </w:r>
          </w:p>
        </w:tc>
        <w:tc>
          <w:tcPr>
            <w:tcW w:w="0" w:type="dxa"/>
            <w:vAlign w:val="bottom"/>
          </w:tcPr>
          <w:p>
            <w:pPr>
              <w:spacing w:after="0"/>
              <w:rPr>
                <w:sz w:val="1"/>
                <w:szCs w:val="1"/>
                <w:color w:val="auto"/>
              </w:rPr>
            </w:pPr>
          </w:p>
        </w:tc>
      </w:tr>
      <w:tr>
        <w:trPr>
          <w:trHeight w:val="205"/>
        </w:trPr>
        <w:tc>
          <w:tcPr>
            <w:tcW w:w="37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Skillsoft Corp.</w:t>
            </w:r>
          </w:p>
        </w:tc>
        <w:tc>
          <w:tcPr>
            <w:tcW w:w="12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(2,474,244)</w:t>
            </w:r>
          </w:p>
        </w:tc>
        <w:tc>
          <w:tcPr>
            <w:tcW w:w="80" w:type="dxa"/>
            <w:vAlign w:val="bottom"/>
          </w:tcPr>
          <w:p>
            <w:pPr>
              <w:spacing w:after="0"/>
              <w:rPr>
                <w:sz w:val="17"/>
                <w:szCs w:val="17"/>
                <w:color w:val="auto"/>
              </w:rPr>
            </w:pPr>
          </w:p>
        </w:tc>
        <w:tc>
          <w:tcPr>
            <w:tcW w:w="38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Enjoy Technology, Inc.</w:t>
            </w:r>
          </w:p>
        </w:tc>
        <w:tc>
          <w:tcPr>
            <w:tcW w:w="12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5,856,024</w:t>
            </w:r>
          </w:p>
        </w:tc>
        <w:tc>
          <w:tcPr>
            <w:tcW w:w="0" w:type="dxa"/>
            <w:vAlign w:val="bottom"/>
          </w:tcPr>
          <w:p>
            <w:pPr>
              <w:spacing w:after="0"/>
              <w:rPr>
                <w:sz w:val="1"/>
                <w:szCs w:val="1"/>
                <w:color w:val="auto"/>
              </w:rPr>
            </w:pPr>
          </w:p>
        </w:tc>
      </w:tr>
      <w:tr>
        <w:trPr>
          <w:trHeight w:val="209"/>
        </w:trPr>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Varo Money, Inc.</w:t>
            </w:r>
          </w:p>
        </w:tc>
        <w:tc>
          <w:tcPr>
            <w:tcW w:w="12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(2,700,966)</w:t>
            </w:r>
          </w:p>
        </w:tc>
        <w:tc>
          <w:tcPr>
            <w:tcW w:w="80" w:type="dxa"/>
            <w:vAlign w:val="bottom"/>
            <w:shd w:val="clear" w:color="auto" w:fill="CCEEFF"/>
          </w:tcPr>
          <w:p>
            <w:pPr>
              <w:spacing w:after="0"/>
              <w:rPr>
                <w:sz w:val="18"/>
                <w:szCs w:val="18"/>
                <w:color w:val="auto"/>
              </w:rPr>
            </w:pPr>
          </w:p>
        </w:tc>
        <w:tc>
          <w:tcPr>
            <w:tcW w:w="3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CUX, Inc. (d/b/a CorpU)</w:t>
            </w:r>
          </w:p>
        </w:tc>
        <w:tc>
          <w:tcPr>
            <w:tcW w:w="12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3,238,703</w:t>
            </w:r>
          </w:p>
        </w:tc>
        <w:tc>
          <w:tcPr>
            <w:tcW w:w="0" w:type="dxa"/>
            <w:vAlign w:val="bottom"/>
          </w:tcPr>
          <w:p>
            <w:pPr>
              <w:spacing w:after="0"/>
              <w:rPr>
                <w:sz w:val="1"/>
                <w:szCs w:val="1"/>
                <w:color w:val="auto"/>
              </w:rPr>
            </w:pPr>
          </w:p>
        </w:tc>
      </w:tr>
      <w:tr>
        <w:trPr>
          <w:trHeight w:val="155"/>
        </w:trPr>
        <w:tc>
          <w:tcPr>
            <w:tcW w:w="3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Enjoy Technology, Inc.</w:t>
            </w:r>
          </w:p>
        </w:tc>
        <w:tc>
          <w:tcPr>
            <w:tcW w:w="120" w:type="dxa"/>
            <w:vAlign w:val="bottom"/>
          </w:tcPr>
          <w:p>
            <w:pPr>
              <w:spacing w:after="0"/>
              <w:rPr>
                <w:sz w:val="13"/>
                <w:szCs w:val="13"/>
                <w:color w:val="auto"/>
              </w:rPr>
            </w:pPr>
          </w:p>
        </w:tc>
        <w:tc>
          <w:tcPr>
            <w:tcW w:w="1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(3,741,844)</w:t>
            </w:r>
          </w:p>
        </w:tc>
        <w:tc>
          <w:tcPr>
            <w:tcW w:w="80" w:type="dxa"/>
            <w:vAlign w:val="bottom"/>
          </w:tcPr>
          <w:p>
            <w:pPr>
              <w:spacing w:after="0"/>
              <w:rPr>
                <w:sz w:val="13"/>
                <w:szCs w:val="13"/>
                <w:color w:val="auto"/>
              </w:rPr>
            </w:pPr>
          </w:p>
        </w:tc>
        <w:tc>
          <w:tcPr>
            <w:tcW w:w="3820" w:type="dxa"/>
            <w:vAlign w:val="bottom"/>
            <w:gridSpan w:val="2"/>
          </w:tcPr>
          <w:p>
            <w:pPr>
              <w:ind w:left="20"/>
              <w:spacing w:after="0" w:line="155" w:lineRule="exact"/>
              <w:rPr>
                <w:sz w:val="20"/>
                <w:szCs w:val="20"/>
                <w:color w:val="auto"/>
              </w:rPr>
            </w:pPr>
            <w:r>
              <w:rPr>
                <w:rFonts w:ascii="Times New Roman" w:cs="Times New Roman" w:eastAsia="Times New Roman" w:hAnsi="Times New Roman"/>
                <w:sz w:val="16"/>
                <w:szCs w:val="16"/>
                <w:color w:val="auto"/>
              </w:rPr>
              <w:t>NewLake Capital Partners, Inc. (f/k/a GreenAcreage Real</w:t>
            </w:r>
          </w:p>
        </w:tc>
        <w:tc>
          <w:tcPr>
            <w:tcW w:w="120" w:type="dxa"/>
            <w:vAlign w:val="bottom"/>
          </w:tcPr>
          <w:p>
            <w:pPr>
              <w:spacing w:after="0"/>
              <w:rPr>
                <w:sz w:val="13"/>
                <w:szCs w:val="13"/>
                <w:color w:val="auto"/>
              </w:rPr>
            </w:pPr>
          </w:p>
        </w:tc>
        <w:tc>
          <w:tcPr>
            <w:tcW w:w="1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1,720,327</w:t>
            </w:r>
          </w:p>
        </w:tc>
        <w:tc>
          <w:tcPr>
            <w:tcW w:w="0" w:type="dxa"/>
            <w:vAlign w:val="bottom"/>
          </w:tcPr>
          <w:p>
            <w:pPr>
              <w:spacing w:after="0"/>
              <w:rPr>
                <w:sz w:val="1"/>
                <w:szCs w:val="1"/>
                <w:color w:val="auto"/>
              </w:rPr>
            </w:pPr>
          </w:p>
        </w:tc>
      </w:tr>
      <w:tr>
        <w:trPr>
          <w:trHeight w:val="205"/>
        </w:trPr>
        <w:tc>
          <w:tcPr>
            <w:tcW w:w="37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38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Estate Corp.)</w:t>
            </w:r>
          </w:p>
        </w:tc>
        <w:tc>
          <w:tcPr>
            <w:tcW w:w="120" w:type="dxa"/>
            <w:vAlign w:val="bottom"/>
          </w:tcPr>
          <w:p>
            <w:pPr>
              <w:spacing w:after="0"/>
              <w:rPr>
                <w:sz w:val="17"/>
                <w:szCs w:val="17"/>
                <w:color w:val="auto"/>
              </w:rPr>
            </w:pPr>
          </w:p>
        </w:tc>
        <w:tc>
          <w:tcPr>
            <w:tcW w:w="16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Neutron Holdings, Inc. (d/b/a/ Lime)</w:t>
            </w:r>
          </w:p>
        </w:tc>
        <w:tc>
          <w:tcPr>
            <w:tcW w:w="12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(3,991,353)</w:t>
            </w:r>
          </w:p>
        </w:tc>
        <w:tc>
          <w:tcPr>
            <w:tcW w:w="80" w:type="dxa"/>
            <w:vAlign w:val="bottom"/>
            <w:shd w:val="clear" w:color="auto" w:fill="CCEEFF"/>
          </w:tcPr>
          <w:p>
            <w:pPr>
              <w:spacing w:after="0"/>
              <w:rPr>
                <w:sz w:val="18"/>
                <w:szCs w:val="18"/>
                <w:color w:val="auto"/>
              </w:rPr>
            </w:pPr>
          </w:p>
        </w:tc>
        <w:tc>
          <w:tcPr>
            <w:tcW w:w="3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StormWind, LLC</w:t>
            </w:r>
          </w:p>
        </w:tc>
        <w:tc>
          <w:tcPr>
            <w:tcW w:w="12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1,249,114</w:t>
            </w:r>
          </w:p>
        </w:tc>
        <w:tc>
          <w:tcPr>
            <w:tcW w:w="0" w:type="dxa"/>
            <w:vAlign w:val="bottom"/>
          </w:tcPr>
          <w:p>
            <w:pPr>
              <w:spacing w:after="0"/>
              <w:rPr>
                <w:sz w:val="1"/>
                <w:szCs w:val="1"/>
                <w:color w:val="auto"/>
              </w:rPr>
            </w:pPr>
          </w:p>
        </w:tc>
      </w:tr>
      <w:tr>
        <w:trPr>
          <w:trHeight w:val="205"/>
        </w:trPr>
        <w:tc>
          <w:tcPr>
            <w:tcW w:w="37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Nextdoor Holdings, Inc.</w:t>
            </w:r>
          </w:p>
        </w:tc>
        <w:tc>
          <w:tcPr>
            <w:tcW w:w="12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(4,020,739)</w:t>
            </w:r>
          </w:p>
        </w:tc>
        <w:tc>
          <w:tcPr>
            <w:tcW w:w="80" w:type="dxa"/>
            <w:vAlign w:val="bottom"/>
          </w:tcPr>
          <w:p>
            <w:pPr>
              <w:spacing w:after="0"/>
              <w:rPr>
                <w:sz w:val="17"/>
                <w:szCs w:val="17"/>
                <w:color w:val="auto"/>
              </w:rPr>
            </w:pPr>
          </w:p>
        </w:tc>
        <w:tc>
          <w:tcPr>
            <w:tcW w:w="38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Clever, Inc.</w:t>
            </w:r>
          </w:p>
        </w:tc>
        <w:tc>
          <w:tcPr>
            <w:tcW w:w="12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1,013,852</w:t>
            </w:r>
          </w:p>
        </w:tc>
        <w:tc>
          <w:tcPr>
            <w:tcW w:w="0" w:type="dxa"/>
            <w:vAlign w:val="bottom"/>
          </w:tcPr>
          <w:p>
            <w:pPr>
              <w:spacing w:after="0"/>
              <w:rPr>
                <w:sz w:val="1"/>
                <w:szCs w:val="1"/>
                <w:color w:val="auto"/>
              </w:rPr>
            </w:pPr>
          </w:p>
        </w:tc>
      </w:tr>
      <w:tr>
        <w:trPr>
          <w:trHeight w:val="209"/>
        </w:trPr>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Trax Ltd.</w:t>
            </w:r>
          </w:p>
        </w:tc>
        <w:tc>
          <w:tcPr>
            <w:tcW w:w="12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(5,588,395)</w:t>
            </w:r>
          </w:p>
        </w:tc>
        <w:tc>
          <w:tcPr>
            <w:tcW w:w="80" w:type="dxa"/>
            <w:vAlign w:val="bottom"/>
            <w:shd w:val="clear" w:color="auto" w:fill="CCEEFF"/>
          </w:tcPr>
          <w:p>
            <w:pPr>
              <w:spacing w:after="0"/>
              <w:rPr>
                <w:sz w:val="18"/>
                <w:szCs w:val="18"/>
                <w:color w:val="auto"/>
              </w:rPr>
            </w:pPr>
          </w:p>
        </w:tc>
        <w:tc>
          <w:tcPr>
            <w:tcW w:w="3820" w:type="dxa"/>
            <w:vAlign w:val="bottom"/>
            <w:gridSpan w:val="2"/>
            <w:shd w:val="clear" w:color="auto" w:fill="CCEEFF"/>
          </w:tcPr>
          <w:p>
            <w:pPr>
              <w:ind w:left="20"/>
              <w:spacing w:after="0" w:line="209" w:lineRule="exact"/>
              <w:rPr>
                <w:sz w:val="20"/>
                <w:szCs w:val="20"/>
                <w:color w:val="auto"/>
              </w:rPr>
            </w:pPr>
            <w:r>
              <w:rPr>
                <w:rFonts w:ascii="Times New Roman" w:cs="Times New Roman" w:eastAsia="Times New Roman" w:hAnsi="Times New Roman"/>
                <w:sz w:val="16"/>
                <w:szCs w:val="16"/>
                <w:color w:val="auto"/>
              </w:rPr>
              <w:t>Aventine Property Group, Inc.</w:t>
            </w:r>
            <w:r>
              <w:rPr>
                <w:rFonts w:ascii="Times New Roman" w:cs="Times New Roman" w:eastAsia="Times New Roman" w:hAnsi="Times New Roman"/>
                <w:sz w:val="20"/>
                <w:szCs w:val="20"/>
                <w:color w:val="auto"/>
                <w:vertAlign w:val="superscript"/>
              </w:rPr>
              <w:t>(1)</w:t>
            </w:r>
          </w:p>
        </w:tc>
        <w:tc>
          <w:tcPr>
            <w:tcW w:w="12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(1,774,427)</w:t>
            </w:r>
          </w:p>
        </w:tc>
        <w:tc>
          <w:tcPr>
            <w:tcW w:w="0" w:type="dxa"/>
            <w:vAlign w:val="bottom"/>
          </w:tcPr>
          <w:p>
            <w:pPr>
              <w:spacing w:after="0"/>
              <w:rPr>
                <w:sz w:val="1"/>
                <w:szCs w:val="1"/>
                <w:color w:val="auto"/>
              </w:rPr>
            </w:pPr>
          </w:p>
        </w:tc>
      </w:tr>
      <w:tr>
        <w:trPr>
          <w:trHeight w:val="205"/>
        </w:trPr>
        <w:tc>
          <w:tcPr>
            <w:tcW w:w="37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Course Hero, Inc.</w:t>
            </w:r>
          </w:p>
        </w:tc>
        <w:tc>
          <w:tcPr>
            <w:tcW w:w="12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(17,273,549)</w:t>
            </w:r>
          </w:p>
        </w:tc>
        <w:tc>
          <w:tcPr>
            <w:tcW w:w="80" w:type="dxa"/>
            <w:vAlign w:val="bottom"/>
          </w:tcPr>
          <w:p>
            <w:pPr>
              <w:spacing w:after="0"/>
              <w:rPr>
                <w:sz w:val="17"/>
                <w:szCs w:val="17"/>
                <w:color w:val="auto"/>
              </w:rPr>
            </w:pPr>
          </w:p>
        </w:tc>
        <w:tc>
          <w:tcPr>
            <w:tcW w:w="38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Nextdoor Holdings, Inc.</w:t>
            </w:r>
          </w:p>
        </w:tc>
        <w:tc>
          <w:tcPr>
            <w:tcW w:w="12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(3,470,393)</w:t>
            </w:r>
          </w:p>
        </w:tc>
        <w:tc>
          <w:tcPr>
            <w:tcW w:w="0" w:type="dxa"/>
            <w:vAlign w:val="bottom"/>
          </w:tcPr>
          <w:p>
            <w:pPr>
              <w:spacing w:after="0"/>
              <w:rPr>
                <w:sz w:val="1"/>
                <w:szCs w:val="1"/>
                <w:color w:val="auto"/>
              </w:rPr>
            </w:pPr>
          </w:p>
        </w:tc>
      </w:tr>
      <w:tr>
        <w:trPr>
          <w:trHeight w:val="209"/>
        </w:trPr>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Forge Global Holdings, Inc.</w:t>
            </w:r>
          </w:p>
        </w:tc>
        <w:tc>
          <w:tcPr>
            <w:tcW w:w="12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(41,488,638)</w:t>
            </w:r>
          </w:p>
        </w:tc>
        <w:tc>
          <w:tcPr>
            <w:tcW w:w="80" w:type="dxa"/>
            <w:vAlign w:val="bottom"/>
            <w:shd w:val="clear" w:color="auto" w:fill="CCEEFF"/>
          </w:tcPr>
          <w:p>
            <w:pPr>
              <w:spacing w:after="0"/>
              <w:rPr>
                <w:sz w:val="18"/>
                <w:szCs w:val="18"/>
                <w:color w:val="auto"/>
              </w:rPr>
            </w:pPr>
          </w:p>
        </w:tc>
        <w:tc>
          <w:tcPr>
            <w:tcW w:w="3820" w:type="dxa"/>
            <w:vAlign w:val="bottom"/>
            <w:gridSpan w:val="2"/>
            <w:shd w:val="clear" w:color="auto" w:fill="CCEEFF"/>
          </w:tcPr>
          <w:p>
            <w:pPr>
              <w:ind w:left="20"/>
              <w:spacing w:after="0" w:line="209" w:lineRule="exact"/>
              <w:rPr>
                <w:sz w:val="20"/>
                <w:szCs w:val="20"/>
                <w:color w:val="auto"/>
              </w:rPr>
            </w:pPr>
            <w:r>
              <w:rPr>
                <w:rFonts w:ascii="Times New Roman" w:cs="Times New Roman" w:eastAsia="Times New Roman" w:hAnsi="Times New Roman"/>
                <w:sz w:val="16"/>
                <w:szCs w:val="16"/>
                <w:color w:val="auto"/>
              </w:rPr>
              <w:t>Coursera, Inc.</w:t>
            </w:r>
            <w:r>
              <w:rPr>
                <w:rFonts w:ascii="Times New Roman" w:cs="Times New Roman" w:eastAsia="Times New Roman" w:hAnsi="Times New Roman"/>
                <w:sz w:val="20"/>
                <w:szCs w:val="20"/>
                <w:color w:val="auto"/>
                <w:vertAlign w:val="superscript"/>
              </w:rPr>
              <w:t>(1)</w:t>
            </w:r>
          </w:p>
        </w:tc>
        <w:tc>
          <w:tcPr>
            <w:tcW w:w="12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(35,614,720)</w:t>
            </w:r>
          </w:p>
        </w:tc>
        <w:tc>
          <w:tcPr>
            <w:tcW w:w="0" w:type="dxa"/>
            <w:vAlign w:val="bottom"/>
          </w:tcPr>
          <w:p>
            <w:pPr>
              <w:spacing w:after="0"/>
              <w:rPr>
                <w:sz w:val="1"/>
                <w:szCs w:val="1"/>
                <w:color w:val="auto"/>
              </w:rPr>
            </w:pPr>
          </w:p>
        </w:tc>
      </w:tr>
      <w:tr>
        <w:trPr>
          <w:trHeight w:val="207"/>
        </w:trPr>
        <w:tc>
          <w:tcPr>
            <w:tcW w:w="3760" w:type="dxa"/>
            <w:vAlign w:val="bottom"/>
            <w:tcBorders>
              <w:bottom w:val="single" w:sz="8" w:color="CCEEFF"/>
            </w:tcBorders>
            <w:gridSpan w:val="2"/>
          </w:tcPr>
          <w:p>
            <w:pPr>
              <w:ind w:left="20"/>
              <w:spacing w:after="0" w:line="207" w:lineRule="exact"/>
              <w:rPr>
                <w:sz w:val="20"/>
                <w:szCs w:val="20"/>
                <w:color w:val="auto"/>
              </w:rPr>
            </w:pPr>
            <w:r>
              <w:rPr>
                <w:rFonts w:ascii="Times New Roman" w:cs="Times New Roman" w:eastAsia="Times New Roman" w:hAnsi="Times New Roman"/>
                <w:sz w:val="16"/>
                <w:szCs w:val="16"/>
                <w:color w:val="auto"/>
              </w:rPr>
              <w:t>Other</w:t>
            </w:r>
            <w:r>
              <w:rPr>
                <w:rFonts w:ascii="Times New Roman" w:cs="Times New Roman" w:eastAsia="Times New Roman" w:hAnsi="Times New Roman"/>
                <w:sz w:val="20"/>
                <w:szCs w:val="20"/>
                <w:color w:val="auto"/>
                <w:vertAlign w:val="superscript"/>
              </w:rPr>
              <w:t>(2)</w:t>
            </w:r>
          </w:p>
        </w:tc>
        <w:tc>
          <w:tcPr>
            <w:tcW w:w="12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(1,620,444)</w:t>
            </w:r>
          </w:p>
        </w:tc>
        <w:tc>
          <w:tcPr>
            <w:tcW w:w="80" w:type="dxa"/>
            <w:vAlign w:val="bottom"/>
            <w:tcBorders>
              <w:bottom w:val="single" w:sz="8" w:color="CCEEFF"/>
            </w:tcBorders>
          </w:tcPr>
          <w:p>
            <w:pPr>
              <w:spacing w:after="0"/>
              <w:rPr>
                <w:sz w:val="17"/>
                <w:szCs w:val="17"/>
                <w:color w:val="auto"/>
              </w:rPr>
            </w:pPr>
          </w:p>
        </w:tc>
        <w:tc>
          <w:tcPr>
            <w:tcW w:w="3820" w:type="dxa"/>
            <w:vAlign w:val="bottom"/>
            <w:tcBorders>
              <w:bottom w:val="single" w:sz="8" w:color="CCEEFF"/>
            </w:tcBorders>
            <w:gridSpan w:val="2"/>
          </w:tcPr>
          <w:p>
            <w:pPr>
              <w:ind w:left="20"/>
              <w:spacing w:after="0" w:line="207" w:lineRule="exact"/>
              <w:rPr>
                <w:sz w:val="20"/>
                <w:szCs w:val="20"/>
                <w:color w:val="auto"/>
              </w:rPr>
            </w:pPr>
            <w:r>
              <w:rPr>
                <w:rFonts w:ascii="Times New Roman" w:cs="Times New Roman" w:eastAsia="Times New Roman" w:hAnsi="Times New Roman"/>
                <w:sz w:val="16"/>
                <w:szCs w:val="16"/>
                <w:color w:val="auto"/>
              </w:rPr>
              <w:t>Other</w:t>
            </w:r>
            <w:r>
              <w:rPr>
                <w:rFonts w:ascii="Times New Roman" w:cs="Times New Roman" w:eastAsia="Times New Roman" w:hAnsi="Times New Roman"/>
                <w:sz w:val="20"/>
                <w:szCs w:val="20"/>
                <w:color w:val="auto"/>
                <w:vertAlign w:val="superscript"/>
              </w:rPr>
              <w:t>(2)</w:t>
            </w:r>
          </w:p>
        </w:tc>
        <w:tc>
          <w:tcPr>
            <w:tcW w:w="12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(176,602)</w:t>
            </w:r>
          </w:p>
        </w:tc>
        <w:tc>
          <w:tcPr>
            <w:tcW w:w="0" w:type="dxa"/>
            <w:vAlign w:val="bottom"/>
          </w:tcPr>
          <w:p>
            <w:pPr>
              <w:spacing w:after="0"/>
              <w:rPr>
                <w:sz w:val="1"/>
                <w:szCs w:val="1"/>
                <w:color w:val="auto"/>
              </w:rPr>
            </w:pPr>
          </w:p>
        </w:tc>
      </w:tr>
      <w:tr>
        <w:trPr>
          <w:trHeight w:val="225"/>
        </w:trPr>
        <w:tc>
          <w:tcPr>
            <w:tcW w:w="37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(88,562,575)</w:t>
            </w:r>
          </w:p>
        </w:tc>
        <w:tc>
          <w:tcPr>
            <w:tcW w:w="80" w:type="dxa"/>
            <w:vAlign w:val="bottom"/>
            <w:tcBorders>
              <w:bottom w:val="single" w:sz="8" w:color="CCEEFF"/>
            </w:tcBorders>
            <w:shd w:val="clear" w:color="auto" w:fill="CCEEFF"/>
          </w:tcPr>
          <w:p>
            <w:pPr>
              <w:spacing w:after="0"/>
              <w:rPr>
                <w:sz w:val="19"/>
                <w:szCs w:val="19"/>
                <w:color w:val="auto"/>
              </w:rPr>
            </w:pPr>
          </w:p>
        </w:tc>
        <w:tc>
          <w:tcPr>
            <w:tcW w:w="38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7,741,252</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w:t>
      </w:r>
    </w:p>
    <w:p>
      <w:pPr>
        <w:spacing w:after="0" w:line="30" w:lineRule="exact"/>
        <w:rPr>
          <w:sz w:val="20"/>
          <w:szCs w:val="20"/>
          <w:color w:val="auto"/>
        </w:rPr>
      </w:pPr>
    </w:p>
    <w:p>
      <w:pPr>
        <w:ind w:left="460" w:hanging="457"/>
        <w:spacing w:after="0" w:line="247" w:lineRule="auto"/>
        <w:tabs>
          <w:tab w:leader="none" w:pos="46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change in unrealized appreciation/(depreciation) reflected for these investments resulted in full or in part from the full or partial exit of the investment, which resulted in the reversal of previously accrued unrealized appreciation/(depreciation), as applicable.</w:t>
      </w:r>
    </w:p>
    <w:p>
      <w:pPr>
        <w:ind w:left="460" w:hanging="457"/>
        <w:spacing w:after="0" w:line="238" w:lineRule="auto"/>
        <w:tabs>
          <w:tab w:leader="none" w:pos="46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represents investments for which individual changes in unrealized appreciation/(depreciation) was less than $1.0 million for the three months ended June 30, 2022 and 2021.</w:t>
      </w:r>
    </w:p>
    <w:p>
      <w:pPr>
        <w:spacing w:after="0" w:line="200" w:lineRule="exact"/>
        <w:rPr>
          <w:sz w:val="20"/>
          <w:szCs w:val="20"/>
          <w:color w:val="auto"/>
        </w:rPr>
      </w:pPr>
    </w:p>
    <w:p>
      <w:pPr>
        <w:spacing w:after="0" w:line="254"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For the six months ended June 30, 2022 and 2021, we had a net change in unrealized appreciation/(depreciation) of $(66,977,690) and $6,425,415, respectively. The following tables summarize, by portfolio company, the significant changes in unrealized appreciation/(depreciation) of our investment portfolio for the six months ended June 30, 2022 and 2021.</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80" w:type="dxa"/>
            <w:vAlign w:val="bottom"/>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w w:val="98"/>
              </w:rPr>
              <w:t>Net Change in Unrealized</w:t>
            </w:r>
          </w:p>
        </w:tc>
        <w:tc>
          <w:tcPr>
            <w:tcW w:w="3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80" w:type="dxa"/>
            <w:vAlign w:val="bottom"/>
          </w:tcPr>
          <w:p>
            <w:pPr>
              <w:jc w:val="center"/>
              <w:ind w:right="4"/>
              <w:spacing w:after="0"/>
              <w:rPr>
                <w:sz w:val="20"/>
                <w:szCs w:val="20"/>
                <w:color w:val="auto"/>
              </w:rPr>
            </w:pPr>
            <w:r>
              <w:rPr>
                <w:rFonts w:ascii="Times New Roman" w:cs="Times New Roman" w:eastAsia="Times New Roman" w:hAnsi="Times New Roman"/>
                <w:sz w:val="14"/>
                <w:szCs w:val="14"/>
                <w:b w:val="1"/>
                <w:bCs w:val="1"/>
                <w:color w:val="auto"/>
                <w:w w:val="98"/>
              </w:rPr>
              <w:t>Net Change in Unrealized</w:t>
            </w:r>
          </w:p>
        </w:tc>
        <w:tc>
          <w:tcPr>
            <w:tcW w:w="0" w:type="dxa"/>
            <w:vAlign w:val="bottom"/>
          </w:tcPr>
          <w:p>
            <w:pPr>
              <w:spacing w:after="0"/>
              <w:rPr>
                <w:sz w:val="1"/>
                <w:szCs w:val="1"/>
                <w:color w:val="auto"/>
              </w:rPr>
            </w:pPr>
          </w:p>
        </w:tc>
      </w:tr>
      <w:tr>
        <w:trPr>
          <w:trHeight w:val="131"/>
        </w:trPr>
        <w:tc>
          <w:tcPr>
            <w:tcW w:w="3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0" w:type="dxa"/>
            <w:vAlign w:val="bottom"/>
            <w:gridSpan w:val="2"/>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w w:val="97"/>
              </w:rPr>
              <w:t>Appreciation/(Depreciation)</w:t>
            </w:r>
          </w:p>
        </w:tc>
        <w:tc>
          <w:tcPr>
            <w:tcW w:w="3900" w:type="dxa"/>
            <w:vAlign w:val="bottom"/>
          </w:tcPr>
          <w:p>
            <w:pPr>
              <w:spacing w:after="0"/>
              <w:rPr>
                <w:sz w:val="11"/>
                <w:szCs w:val="11"/>
                <w:color w:val="auto"/>
              </w:rPr>
            </w:pPr>
          </w:p>
        </w:tc>
        <w:tc>
          <w:tcPr>
            <w:tcW w:w="1780" w:type="dxa"/>
            <w:vAlign w:val="bottom"/>
            <w:gridSpan w:val="2"/>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w w:val="98"/>
              </w:rPr>
              <w:t>Appreciation/(Depreciation)</w:t>
            </w:r>
          </w:p>
        </w:tc>
        <w:tc>
          <w:tcPr>
            <w:tcW w:w="0" w:type="dxa"/>
            <w:vAlign w:val="bottom"/>
          </w:tcPr>
          <w:p>
            <w:pPr>
              <w:spacing w:after="0"/>
              <w:rPr>
                <w:sz w:val="1"/>
                <w:szCs w:val="1"/>
                <w:color w:val="auto"/>
              </w:rPr>
            </w:pPr>
          </w:p>
        </w:tc>
      </w:tr>
      <w:tr>
        <w:trPr>
          <w:trHeight w:val="142"/>
        </w:trPr>
        <w:tc>
          <w:tcPr>
            <w:tcW w:w="3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Portfolio Company</w:t>
            </w:r>
          </w:p>
        </w:tc>
        <w:tc>
          <w:tcPr>
            <w:tcW w:w="120" w:type="dxa"/>
            <w:vAlign w:val="bottom"/>
          </w:tcPr>
          <w:p>
            <w:pPr>
              <w:spacing w:after="0"/>
              <w:rPr>
                <w:sz w:val="12"/>
                <w:szCs w:val="12"/>
                <w:color w:val="auto"/>
              </w:rPr>
            </w:pPr>
          </w:p>
        </w:tc>
        <w:tc>
          <w:tcPr>
            <w:tcW w:w="1680" w:type="dxa"/>
            <w:vAlign w:val="bottom"/>
          </w:tcPr>
          <w:p>
            <w:pPr>
              <w:jc w:val="center"/>
              <w:ind w:right="44"/>
              <w:spacing w:after="0" w:line="143" w:lineRule="exact"/>
              <w:rPr>
                <w:sz w:val="20"/>
                <w:szCs w:val="20"/>
                <w:color w:val="auto"/>
              </w:rPr>
            </w:pPr>
            <w:r>
              <w:rPr>
                <w:rFonts w:ascii="Times New Roman" w:cs="Times New Roman" w:eastAsia="Times New Roman" w:hAnsi="Times New Roman"/>
                <w:sz w:val="14"/>
                <w:szCs w:val="14"/>
                <w:b w:val="1"/>
                <w:bCs w:val="1"/>
                <w:color w:val="auto"/>
                <w:w w:val="98"/>
              </w:rPr>
              <w:t>For the Six Months Ended</w:t>
            </w:r>
          </w:p>
        </w:tc>
        <w:tc>
          <w:tcPr>
            <w:tcW w:w="390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Portfolio Company</w:t>
            </w:r>
          </w:p>
        </w:tc>
        <w:tc>
          <w:tcPr>
            <w:tcW w:w="100" w:type="dxa"/>
            <w:vAlign w:val="bottom"/>
          </w:tcPr>
          <w:p>
            <w:pPr>
              <w:spacing w:after="0"/>
              <w:rPr>
                <w:sz w:val="12"/>
                <w:szCs w:val="12"/>
                <w:color w:val="auto"/>
              </w:rPr>
            </w:pPr>
          </w:p>
        </w:tc>
        <w:tc>
          <w:tcPr>
            <w:tcW w:w="1680" w:type="dxa"/>
            <w:vAlign w:val="bottom"/>
          </w:tcPr>
          <w:p>
            <w:pPr>
              <w:jc w:val="center"/>
              <w:ind w:right="24"/>
              <w:spacing w:after="0" w:line="143" w:lineRule="exact"/>
              <w:rPr>
                <w:sz w:val="20"/>
                <w:szCs w:val="20"/>
                <w:color w:val="auto"/>
              </w:rPr>
            </w:pPr>
            <w:r>
              <w:rPr>
                <w:rFonts w:ascii="Times New Roman" w:cs="Times New Roman" w:eastAsia="Times New Roman" w:hAnsi="Times New Roman"/>
                <w:sz w:val="14"/>
                <w:szCs w:val="14"/>
                <w:b w:val="1"/>
                <w:bCs w:val="1"/>
                <w:color w:val="auto"/>
                <w:w w:val="97"/>
              </w:rPr>
              <w:t>For the Six Months Ended</w:t>
            </w:r>
          </w:p>
        </w:tc>
        <w:tc>
          <w:tcPr>
            <w:tcW w:w="0" w:type="dxa"/>
            <w:vAlign w:val="bottom"/>
          </w:tcPr>
          <w:p>
            <w:pPr>
              <w:spacing w:after="0"/>
              <w:rPr>
                <w:sz w:val="1"/>
                <w:szCs w:val="1"/>
                <w:color w:val="auto"/>
              </w:rPr>
            </w:pPr>
          </w:p>
        </w:tc>
      </w:tr>
      <w:tr>
        <w:trPr>
          <w:trHeight w:val="183"/>
        </w:trPr>
        <w:tc>
          <w:tcPr>
            <w:tcW w:w="37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680" w:type="dxa"/>
            <w:vAlign w:val="bottom"/>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w w:val="98"/>
              </w:rPr>
              <w:t>June 30, 2022</w:t>
            </w:r>
          </w:p>
        </w:tc>
        <w:tc>
          <w:tcPr>
            <w:tcW w:w="39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tcPr>
          <w:p>
            <w:pPr>
              <w:jc w:val="center"/>
              <w:ind w:right="4"/>
              <w:spacing w:after="0"/>
              <w:rPr>
                <w:sz w:val="20"/>
                <w:szCs w:val="20"/>
                <w:color w:val="auto"/>
              </w:rPr>
            </w:pPr>
            <w:r>
              <w:rPr>
                <w:rFonts w:ascii="Times New Roman" w:cs="Times New Roman" w:eastAsia="Times New Roman" w:hAnsi="Times New Roman"/>
                <w:sz w:val="14"/>
                <w:szCs w:val="14"/>
                <w:b w:val="1"/>
                <w:bCs w:val="1"/>
                <w:color w:val="auto"/>
                <w:w w:val="98"/>
              </w:rPr>
              <w:t>June 30, 2021</w:t>
            </w:r>
          </w:p>
        </w:tc>
        <w:tc>
          <w:tcPr>
            <w:tcW w:w="0" w:type="dxa"/>
            <w:vAlign w:val="bottom"/>
          </w:tcPr>
          <w:p>
            <w:pPr>
              <w:spacing w:after="0"/>
              <w:rPr>
                <w:sz w:val="1"/>
                <w:szCs w:val="1"/>
                <w:color w:val="auto"/>
              </w:rPr>
            </w:pPr>
          </w:p>
        </w:tc>
      </w:tr>
      <w:tr>
        <w:trPr>
          <w:trHeight w:val="23"/>
        </w:trPr>
        <w:tc>
          <w:tcPr>
            <w:tcW w:w="3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39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3660" w:type="dxa"/>
            <w:vAlign w:val="bottom"/>
            <w:shd w:val="clear" w:color="auto" w:fill="CCEEFF"/>
          </w:tcPr>
          <w:p>
            <w:pPr>
              <w:ind w:left="20"/>
              <w:spacing w:after="0" w:line="200" w:lineRule="exact"/>
              <w:rPr>
                <w:sz w:val="20"/>
                <w:szCs w:val="20"/>
                <w:color w:val="auto"/>
              </w:rPr>
            </w:pPr>
            <w:r>
              <w:rPr>
                <w:rFonts w:ascii="Times New Roman" w:cs="Times New Roman" w:eastAsia="Times New Roman" w:hAnsi="Times New Roman"/>
                <w:sz w:val="16"/>
                <w:szCs w:val="16"/>
                <w:color w:val="auto"/>
              </w:rPr>
              <w:t>True Global Ventures 4 Plus Fund Pte Ltd</w:t>
            </w:r>
            <w:r>
              <w:rPr>
                <w:rFonts w:ascii="Times New Roman" w:cs="Times New Roman" w:eastAsia="Times New Roman" w:hAnsi="Times New Roman"/>
                <w:sz w:val="20"/>
                <w:szCs w:val="20"/>
                <w:color w:val="auto"/>
                <w:vertAlign w:val="superscript"/>
              </w:rPr>
              <w:t>(1)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3,106,863</w:t>
            </w:r>
          </w:p>
        </w:tc>
        <w:tc>
          <w:tcPr>
            <w:tcW w:w="3900" w:type="dxa"/>
            <w:vAlign w:val="bottom"/>
            <w:shd w:val="clear" w:color="auto" w:fill="CCEEFF"/>
          </w:tcPr>
          <w:p>
            <w:pPr>
              <w:ind w:left="100"/>
              <w:spacing w:after="0" w:line="200" w:lineRule="exact"/>
              <w:rPr>
                <w:sz w:val="20"/>
                <w:szCs w:val="20"/>
                <w:color w:val="auto"/>
              </w:rPr>
            </w:pPr>
            <w:r>
              <w:rPr>
                <w:rFonts w:ascii="Times New Roman" w:cs="Times New Roman" w:eastAsia="Times New Roman" w:hAnsi="Times New Roman"/>
                <w:sz w:val="16"/>
                <w:szCs w:val="16"/>
                <w:color w:val="auto"/>
              </w:rPr>
              <w:t>Coursera, Inc.</w:t>
            </w:r>
            <w:r>
              <w:rPr>
                <w:rFonts w:ascii="Times New Roman" w:cs="Times New Roman" w:eastAsia="Times New Roman" w:hAnsi="Times New Roman"/>
                <w:sz w:val="20"/>
                <w:szCs w:val="20"/>
                <w:color w:val="auto"/>
                <w:vertAlign w:val="superscript"/>
              </w:rPr>
              <w:t>(1)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37,901,764</w:t>
            </w:r>
          </w:p>
        </w:tc>
        <w:tc>
          <w:tcPr>
            <w:tcW w:w="0" w:type="dxa"/>
            <w:vAlign w:val="bottom"/>
          </w:tcPr>
          <w:p>
            <w:pPr>
              <w:spacing w:after="0"/>
              <w:rPr>
                <w:sz w:val="1"/>
                <w:szCs w:val="1"/>
                <w:color w:val="auto"/>
              </w:rPr>
            </w:pPr>
          </w:p>
        </w:tc>
      </w:tr>
      <w:tr>
        <w:trPr>
          <w:trHeight w:val="205"/>
        </w:trPr>
        <w:tc>
          <w:tcPr>
            <w:tcW w:w="37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Blink Health, Inc.</w:t>
            </w:r>
          </w:p>
        </w:tc>
        <w:tc>
          <w:tcPr>
            <w:tcW w:w="12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(2,622,697)</w:t>
            </w:r>
          </w:p>
        </w:tc>
        <w:tc>
          <w:tcPr>
            <w:tcW w:w="39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Ozy Media, Inc.</w:t>
            </w:r>
          </w:p>
        </w:tc>
        <w:tc>
          <w:tcPr>
            <w:tcW w:w="10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17,104,966</w:t>
            </w:r>
          </w:p>
        </w:tc>
        <w:tc>
          <w:tcPr>
            <w:tcW w:w="0" w:type="dxa"/>
            <w:vAlign w:val="bottom"/>
          </w:tcPr>
          <w:p>
            <w:pPr>
              <w:spacing w:after="0"/>
              <w:rPr>
                <w:sz w:val="1"/>
                <w:szCs w:val="1"/>
                <w:color w:val="auto"/>
              </w:rPr>
            </w:pPr>
          </w:p>
        </w:tc>
      </w:tr>
      <w:tr>
        <w:trPr>
          <w:trHeight w:val="158"/>
        </w:trPr>
        <w:tc>
          <w:tcPr>
            <w:tcW w:w="3760" w:type="dxa"/>
            <w:vAlign w:val="bottom"/>
            <w:gridSpan w:val="2"/>
            <w:shd w:val="clear" w:color="auto" w:fill="CCEEFF"/>
          </w:tcPr>
          <w:p>
            <w:pPr>
              <w:ind w:left="20"/>
              <w:spacing w:after="0" w:line="158" w:lineRule="exact"/>
              <w:rPr>
                <w:sz w:val="20"/>
                <w:szCs w:val="20"/>
                <w:color w:val="auto"/>
              </w:rPr>
            </w:pPr>
            <w:r>
              <w:rPr>
                <w:rFonts w:ascii="Times New Roman" w:cs="Times New Roman" w:eastAsia="Times New Roman" w:hAnsi="Times New Roman"/>
                <w:sz w:val="16"/>
                <w:szCs w:val="16"/>
                <w:color w:val="auto"/>
              </w:rPr>
              <w:t>NewLake Capital Partners, Inc. (f/k/a GreenAcreage Real</w:t>
            </w:r>
          </w:p>
        </w:tc>
        <w:tc>
          <w:tcPr>
            <w:tcW w:w="120" w:type="dxa"/>
            <w:vAlign w:val="bottom"/>
            <w:shd w:val="clear" w:color="auto" w:fill="CCEEFF"/>
          </w:tcPr>
          <w:p>
            <w:pPr>
              <w:spacing w:after="0"/>
              <w:rPr>
                <w:sz w:val="13"/>
                <w:szCs w:val="13"/>
                <w:color w:val="auto"/>
              </w:rPr>
            </w:pPr>
          </w:p>
        </w:tc>
        <w:tc>
          <w:tcPr>
            <w:tcW w:w="1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(2,788,019)</w:t>
            </w:r>
          </w:p>
        </w:tc>
        <w:tc>
          <w:tcPr>
            <w:tcW w:w="3900" w:type="dxa"/>
            <w:vAlign w:val="bottom"/>
            <w:vMerge w:val="restart"/>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Course Hero, Inc.</w:t>
            </w:r>
          </w:p>
        </w:tc>
        <w:tc>
          <w:tcPr>
            <w:tcW w:w="100" w:type="dxa"/>
            <w:vAlign w:val="bottom"/>
            <w:shd w:val="clear" w:color="auto" w:fill="CCEEFF"/>
          </w:tcPr>
          <w:p>
            <w:pPr>
              <w:spacing w:after="0"/>
              <w:rPr>
                <w:sz w:val="13"/>
                <w:szCs w:val="13"/>
                <w:color w:val="auto"/>
              </w:rPr>
            </w:pPr>
          </w:p>
        </w:tc>
        <w:tc>
          <w:tcPr>
            <w:tcW w:w="1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9,976,617</w:t>
            </w:r>
          </w:p>
        </w:tc>
        <w:tc>
          <w:tcPr>
            <w:tcW w:w="0" w:type="dxa"/>
            <w:vAlign w:val="bottom"/>
          </w:tcPr>
          <w:p>
            <w:pPr>
              <w:spacing w:after="0"/>
              <w:rPr>
                <w:sz w:val="1"/>
                <w:szCs w:val="1"/>
                <w:color w:val="auto"/>
              </w:rPr>
            </w:pPr>
          </w:p>
        </w:tc>
      </w:tr>
      <w:tr>
        <w:trPr>
          <w:trHeight w:val="207"/>
        </w:trPr>
        <w:tc>
          <w:tcPr>
            <w:tcW w:w="3760" w:type="dxa"/>
            <w:vAlign w:val="bottom"/>
            <w:gridSpan w:val="2"/>
            <w:shd w:val="clear" w:color="auto" w:fill="CCEEFF"/>
          </w:tcPr>
          <w:p>
            <w:pPr>
              <w:ind w:left="20"/>
              <w:spacing w:after="0" w:line="207" w:lineRule="exact"/>
              <w:rPr>
                <w:sz w:val="20"/>
                <w:szCs w:val="20"/>
                <w:color w:val="auto"/>
              </w:rPr>
            </w:pPr>
            <w:r>
              <w:rPr>
                <w:rFonts w:ascii="Times New Roman" w:cs="Times New Roman" w:eastAsia="Times New Roman" w:hAnsi="Times New Roman"/>
                <w:sz w:val="16"/>
                <w:szCs w:val="16"/>
                <w:color w:val="auto"/>
              </w:rPr>
              <w:t>Estate Corp.)</w:t>
            </w:r>
            <w:r>
              <w:rPr>
                <w:rFonts w:ascii="Times New Roman" w:cs="Times New Roman" w:eastAsia="Times New Roman" w:hAnsi="Times New Roman"/>
                <w:sz w:val="20"/>
                <w:szCs w:val="20"/>
                <w:color w:val="auto"/>
                <w:vertAlign w:val="superscript"/>
              </w:rPr>
              <w:t>(1)</w:t>
            </w:r>
          </w:p>
        </w:tc>
        <w:tc>
          <w:tcPr>
            <w:tcW w:w="120" w:type="dxa"/>
            <w:vAlign w:val="bottom"/>
            <w:shd w:val="clear" w:color="auto" w:fill="CCEEFF"/>
          </w:tcPr>
          <w:p>
            <w:pPr>
              <w:spacing w:after="0"/>
              <w:rPr>
                <w:sz w:val="17"/>
                <w:szCs w:val="17"/>
                <w:color w:val="auto"/>
              </w:rPr>
            </w:pPr>
          </w:p>
        </w:tc>
        <w:tc>
          <w:tcPr>
            <w:tcW w:w="1680" w:type="dxa"/>
            <w:vAlign w:val="bottom"/>
            <w:vMerge w:val="continue"/>
            <w:shd w:val="clear" w:color="auto" w:fill="CCEEFF"/>
          </w:tcPr>
          <w:p>
            <w:pPr>
              <w:spacing w:after="0"/>
              <w:rPr>
                <w:sz w:val="17"/>
                <w:szCs w:val="17"/>
                <w:color w:val="auto"/>
              </w:rPr>
            </w:pPr>
          </w:p>
        </w:tc>
        <w:tc>
          <w:tcPr>
            <w:tcW w:w="39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7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Varo Money, Inc.</w:t>
            </w:r>
          </w:p>
        </w:tc>
        <w:tc>
          <w:tcPr>
            <w:tcW w:w="12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(2,994,723)</w:t>
            </w:r>
          </w:p>
        </w:tc>
        <w:tc>
          <w:tcPr>
            <w:tcW w:w="39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Aspiration Partners, Inc.</w:t>
            </w:r>
          </w:p>
        </w:tc>
        <w:tc>
          <w:tcPr>
            <w:tcW w:w="10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7,461,436</w:t>
            </w:r>
          </w:p>
        </w:tc>
        <w:tc>
          <w:tcPr>
            <w:tcW w:w="0" w:type="dxa"/>
            <w:vAlign w:val="bottom"/>
          </w:tcPr>
          <w:p>
            <w:pPr>
              <w:spacing w:after="0"/>
              <w:rPr>
                <w:sz w:val="1"/>
                <w:szCs w:val="1"/>
                <w:color w:val="auto"/>
              </w:rPr>
            </w:pPr>
          </w:p>
        </w:tc>
      </w:tr>
      <w:tr>
        <w:trPr>
          <w:trHeight w:val="209"/>
        </w:trPr>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Neutron Holdings, Inc. (d/b/a/ Lime)</w:t>
            </w:r>
          </w:p>
        </w:tc>
        <w:tc>
          <w:tcPr>
            <w:tcW w:w="12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(3,991,353)</w:t>
            </w:r>
          </w:p>
        </w:tc>
        <w:tc>
          <w:tcPr>
            <w:tcW w:w="39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 Place for Rover Inc. (f/k/a DogVacay, Inc.)</w:t>
            </w: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4,635,116</w:t>
            </w:r>
          </w:p>
        </w:tc>
        <w:tc>
          <w:tcPr>
            <w:tcW w:w="0" w:type="dxa"/>
            <w:vAlign w:val="bottom"/>
          </w:tcPr>
          <w:p>
            <w:pPr>
              <w:spacing w:after="0"/>
              <w:rPr>
                <w:sz w:val="1"/>
                <w:szCs w:val="1"/>
                <w:color w:val="auto"/>
              </w:rPr>
            </w:pPr>
          </w:p>
        </w:tc>
      </w:tr>
      <w:tr>
        <w:trPr>
          <w:trHeight w:val="205"/>
        </w:trPr>
        <w:tc>
          <w:tcPr>
            <w:tcW w:w="37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Enjoy Technology, Inc.</w:t>
            </w:r>
          </w:p>
        </w:tc>
        <w:tc>
          <w:tcPr>
            <w:tcW w:w="12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(4,371,009)</w:t>
            </w:r>
          </w:p>
        </w:tc>
        <w:tc>
          <w:tcPr>
            <w:tcW w:w="39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Enjoy Technology, Inc.</w:t>
            </w:r>
          </w:p>
        </w:tc>
        <w:tc>
          <w:tcPr>
            <w:tcW w:w="10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3,421,109</w:t>
            </w:r>
          </w:p>
        </w:tc>
        <w:tc>
          <w:tcPr>
            <w:tcW w:w="0" w:type="dxa"/>
            <w:vAlign w:val="bottom"/>
          </w:tcPr>
          <w:p>
            <w:pPr>
              <w:spacing w:after="0"/>
              <w:rPr>
                <w:sz w:val="1"/>
                <w:szCs w:val="1"/>
                <w:color w:val="auto"/>
              </w:rPr>
            </w:pPr>
          </w:p>
        </w:tc>
      </w:tr>
      <w:tr>
        <w:trPr>
          <w:trHeight w:val="209"/>
        </w:trPr>
        <w:tc>
          <w:tcPr>
            <w:tcW w:w="3760" w:type="dxa"/>
            <w:vAlign w:val="bottom"/>
            <w:gridSpan w:val="2"/>
            <w:shd w:val="clear" w:color="auto" w:fill="CCEEFF"/>
          </w:tcPr>
          <w:p>
            <w:pPr>
              <w:ind w:left="20"/>
              <w:spacing w:after="0" w:line="209" w:lineRule="exact"/>
              <w:rPr>
                <w:sz w:val="20"/>
                <w:szCs w:val="20"/>
                <w:color w:val="auto"/>
              </w:rPr>
            </w:pPr>
            <w:r>
              <w:rPr>
                <w:rFonts w:ascii="Times New Roman" w:cs="Times New Roman" w:eastAsia="Times New Roman" w:hAnsi="Times New Roman"/>
                <w:sz w:val="16"/>
                <w:szCs w:val="16"/>
                <w:color w:val="auto"/>
              </w:rPr>
              <w:t>Rover Group, Inc.</w:t>
            </w:r>
            <w:r>
              <w:rPr>
                <w:rFonts w:ascii="Times New Roman" w:cs="Times New Roman" w:eastAsia="Times New Roman" w:hAnsi="Times New Roman"/>
                <w:sz w:val="20"/>
                <w:szCs w:val="20"/>
                <w:color w:val="auto"/>
                <w:vertAlign w:val="superscript"/>
              </w:rPr>
              <w:t>(1)</w:t>
            </w:r>
          </w:p>
        </w:tc>
        <w:tc>
          <w:tcPr>
            <w:tcW w:w="12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(4,978,791)</w:t>
            </w:r>
          </w:p>
        </w:tc>
        <w:tc>
          <w:tcPr>
            <w:tcW w:w="39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CUX, Inc. (d/b/a CorpU)</w:t>
            </w: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3,236,614</w:t>
            </w:r>
          </w:p>
        </w:tc>
        <w:tc>
          <w:tcPr>
            <w:tcW w:w="0" w:type="dxa"/>
            <w:vAlign w:val="bottom"/>
          </w:tcPr>
          <w:p>
            <w:pPr>
              <w:spacing w:after="0"/>
              <w:rPr>
                <w:sz w:val="1"/>
                <w:szCs w:val="1"/>
                <w:color w:val="auto"/>
              </w:rPr>
            </w:pPr>
          </w:p>
        </w:tc>
      </w:tr>
      <w:tr>
        <w:trPr>
          <w:trHeight w:val="155"/>
        </w:trPr>
        <w:tc>
          <w:tcPr>
            <w:tcW w:w="3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Skillsoft Corp.</w:t>
            </w:r>
          </w:p>
        </w:tc>
        <w:tc>
          <w:tcPr>
            <w:tcW w:w="120" w:type="dxa"/>
            <w:vAlign w:val="bottom"/>
          </w:tcPr>
          <w:p>
            <w:pPr>
              <w:spacing w:after="0"/>
              <w:rPr>
                <w:sz w:val="13"/>
                <w:szCs w:val="13"/>
                <w:color w:val="auto"/>
              </w:rPr>
            </w:pPr>
          </w:p>
        </w:tc>
        <w:tc>
          <w:tcPr>
            <w:tcW w:w="1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(5,527,776)</w:t>
            </w:r>
          </w:p>
        </w:tc>
        <w:tc>
          <w:tcPr>
            <w:tcW w:w="3900" w:type="dxa"/>
            <w:vAlign w:val="bottom"/>
          </w:tcPr>
          <w:p>
            <w:pPr>
              <w:ind w:left="100"/>
              <w:spacing w:after="0" w:line="155" w:lineRule="exact"/>
              <w:rPr>
                <w:sz w:val="20"/>
                <w:szCs w:val="20"/>
                <w:color w:val="auto"/>
              </w:rPr>
            </w:pPr>
            <w:r>
              <w:rPr>
                <w:rFonts w:ascii="Times New Roman" w:cs="Times New Roman" w:eastAsia="Times New Roman" w:hAnsi="Times New Roman"/>
                <w:sz w:val="16"/>
                <w:szCs w:val="16"/>
                <w:color w:val="auto"/>
              </w:rPr>
              <w:t>NewLake Capital Partners, Inc. (f/k/a GreenAcreage Real</w:t>
            </w:r>
          </w:p>
        </w:tc>
        <w:tc>
          <w:tcPr>
            <w:tcW w:w="100" w:type="dxa"/>
            <w:vAlign w:val="bottom"/>
          </w:tcPr>
          <w:p>
            <w:pPr>
              <w:spacing w:after="0"/>
              <w:rPr>
                <w:sz w:val="13"/>
                <w:szCs w:val="13"/>
                <w:color w:val="auto"/>
              </w:rPr>
            </w:pPr>
          </w:p>
        </w:tc>
        <w:tc>
          <w:tcPr>
            <w:tcW w:w="1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1,717,642</w:t>
            </w:r>
          </w:p>
        </w:tc>
        <w:tc>
          <w:tcPr>
            <w:tcW w:w="0" w:type="dxa"/>
            <w:vAlign w:val="bottom"/>
          </w:tcPr>
          <w:p>
            <w:pPr>
              <w:spacing w:after="0"/>
              <w:rPr>
                <w:sz w:val="1"/>
                <w:szCs w:val="1"/>
                <w:color w:val="auto"/>
              </w:rPr>
            </w:pPr>
          </w:p>
        </w:tc>
      </w:tr>
      <w:tr>
        <w:trPr>
          <w:trHeight w:val="205"/>
        </w:trPr>
        <w:tc>
          <w:tcPr>
            <w:tcW w:w="37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vMerge w:val="continue"/>
          </w:tcPr>
          <w:p>
            <w:pPr>
              <w:spacing w:after="0"/>
              <w:rPr>
                <w:sz w:val="17"/>
                <w:szCs w:val="17"/>
                <w:color w:val="auto"/>
              </w:rPr>
            </w:pPr>
          </w:p>
        </w:tc>
        <w:tc>
          <w:tcPr>
            <w:tcW w:w="39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Estate Corp.)</w:t>
            </w:r>
          </w:p>
        </w:tc>
        <w:tc>
          <w:tcPr>
            <w:tcW w:w="100" w:type="dxa"/>
            <w:vAlign w:val="bottom"/>
          </w:tcPr>
          <w:p>
            <w:pPr>
              <w:spacing w:after="0"/>
              <w:rPr>
                <w:sz w:val="17"/>
                <w:szCs w:val="17"/>
                <w:color w:val="auto"/>
              </w:rPr>
            </w:pPr>
          </w:p>
        </w:tc>
        <w:tc>
          <w:tcPr>
            <w:tcW w:w="16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Nextdoor Holdings, Inc.</w:t>
            </w:r>
          </w:p>
        </w:tc>
        <w:tc>
          <w:tcPr>
            <w:tcW w:w="12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(6,473,525)</w:t>
            </w:r>
          </w:p>
        </w:tc>
        <w:tc>
          <w:tcPr>
            <w:tcW w:w="39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StormWind, LLC</w:t>
            </w: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1,686,692</w:t>
            </w:r>
          </w:p>
        </w:tc>
        <w:tc>
          <w:tcPr>
            <w:tcW w:w="0" w:type="dxa"/>
            <w:vAlign w:val="bottom"/>
          </w:tcPr>
          <w:p>
            <w:pPr>
              <w:spacing w:after="0"/>
              <w:rPr>
                <w:sz w:val="1"/>
                <w:szCs w:val="1"/>
                <w:color w:val="auto"/>
              </w:rPr>
            </w:pPr>
          </w:p>
        </w:tc>
      </w:tr>
      <w:tr>
        <w:trPr>
          <w:trHeight w:val="205"/>
        </w:trPr>
        <w:tc>
          <w:tcPr>
            <w:tcW w:w="37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Trax Ltd.</w:t>
            </w:r>
          </w:p>
        </w:tc>
        <w:tc>
          <w:tcPr>
            <w:tcW w:w="12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(7,188,572)</w:t>
            </w:r>
          </w:p>
        </w:tc>
        <w:tc>
          <w:tcPr>
            <w:tcW w:w="39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Nextdoor Holdings, Inc.</w:t>
            </w:r>
          </w:p>
        </w:tc>
        <w:tc>
          <w:tcPr>
            <w:tcW w:w="10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1,611,198</w:t>
            </w:r>
          </w:p>
        </w:tc>
        <w:tc>
          <w:tcPr>
            <w:tcW w:w="0" w:type="dxa"/>
            <w:vAlign w:val="bottom"/>
          </w:tcPr>
          <w:p>
            <w:pPr>
              <w:spacing w:after="0"/>
              <w:rPr>
                <w:sz w:val="1"/>
                <w:szCs w:val="1"/>
                <w:color w:val="auto"/>
              </w:rPr>
            </w:pPr>
          </w:p>
        </w:tc>
      </w:tr>
      <w:tr>
        <w:trPr>
          <w:trHeight w:val="209"/>
        </w:trPr>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Course Hero, Inc.</w:t>
            </w:r>
          </w:p>
        </w:tc>
        <w:tc>
          <w:tcPr>
            <w:tcW w:w="12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(28,304,092)</w:t>
            </w:r>
          </w:p>
        </w:tc>
        <w:tc>
          <w:tcPr>
            <w:tcW w:w="39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Clever, Inc.</w:t>
            </w: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1,013,852</w:t>
            </w:r>
          </w:p>
        </w:tc>
        <w:tc>
          <w:tcPr>
            <w:tcW w:w="0" w:type="dxa"/>
            <w:vAlign w:val="bottom"/>
          </w:tcPr>
          <w:p>
            <w:pPr>
              <w:spacing w:after="0"/>
              <w:rPr>
                <w:sz w:val="1"/>
                <w:szCs w:val="1"/>
                <w:color w:val="auto"/>
              </w:rPr>
            </w:pPr>
          </w:p>
        </w:tc>
      </w:tr>
      <w:tr>
        <w:trPr>
          <w:trHeight w:val="205"/>
        </w:trPr>
        <w:tc>
          <w:tcPr>
            <w:tcW w:w="3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39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Rent the Runway, Inc.</w:t>
            </w:r>
          </w:p>
        </w:tc>
        <w:tc>
          <w:tcPr>
            <w:tcW w:w="10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1,011,252</w:t>
            </w:r>
          </w:p>
        </w:tc>
        <w:tc>
          <w:tcPr>
            <w:tcW w:w="0" w:type="dxa"/>
            <w:vAlign w:val="bottom"/>
          </w:tcPr>
          <w:p>
            <w:pPr>
              <w:spacing w:after="0"/>
              <w:rPr>
                <w:sz w:val="1"/>
                <w:szCs w:val="1"/>
                <w:color w:val="auto"/>
              </w:rPr>
            </w:pPr>
          </w:p>
        </w:tc>
      </w:tr>
      <w:tr>
        <w:trPr>
          <w:trHeight w:val="209"/>
        </w:trPr>
        <w:tc>
          <w:tcPr>
            <w:tcW w:w="3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3900" w:type="dxa"/>
            <w:vAlign w:val="bottom"/>
            <w:shd w:val="clear" w:color="auto" w:fill="CCEEFF"/>
          </w:tcPr>
          <w:p>
            <w:pPr>
              <w:ind w:left="100"/>
              <w:spacing w:after="0" w:line="209" w:lineRule="exact"/>
              <w:rPr>
                <w:sz w:val="20"/>
                <w:szCs w:val="20"/>
                <w:color w:val="auto"/>
              </w:rPr>
            </w:pPr>
            <w:r>
              <w:rPr>
                <w:rFonts w:ascii="Times New Roman" w:cs="Times New Roman" w:eastAsia="Times New Roman" w:hAnsi="Times New Roman"/>
                <w:sz w:val="16"/>
                <w:szCs w:val="16"/>
                <w:color w:val="auto"/>
              </w:rPr>
              <w:t>Palantir Technologies, Inc.</w:t>
            </w:r>
            <w:r>
              <w:rPr>
                <w:rFonts w:ascii="Times New Roman" w:cs="Times New Roman" w:eastAsia="Times New Roman" w:hAnsi="Times New Roman"/>
                <w:sz w:val="20"/>
                <w:szCs w:val="20"/>
                <w:color w:val="auto"/>
                <w:vertAlign w:val="superscript"/>
              </w:rPr>
              <w:t>(1)</w:t>
            </w: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(81,760,272)</w:t>
            </w:r>
          </w:p>
        </w:tc>
        <w:tc>
          <w:tcPr>
            <w:tcW w:w="0" w:type="dxa"/>
            <w:vAlign w:val="bottom"/>
          </w:tcPr>
          <w:p>
            <w:pPr>
              <w:spacing w:after="0"/>
              <w:rPr>
                <w:sz w:val="1"/>
                <w:szCs w:val="1"/>
                <w:color w:val="auto"/>
              </w:rPr>
            </w:pPr>
          </w:p>
        </w:tc>
      </w:tr>
      <w:tr>
        <w:trPr>
          <w:trHeight w:val="207"/>
        </w:trPr>
        <w:tc>
          <w:tcPr>
            <w:tcW w:w="3760" w:type="dxa"/>
            <w:vAlign w:val="bottom"/>
            <w:tcBorders>
              <w:bottom w:val="single" w:sz="8" w:color="CCEEFF"/>
            </w:tcBorders>
            <w:gridSpan w:val="2"/>
          </w:tcPr>
          <w:p>
            <w:pPr>
              <w:ind w:left="20"/>
              <w:spacing w:after="0" w:line="207" w:lineRule="exact"/>
              <w:rPr>
                <w:sz w:val="20"/>
                <w:szCs w:val="20"/>
                <w:color w:val="auto"/>
              </w:rPr>
            </w:pPr>
            <w:r>
              <w:rPr>
                <w:rFonts w:ascii="Times New Roman" w:cs="Times New Roman" w:eastAsia="Times New Roman" w:hAnsi="Times New Roman"/>
                <w:sz w:val="16"/>
                <w:szCs w:val="16"/>
                <w:color w:val="auto"/>
              </w:rPr>
              <w:t>Other</w:t>
            </w:r>
            <w:r>
              <w:rPr>
                <w:rFonts w:ascii="Times New Roman" w:cs="Times New Roman" w:eastAsia="Times New Roman" w:hAnsi="Times New Roman"/>
                <w:sz w:val="20"/>
                <w:szCs w:val="20"/>
                <w:color w:val="auto"/>
                <w:vertAlign w:val="superscript"/>
              </w:rPr>
              <w:t>(2)</w:t>
            </w:r>
          </w:p>
        </w:tc>
        <w:tc>
          <w:tcPr>
            <w:tcW w:w="12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(843,996)</w:t>
            </w:r>
          </w:p>
        </w:tc>
        <w:tc>
          <w:tcPr>
            <w:tcW w:w="3900" w:type="dxa"/>
            <w:vAlign w:val="bottom"/>
            <w:tcBorders>
              <w:bottom w:val="single" w:sz="8" w:color="CCEEFF"/>
            </w:tcBorders>
          </w:tcPr>
          <w:p>
            <w:pPr>
              <w:ind w:left="100"/>
              <w:spacing w:after="0" w:line="207" w:lineRule="exact"/>
              <w:rPr>
                <w:sz w:val="20"/>
                <w:szCs w:val="20"/>
                <w:color w:val="auto"/>
              </w:rPr>
            </w:pPr>
            <w:r>
              <w:rPr>
                <w:rFonts w:ascii="Times New Roman" w:cs="Times New Roman" w:eastAsia="Times New Roman" w:hAnsi="Times New Roman"/>
                <w:sz w:val="16"/>
                <w:szCs w:val="16"/>
                <w:color w:val="auto"/>
              </w:rPr>
              <w:t>Other</w:t>
            </w:r>
            <w:r>
              <w:rPr>
                <w:rFonts w:ascii="Times New Roman" w:cs="Times New Roman" w:eastAsia="Times New Roman" w:hAnsi="Times New Roman"/>
                <w:sz w:val="20"/>
                <w:szCs w:val="20"/>
                <w:color w:val="auto"/>
                <w:vertAlign w:val="superscript"/>
              </w:rPr>
              <w:t>(2)</w:t>
            </w:r>
          </w:p>
        </w:tc>
        <w:tc>
          <w:tcPr>
            <w:tcW w:w="10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(2,592,571)</w:t>
            </w:r>
          </w:p>
        </w:tc>
        <w:tc>
          <w:tcPr>
            <w:tcW w:w="0" w:type="dxa"/>
            <w:vAlign w:val="bottom"/>
          </w:tcPr>
          <w:p>
            <w:pPr>
              <w:spacing w:after="0"/>
              <w:rPr>
                <w:sz w:val="1"/>
                <w:szCs w:val="1"/>
                <w:color w:val="auto"/>
              </w:rPr>
            </w:pPr>
          </w:p>
        </w:tc>
      </w:tr>
      <w:tr>
        <w:trPr>
          <w:trHeight w:val="225"/>
        </w:trPr>
        <w:tc>
          <w:tcPr>
            <w:tcW w:w="37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(66,977,690)</w:t>
            </w:r>
          </w:p>
        </w:tc>
        <w:tc>
          <w:tcPr>
            <w:tcW w:w="39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6,425,415</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3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w:t>
      </w:r>
    </w:p>
    <w:p>
      <w:pPr>
        <w:spacing w:after="0" w:line="30" w:lineRule="exact"/>
        <w:rPr>
          <w:sz w:val="20"/>
          <w:szCs w:val="20"/>
          <w:color w:val="auto"/>
        </w:rPr>
      </w:pPr>
    </w:p>
    <w:p>
      <w:pPr>
        <w:ind w:left="460" w:hanging="457"/>
        <w:spacing w:after="0" w:line="247" w:lineRule="auto"/>
        <w:tabs>
          <w:tab w:leader="none" w:pos="46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change in unrealized appreciation/(depreciation) reflected for these investments resulted in full or in part from the full or partial exit of the investment, which resulted in the reversal of previously accrued unrealized appreciation/(depreciation), as applicable.</w:t>
      </w:r>
    </w:p>
    <w:p>
      <w:pPr>
        <w:ind w:left="460" w:hanging="457"/>
        <w:spacing w:after="0" w:line="238" w:lineRule="auto"/>
        <w:tabs>
          <w:tab w:leader="none" w:pos="46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represents investments for which individual changes in unrealized appreciation/(depreciation) was less than $1.0 million for the six months ended June 30, 2022 and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62</w:t>
      </w:r>
    </w:p>
    <w:p>
      <w:pPr>
        <w:sectPr>
          <w:pgSz w:w="11900" w:h="16838" w:orient="portrait"/>
          <w:cols w:equalWidth="0" w:num="1">
            <w:col w:w="11240"/>
          </w:cols>
          <w:pgMar w:left="320" w:top="118"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4"/>
          <w:szCs w:val="14"/>
          <w:color w:val="0000FF"/>
        </w:rPr>
        <w:t>TABLE OF CONTENTS</w:t>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Recent Developments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Portfolio Activity</w:t>
      </w:r>
    </w:p>
    <w:p>
      <w:pPr>
        <w:spacing w:after="0" w:line="248" w:lineRule="exact"/>
        <w:rPr>
          <w:sz w:val="20"/>
          <w:szCs w:val="20"/>
          <w:color w:val="auto"/>
        </w:rPr>
      </w:pPr>
    </w:p>
    <w:p>
      <w:pPr>
        <w:jc w:val="both"/>
        <w:ind w:firstLine="349"/>
        <w:spacing w:after="0" w:line="291" w:lineRule="auto"/>
        <w:rPr>
          <w:sz w:val="20"/>
          <w:szCs w:val="20"/>
          <w:color w:val="auto"/>
        </w:rPr>
      </w:pPr>
      <w:r>
        <w:rPr>
          <w:rFonts w:ascii="Times New Roman" w:cs="Times New Roman" w:eastAsia="Times New Roman" w:hAnsi="Times New Roman"/>
          <w:sz w:val="17"/>
          <w:szCs w:val="17"/>
          <w:color w:val="auto"/>
        </w:rPr>
        <w:t>Please refer to “Note 12—Subsequent Events” to our condensed consolidated financial statements as of June 30, 2022 for details regarding activity in our investment portfolio from July 1, 2022 through August 3, 2022.</w:t>
      </w:r>
    </w:p>
    <w:p>
      <w:pPr>
        <w:spacing w:after="0" w:line="173" w:lineRule="exact"/>
        <w:rPr>
          <w:sz w:val="20"/>
          <w:szCs w:val="20"/>
          <w:color w:val="auto"/>
        </w:rPr>
      </w:pPr>
    </w:p>
    <w:p>
      <w:pPr>
        <w:jc w:val="both"/>
        <w:ind w:firstLine="349"/>
        <w:spacing w:after="0" w:line="263" w:lineRule="auto"/>
        <w:rPr>
          <w:sz w:val="20"/>
          <w:szCs w:val="20"/>
          <w:color w:val="auto"/>
        </w:rPr>
      </w:pPr>
      <w:r>
        <w:rPr>
          <w:rFonts w:ascii="Times New Roman" w:cs="Times New Roman" w:eastAsia="Times New Roman" w:hAnsi="Times New Roman"/>
          <w:sz w:val="17"/>
          <w:szCs w:val="17"/>
          <w:color w:val="auto"/>
        </w:rPr>
        <w:t>We are frequently in negotiations with various private companies with respect to investments in such companies. Investments in private companies are generally subject to satisfaction of applicable closing conditions. In the case of secondary market transactions, such closing conditions may include approval of the issuer, waiver or failure to exercise rights of first refusal by the issuer and/or its stockholders and termination rights by the seller or us. Equity investments made through the secondary market may involve making deposits in escrow accounts until the applicable closing conditions are satisfied, at which time the escrow accounts will close and such equity investments will be effectuated.</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Dutch Auction Tender Offer</w:t>
      </w:r>
    </w:p>
    <w:p>
      <w:pPr>
        <w:spacing w:after="0" w:line="248" w:lineRule="exact"/>
        <w:rPr>
          <w:sz w:val="20"/>
          <w:szCs w:val="20"/>
          <w:color w:val="auto"/>
        </w:rPr>
      </w:pPr>
    </w:p>
    <w:p>
      <w:pPr>
        <w:jc w:val="both"/>
        <w:ind w:firstLine="349"/>
        <w:spacing w:after="0" w:line="291" w:lineRule="auto"/>
        <w:rPr>
          <w:sz w:val="20"/>
          <w:szCs w:val="20"/>
          <w:color w:val="auto"/>
        </w:rPr>
      </w:pPr>
      <w:r>
        <w:rPr>
          <w:rFonts w:ascii="Times New Roman" w:cs="Times New Roman" w:eastAsia="Times New Roman" w:hAnsi="Times New Roman"/>
          <w:sz w:val="17"/>
          <w:szCs w:val="17"/>
          <w:color w:val="auto"/>
        </w:rPr>
        <w:t>On August 1, 2022, the Company's Board approved a tender offer, which the Company expects will commence on or about August 8, 2022. The Company will make the requisite tender offer filings and mailings upon commencement.</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COVID-19</w:t>
      </w:r>
    </w:p>
    <w:p>
      <w:pPr>
        <w:spacing w:after="0" w:line="24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The Company has been closely monitoring the COVID-19 pandemic, its broader impact on the global economy and the more recent impacts on the U.S. economy. Subsequent to June 30, 2022, the global outbreak of the COVID-19 pandemic, and the related effect on the U.S. and global economies, may have adverse consequences for the business operations of some of the Company’s portfolio companies and, as a result, may have adverse effects on the Company’s operations. The ultimate economic fallout from the pandemic, and the long-term impact on economies, markets, industries and individual issuers, remain uncertain. The operational and financial performance of the issuers of securities in which the Company invests depends on future developments, including the duration and spread of the crisis, and such uncertainty may in turn adversely affect the value and liquidity of the Company’s investments and negatively impact the Company’s performance.</w:t>
      </w:r>
    </w:p>
    <w:p>
      <w:pPr>
        <w:spacing w:after="0" w:line="199"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7"/>
          <w:szCs w:val="17"/>
          <w:color w:val="auto"/>
        </w:rPr>
        <w:t>As of August 3, 2022, there is no indication of a reportable subsequent event impacting the Company’s financial statements for the six months ended June 30, 2022. The Company continues to observe and respond to the evolving COVID-19 environment and its potential impact on areas across its business.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Liquidity and Capital Resources</w:t>
      </w:r>
    </w:p>
    <w:p>
      <w:pPr>
        <w:spacing w:after="0" w:line="246" w:lineRule="exact"/>
        <w:rPr>
          <w:sz w:val="20"/>
          <w:szCs w:val="20"/>
          <w:color w:val="auto"/>
        </w:rPr>
      </w:pPr>
    </w:p>
    <w:p>
      <w:pPr>
        <w:jc w:val="both"/>
        <w:ind w:firstLine="349"/>
        <w:spacing w:after="0" w:line="261" w:lineRule="auto"/>
        <w:rPr>
          <w:sz w:val="20"/>
          <w:szCs w:val="20"/>
          <w:color w:val="auto"/>
        </w:rPr>
      </w:pPr>
      <w:r>
        <w:rPr>
          <w:rFonts w:ascii="Times New Roman" w:cs="Times New Roman" w:eastAsia="Times New Roman" w:hAnsi="Times New Roman"/>
          <w:sz w:val="17"/>
          <w:szCs w:val="17"/>
          <w:color w:val="auto"/>
        </w:rPr>
        <w:t>Our liquidity and capital resources are generated primarily from the sales of our investments and the net proceeds from public offerings of our equity and debt securities, including pursuant to our continuous at-the-market offering of shares of our common stock as discussed below under "At-the-Market Offering". In addition, on March 28, 2018, we issued $40.0 million aggregate principal amount of 4.75% Convertible Senior Notes due 2023, the outstanding principal amount of which we redeemed in full on March 29, 2021. On December 17, 2021, we issued $75.0 million aggregate principal amount of 6.00% Notes due 2026, all of which remain outstanding. For additional information, see below and "Note 10—Debt Capital Activities” to our condensed consolidated financial statements as of June 30, 2022.</w:t>
      </w:r>
    </w:p>
    <w:p>
      <w:pPr>
        <w:spacing w:after="0" w:line="199" w:lineRule="exact"/>
        <w:rPr>
          <w:sz w:val="20"/>
          <w:szCs w:val="20"/>
          <w:color w:val="auto"/>
        </w:rPr>
      </w:pPr>
    </w:p>
    <w:p>
      <w:pPr>
        <w:ind w:firstLine="349"/>
        <w:spacing w:after="0" w:line="291" w:lineRule="auto"/>
        <w:rPr>
          <w:sz w:val="20"/>
          <w:szCs w:val="20"/>
          <w:color w:val="auto"/>
        </w:rPr>
      </w:pPr>
      <w:r>
        <w:rPr>
          <w:rFonts w:ascii="Times New Roman" w:cs="Times New Roman" w:eastAsia="Times New Roman" w:hAnsi="Times New Roman"/>
          <w:sz w:val="17"/>
          <w:szCs w:val="17"/>
          <w:color w:val="auto"/>
        </w:rPr>
        <w:t>Our primary uses of cash are to make investments, pay our operating expenses, and make distributions to our stockholders. For the six months ended June 30, 2022 and 2021, our operating expenses were $9,509,324 and $5,443,490, respectively.</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4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Cash Reserves and Liquid Securities</w:t>
            </w:r>
          </w:p>
        </w:tc>
        <w:tc>
          <w:tcPr>
            <w:tcW w:w="320" w:type="dxa"/>
            <w:vAlign w:val="bottom"/>
          </w:tcPr>
          <w:p>
            <w:pPr>
              <w:spacing w:after="0"/>
              <w:rPr>
                <w:sz w:val="15"/>
                <w:szCs w:val="15"/>
                <w:color w:val="auto"/>
              </w:rPr>
            </w:pPr>
          </w:p>
        </w:tc>
        <w:tc>
          <w:tcPr>
            <w:tcW w:w="16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240" w:type="dxa"/>
            <w:vAlign w:val="bottom"/>
          </w:tcPr>
          <w:p>
            <w:pPr>
              <w:spacing w:after="0"/>
              <w:rPr>
                <w:sz w:val="15"/>
                <w:szCs w:val="15"/>
                <w:color w:val="auto"/>
              </w:rPr>
            </w:pPr>
          </w:p>
        </w:tc>
        <w:tc>
          <w:tcPr>
            <w:tcW w:w="1640" w:type="dxa"/>
            <w:vAlign w:val="bottom"/>
          </w:tcPr>
          <w:p>
            <w:pPr>
              <w:jc w:val="right"/>
              <w:ind w:right="304"/>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3"/>
        </w:trPr>
        <w:tc>
          <w:tcPr>
            <w:tcW w:w="7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r>
        <w:trPr>
          <w:trHeight w:val="200"/>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2"/>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152,984,799</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198,437,078</w:t>
            </w:r>
          </w:p>
        </w:tc>
      </w:tr>
      <w:tr>
        <w:trPr>
          <w:trHeight w:val="205"/>
        </w:trPr>
        <w:tc>
          <w:tcPr>
            <w:tcW w:w="74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Securities of publicly traded portfolio companies:</w:t>
            </w:r>
          </w:p>
        </w:tc>
        <w:tc>
          <w:tcPr>
            <w:tcW w:w="3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9"/>
        </w:trPr>
        <w:tc>
          <w:tcPr>
            <w:tcW w:w="7400" w:type="dxa"/>
            <w:vAlign w:val="bottom"/>
            <w:gridSpan w:val="2"/>
            <w:shd w:val="clear" w:color="auto" w:fill="CCEEFF"/>
          </w:tcPr>
          <w:p>
            <w:pPr>
              <w:ind w:left="180"/>
              <w:spacing w:after="0" w:line="209" w:lineRule="exact"/>
              <w:rPr>
                <w:sz w:val="20"/>
                <w:szCs w:val="20"/>
                <w:color w:val="auto"/>
              </w:rPr>
            </w:pPr>
            <w:r>
              <w:rPr>
                <w:rFonts w:ascii="Times New Roman" w:cs="Times New Roman" w:eastAsia="Times New Roman" w:hAnsi="Times New Roman"/>
                <w:sz w:val="16"/>
                <w:szCs w:val="16"/>
                <w:color w:val="auto"/>
              </w:rPr>
              <w:t>Unrestricted securities</w:t>
            </w:r>
            <w:r>
              <w:rPr>
                <w:rFonts w:ascii="Times New Roman" w:cs="Times New Roman" w:eastAsia="Times New Roman" w:hAnsi="Times New Roman"/>
                <w:sz w:val="20"/>
                <w:szCs w:val="20"/>
                <w:color w:val="auto"/>
                <w:vertAlign w:val="superscript"/>
              </w:rPr>
              <w:t>(1)</w:t>
            </w:r>
          </w:p>
        </w:tc>
        <w:tc>
          <w:tcPr>
            <w:tcW w:w="32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16,461,972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7400" w:type="dxa"/>
            <w:vAlign w:val="bottom"/>
            <w:tcBorders>
              <w:bottom w:val="single" w:sz="8" w:color="CCEEFF"/>
            </w:tcBorders>
            <w:gridSpan w:val="2"/>
          </w:tcPr>
          <w:p>
            <w:pPr>
              <w:ind w:left="180"/>
              <w:spacing w:after="0" w:line="207" w:lineRule="exact"/>
              <w:rPr>
                <w:sz w:val="20"/>
                <w:szCs w:val="20"/>
                <w:color w:val="auto"/>
              </w:rPr>
            </w:pPr>
            <w:r>
              <w:rPr>
                <w:rFonts w:ascii="Times New Roman" w:cs="Times New Roman" w:eastAsia="Times New Roman" w:hAnsi="Times New Roman"/>
                <w:sz w:val="16"/>
                <w:szCs w:val="16"/>
                <w:color w:val="auto"/>
              </w:rPr>
              <w:t>Subject to other sales restrictions</w:t>
            </w:r>
            <w:r>
              <w:rPr>
                <w:rFonts w:ascii="Times New Roman" w:cs="Times New Roman" w:eastAsia="Times New Roman" w:hAnsi="Times New Roman"/>
                <w:sz w:val="20"/>
                <w:szCs w:val="20"/>
                <w:color w:val="auto"/>
                <w:vertAlign w:val="superscript"/>
              </w:rPr>
              <w:t>(2)</w:t>
            </w:r>
          </w:p>
        </w:tc>
        <w:tc>
          <w:tcPr>
            <w:tcW w:w="3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color w:val="auto"/>
              </w:rPr>
              <w:t>21,788,511</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94,635,398</w:t>
            </w:r>
          </w:p>
        </w:tc>
      </w:tr>
      <w:tr>
        <w:trPr>
          <w:trHeight w:val="198"/>
        </w:trPr>
        <w:tc>
          <w:tcPr>
            <w:tcW w:w="7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Securities of publicly traded portfolio companies</w:t>
            </w:r>
          </w:p>
        </w:tc>
        <w:tc>
          <w:tcPr>
            <w:tcW w:w="320" w:type="dxa"/>
            <w:vAlign w:val="bottom"/>
            <w:tcBorders>
              <w:bottom w:val="single" w:sz="8" w:color="auto"/>
            </w:tcBorders>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38,250,483</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94,635,398</w:t>
            </w:r>
          </w:p>
        </w:tc>
      </w:tr>
      <w:tr>
        <w:trPr>
          <w:trHeight w:val="202"/>
        </w:trPr>
        <w:tc>
          <w:tcPr>
            <w:tcW w:w="74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Total Cash Reserves and Liquid Securities</w:t>
            </w:r>
          </w:p>
        </w:tc>
        <w:tc>
          <w:tcPr>
            <w:tcW w:w="320" w:type="dxa"/>
            <w:vAlign w:val="bottom"/>
            <w:tcBorders>
              <w:bottom w:val="single" w:sz="8" w:color="auto"/>
            </w:tcBorders>
          </w:tcPr>
          <w:p>
            <w:pPr>
              <w:jc w:val="right"/>
              <w:ind w:right="142"/>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color w:val="auto"/>
              </w:rPr>
              <w:t>191,235,282</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293,072,476</w:t>
            </w:r>
          </w:p>
        </w:tc>
      </w:tr>
      <w:tr>
        <w:trPr>
          <w:trHeight w:val="20"/>
        </w:trPr>
        <w:tc>
          <w:tcPr>
            <w:tcW w:w="7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63</w:t>
      </w:r>
    </w:p>
    <w:p>
      <w:pPr>
        <w:sectPr>
          <w:pgSz w:w="11900" w:h="16838" w:orient="portrait"/>
          <w:cols w:equalWidth="0" w:num="1">
            <w:col w:w="11240"/>
          </w:cols>
          <w:pgMar w:left="320" w:top="118"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4"/>
          <w:szCs w:val="14"/>
          <w:color w:val="0000FF"/>
        </w:rPr>
        <w:t>TABLE OF CONTENTS</w:t>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w:t>
      </w:r>
    </w:p>
    <w:p>
      <w:pPr>
        <w:spacing w:after="0" w:line="18" w:lineRule="exact"/>
        <w:rPr>
          <w:sz w:val="20"/>
          <w:szCs w:val="20"/>
          <w:color w:val="auto"/>
        </w:rPr>
      </w:pPr>
    </w:p>
    <w:p>
      <w:pPr>
        <w:ind w:left="460" w:hanging="457"/>
        <w:spacing w:after="0" w:line="243" w:lineRule="auto"/>
        <w:tabs>
          <w:tab w:leader="none" w:pos="452"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"Unrestricted securities" represents common stock of our publicly traded companies that are not subject to any restrictions upon sale. We may incur losses if we liquidate these positions to pay operating expenses or fund new investments.</w:t>
      </w:r>
    </w:p>
    <w:p>
      <w:pPr>
        <w:ind w:left="460" w:hanging="457"/>
        <w:spacing w:after="0" w:line="256" w:lineRule="auto"/>
        <w:tabs>
          <w:tab w:leader="none" w:pos="452"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Securities of publicly traded portfolio companies "subject to other sales restrictions" represents common stock and options of our publicly traded companies that are subject to certain lock-up restrictions.</w:t>
      </w:r>
    </w:p>
    <w:p>
      <w:pPr>
        <w:spacing w:after="0" w:line="214" w:lineRule="exact"/>
        <w:rPr>
          <w:sz w:val="20"/>
          <w:szCs w:val="20"/>
          <w:color w:val="auto"/>
        </w:rPr>
      </w:pPr>
    </w:p>
    <w:p>
      <w:pPr>
        <w:jc w:val="both"/>
        <w:ind w:firstLine="349"/>
        <w:spacing w:after="0" w:line="272" w:lineRule="auto"/>
        <w:rPr>
          <w:sz w:val="20"/>
          <w:szCs w:val="20"/>
          <w:color w:val="auto"/>
        </w:rPr>
      </w:pPr>
      <w:r>
        <w:rPr>
          <w:rFonts w:ascii="Times New Roman" w:cs="Times New Roman" w:eastAsia="Times New Roman" w:hAnsi="Times New Roman"/>
          <w:sz w:val="17"/>
          <w:szCs w:val="17"/>
          <w:color w:val="auto"/>
        </w:rPr>
        <w:t>During the six months ended June 30, 2022, cash decreased to $152,984,799 from $198,437,078 at the beginning of the year. The decrease in cash was primarily due to the payment of our dividends, the purchase of new investments, share repurchases, interest on the 6.00% Notes due 2026, and to pay our operating expenses offset by proceeds from the sale of public investments and other investment income received.</w:t>
      </w:r>
    </w:p>
    <w:p>
      <w:pPr>
        <w:spacing w:after="0" w:line="189"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Currently, we believe we have ample liquidity to support our near-term capital requirements. As the impact of the COVID-19 continues to unfold and consistent with past and current practices, we will continue to evaluate our overall liquidity position and take proactive steps to maintain the appropriate liquidity position based upon the current circumstances.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Contractual Obligations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summary of our significant contractual payment obligations as of June 30, 2022 is as follows: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0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4340" w:type="dxa"/>
            <w:vAlign w:val="bottom"/>
            <w:tcBorders>
              <w:bottom w:val="single" w:sz="8" w:color="auto"/>
            </w:tcBorders>
            <w:gridSpan w:val="8"/>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7"/>
              </w:rPr>
              <w:t xml:space="preserve">Payments Due By Period </w:t>
            </w:r>
            <w:r>
              <w:rPr>
                <w:rFonts w:ascii="Times New Roman" w:cs="Times New Roman" w:eastAsia="Times New Roman" w:hAnsi="Times New Roman"/>
                <w:sz w:val="16"/>
                <w:szCs w:val="16"/>
                <w:b w:val="1"/>
                <w:bCs w:val="1"/>
                <w:i w:val="1"/>
                <w:iCs w:val="1"/>
                <w:color w:val="auto"/>
                <w:w w:val="97"/>
              </w:rPr>
              <w:t>(in millions)</w:t>
            </w: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1"/>
        </w:trPr>
        <w:tc>
          <w:tcPr>
            <w:tcW w:w="3700" w:type="dxa"/>
            <w:vAlign w:val="bottom"/>
          </w:tcPr>
          <w:p>
            <w:pPr>
              <w:spacing w:after="0"/>
              <w:rPr>
                <w:sz w:val="13"/>
                <w:szCs w:val="13"/>
                <w:color w:val="auto"/>
              </w:rPr>
            </w:pPr>
          </w:p>
        </w:tc>
        <w:tc>
          <w:tcPr>
            <w:tcW w:w="980" w:type="dxa"/>
            <w:vAlign w:val="bottom"/>
            <w:vMerge w:val="restart"/>
          </w:tcPr>
          <w:p>
            <w:pPr>
              <w:jc w:val="right"/>
              <w:ind w:right="22"/>
              <w:spacing w:after="0"/>
              <w:rPr>
                <w:sz w:val="20"/>
                <w:szCs w:val="20"/>
                <w:color w:val="auto"/>
              </w:rPr>
            </w:pPr>
            <w:r>
              <w:rPr>
                <w:rFonts w:ascii="Times New Roman" w:cs="Times New Roman" w:eastAsia="Times New Roman" w:hAnsi="Times New Roman"/>
                <w:sz w:val="16"/>
                <w:szCs w:val="16"/>
                <w:b w:val="1"/>
                <w:bCs w:val="1"/>
                <w:color w:val="auto"/>
              </w:rPr>
              <w:t>Total</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80" w:type="dxa"/>
            <w:vAlign w:val="bottom"/>
            <w:gridSpan w:val="2"/>
          </w:tcPr>
          <w:p>
            <w:pPr>
              <w:jc w:val="center"/>
              <w:ind w:right="340"/>
              <w:spacing w:after="0" w:line="152" w:lineRule="exact"/>
              <w:rPr>
                <w:sz w:val="20"/>
                <w:szCs w:val="20"/>
                <w:color w:val="auto"/>
              </w:rPr>
            </w:pPr>
            <w:r>
              <w:rPr>
                <w:rFonts w:ascii="Times New Roman" w:cs="Times New Roman" w:eastAsia="Times New Roman" w:hAnsi="Times New Roman"/>
                <w:sz w:val="16"/>
                <w:szCs w:val="16"/>
                <w:b w:val="1"/>
                <w:bCs w:val="1"/>
                <w:color w:val="auto"/>
                <w:w w:val="94"/>
              </w:rPr>
              <w:t>Less than</w:t>
            </w:r>
          </w:p>
        </w:tc>
        <w:tc>
          <w:tcPr>
            <w:tcW w:w="240" w:type="dxa"/>
            <w:vAlign w:val="bottom"/>
          </w:tcPr>
          <w:p>
            <w:pPr>
              <w:spacing w:after="0"/>
              <w:rPr>
                <w:sz w:val="13"/>
                <w:szCs w:val="13"/>
                <w:color w:val="auto"/>
              </w:rPr>
            </w:pPr>
          </w:p>
        </w:tc>
        <w:tc>
          <w:tcPr>
            <w:tcW w:w="128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6"/>
              </w:rPr>
              <w:t>1–3 years</w:t>
            </w:r>
          </w:p>
        </w:tc>
        <w:tc>
          <w:tcPr>
            <w:tcW w:w="260" w:type="dxa"/>
            <w:vAlign w:val="bottom"/>
          </w:tcPr>
          <w:p>
            <w:pPr>
              <w:spacing w:after="0"/>
              <w:rPr>
                <w:sz w:val="13"/>
                <w:szCs w:val="13"/>
                <w:color w:val="auto"/>
              </w:rPr>
            </w:pPr>
          </w:p>
        </w:tc>
        <w:tc>
          <w:tcPr>
            <w:tcW w:w="12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3–5 years</w:t>
            </w:r>
          </w:p>
        </w:tc>
        <w:tc>
          <w:tcPr>
            <w:tcW w:w="220" w:type="dxa"/>
            <w:vAlign w:val="bottom"/>
          </w:tcPr>
          <w:p>
            <w:pPr>
              <w:spacing w:after="0"/>
              <w:rPr>
                <w:sz w:val="13"/>
                <w:szCs w:val="13"/>
                <w:color w:val="auto"/>
              </w:rPr>
            </w:pPr>
          </w:p>
        </w:tc>
        <w:tc>
          <w:tcPr>
            <w:tcW w:w="1200" w:type="dxa"/>
            <w:vAlign w:val="bottom"/>
          </w:tcPr>
          <w:p>
            <w:pPr>
              <w:jc w:val="center"/>
              <w:ind w:right="142"/>
              <w:spacing w:after="0" w:line="152" w:lineRule="exact"/>
              <w:rPr>
                <w:sz w:val="20"/>
                <w:szCs w:val="20"/>
                <w:color w:val="auto"/>
              </w:rPr>
            </w:pPr>
            <w:r>
              <w:rPr>
                <w:rFonts w:ascii="Times New Roman" w:cs="Times New Roman" w:eastAsia="Times New Roman" w:hAnsi="Times New Roman"/>
                <w:sz w:val="16"/>
                <w:szCs w:val="16"/>
                <w:b w:val="1"/>
                <w:bCs w:val="1"/>
                <w:color w:val="auto"/>
                <w:w w:val="96"/>
              </w:rPr>
              <w:t>More than</w:t>
            </w:r>
          </w:p>
        </w:tc>
        <w:tc>
          <w:tcPr>
            <w:tcW w:w="0" w:type="dxa"/>
            <w:vAlign w:val="bottom"/>
          </w:tcPr>
          <w:p>
            <w:pPr>
              <w:spacing w:after="0"/>
              <w:rPr>
                <w:sz w:val="1"/>
                <w:szCs w:val="1"/>
                <w:color w:val="auto"/>
              </w:rPr>
            </w:pPr>
          </w:p>
        </w:tc>
      </w:tr>
      <w:tr>
        <w:trPr>
          <w:trHeight w:val="206"/>
        </w:trPr>
        <w:tc>
          <w:tcPr>
            <w:tcW w:w="370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9"/>
              </w:rPr>
              <w:t>1 year</w:t>
            </w:r>
          </w:p>
        </w:tc>
        <w:tc>
          <w:tcPr>
            <w:tcW w:w="240" w:type="dxa"/>
            <w:vAlign w:val="bottom"/>
          </w:tcPr>
          <w:p>
            <w:pPr>
              <w:spacing w:after="0"/>
              <w:rPr>
                <w:sz w:val="17"/>
                <w:szCs w:val="17"/>
                <w:color w:val="auto"/>
              </w:rPr>
            </w:pPr>
          </w:p>
        </w:tc>
        <w:tc>
          <w:tcPr>
            <w:tcW w:w="1280" w:type="dxa"/>
            <w:vAlign w:val="bottom"/>
            <w:gridSpan w:val="2"/>
            <w:vMerge w:val="continue"/>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jc w:val="center"/>
              <w:ind w:right="142"/>
              <w:spacing w:after="0"/>
              <w:rPr>
                <w:sz w:val="20"/>
                <w:szCs w:val="20"/>
                <w:color w:val="auto"/>
              </w:rPr>
            </w:pPr>
            <w:r>
              <w:rPr>
                <w:rFonts w:ascii="Times New Roman" w:cs="Times New Roman" w:eastAsia="Times New Roman" w:hAnsi="Times New Roman"/>
                <w:sz w:val="16"/>
                <w:szCs w:val="16"/>
                <w:b w:val="1"/>
                <w:bCs w:val="1"/>
                <w:color w:val="auto"/>
                <w:w w:val="94"/>
              </w:rPr>
              <w:t>5 years</w:t>
            </w:r>
          </w:p>
        </w:tc>
        <w:tc>
          <w:tcPr>
            <w:tcW w:w="0" w:type="dxa"/>
            <w:vAlign w:val="bottom"/>
          </w:tcPr>
          <w:p>
            <w:pPr>
              <w:spacing w:after="0"/>
              <w:rPr>
                <w:sz w:val="1"/>
                <w:szCs w:val="1"/>
                <w:color w:val="auto"/>
              </w:rPr>
            </w:pPr>
          </w:p>
        </w:tc>
      </w:tr>
      <w:tr>
        <w:trPr>
          <w:trHeight w:val="201"/>
        </w:trPr>
        <w:tc>
          <w:tcPr>
            <w:tcW w:w="3700" w:type="dxa"/>
            <w:vAlign w:val="bottom"/>
            <w:tcBorders>
              <w:top w:val="single" w:sz="8" w:color="CCEEFF"/>
            </w:tcBorders>
            <w:shd w:val="clear" w:color="auto" w:fill="CCEEFF"/>
          </w:tcPr>
          <w:p>
            <w:pPr>
              <w:ind w:left="20"/>
              <w:spacing w:after="0" w:line="202" w:lineRule="exact"/>
              <w:rPr>
                <w:sz w:val="20"/>
                <w:szCs w:val="20"/>
                <w:color w:val="auto"/>
              </w:rPr>
            </w:pPr>
            <w:r>
              <w:rPr>
                <w:rFonts w:ascii="Times New Roman" w:cs="Times New Roman" w:eastAsia="Times New Roman" w:hAnsi="Times New Roman"/>
                <w:sz w:val="16"/>
                <w:szCs w:val="16"/>
                <w:color w:val="auto"/>
              </w:rPr>
              <w:t>Notes</w:t>
            </w:r>
            <w:r>
              <w:rPr>
                <w:rFonts w:ascii="Times New Roman" w:cs="Times New Roman" w:eastAsia="Times New Roman" w:hAnsi="Times New Roman"/>
                <w:sz w:val="20"/>
                <w:szCs w:val="20"/>
                <w:color w:val="auto"/>
                <w:vertAlign w:val="superscript"/>
              </w:rPr>
              <w:t>(1)</w:t>
            </w:r>
          </w:p>
        </w:tc>
        <w:tc>
          <w:tcPr>
            <w:tcW w:w="980" w:type="dxa"/>
            <w:vAlign w:val="bottom"/>
            <w:tcBorders>
              <w:top w:val="single" w:sz="8" w:color="auto"/>
            </w:tcBorders>
            <w:shd w:val="clear" w:color="auto" w:fill="CCEEFF"/>
          </w:tcPr>
          <w:p>
            <w:pPr>
              <w:jc w:val="right"/>
              <w:ind w:right="822"/>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75.0</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75.0</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5"/>
        </w:trPr>
        <w:tc>
          <w:tcPr>
            <w:tcW w:w="3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liability</w:t>
            </w:r>
          </w:p>
        </w:tc>
        <w:tc>
          <w:tcPr>
            <w:tcW w:w="980" w:type="dxa"/>
            <w:vAlign w:val="bottom"/>
          </w:tcPr>
          <w:p>
            <w:pPr>
              <w:spacing w:after="0"/>
              <w:rPr>
                <w:sz w:val="17"/>
                <w:szCs w:val="17"/>
                <w:color w:val="auto"/>
              </w:rPr>
            </w:pPr>
          </w:p>
        </w:tc>
        <w:tc>
          <w:tcPr>
            <w:tcW w:w="4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0.4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200" w:type="dxa"/>
            <w:vAlign w:val="bottom"/>
          </w:tcPr>
          <w:p>
            <w:pPr>
              <w:ind w:left="9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7"/>
        </w:trPr>
        <w:tc>
          <w:tcPr>
            <w:tcW w:w="3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980" w:type="dxa"/>
            <w:vAlign w:val="bottom"/>
            <w:tcBorders>
              <w:top w:val="single" w:sz="8" w:color="auto"/>
              <w:bottom w:val="single" w:sz="8" w:color="auto"/>
            </w:tcBorders>
            <w:shd w:val="clear" w:color="auto" w:fill="CCEEFF"/>
          </w:tcPr>
          <w:p>
            <w:pPr>
              <w:jc w:val="right"/>
              <w:ind w:right="822"/>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75.4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75.0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bottom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w:t>
      </w:r>
    </w:p>
    <w:p>
      <w:pPr>
        <w:spacing w:after="0" w:line="18" w:lineRule="exact"/>
        <w:rPr>
          <w:sz w:val="20"/>
          <w:szCs w:val="20"/>
          <w:color w:val="auto"/>
        </w:rPr>
      </w:pPr>
    </w:p>
    <w:p>
      <w:pPr>
        <w:ind w:left="460" w:hanging="457"/>
        <w:spacing w:after="0" w:line="261" w:lineRule="auto"/>
        <w:tabs>
          <w:tab w:leader="none" w:pos="452"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balance shown for the "Notes" reflects the principal balance payable to investors for the 6.00% Notes due 2026 as of June 30, 2022. Refer to “Note 10—Debt Capital Activities” in our condensed consolidated financial statements as of June 30, 2022 for more information.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Share Repurchase Program</w:t>
      </w:r>
    </w:p>
    <w:p>
      <w:pPr>
        <w:spacing w:after="0" w:line="248" w:lineRule="exact"/>
        <w:rPr>
          <w:sz w:val="20"/>
          <w:szCs w:val="20"/>
          <w:color w:val="auto"/>
        </w:rPr>
      </w:pPr>
    </w:p>
    <w:p>
      <w:pPr>
        <w:jc w:val="both"/>
        <w:ind w:firstLine="349"/>
        <w:spacing w:after="0" w:line="266" w:lineRule="auto"/>
        <w:rPr>
          <w:sz w:val="20"/>
          <w:szCs w:val="20"/>
          <w:color w:val="auto"/>
        </w:rPr>
      </w:pPr>
      <w:r>
        <w:rPr>
          <w:rFonts w:ascii="Times New Roman" w:cs="Times New Roman" w:eastAsia="Times New Roman" w:hAnsi="Times New Roman"/>
          <w:sz w:val="17"/>
          <w:szCs w:val="17"/>
          <w:color w:val="auto"/>
        </w:rPr>
        <w:t>During the three and six months ended June 30, 2022, the Company repurchased 855,159 and 1,008,676 shares, respectively, of the Company's common stock under the Share Repurchase Program. During the three and six months ended June 30, 2021, the Company did not repurchase any shares of common stock under the Share Repurchase Program. As of June 30, 2022, the dollar value of shares that remained available to be purchased by the Company under the Share Repurchase Program was approximately $16.4 million.</w:t>
      </w:r>
    </w:p>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Under the Share Repurchase Program, we may repurchase our outstanding common stock in the open market provided that we comply with the prohibitions under our insider trading policies and procedures and the applicable provisions of the 1940 Act and the Securities Exchange Act of 1934, as amended. For more information on the Share Repurchase Program, see "Part II, Item 2. Unregistered Sales of Equity Securities and Use of Proceeds" and “Note 5—Common Stock” to our condensed consolidated financial statements as of June 30, 2022.</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Off-Balance Sheet Arrangements</w:t>
      </w:r>
    </w:p>
    <w:p>
      <w:pPr>
        <w:spacing w:after="0" w:line="248" w:lineRule="exact"/>
        <w:rPr>
          <w:sz w:val="20"/>
          <w:szCs w:val="20"/>
          <w:color w:val="auto"/>
        </w:rPr>
      </w:pPr>
    </w:p>
    <w:p>
      <w:pPr>
        <w:jc w:val="both"/>
        <w:ind w:firstLine="349"/>
        <w:spacing w:after="0" w:line="291" w:lineRule="auto"/>
        <w:rPr>
          <w:sz w:val="20"/>
          <w:szCs w:val="20"/>
          <w:color w:val="auto"/>
        </w:rPr>
      </w:pPr>
      <w:r>
        <w:rPr>
          <w:rFonts w:ascii="Times New Roman" w:cs="Times New Roman" w:eastAsia="Times New Roman" w:hAnsi="Times New Roman"/>
          <w:sz w:val="17"/>
          <w:szCs w:val="17"/>
          <w:color w:val="auto"/>
        </w:rPr>
        <w:t>As of June 30, 2022, we had no off-balance sheet arrangements, including any risk management of commodity pricing or other hedging practices. However, we may employ hedging and other risk management techniques in the future.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Equity Issuances &amp; Debt Capital Activities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At-the-Market Offering</w:t>
      </w:r>
    </w:p>
    <w:p>
      <w:pPr>
        <w:spacing w:after="0" w:line="24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7"/>
          <w:szCs w:val="17"/>
          <w:color w:val="auto"/>
        </w:rPr>
        <w:t>On July 29, 2020, the Company entered into an At-the-Market Sales Agreement, dated July 29, 2020 (the "Initial Sales Agreement"), with BTIG, LLC, JMP Securities LLC, and Ladenburg Thalmann &amp; Co., Inc. (collectively, the "Agents"). Under the Initial Sales Agreement, the Company may, but has no obligation to, issue and sell up to $50.0 million in aggregate amount of shares of its common stock (the "Shares") from time to time through the Agents or to them as principal for their own account (the "ATM Program"). On September 23, 2020, the Company increased the maximum amount of Shares to be sold through the ATM Program to $150.0 million from $50.0 million. In connection with the upsize of the ATM Program to $150.0 million, the Company entered into the Amendment No. 1 to the At-the-Market Sales Agreement, dated September 23, 2020, with the</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64</w:t>
      </w:r>
    </w:p>
    <w:p>
      <w:pPr>
        <w:sectPr>
          <w:pgSz w:w="11900" w:h="16838" w:orient="portrait"/>
          <w:cols w:equalWidth="0" w:num="1">
            <w:col w:w="11240"/>
          </w:cols>
          <w:pgMar w:left="320" w:top="118"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4"/>
          <w:szCs w:val="14"/>
          <w:color w:val="0000FF"/>
        </w:rPr>
        <w:t>TABLE OF CONTENTS</w:t>
      </w:r>
    </w:p>
    <w:p>
      <w:pPr>
        <w:spacing w:after="0" w:line="200" w:lineRule="exact"/>
        <w:rPr>
          <w:sz w:val="20"/>
          <w:szCs w:val="20"/>
          <w:color w:val="auto"/>
        </w:rPr>
      </w:pPr>
    </w:p>
    <w:p>
      <w:pPr>
        <w:spacing w:after="0" w:line="380"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7"/>
          <w:szCs w:val="17"/>
          <w:color w:val="auto"/>
        </w:rPr>
        <w:t>Agents. The Company intends to use the net proceeds from the ATM Program to make investments in portfolio companies in accordance with its investment objective and strategy and for general corporate purposes.</w:t>
      </w:r>
    </w:p>
    <w:p>
      <w:pPr>
        <w:spacing w:after="0" w:line="1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During the three and six months ended June 30, 2022, the Company issued and sold 0 and 17,807 shares, respectively, under the ATM Program at a weighted-average price of $13.01 per share, for gross proceeds of $231,677 and net proceeds of $229,896, after deducting commissions to the Agents on Shares sold. As of June 30, 2022, up to approximately $98.8 million in aggregate amount of the Shares remain available for sale under the ATM Program. Refer to “Note 5— Common Stock” to our consolidated financial statements as of June 30, 2022 for more information regarding the ATM Program.</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4.75% Convertible Senior Notes due 2023</w:t>
      </w:r>
    </w:p>
    <w:p>
      <w:pPr>
        <w:spacing w:after="0" w:line="24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On March 28, 2018, we issued $40.0 million aggregate principal amount of 4.75% Convertible Senior Notes due 2023, which bore interest at a fixed rate of 4.75% per year, payable semi-annually in arrears on March 31 and September 30 of each year, commencing on September 30, 2018. We received approximately $38.2 million in proceeds from the offering, net of underwriting discounts and commissions and other offering expenses. The 4.75% Convertible Senior Notes due 2023 had a maturity date of March 28, 2023, unless previously repurchased or converted in accordance with their terms. We did not have the right to redeem the 4.75% Convertible Senior Notes due 2023 prior to March 27, 2021.</w:t>
      </w:r>
    </w:p>
    <w:p>
      <w:pPr>
        <w:spacing w:after="0" w:line="19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On March 29, 2021, the Company redeemed $0.3 million in aggregate principal amount of the 4.75% Convertible Senior Notes due 2023 at a redemption price equal to 100% of their principal amount ($1,000 per convertible note), plus accrued and unpaid interest thereon, which amounted to approximately $0.8 million. As a result of this redemption and prior conversions of the 4.75% Convertible Senior Notes due 2023 into shares of our common stock by the holders thereof, the 4.75% Convertible Senior Notes due 2023 were no longer outstanding as of March 29, 2021.</w:t>
      </w:r>
    </w:p>
    <w:p>
      <w:pPr>
        <w:spacing w:after="0" w:line="19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During the three and six months ended June 30, 2021, the Company issued 0 and 4,097,808 shares, respectively, of its common stock and cash for fractional shares upon the conversion of approximately $37.9 million in aggregate principal amount of the 4.75% Convertible Senior Notes due 2023. The Company also redeemed approximately $0.3 million of aggregate principal amount for cash plus accrued and unpaid interest on March 29, 2021. During the year ended December 31, 2020, the Company issued 174,888 shares of its common stock and cash for fractional shares upon the conversion of $1,785,000 in aggregate principal amount of the 4.75% Convertible Senior Notes due 2023.</w:t>
      </w:r>
    </w:p>
    <w:p>
      <w:pPr>
        <w:spacing w:after="0" w:line="197"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7"/>
          <w:szCs w:val="17"/>
          <w:color w:val="auto"/>
        </w:rPr>
        <w:t>Refer to “Note 10—Debt Capital Activities” to our condensed consolidated financial statements as of June 30, 2022 for more information regarding the 4.75% Convertible Senior Notes due 2023.</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6.00% Notes due 2026</w:t>
      </w:r>
    </w:p>
    <w:p>
      <w:pPr>
        <w:spacing w:after="0" w:line="24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On December 17, 2021, we issued $70.0 million aggregate principal amount of 6.00% Notes due 2026, which bear interest at a fixed rate of 6.00% per year, payable quarterly in arrears on March 31, June 30, September 30, and December 30 of each year, commencing on March 30, 2022. On December 21, 2021, we issued an additional $5.0 million aggregate principal amount of 6.00% Notes due 2026. We received approximately $73.0 million in proceeds from the offering, net of underwriting discounts and commissions and other offering expenses. The 6.00% Notes due 2026 have a maturity date of December 30, 2026, unless previously repurchased or redeemed in accordance with their terms. We have the right to redeem the 6.00% Notes due 2026, in whole or in part, at any time or from time to time, on or after December 30, 2024 at a redemption price of 100% of the aggregate principal amount thereof plus accrued and unpaid interest.</w:t>
      </w:r>
    </w:p>
    <w:p>
      <w:pPr>
        <w:spacing w:after="0" w:line="199"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7"/>
          <w:szCs w:val="17"/>
          <w:color w:val="auto"/>
        </w:rPr>
        <w:t>Refer to “Note 10—Debt Capital Activities” to our condensed consolidated financial statements as of June 30, 2022 for more information regarding the 6.00% Notes due 2026.</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65</w:t>
      </w:r>
    </w:p>
    <w:p>
      <w:pPr>
        <w:sectPr>
          <w:pgSz w:w="11900" w:h="16838" w:orient="portrait"/>
          <w:cols w:equalWidth="0" w:num="1">
            <w:col w:w="11240"/>
          </w:cols>
          <w:pgMar w:left="320" w:top="118"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4"/>
          <w:szCs w:val="14"/>
          <w:color w:val="0000FF"/>
        </w:rPr>
        <w:t>TABLE OF CONTENTS</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Distributions</w:t>
      </w:r>
    </w:p>
    <w:p>
      <w:pPr>
        <w:spacing w:after="0" w:line="248"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The timing and amount of our distributions, if any, will be determined by our Board of Directors and will be declared out of assets legally available for distribution. The following table lists the distributions, including dividends and returns of capital, if any, per share that we have declared since our formation through June 30, 2022. The table is divided by fiscal year according to record date:</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8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Date Declared</w:t>
            </w:r>
          </w:p>
        </w:tc>
        <w:tc>
          <w:tcPr>
            <w:tcW w:w="23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Record Date</w:t>
            </w:r>
          </w:p>
        </w:tc>
        <w:tc>
          <w:tcPr>
            <w:tcW w:w="22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Payment Date</w:t>
            </w:r>
          </w:p>
        </w:tc>
        <w:tc>
          <w:tcPr>
            <w:tcW w:w="240" w:type="dxa"/>
            <w:vAlign w:val="bottom"/>
          </w:tcPr>
          <w:p>
            <w:pPr>
              <w:spacing w:after="0"/>
              <w:rPr>
                <w:sz w:val="15"/>
                <w:szCs w:val="15"/>
                <w:color w:val="auto"/>
              </w:rPr>
            </w:pPr>
          </w:p>
        </w:tc>
        <w:tc>
          <w:tcPr>
            <w:tcW w:w="1560" w:type="dxa"/>
            <w:vAlign w:val="bottom"/>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Amount per Share</w:t>
            </w:r>
          </w:p>
        </w:tc>
      </w:tr>
      <w:tr>
        <w:trPr>
          <w:trHeight w:val="23"/>
        </w:trPr>
        <w:tc>
          <w:tcPr>
            <w:tcW w:w="4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213"/>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Fiscal 2015:</w:t>
            </w:r>
          </w:p>
        </w:tc>
        <w:tc>
          <w:tcPr>
            <w:tcW w:w="10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20"/>
        </w:trPr>
        <w:tc>
          <w:tcPr>
            <w:tcW w:w="4820" w:type="dxa"/>
            <w:vAlign w:val="bottom"/>
            <w:gridSpan w:val="2"/>
          </w:tcPr>
          <w:p>
            <w:pPr>
              <w:ind w:left="180"/>
              <w:spacing w:after="0" w:line="220" w:lineRule="exact"/>
              <w:rPr>
                <w:sz w:val="20"/>
                <w:szCs w:val="20"/>
                <w:color w:val="auto"/>
              </w:rPr>
            </w:pPr>
            <w:r>
              <w:rPr>
                <w:rFonts w:ascii="Times New Roman" w:cs="Times New Roman" w:eastAsia="Times New Roman" w:hAnsi="Times New Roman"/>
                <w:sz w:val="17"/>
                <w:szCs w:val="17"/>
                <w:color w:val="auto"/>
              </w:rPr>
              <w:t>November 4, 2015</w:t>
            </w:r>
            <w:r>
              <w:rPr>
                <w:rFonts w:ascii="Times New Roman" w:cs="Times New Roman" w:eastAsia="Times New Roman" w:hAnsi="Times New Roman"/>
                <w:sz w:val="22"/>
                <w:szCs w:val="22"/>
                <w:color w:val="auto"/>
                <w:vertAlign w:val="superscript"/>
              </w:rPr>
              <w:t>(1)</w:t>
            </w:r>
          </w:p>
        </w:tc>
        <w:tc>
          <w:tcPr>
            <w:tcW w:w="234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rPr>
              <w:t>November 16, 2015</w:t>
            </w:r>
          </w:p>
        </w:tc>
        <w:tc>
          <w:tcPr>
            <w:tcW w:w="22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December 31, 2015</w:t>
            </w:r>
          </w:p>
        </w:tc>
        <w:tc>
          <w:tcPr>
            <w:tcW w:w="2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2.76</w:t>
            </w:r>
          </w:p>
        </w:tc>
      </w:tr>
      <w:tr>
        <w:trPr>
          <w:trHeight w:val="220"/>
        </w:trPr>
        <w:tc>
          <w:tcPr>
            <w:tcW w:w="4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Fiscal 2016:</w:t>
            </w:r>
          </w:p>
        </w:tc>
        <w:tc>
          <w:tcPr>
            <w:tcW w:w="2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20"/>
        </w:trPr>
        <w:tc>
          <w:tcPr>
            <w:tcW w:w="4820" w:type="dxa"/>
            <w:vAlign w:val="bottom"/>
            <w:gridSpan w:val="2"/>
          </w:tcPr>
          <w:p>
            <w:pPr>
              <w:ind w:left="180"/>
              <w:spacing w:after="0" w:line="220" w:lineRule="exact"/>
              <w:rPr>
                <w:sz w:val="20"/>
                <w:szCs w:val="20"/>
                <w:color w:val="auto"/>
              </w:rPr>
            </w:pPr>
            <w:r>
              <w:rPr>
                <w:rFonts w:ascii="Times New Roman" w:cs="Times New Roman" w:eastAsia="Times New Roman" w:hAnsi="Times New Roman"/>
                <w:sz w:val="17"/>
                <w:szCs w:val="17"/>
                <w:color w:val="auto"/>
              </w:rPr>
              <w:t>August 3, 2016</w:t>
            </w:r>
            <w:r>
              <w:rPr>
                <w:rFonts w:ascii="Times New Roman" w:cs="Times New Roman" w:eastAsia="Times New Roman" w:hAnsi="Times New Roman"/>
                <w:sz w:val="22"/>
                <w:szCs w:val="22"/>
                <w:color w:val="auto"/>
                <w:vertAlign w:val="superscript"/>
              </w:rPr>
              <w:t>(2)</w:t>
            </w:r>
          </w:p>
        </w:tc>
        <w:tc>
          <w:tcPr>
            <w:tcW w:w="234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rPr>
              <w:t>August 16, 2016</w:t>
            </w:r>
          </w:p>
        </w:tc>
        <w:tc>
          <w:tcPr>
            <w:tcW w:w="22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August 24, 2016</w:t>
            </w:r>
          </w:p>
        </w:tc>
        <w:tc>
          <w:tcPr>
            <w:tcW w:w="2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0.04</w:t>
            </w:r>
          </w:p>
        </w:tc>
      </w:tr>
      <w:tr>
        <w:trPr>
          <w:trHeight w:val="220"/>
        </w:trPr>
        <w:tc>
          <w:tcPr>
            <w:tcW w:w="4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Fiscal 2019:</w:t>
            </w:r>
          </w:p>
        </w:tc>
        <w:tc>
          <w:tcPr>
            <w:tcW w:w="2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20"/>
        </w:trPr>
        <w:tc>
          <w:tcPr>
            <w:tcW w:w="4820" w:type="dxa"/>
            <w:vAlign w:val="bottom"/>
            <w:gridSpan w:val="2"/>
          </w:tcPr>
          <w:p>
            <w:pPr>
              <w:ind w:left="180"/>
              <w:spacing w:after="0" w:line="220" w:lineRule="exact"/>
              <w:rPr>
                <w:sz w:val="20"/>
                <w:szCs w:val="20"/>
                <w:color w:val="auto"/>
              </w:rPr>
            </w:pPr>
            <w:r>
              <w:rPr>
                <w:rFonts w:ascii="Times New Roman" w:cs="Times New Roman" w:eastAsia="Times New Roman" w:hAnsi="Times New Roman"/>
                <w:sz w:val="17"/>
                <w:szCs w:val="17"/>
                <w:color w:val="auto"/>
              </w:rPr>
              <w:t>November 5, 2019</w:t>
            </w:r>
            <w:r>
              <w:rPr>
                <w:rFonts w:ascii="Times New Roman" w:cs="Times New Roman" w:eastAsia="Times New Roman" w:hAnsi="Times New Roman"/>
                <w:sz w:val="22"/>
                <w:szCs w:val="22"/>
                <w:color w:val="auto"/>
                <w:vertAlign w:val="superscript"/>
              </w:rPr>
              <w:t>(3)</w:t>
            </w:r>
          </w:p>
        </w:tc>
        <w:tc>
          <w:tcPr>
            <w:tcW w:w="234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rPr>
              <w:t>December 2, 2019</w:t>
            </w:r>
          </w:p>
        </w:tc>
        <w:tc>
          <w:tcPr>
            <w:tcW w:w="22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December 12, 2019</w:t>
            </w:r>
          </w:p>
        </w:tc>
        <w:tc>
          <w:tcPr>
            <w:tcW w:w="2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0.20</w:t>
            </w:r>
          </w:p>
        </w:tc>
      </w:tr>
      <w:tr>
        <w:trPr>
          <w:trHeight w:val="220"/>
        </w:trPr>
        <w:tc>
          <w:tcPr>
            <w:tcW w:w="4820" w:type="dxa"/>
            <w:vAlign w:val="bottom"/>
            <w:gridSpan w:val="2"/>
            <w:shd w:val="clear" w:color="auto" w:fill="CCEEFF"/>
          </w:tcPr>
          <w:p>
            <w:pPr>
              <w:ind w:left="180"/>
              <w:spacing w:after="0" w:line="220" w:lineRule="exact"/>
              <w:rPr>
                <w:sz w:val="20"/>
                <w:szCs w:val="20"/>
                <w:color w:val="auto"/>
              </w:rPr>
            </w:pPr>
            <w:r>
              <w:rPr>
                <w:rFonts w:ascii="Times New Roman" w:cs="Times New Roman" w:eastAsia="Times New Roman" w:hAnsi="Times New Roman"/>
                <w:sz w:val="17"/>
                <w:szCs w:val="17"/>
                <w:color w:val="auto"/>
              </w:rPr>
              <w:t>December 20, 2019</w:t>
            </w:r>
            <w:r>
              <w:rPr>
                <w:rFonts w:ascii="Times New Roman" w:cs="Times New Roman" w:eastAsia="Times New Roman" w:hAnsi="Times New Roman"/>
                <w:sz w:val="22"/>
                <w:szCs w:val="22"/>
                <w:color w:val="auto"/>
                <w:vertAlign w:val="superscript"/>
              </w:rPr>
              <w:t>(4)</w:t>
            </w:r>
          </w:p>
        </w:tc>
        <w:tc>
          <w:tcPr>
            <w:tcW w:w="23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rPr>
              <w:t>December 31, 2019</w:t>
            </w:r>
          </w:p>
        </w:tc>
        <w:tc>
          <w:tcPr>
            <w:tcW w:w="22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rPr>
              <w:t>January 15, 2020</w:t>
            </w: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0.12</w:t>
            </w:r>
          </w:p>
        </w:tc>
      </w:tr>
      <w:tr>
        <w:trPr>
          <w:trHeight w:val="220"/>
        </w:trPr>
        <w:tc>
          <w:tcPr>
            <w:tcW w:w="482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Fiscal 2020:</w:t>
            </w:r>
          </w:p>
        </w:tc>
        <w:tc>
          <w:tcPr>
            <w:tcW w:w="2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20"/>
        </w:trPr>
        <w:tc>
          <w:tcPr>
            <w:tcW w:w="4820" w:type="dxa"/>
            <w:vAlign w:val="bottom"/>
            <w:gridSpan w:val="2"/>
            <w:shd w:val="clear" w:color="auto" w:fill="CCEEFF"/>
          </w:tcPr>
          <w:p>
            <w:pPr>
              <w:ind w:left="180"/>
              <w:spacing w:after="0" w:line="220" w:lineRule="exact"/>
              <w:rPr>
                <w:sz w:val="20"/>
                <w:szCs w:val="20"/>
                <w:color w:val="auto"/>
              </w:rPr>
            </w:pPr>
            <w:r>
              <w:rPr>
                <w:rFonts w:ascii="Times New Roman" w:cs="Times New Roman" w:eastAsia="Times New Roman" w:hAnsi="Times New Roman"/>
                <w:sz w:val="17"/>
                <w:szCs w:val="17"/>
                <w:color w:val="auto"/>
              </w:rPr>
              <w:t>July 29, 2020</w:t>
            </w:r>
            <w:r>
              <w:rPr>
                <w:rFonts w:ascii="Times New Roman" w:cs="Times New Roman" w:eastAsia="Times New Roman" w:hAnsi="Times New Roman"/>
                <w:sz w:val="22"/>
                <w:szCs w:val="22"/>
                <w:color w:val="auto"/>
                <w:vertAlign w:val="superscript"/>
              </w:rPr>
              <w:t>(5)</w:t>
            </w:r>
          </w:p>
        </w:tc>
        <w:tc>
          <w:tcPr>
            <w:tcW w:w="23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7"/>
                <w:szCs w:val="17"/>
                <w:color w:val="auto"/>
              </w:rPr>
              <w:t>August 11, 2020</w:t>
            </w:r>
          </w:p>
        </w:tc>
        <w:tc>
          <w:tcPr>
            <w:tcW w:w="22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rPr>
              <w:t>August 25, 2020</w:t>
            </w: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0.15</w:t>
            </w:r>
          </w:p>
        </w:tc>
      </w:tr>
      <w:tr>
        <w:trPr>
          <w:trHeight w:val="220"/>
        </w:trPr>
        <w:tc>
          <w:tcPr>
            <w:tcW w:w="4820" w:type="dxa"/>
            <w:vAlign w:val="bottom"/>
            <w:gridSpan w:val="2"/>
          </w:tcPr>
          <w:p>
            <w:pPr>
              <w:ind w:left="180"/>
              <w:spacing w:after="0" w:line="220" w:lineRule="exact"/>
              <w:rPr>
                <w:sz w:val="20"/>
                <w:szCs w:val="20"/>
                <w:color w:val="auto"/>
              </w:rPr>
            </w:pPr>
            <w:r>
              <w:rPr>
                <w:rFonts w:ascii="Times New Roman" w:cs="Times New Roman" w:eastAsia="Times New Roman" w:hAnsi="Times New Roman"/>
                <w:sz w:val="17"/>
                <w:szCs w:val="17"/>
                <w:color w:val="auto"/>
              </w:rPr>
              <w:t>September 28, 2020</w:t>
            </w:r>
            <w:r>
              <w:rPr>
                <w:rFonts w:ascii="Times New Roman" w:cs="Times New Roman" w:eastAsia="Times New Roman" w:hAnsi="Times New Roman"/>
                <w:sz w:val="22"/>
                <w:szCs w:val="22"/>
                <w:color w:val="auto"/>
                <w:vertAlign w:val="superscript"/>
              </w:rPr>
              <w:t>(6)</w:t>
            </w:r>
          </w:p>
        </w:tc>
        <w:tc>
          <w:tcPr>
            <w:tcW w:w="23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October 5, 2020</w:t>
            </w:r>
          </w:p>
        </w:tc>
        <w:tc>
          <w:tcPr>
            <w:tcW w:w="22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October 20, 2020</w:t>
            </w:r>
          </w:p>
        </w:tc>
        <w:tc>
          <w:tcPr>
            <w:tcW w:w="2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0.25</w:t>
            </w:r>
          </w:p>
        </w:tc>
      </w:tr>
      <w:tr>
        <w:trPr>
          <w:trHeight w:val="220"/>
        </w:trPr>
        <w:tc>
          <w:tcPr>
            <w:tcW w:w="4820" w:type="dxa"/>
            <w:vAlign w:val="bottom"/>
            <w:gridSpan w:val="2"/>
            <w:shd w:val="clear" w:color="auto" w:fill="CCEEFF"/>
          </w:tcPr>
          <w:p>
            <w:pPr>
              <w:ind w:left="180"/>
              <w:spacing w:after="0" w:line="220" w:lineRule="exact"/>
              <w:rPr>
                <w:sz w:val="20"/>
                <w:szCs w:val="20"/>
                <w:color w:val="auto"/>
              </w:rPr>
            </w:pPr>
            <w:r>
              <w:rPr>
                <w:rFonts w:ascii="Times New Roman" w:cs="Times New Roman" w:eastAsia="Times New Roman" w:hAnsi="Times New Roman"/>
                <w:sz w:val="17"/>
                <w:szCs w:val="17"/>
                <w:color w:val="auto"/>
              </w:rPr>
              <w:t>October 28, 2020</w:t>
            </w:r>
            <w:r>
              <w:rPr>
                <w:rFonts w:ascii="Times New Roman" w:cs="Times New Roman" w:eastAsia="Times New Roman" w:hAnsi="Times New Roman"/>
                <w:sz w:val="22"/>
                <w:szCs w:val="22"/>
                <w:color w:val="auto"/>
                <w:vertAlign w:val="superscript"/>
              </w:rPr>
              <w:t>(7)</w:t>
            </w:r>
          </w:p>
        </w:tc>
        <w:tc>
          <w:tcPr>
            <w:tcW w:w="23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7"/>
                <w:szCs w:val="17"/>
                <w:color w:val="auto"/>
              </w:rPr>
              <w:t>November 10, 2020</w:t>
            </w:r>
          </w:p>
        </w:tc>
        <w:tc>
          <w:tcPr>
            <w:tcW w:w="22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rPr>
              <w:t>November 30, 2020</w:t>
            </w: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0.25</w:t>
            </w:r>
          </w:p>
        </w:tc>
      </w:tr>
      <w:tr>
        <w:trPr>
          <w:trHeight w:val="220"/>
        </w:trPr>
        <w:tc>
          <w:tcPr>
            <w:tcW w:w="4820" w:type="dxa"/>
            <w:vAlign w:val="bottom"/>
            <w:gridSpan w:val="2"/>
          </w:tcPr>
          <w:p>
            <w:pPr>
              <w:ind w:left="180"/>
              <w:spacing w:after="0" w:line="220" w:lineRule="exact"/>
              <w:rPr>
                <w:sz w:val="20"/>
                <w:szCs w:val="20"/>
                <w:color w:val="auto"/>
              </w:rPr>
            </w:pPr>
            <w:r>
              <w:rPr>
                <w:rFonts w:ascii="Times New Roman" w:cs="Times New Roman" w:eastAsia="Times New Roman" w:hAnsi="Times New Roman"/>
                <w:sz w:val="17"/>
                <w:szCs w:val="17"/>
                <w:color w:val="auto"/>
              </w:rPr>
              <w:t>December 16, 2020</w:t>
            </w:r>
            <w:r>
              <w:rPr>
                <w:rFonts w:ascii="Times New Roman" w:cs="Times New Roman" w:eastAsia="Times New Roman" w:hAnsi="Times New Roman"/>
                <w:sz w:val="22"/>
                <w:szCs w:val="22"/>
                <w:color w:val="auto"/>
                <w:vertAlign w:val="superscript"/>
              </w:rPr>
              <w:t>(8)</w:t>
            </w:r>
          </w:p>
        </w:tc>
        <w:tc>
          <w:tcPr>
            <w:tcW w:w="23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December 30, 2020</w:t>
            </w:r>
          </w:p>
        </w:tc>
        <w:tc>
          <w:tcPr>
            <w:tcW w:w="22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January 15, 2021</w:t>
            </w:r>
          </w:p>
        </w:tc>
        <w:tc>
          <w:tcPr>
            <w:tcW w:w="2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0.22</w:t>
            </w:r>
          </w:p>
        </w:tc>
      </w:tr>
      <w:tr>
        <w:trPr>
          <w:trHeight w:val="220"/>
        </w:trPr>
        <w:tc>
          <w:tcPr>
            <w:tcW w:w="4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Fiscal 2021:</w:t>
            </w:r>
          </w:p>
        </w:tc>
        <w:tc>
          <w:tcPr>
            <w:tcW w:w="2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20"/>
        </w:trPr>
        <w:tc>
          <w:tcPr>
            <w:tcW w:w="4820" w:type="dxa"/>
            <w:vAlign w:val="bottom"/>
            <w:gridSpan w:val="2"/>
          </w:tcPr>
          <w:p>
            <w:pPr>
              <w:ind w:left="180"/>
              <w:spacing w:after="0" w:line="220" w:lineRule="exact"/>
              <w:rPr>
                <w:sz w:val="20"/>
                <w:szCs w:val="20"/>
                <w:color w:val="auto"/>
              </w:rPr>
            </w:pPr>
            <w:r>
              <w:rPr>
                <w:rFonts w:ascii="Times New Roman" w:cs="Times New Roman" w:eastAsia="Times New Roman" w:hAnsi="Times New Roman"/>
                <w:sz w:val="17"/>
                <w:szCs w:val="17"/>
                <w:color w:val="auto"/>
              </w:rPr>
              <w:t>January 26, 2021</w:t>
            </w:r>
            <w:r>
              <w:rPr>
                <w:rFonts w:ascii="Times New Roman" w:cs="Times New Roman" w:eastAsia="Times New Roman" w:hAnsi="Times New Roman"/>
                <w:sz w:val="22"/>
                <w:szCs w:val="22"/>
                <w:color w:val="auto"/>
                <w:vertAlign w:val="superscript"/>
              </w:rPr>
              <w:t>(9)</w:t>
            </w:r>
          </w:p>
        </w:tc>
        <w:tc>
          <w:tcPr>
            <w:tcW w:w="234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rPr>
              <w:t>February 5, 2021</w:t>
            </w:r>
          </w:p>
        </w:tc>
        <w:tc>
          <w:tcPr>
            <w:tcW w:w="22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February 19, 2021</w:t>
            </w:r>
          </w:p>
        </w:tc>
        <w:tc>
          <w:tcPr>
            <w:tcW w:w="2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0.25</w:t>
            </w:r>
          </w:p>
        </w:tc>
      </w:tr>
      <w:tr>
        <w:trPr>
          <w:trHeight w:val="220"/>
        </w:trPr>
        <w:tc>
          <w:tcPr>
            <w:tcW w:w="4820" w:type="dxa"/>
            <w:vAlign w:val="bottom"/>
            <w:gridSpan w:val="2"/>
            <w:shd w:val="clear" w:color="auto" w:fill="CCEEFF"/>
          </w:tcPr>
          <w:p>
            <w:pPr>
              <w:ind w:left="180"/>
              <w:spacing w:after="0" w:line="220" w:lineRule="exact"/>
              <w:rPr>
                <w:sz w:val="20"/>
                <w:szCs w:val="20"/>
                <w:color w:val="auto"/>
              </w:rPr>
            </w:pPr>
            <w:r>
              <w:rPr>
                <w:rFonts w:ascii="Times New Roman" w:cs="Times New Roman" w:eastAsia="Times New Roman" w:hAnsi="Times New Roman"/>
                <w:sz w:val="17"/>
                <w:szCs w:val="17"/>
                <w:color w:val="auto"/>
              </w:rPr>
              <w:t>March 8, 2021</w:t>
            </w:r>
            <w:r>
              <w:rPr>
                <w:rFonts w:ascii="Times New Roman" w:cs="Times New Roman" w:eastAsia="Times New Roman" w:hAnsi="Times New Roman"/>
                <w:sz w:val="22"/>
                <w:szCs w:val="22"/>
                <w:color w:val="auto"/>
                <w:vertAlign w:val="superscript"/>
              </w:rPr>
              <w:t>(10)</w:t>
            </w:r>
          </w:p>
        </w:tc>
        <w:tc>
          <w:tcPr>
            <w:tcW w:w="23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7"/>
                <w:szCs w:val="17"/>
                <w:color w:val="auto"/>
              </w:rPr>
              <w:t>March 30, 2021</w:t>
            </w:r>
          </w:p>
        </w:tc>
        <w:tc>
          <w:tcPr>
            <w:tcW w:w="22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rPr>
              <w:t>April 15, 2021</w:t>
            </w: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0.25</w:t>
            </w:r>
          </w:p>
        </w:tc>
      </w:tr>
      <w:tr>
        <w:trPr>
          <w:trHeight w:val="220"/>
        </w:trPr>
        <w:tc>
          <w:tcPr>
            <w:tcW w:w="4820" w:type="dxa"/>
            <w:vAlign w:val="bottom"/>
            <w:gridSpan w:val="2"/>
          </w:tcPr>
          <w:p>
            <w:pPr>
              <w:ind w:left="180"/>
              <w:spacing w:after="0" w:line="220" w:lineRule="exact"/>
              <w:rPr>
                <w:sz w:val="20"/>
                <w:szCs w:val="20"/>
                <w:color w:val="auto"/>
              </w:rPr>
            </w:pPr>
            <w:r>
              <w:rPr>
                <w:rFonts w:ascii="Times New Roman" w:cs="Times New Roman" w:eastAsia="Times New Roman" w:hAnsi="Times New Roman"/>
                <w:sz w:val="17"/>
                <w:szCs w:val="17"/>
                <w:color w:val="auto"/>
              </w:rPr>
              <w:t>May 4, 2021</w:t>
            </w:r>
            <w:r>
              <w:rPr>
                <w:rFonts w:ascii="Times New Roman" w:cs="Times New Roman" w:eastAsia="Times New Roman" w:hAnsi="Times New Roman"/>
                <w:sz w:val="22"/>
                <w:szCs w:val="22"/>
                <w:color w:val="auto"/>
                <w:vertAlign w:val="superscript"/>
              </w:rPr>
              <w:t>(11)</w:t>
            </w:r>
          </w:p>
        </w:tc>
        <w:tc>
          <w:tcPr>
            <w:tcW w:w="23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May 18, 2021</w:t>
            </w:r>
          </w:p>
        </w:tc>
        <w:tc>
          <w:tcPr>
            <w:tcW w:w="22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June 30, 2021</w:t>
            </w:r>
          </w:p>
        </w:tc>
        <w:tc>
          <w:tcPr>
            <w:tcW w:w="2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2.50</w:t>
            </w:r>
          </w:p>
        </w:tc>
      </w:tr>
      <w:tr>
        <w:trPr>
          <w:trHeight w:val="220"/>
        </w:trPr>
        <w:tc>
          <w:tcPr>
            <w:tcW w:w="4820" w:type="dxa"/>
            <w:vAlign w:val="bottom"/>
            <w:gridSpan w:val="2"/>
            <w:shd w:val="clear" w:color="auto" w:fill="CCEEFF"/>
          </w:tcPr>
          <w:p>
            <w:pPr>
              <w:ind w:left="180"/>
              <w:spacing w:after="0" w:line="220" w:lineRule="exact"/>
              <w:rPr>
                <w:sz w:val="20"/>
                <w:szCs w:val="20"/>
                <w:color w:val="auto"/>
              </w:rPr>
            </w:pPr>
            <w:r>
              <w:rPr>
                <w:rFonts w:ascii="Times New Roman" w:cs="Times New Roman" w:eastAsia="Times New Roman" w:hAnsi="Times New Roman"/>
                <w:sz w:val="17"/>
                <w:szCs w:val="17"/>
                <w:color w:val="auto"/>
              </w:rPr>
              <w:t>August 3, 2021</w:t>
            </w:r>
            <w:r>
              <w:rPr>
                <w:rFonts w:ascii="Times New Roman" w:cs="Times New Roman" w:eastAsia="Times New Roman" w:hAnsi="Times New Roman"/>
                <w:sz w:val="22"/>
                <w:szCs w:val="22"/>
                <w:color w:val="auto"/>
                <w:vertAlign w:val="superscript"/>
              </w:rPr>
              <w:t>(12)</w:t>
            </w:r>
          </w:p>
        </w:tc>
        <w:tc>
          <w:tcPr>
            <w:tcW w:w="23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7"/>
                <w:szCs w:val="17"/>
                <w:color w:val="auto"/>
              </w:rPr>
              <w:t>August 18, 2021</w:t>
            </w:r>
          </w:p>
        </w:tc>
        <w:tc>
          <w:tcPr>
            <w:tcW w:w="22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rPr>
              <w:t>September 30, 2021</w:t>
            </w: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2.25</w:t>
            </w:r>
          </w:p>
        </w:tc>
      </w:tr>
      <w:tr>
        <w:trPr>
          <w:trHeight w:val="220"/>
        </w:trPr>
        <w:tc>
          <w:tcPr>
            <w:tcW w:w="4820" w:type="dxa"/>
            <w:vAlign w:val="bottom"/>
            <w:gridSpan w:val="2"/>
          </w:tcPr>
          <w:p>
            <w:pPr>
              <w:ind w:left="180"/>
              <w:spacing w:after="0" w:line="220" w:lineRule="exact"/>
              <w:rPr>
                <w:sz w:val="20"/>
                <w:szCs w:val="20"/>
                <w:color w:val="auto"/>
              </w:rPr>
            </w:pPr>
            <w:r>
              <w:rPr>
                <w:rFonts w:ascii="Times New Roman" w:cs="Times New Roman" w:eastAsia="Times New Roman" w:hAnsi="Times New Roman"/>
                <w:sz w:val="17"/>
                <w:szCs w:val="17"/>
                <w:color w:val="auto"/>
              </w:rPr>
              <w:t>November 2, 2021</w:t>
            </w:r>
            <w:r>
              <w:rPr>
                <w:rFonts w:ascii="Times New Roman" w:cs="Times New Roman" w:eastAsia="Times New Roman" w:hAnsi="Times New Roman"/>
                <w:sz w:val="22"/>
                <w:szCs w:val="22"/>
                <w:color w:val="auto"/>
                <w:vertAlign w:val="superscript"/>
              </w:rPr>
              <w:t>(13)</w:t>
            </w:r>
          </w:p>
        </w:tc>
        <w:tc>
          <w:tcPr>
            <w:tcW w:w="234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rPr>
              <w:t>November 17, 2021</w:t>
            </w:r>
          </w:p>
        </w:tc>
        <w:tc>
          <w:tcPr>
            <w:tcW w:w="22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December 30, 2021</w:t>
            </w:r>
          </w:p>
        </w:tc>
        <w:tc>
          <w:tcPr>
            <w:tcW w:w="2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w:t>
            </w:r>
          </w:p>
        </w:tc>
      </w:tr>
      <w:tr>
        <w:trPr>
          <w:trHeight w:val="220"/>
        </w:trPr>
        <w:tc>
          <w:tcPr>
            <w:tcW w:w="4820" w:type="dxa"/>
            <w:vAlign w:val="bottom"/>
            <w:gridSpan w:val="2"/>
            <w:shd w:val="clear" w:color="auto" w:fill="CCEEFF"/>
          </w:tcPr>
          <w:p>
            <w:pPr>
              <w:ind w:left="180"/>
              <w:spacing w:after="0" w:line="220" w:lineRule="exact"/>
              <w:rPr>
                <w:sz w:val="20"/>
                <w:szCs w:val="20"/>
                <w:color w:val="auto"/>
              </w:rPr>
            </w:pPr>
            <w:r>
              <w:rPr>
                <w:rFonts w:ascii="Times New Roman" w:cs="Times New Roman" w:eastAsia="Times New Roman" w:hAnsi="Times New Roman"/>
                <w:sz w:val="17"/>
                <w:szCs w:val="17"/>
                <w:color w:val="auto"/>
              </w:rPr>
              <w:t>December 20, 2021</w:t>
            </w:r>
            <w:r>
              <w:rPr>
                <w:rFonts w:ascii="Times New Roman" w:cs="Times New Roman" w:eastAsia="Times New Roman" w:hAnsi="Times New Roman"/>
                <w:sz w:val="22"/>
                <w:szCs w:val="22"/>
                <w:color w:val="auto"/>
                <w:vertAlign w:val="superscript"/>
              </w:rPr>
              <w:t>(14)</w:t>
            </w:r>
          </w:p>
        </w:tc>
        <w:tc>
          <w:tcPr>
            <w:tcW w:w="23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rPr>
              <w:t>December 31, 2021</w:t>
            </w:r>
          </w:p>
        </w:tc>
        <w:tc>
          <w:tcPr>
            <w:tcW w:w="22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rPr>
              <w:t>January 14, 2022</w:t>
            </w: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0.75</w:t>
            </w:r>
          </w:p>
        </w:tc>
      </w:tr>
      <w:tr>
        <w:trPr>
          <w:trHeight w:val="220"/>
        </w:trPr>
        <w:tc>
          <w:tcPr>
            <w:tcW w:w="482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Fiscal 2022:</w:t>
            </w:r>
          </w:p>
        </w:tc>
        <w:tc>
          <w:tcPr>
            <w:tcW w:w="2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20"/>
        </w:trPr>
        <w:tc>
          <w:tcPr>
            <w:tcW w:w="4820" w:type="dxa"/>
            <w:vAlign w:val="bottom"/>
            <w:gridSpan w:val="2"/>
            <w:shd w:val="clear" w:color="auto" w:fill="CCEEFF"/>
          </w:tcPr>
          <w:p>
            <w:pPr>
              <w:ind w:left="180"/>
              <w:spacing w:after="0" w:line="220" w:lineRule="exact"/>
              <w:rPr>
                <w:sz w:val="20"/>
                <w:szCs w:val="20"/>
                <w:color w:val="auto"/>
              </w:rPr>
            </w:pPr>
            <w:r>
              <w:rPr>
                <w:rFonts w:ascii="Times New Roman" w:cs="Times New Roman" w:eastAsia="Times New Roman" w:hAnsi="Times New Roman"/>
                <w:sz w:val="17"/>
                <w:szCs w:val="17"/>
                <w:color w:val="auto"/>
              </w:rPr>
              <w:t>March 8, 2022</w:t>
            </w:r>
            <w:r>
              <w:rPr>
                <w:rFonts w:ascii="Times New Roman" w:cs="Times New Roman" w:eastAsia="Times New Roman" w:hAnsi="Times New Roman"/>
                <w:sz w:val="22"/>
                <w:szCs w:val="22"/>
                <w:color w:val="auto"/>
                <w:vertAlign w:val="superscript"/>
              </w:rPr>
              <w:t>(15)</w:t>
            </w:r>
          </w:p>
        </w:tc>
        <w:tc>
          <w:tcPr>
            <w:tcW w:w="23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7"/>
                <w:szCs w:val="17"/>
                <w:color w:val="auto"/>
              </w:rPr>
              <w:t>March 25, 2022</w:t>
            </w:r>
          </w:p>
        </w:tc>
        <w:tc>
          <w:tcPr>
            <w:tcW w:w="22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rPr>
              <w:t>April 15, 2022</w:t>
            </w:r>
          </w:p>
        </w:tc>
        <w:tc>
          <w:tcPr>
            <w:tcW w:w="24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0.11</w:t>
            </w:r>
          </w:p>
        </w:tc>
      </w:tr>
      <w:tr>
        <w:trPr>
          <w:trHeight w:val="213"/>
        </w:trPr>
        <w:tc>
          <w:tcPr>
            <w:tcW w:w="482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b w:val="1"/>
                <w:bCs w:val="1"/>
                <w:color w:val="auto"/>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12.10</w:t>
            </w:r>
          </w:p>
        </w:tc>
      </w:tr>
      <w:tr>
        <w:trPr>
          <w:trHeight w:val="20"/>
        </w:trPr>
        <w:tc>
          <w:tcPr>
            <w:tcW w:w="4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w:t>
      </w:r>
    </w:p>
    <w:p>
      <w:pPr>
        <w:spacing w:after="0" w:line="114" w:lineRule="exact"/>
        <w:rPr>
          <w:sz w:val="20"/>
          <w:szCs w:val="20"/>
          <w:color w:val="auto"/>
        </w:rPr>
      </w:pPr>
    </w:p>
    <w:p>
      <w:pPr>
        <w:jc w:val="both"/>
        <w:ind w:left="320" w:hanging="317"/>
        <w:spacing w:after="0" w:line="245" w:lineRule="auto"/>
        <w:tabs>
          <w:tab w:leader="none" w:pos="382"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distribution was paid in cash or shares of our common stock at the election of stockholders, although the total amount of cash distributed to all stockholders was limited to approximately 50% of the total distribution to be paid to all stockholders. As a result of stockholder elections, the distribution consisted of 2,860,903 shares of common stock issued in lieu of cash, or approximately 14.8% of our outstanding shares prior to the distribution, as well as cash of $26,358,885. The number of shares of common stock comprising the stock portion was calculated based on a price of $9.425 per share, which equaled the average of the volume weighted-average trading price per share of our common stock on December 28, 29 and 30, 2015. None of the $2.76 per share distribution represented a return of capital.</w:t>
      </w:r>
    </w:p>
    <w:p>
      <w:pPr>
        <w:ind w:left="340" w:hanging="337"/>
        <w:spacing w:after="0"/>
        <w:tabs>
          <w:tab w:leader="none" w:pos="34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Of the total distribution of $887,240 on August 24, 2016, $820,753 represented a distribution from realized gains, and $66,487 represented a return of capital.</w:t>
      </w:r>
    </w:p>
    <w:p>
      <w:pPr>
        <w:spacing w:after="0" w:line="6" w:lineRule="exact"/>
        <w:rPr>
          <w:rFonts w:ascii="Times New Roman" w:cs="Times New Roman" w:eastAsia="Times New Roman" w:hAnsi="Times New Roman"/>
          <w:sz w:val="16"/>
          <w:szCs w:val="16"/>
          <w:color w:val="auto"/>
        </w:rPr>
      </w:pPr>
    </w:p>
    <w:p>
      <w:pPr>
        <w:ind w:left="340" w:hanging="337"/>
        <w:spacing w:after="0" w:line="236" w:lineRule="auto"/>
        <w:tabs>
          <w:tab w:leader="none" w:pos="34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of the $3,512,849 distribution paid on December 12, 2019 represented a distribution from realized gains. None of the distribution represented a return of capital.</w:t>
      </w:r>
    </w:p>
    <w:p>
      <w:pPr>
        <w:ind w:left="220" w:hanging="217"/>
        <w:spacing w:after="0" w:line="236" w:lineRule="auto"/>
        <w:tabs>
          <w:tab w:leader="none" w:pos="22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of the $2,107,709 distribution paid on January 15, 2020 represented a distribution from realized gains. None of the distribution represented a return of capital.</w:t>
      </w:r>
    </w:p>
    <w:p>
      <w:pPr>
        <w:ind w:left="220" w:hanging="217"/>
        <w:spacing w:after="0" w:line="236" w:lineRule="auto"/>
        <w:tabs>
          <w:tab w:leader="none" w:pos="22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of the $2,516,452 distribution paid on August 25, 2020 represented a distribution from realized gains. None of the distribution represented a return of capital.</w:t>
      </w:r>
    </w:p>
    <w:p>
      <w:pPr>
        <w:ind w:left="220" w:hanging="217"/>
        <w:spacing w:after="0" w:line="219" w:lineRule="auto"/>
        <w:tabs>
          <w:tab w:leader="none" w:pos="22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of the $5,071,326 distribution paid on October 20, 2020 represented a distribution from realized gains. None of the distribution represented a return of capital.</w:t>
      </w:r>
    </w:p>
    <w:p>
      <w:pPr>
        <w:ind w:left="220" w:hanging="217"/>
        <w:spacing w:after="0" w:line="236" w:lineRule="auto"/>
        <w:tabs>
          <w:tab w:leader="none" w:pos="22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of the $4,978,504 distribution paid on November 30, 2020 represented a distribution from realized gains. None of the distribution represented a return of capital.</w:t>
      </w:r>
    </w:p>
    <w:p>
      <w:pPr>
        <w:ind w:left="220" w:hanging="217"/>
        <w:spacing w:after="0" w:line="236" w:lineRule="auto"/>
        <w:tabs>
          <w:tab w:leader="none" w:pos="22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of the $4,381,084 distribution paid on January 15, 2021 represented a distribution from realized gains. None of the distribution represented a return of capital.</w:t>
      </w:r>
    </w:p>
    <w:p>
      <w:pPr>
        <w:ind w:left="220" w:hanging="217"/>
        <w:spacing w:after="0" w:line="236" w:lineRule="auto"/>
        <w:tabs>
          <w:tab w:leader="none" w:pos="22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of the $4,981,131 distribution paid on February 19, 2021 represented a distribution from realized gains. None of the distribution represented a return of capital.</w:t>
      </w:r>
    </w:p>
    <w:p>
      <w:pPr>
        <w:ind w:left="300" w:hanging="297"/>
        <w:spacing w:after="0"/>
        <w:tabs>
          <w:tab w:leader="none" w:pos="30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of the $6,051,304 distribution paid on April 15, 2021 represented a distribution from realized gains. None of the distribution represented a return of capital.</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66</w:t>
      </w:r>
    </w:p>
    <w:p>
      <w:pPr>
        <w:sectPr>
          <w:pgSz w:w="11900" w:h="16838" w:orient="portrait"/>
          <w:cols w:equalWidth="0" w:num="1">
            <w:col w:w="11240"/>
          </w:cols>
          <w:pgMar w:left="320" w:top="118"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4"/>
          <w:szCs w:val="14"/>
          <w:color w:val="0000FF"/>
        </w:rPr>
        <w:t>TABLE OF CONTENTS</w:t>
      </w:r>
    </w:p>
    <w:p>
      <w:pPr>
        <w:spacing w:after="0" w:line="200" w:lineRule="exact"/>
        <w:rPr>
          <w:sz w:val="20"/>
          <w:szCs w:val="20"/>
          <w:color w:val="auto"/>
        </w:rPr>
      </w:pPr>
    </w:p>
    <w:p>
      <w:pPr>
        <w:spacing w:after="0" w:line="371" w:lineRule="exact"/>
        <w:rPr>
          <w:sz w:val="20"/>
          <w:szCs w:val="20"/>
          <w:color w:val="auto"/>
        </w:rPr>
      </w:pPr>
    </w:p>
    <w:p>
      <w:pPr>
        <w:jc w:val="both"/>
        <w:ind w:left="320" w:hanging="317"/>
        <w:spacing w:after="0" w:line="237" w:lineRule="auto"/>
        <w:tabs>
          <w:tab w:leader="none" w:pos="304"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distribution was paid in cash or shares of our common stock at the election of stockholders, although the total amount of cash distributed to all stockholders was limited to approximately 50% of the total distribution to be paid to all stockholders. As a result of stockholder elections, the distribution consisted of 2,335,527 shares of common stock issued in lieu of cash, or approximately 9.6% of our outstanding shares prior to the distribution, as well as cash of $29,987,589. The number of shares of common stock comprising the stock portion was calculated based on a price of $13.07 per share, which equaled the average of the volume weighted-average trading price per share of our common stock on May 12, 13, and 14, 2021. None of the $2.50 per share distribution represented a return of capital.</w:t>
      </w:r>
    </w:p>
    <w:p>
      <w:pPr>
        <w:spacing w:after="0" w:line="2" w:lineRule="exact"/>
        <w:rPr>
          <w:rFonts w:ascii="Times New Roman" w:cs="Times New Roman" w:eastAsia="Times New Roman" w:hAnsi="Times New Roman"/>
          <w:sz w:val="16"/>
          <w:szCs w:val="16"/>
          <w:color w:val="auto"/>
        </w:rPr>
      </w:pPr>
    </w:p>
    <w:p>
      <w:pPr>
        <w:jc w:val="both"/>
        <w:ind w:left="320" w:hanging="317"/>
        <w:spacing w:after="0" w:line="232" w:lineRule="auto"/>
        <w:tabs>
          <w:tab w:leader="none" w:pos="309"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distribution was paid in cash or shares of our common stock at the election of stockholders, although the total amount of cash distributed to all stockholders was limited to approximately 50% of the total distribution to be paid to all stockholders. As a result of stockholder elections, the distribution consisted of 2,225,193 shares of common stock issued in lieu of cash, or approximately 8.4% of our outstanding shares prior to the distribution, as well as cash of $29,599,164. The number of shares of common stock comprising the stock portion was calculated based on a price of $13.55 per share, which equaled the average of the volume weighted-average trading price per share of our common stock on August 11, 12, and 13, 2021. None of the $2.25 per share distribution represented a return of capital.</w:t>
      </w:r>
    </w:p>
    <w:p>
      <w:pPr>
        <w:spacing w:after="0" w:line="3" w:lineRule="exact"/>
        <w:rPr>
          <w:rFonts w:ascii="Times New Roman" w:cs="Times New Roman" w:eastAsia="Times New Roman" w:hAnsi="Times New Roman"/>
          <w:sz w:val="16"/>
          <w:szCs w:val="16"/>
          <w:color w:val="auto"/>
        </w:rPr>
      </w:pPr>
    </w:p>
    <w:p>
      <w:pPr>
        <w:jc w:val="both"/>
        <w:ind w:left="320" w:hanging="317"/>
        <w:spacing w:after="0" w:line="232" w:lineRule="auto"/>
        <w:tabs>
          <w:tab w:leader="none" w:pos="309"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distribution was paid in cash or shares of our common stock at the election of stockholders, although the total amount of cash distributed to all stockholders was limited to approximately 50% of the total distribution to be paid to all stockholders. As a result of stockholder elections, the distribution consisted of 2,170,807 shares of common stock issued in lieu of cash, or approximately 7.5% of our outstanding shares prior to the distribution, as well as cash of $28,494,812. The number of shares of common stock comprising the stock portion was calculated based on a price of $13.39 per share, which equaled the average of the volume weighted-average trading price per share of our common stock on November 11, 12, and 13, 2021. None of the $2.00 per share distribution represented a return of capital.</w:t>
      </w:r>
    </w:p>
    <w:p>
      <w:pPr>
        <w:spacing w:after="0" w:line="3" w:lineRule="exact"/>
        <w:rPr>
          <w:rFonts w:ascii="Times New Roman" w:cs="Times New Roman" w:eastAsia="Times New Roman" w:hAnsi="Times New Roman"/>
          <w:sz w:val="16"/>
          <w:szCs w:val="16"/>
          <w:color w:val="auto"/>
        </w:rPr>
      </w:pPr>
    </w:p>
    <w:p>
      <w:pPr>
        <w:ind w:left="300" w:hanging="297"/>
        <w:spacing w:after="0" w:line="236" w:lineRule="auto"/>
        <w:tabs>
          <w:tab w:leader="none" w:pos="30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of the $23,338,915 distribution paid on January 14, 2022 represented a distribution from realized gains. None of the distribution represented a return of capital.</w:t>
      </w:r>
    </w:p>
    <w:p>
      <w:pPr>
        <w:ind w:left="300" w:hanging="297"/>
        <w:spacing w:after="0"/>
        <w:tabs>
          <w:tab w:leader="none" w:pos="30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of the $3,441,824 distribution paid on April 15, 2022 represented a distribution from realized gains. None of the distribution represented a return of capital.</w:t>
      </w:r>
    </w:p>
    <w:p>
      <w:pPr>
        <w:spacing w:after="0" w:line="220" w:lineRule="exact"/>
        <w:rPr>
          <w:sz w:val="20"/>
          <w:szCs w:val="20"/>
          <w:color w:val="auto"/>
        </w:rPr>
      </w:pPr>
    </w:p>
    <w:p>
      <w:pPr>
        <w:jc w:val="both"/>
        <w:ind w:firstLine="349"/>
        <w:spacing w:after="0" w:line="266" w:lineRule="auto"/>
        <w:rPr>
          <w:sz w:val="20"/>
          <w:szCs w:val="20"/>
          <w:color w:val="auto"/>
        </w:rPr>
      </w:pPr>
      <w:r>
        <w:rPr>
          <w:rFonts w:ascii="Times New Roman" w:cs="Times New Roman" w:eastAsia="Times New Roman" w:hAnsi="Times New Roman"/>
          <w:sz w:val="17"/>
          <w:szCs w:val="17"/>
          <w:color w:val="auto"/>
        </w:rPr>
        <w:t>We intend to focus on making equity-based investments from which we will derive primarily capital gains. As a consequence, we do not anticipate that we will pay distributions on a quarterly basis or become a predictable distributor of distributions, and we expect that our distributions, if any, will be much less consistent than the distributions of other BDCs that primarily make debt investments. If there are earnings or realized capital gains to be distributed, we intend to declare and pay a distribution at least annually. The amount of realized capital gains available for distribution to stockholders will be impacted by our tax status.</w:t>
      </w:r>
    </w:p>
    <w:p>
      <w:pPr>
        <w:spacing w:after="0" w:line="194" w:lineRule="exact"/>
        <w:rPr>
          <w:sz w:val="20"/>
          <w:szCs w:val="20"/>
          <w:color w:val="auto"/>
        </w:rPr>
      </w:pPr>
    </w:p>
    <w:p>
      <w:pPr>
        <w:jc w:val="both"/>
        <w:ind w:firstLine="349"/>
        <w:spacing w:after="0" w:line="258" w:lineRule="auto"/>
        <w:rPr>
          <w:sz w:val="20"/>
          <w:szCs w:val="20"/>
          <w:color w:val="auto"/>
        </w:rPr>
      </w:pPr>
      <w:r>
        <w:rPr>
          <w:rFonts w:ascii="Times New Roman" w:cs="Times New Roman" w:eastAsia="Times New Roman" w:hAnsi="Times New Roman"/>
          <w:sz w:val="17"/>
          <w:szCs w:val="17"/>
          <w:color w:val="auto"/>
        </w:rPr>
        <w:t>Our current intention is to make any future distributions out of assets legally available therefrom in the form of additional shares of our common stock under our dividend reinvestment plan, except in the case of stockholders who elect to receive dividends and/or long-term capital gains distributions in cash. Under the dividend reinvestment plan, if a stockholder owns shares of common stock registered in its own name, the stockholder will have all cash distributions (net of any applicable withholding) automatically reinvested in additional shares of common stock unless the stockholder opts out of our dividend reinvestment plan by delivering a written notice to our dividend paying agent prior to the record date of the next dividend or distribution. Any distributions reinvested under the plan will nevertheless be treated as received by the U.S. stockholder for U.S. federal income tax purposes, although no cash distribution has been made. As a result, if a stockholder does not elect to opt out of the dividend reinvestment plan, it will be required to pay applicable federal, state and local taxes on any reinvested dividends even though such stockholder will not receive a corresponding cash distribution. Stockholders that hold shares in the name of a broker or financial intermediary should contact the broker or financial intermediary regarding any election to receive distributions in cash.</w:t>
      </w:r>
    </w:p>
    <w:p>
      <w:pPr>
        <w:spacing w:after="0" w:line="204" w:lineRule="exact"/>
        <w:rPr>
          <w:sz w:val="20"/>
          <w:szCs w:val="20"/>
          <w:color w:val="auto"/>
        </w:rPr>
      </w:pPr>
    </w:p>
    <w:p>
      <w:pPr>
        <w:jc w:val="both"/>
        <w:ind w:firstLine="349"/>
        <w:spacing w:after="0" w:line="260" w:lineRule="auto"/>
        <w:rPr>
          <w:sz w:val="20"/>
          <w:szCs w:val="20"/>
          <w:color w:val="auto"/>
        </w:rPr>
      </w:pPr>
      <w:r>
        <w:rPr>
          <w:rFonts w:ascii="Times New Roman" w:cs="Times New Roman" w:eastAsia="Times New Roman" w:hAnsi="Times New Roman"/>
          <w:sz w:val="17"/>
          <w:szCs w:val="17"/>
          <w:color w:val="auto"/>
        </w:rPr>
        <w:t>So long as we qualify and maintain our tax treatment as a RIC, we generally will not be subject to U.S. federal and state income taxes on any ordinary income or capital gains that we distribute at least annually to our stockholders as dividends. Rather, any tax liability related to income earned by the RIC will represent obligations of our investors and will not be reflected in our consolidated financial statements. See “Note 2—Significant Accounting Policies—</w:t>
      </w:r>
      <w:r>
        <w:rPr>
          <w:rFonts w:ascii="Times New Roman" w:cs="Times New Roman" w:eastAsia="Times New Roman" w:hAnsi="Times New Roman"/>
          <w:sz w:val="17"/>
          <w:szCs w:val="17"/>
          <w:i w:val="1"/>
          <w:iCs w:val="1"/>
          <w:color w:val="auto"/>
        </w:rPr>
        <w:t>U.S.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Federal and State Income Taxes</w:t>
      </w:r>
      <w:r>
        <w:rPr>
          <w:rFonts w:ascii="Times New Roman" w:cs="Times New Roman" w:eastAsia="Times New Roman" w:hAnsi="Times New Roman"/>
          <w:sz w:val="17"/>
          <w:szCs w:val="17"/>
          <w:color w:val="auto"/>
        </w:rPr>
        <w:t>” and “Note 9—Income Taxes” to our condensed consolidated financial statements as of June 30, 2022 for more information.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Taxable Subsidiaries included in our consolidated financial statements are taxable subsidiaries, regardless of whether we are taxed as a RIC. These taxable subsidiaries are not consolidated for income tax purposes and may generate income tax expenses as a result of their ownership of the portfolio companies. Such income tax expenses and deferred taxes, if any, will be reflected in our consolidated financial statements.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Accounting Policies</w:t>
      </w:r>
    </w:p>
    <w:p>
      <w:pPr>
        <w:spacing w:after="0" w:line="24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Critical accounting policies and practices are the policies that are both most important to the portrayal of our financial condition and results, and require management’s most difficult, subjective, or complex judgments, often as a result of the need to make estimates about the effects of matters that are inherently uncertain. These include estimates of the fair value of our Level 3 investments and other estimates that affect the reported amounts of assets and liabilities as of the date of the</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67</w:t>
      </w:r>
    </w:p>
    <w:p>
      <w:pPr>
        <w:sectPr>
          <w:pgSz w:w="11900" w:h="16838" w:orient="portrait"/>
          <w:cols w:equalWidth="0" w:num="1">
            <w:col w:w="11240"/>
          </w:cols>
          <w:pgMar w:left="320" w:top="118"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4"/>
          <w:szCs w:val="14"/>
          <w:color w:val="0000FF"/>
        </w:rPr>
        <w:t>TABLE OF CONTENTS</w:t>
      </w:r>
    </w:p>
    <w:p>
      <w:pPr>
        <w:spacing w:after="0" w:line="200" w:lineRule="exact"/>
        <w:rPr>
          <w:sz w:val="20"/>
          <w:szCs w:val="20"/>
          <w:color w:val="auto"/>
        </w:rPr>
      </w:pPr>
    </w:p>
    <w:p>
      <w:pPr>
        <w:spacing w:after="0" w:line="3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consolidated financial statements and the reported amounts of certain revenues and expenses during the reporting period. It is likely that changes in these estimates will occur in the near term. Our estimates are inherently subjective in nature and actual results could differ materially from such estimates. See “Note 2— Significant Accounting Policies” to our condensed consolidated financial statements as of June 30, 2022 for further detail regarding our critical accounting policies and recently issued or adopted accounting pronouncements.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Related-Party Transactions</w:t>
      </w:r>
    </w:p>
    <w:p>
      <w:pPr>
        <w:spacing w:after="0" w:line="24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See “Note 3—Related-Party Arrangements” to our condensed consolidated financial statements as of June 30, 2022 for more information.</w:t>
      </w:r>
    </w:p>
    <w:p>
      <w:pPr>
        <w:spacing w:after="0" w:line="200" w:lineRule="exact"/>
        <w:rPr>
          <w:sz w:val="20"/>
          <w:szCs w:val="20"/>
          <w:color w:val="auto"/>
        </w:rPr>
      </w:pPr>
    </w:p>
    <w:p>
      <w:pPr>
        <w:spacing w:after="0" w:line="275"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7"/>
          <w:szCs w:val="17"/>
          <w:b w:val="1"/>
          <w:bCs w:val="1"/>
          <w:color w:val="auto"/>
        </w:rPr>
        <w:t>Item 3.</w:t>
        <w:tab/>
        <w:t>Quantitative and Qualitative Disclosures about Market Risk</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Market Risk</w:t>
      </w:r>
    </w:p>
    <w:p>
      <w:pPr>
        <w:spacing w:after="0" w:line="246" w:lineRule="exact"/>
        <w:rPr>
          <w:sz w:val="20"/>
          <w:szCs w:val="20"/>
          <w:color w:val="auto"/>
        </w:rPr>
      </w:pPr>
    </w:p>
    <w:p>
      <w:pPr>
        <w:jc w:val="both"/>
        <w:ind w:firstLine="349"/>
        <w:spacing w:after="0" w:line="263" w:lineRule="auto"/>
        <w:rPr>
          <w:sz w:val="20"/>
          <w:szCs w:val="20"/>
          <w:color w:val="auto"/>
        </w:rPr>
      </w:pPr>
      <w:r>
        <w:rPr>
          <w:rFonts w:ascii="Times New Roman" w:cs="Times New Roman" w:eastAsia="Times New Roman" w:hAnsi="Times New Roman"/>
          <w:sz w:val="17"/>
          <w:szCs w:val="17"/>
          <w:color w:val="auto"/>
        </w:rPr>
        <w:t>Our equity investments are primarily in growth companies that in many cases have short operating histories and are generally illiquid. In addition to the risk that these companies may fail to achieve their objectives, the price we may receive for these companies in private transactions may be significantly impacted by periods of disruption and instability in the capital markets. While these periods of disruption generally have little actual impact on the operating results of our equity investments, these events may significantly impact the prices that market participants will pay for our equity investments in private transactions. This may have a significant impact on the valuation of our equity investments.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Valuation Risk</w:t>
      </w:r>
    </w:p>
    <w:p>
      <w:pPr>
        <w:spacing w:after="0" w:line="24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Our investments may not have a readily available market price, and we value these investments at fair value as determined in good faith by our Board of Directors in accordance with our valuation policy and with reference to the estimates of our independent third-party valuation firm, as applicable. There is no single standard for determining fair value in good faith. As a result, determining fair value requires that judgment be applied to the specific facts and circumstances of each portfolio investment while employing a consistently applied valuation process for the types of investments we make. Due to the inherent uncertainty of determining the fair value of investments that do not have a readily available market value, the fair value of our investments may fluctuate from period to period. Because of the inherent uncertainty of valuation, these estimated values may differ significantly from the values that would have been used had a ready market for the investments existed, and it is possible that the difference could be material. In addition, if we were required to liquidate a portfolio investment in a forced or liquidation sale, we may realize amounts that are different from the amounts presented and such differences could be material.</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Interest Rate Risk</w:t>
      </w:r>
    </w:p>
    <w:p>
      <w:pPr>
        <w:spacing w:after="0" w:line="24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We are subject to financial market risks, which could include, to the extent we utilize leverage with variable rate structures, changes in interest rates. As we invest primarily in equity rather than debt instruments, we would not expect fluctuations in interest rates to directly impact the return on our portfolio investments, although any significant change in market interest rates could potentially have an adverse effect on the business, financial condition and results of operations of the portfolio companies in which we invest.</w:t>
      </w:r>
    </w:p>
    <w:p>
      <w:pPr>
        <w:spacing w:after="0" w:line="19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As of June 30, 2022, all of our debt investments and outstanding borrowings bore fixed rates of interest.</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4. Controls and Procedures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Evaluation of Disclosure Controls and Procedures</w:t>
      </w:r>
    </w:p>
    <w:p>
      <w:pPr>
        <w:spacing w:after="0" w:line="24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As of June 30, 2022, our management, including our Chief Executive Officer and Chief Financial Officer, evaluated the effectiveness of the design and operation of our disclosure controls and procedures (as defined in Rules 13a-15(e) and 15d-15(e) under the Exchange Act). Based on that evaluation, the Chief Executive Officer and Chief Financial Officer concluded that our disclosure controls and procedures were effective and provided reasonable assurance that information required to be disclosed in our periodic SEC filings is recorded, processed, summarized and reported within the time periods specified by the SEC and that such information is accumulated and communicated to our management, including our Chief Executive Officer and Chief Financial Officer, as appropriate, to allow for timely decisions regarding required disclosure. However, in evaluating the disclosure controls and procedures, management recognizes that any controls and procedures, no</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68</w:t>
      </w:r>
    </w:p>
    <w:p>
      <w:pPr>
        <w:sectPr>
          <w:pgSz w:w="11900" w:h="16838" w:orient="portrait"/>
          <w:cols w:equalWidth="0" w:num="1">
            <w:col w:w="11240"/>
          </w:cols>
          <w:pgMar w:left="320" w:top="118" w:right="339" w:bottom="1440" w:gutter="0" w:footer="0" w:header="0"/>
        </w:sectPr>
      </w:pPr>
    </w:p>
    <w:bookmarkStart w:id="70" w:name="page71"/>
    <w:bookmarkEnd w:id="70"/>
    <w:p>
      <w:pPr>
        <w:jc w:val="both"/>
        <w:spacing w:after="0" w:line="291" w:lineRule="auto"/>
        <w:rPr>
          <w:sz w:val="20"/>
          <w:szCs w:val="20"/>
          <w:color w:val="auto"/>
        </w:rPr>
      </w:pPr>
      <w:r>
        <w:rPr>
          <w:rFonts w:ascii="Times New Roman" w:cs="Times New Roman" w:eastAsia="Times New Roman" w:hAnsi="Times New Roman"/>
          <w:sz w:val="17"/>
          <w:szCs w:val="17"/>
          <w:color w:val="auto"/>
        </w:rPr>
        <w:t>matter how well designed and operated, can provide only reasonable assurance of achieving the desired control objectives, and management necessarily is required to apply its judgment in evaluating the cost-benefit relationship of such possible controls and procedures.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Changes in Internal Control Over Financial Reporting</w:t>
      </w:r>
    </w:p>
    <w:p>
      <w:pPr>
        <w:spacing w:after="0" w:line="246" w:lineRule="exact"/>
        <w:rPr>
          <w:sz w:val="20"/>
          <w:szCs w:val="20"/>
          <w:color w:val="auto"/>
        </w:rPr>
      </w:pPr>
    </w:p>
    <w:p>
      <w:pPr>
        <w:jc w:val="both"/>
        <w:ind w:firstLine="349"/>
        <w:spacing w:after="0" w:line="283" w:lineRule="auto"/>
        <w:rPr>
          <w:sz w:val="20"/>
          <w:szCs w:val="20"/>
          <w:color w:val="auto"/>
        </w:rPr>
      </w:pPr>
      <w:r>
        <w:rPr>
          <w:rFonts w:ascii="Times New Roman" w:cs="Times New Roman" w:eastAsia="Times New Roman" w:hAnsi="Times New Roman"/>
          <w:sz w:val="17"/>
          <w:szCs w:val="17"/>
          <w:color w:val="auto"/>
        </w:rPr>
        <w:t>There have been no changes in our internal control over financial reporting (as defined in Rules 13a-15(f) and 15d-15(f) under the Exchange Act) that occurred during the fiscal quarter ended June 30, 2022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69</w:t>
      </w:r>
    </w:p>
    <w:p>
      <w:pPr>
        <w:sectPr>
          <w:pgSz w:w="11900" w:h="16838" w:orient="portrait"/>
          <w:cols w:equalWidth="0" w:num="1">
            <w:col w:w="11240"/>
          </w:cols>
          <w:pgMar w:left="320" w:top="858" w:right="339" w:bottom="1440" w:gutter="0" w:footer="0" w:header="0"/>
        </w:sectPr>
      </w:pPr>
    </w:p>
    <w:bookmarkStart w:id="71" w:name="page72"/>
    <w:bookmarkEnd w:id="71"/>
    <w:p>
      <w:pPr>
        <w:jc w:val="center"/>
        <w:spacing w:after="0"/>
        <w:rPr>
          <w:sz w:val="20"/>
          <w:szCs w:val="20"/>
          <w:color w:val="auto"/>
        </w:rPr>
      </w:pPr>
      <w:r>
        <w:rPr>
          <w:rFonts w:ascii="Times New Roman" w:cs="Times New Roman" w:eastAsia="Times New Roman" w:hAnsi="Times New Roman"/>
          <w:sz w:val="17"/>
          <w:szCs w:val="17"/>
          <w:b w:val="1"/>
          <w:bCs w:val="1"/>
          <w:color w:val="auto"/>
        </w:rPr>
        <w:t>PART II</w:t>
      </w:r>
    </w:p>
    <w:p>
      <w:pPr>
        <w:spacing w:after="0" w:line="32"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7"/>
          <w:szCs w:val="17"/>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26" w:lineRule="exact"/>
        <w:rPr>
          <w:sz w:val="20"/>
          <w:szCs w:val="20"/>
          <w:color w:val="auto"/>
        </w:rPr>
      </w:pPr>
    </w:p>
    <w:p>
      <w:pPr>
        <w:jc w:val="both"/>
        <w:ind w:firstLine="349"/>
        <w:spacing w:after="0" w:line="251" w:lineRule="auto"/>
        <w:rPr>
          <w:sz w:val="20"/>
          <w:szCs w:val="20"/>
          <w:color w:val="auto"/>
        </w:rPr>
      </w:pPr>
      <w:r>
        <w:rPr>
          <w:rFonts w:ascii="Times New Roman" w:cs="Times New Roman" w:eastAsia="Times New Roman" w:hAnsi="Times New Roman"/>
          <w:sz w:val="17"/>
          <w:szCs w:val="17"/>
          <w:color w:val="auto"/>
        </w:rPr>
        <w:t>We are not currently subject to any material legal proceedings, nor, to our knowledge, are any material legal proceedings threatened against us. From time to time, we may be a party to certain legal proceedings in the ordinary course of business, including proceedings relating to the enforcement of our rights under contracts with our portfolio companies. Furthermore, third parties may seek to impose liability on us in connection with the activities of our portfolio companies. Our business is also subject to extensive regulation, which may result in regulatory proceedings against us. While the outcome of any future legal or regulatory proceedings cannot be predicted with certainty, we do not expect that any such future proceedings will have a material effect upon our financial condition or results of operations.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1A. Risk Factors</w:t>
      </w:r>
    </w:p>
    <w:p>
      <w:pPr>
        <w:spacing w:after="0" w:line="246" w:lineRule="exact"/>
        <w:rPr>
          <w:sz w:val="20"/>
          <w:szCs w:val="20"/>
          <w:color w:val="auto"/>
        </w:rPr>
      </w:pPr>
    </w:p>
    <w:p>
      <w:pPr>
        <w:jc w:val="both"/>
        <w:ind w:firstLine="349"/>
        <w:spacing w:after="0" w:line="260" w:lineRule="auto"/>
        <w:rPr>
          <w:sz w:val="20"/>
          <w:szCs w:val="20"/>
          <w:color w:val="auto"/>
        </w:rPr>
      </w:pPr>
      <w:r>
        <w:rPr>
          <w:rFonts w:ascii="Times New Roman" w:cs="Times New Roman" w:eastAsia="Times New Roman" w:hAnsi="Times New Roman"/>
          <w:sz w:val="17"/>
          <w:szCs w:val="17"/>
          <w:color w:val="auto"/>
        </w:rPr>
        <w:t>Investing in our securities involves a number of significant risks. In addition to the other information contained in this report, you should carefully consider the factors discussed in our annual report on Form 10-K for the fiscal year ended December 31, 2021, filed with the SEC on March 11, 2022, which could materially affect our business, financial condition and/or operating results. Although the risks described in our annual report on Form 10-K for the fiscal year ended December 31, 2021 represent the principal risks associated with an investment in us, they are not the only risks we face. Additional risks and uncertainties not currently known to us, or that we currently deem to be immaterial, might materially and adversely affect our business, financial condition and/or operating results. There have been no material changes to the risk factors discussed in "Item 1A. Risk Factors" of Part I of our annual report on Form 10-K for the fiscal year ended December 31, 2021.</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70</w:t>
      </w:r>
    </w:p>
    <w:p>
      <w:pPr>
        <w:sectPr>
          <w:pgSz w:w="11900" w:h="16838" w:orient="portrait"/>
          <w:cols w:equalWidth="0" w:num="1">
            <w:col w:w="11240"/>
          </w:cols>
          <w:pgMar w:left="320" w:top="856" w:right="339" w:bottom="1440" w:gutter="0" w:footer="0" w:header="0"/>
        </w:sectPr>
      </w:pPr>
    </w:p>
    <w:bookmarkStart w:id="72" w:name="page73"/>
    <w:bookmarkEnd w:id="72"/>
    <w:p>
      <w:pPr>
        <w:spacing w:after="0"/>
        <w:tabs>
          <w:tab w:leader="none" w:pos="720" w:val="left"/>
        </w:tabs>
        <w:rPr>
          <w:sz w:val="20"/>
          <w:szCs w:val="20"/>
          <w:color w:val="auto"/>
        </w:rPr>
      </w:pPr>
      <w:r>
        <w:rPr>
          <w:rFonts w:ascii="Times New Roman" w:cs="Times New Roman" w:eastAsia="Times New Roman" w:hAnsi="Times New Roman"/>
          <w:sz w:val="17"/>
          <w:szCs w:val="17"/>
          <w:b w:val="1"/>
          <w:bCs w:val="1"/>
          <w:color w:val="auto"/>
        </w:rPr>
        <w:t>Item 2.</w:t>
        <w:tab/>
        <w:t>Unregistered Sales of Equity Securities and Use of Proceeds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Sales of Unregistered Equity Securities</w:t>
      </w:r>
    </w:p>
    <w:p>
      <w:pPr>
        <w:spacing w:after="0" w:line="24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We did not sell any equity securities during the period covered in this report that were not registered under the Securities Act of 1933, as amended.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308"/>
        </w:trPr>
        <w:tc>
          <w:tcPr>
            <w:tcW w:w="35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Issuer Purchases of Equity Securities</w:t>
            </w:r>
            <w:r>
              <w:rPr>
                <w:rFonts w:ascii="Times New Roman" w:cs="Times New Roman" w:eastAsia="Times New Roman" w:hAnsi="Times New Roman"/>
                <w:sz w:val="22"/>
                <w:szCs w:val="22"/>
                <w:b w:val="1"/>
                <w:bCs w:val="1"/>
                <w:color w:val="auto"/>
                <w:vertAlign w:val="superscript"/>
              </w:rPr>
              <w:t>(1)</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350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Information  relating  to  the  Company’s</w:t>
            </w:r>
          </w:p>
        </w:tc>
        <w:tc>
          <w:tcPr>
            <w:tcW w:w="26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purchases  of  its  common  stock</w:t>
            </w:r>
          </w:p>
        </w:tc>
        <w:tc>
          <w:tcPr>
            <w:tcW w:w="100" w:type="dxa"/>
            <w:vAlign w:val="bottom"/>
          </w:tcPr>
          <w:p>
            <w:pPr>
              <w:spacing w:after="0"/>
              <w:rPr>
                <w:sz w:val="24"/>
                <w:szCs w:val="24"/>
                <w:color w:val="auto"/>
              </w:rPr>
            </w:pPr>
          </w:p>
        </w:tc>
        <w:tc>
          <w:tcPr>
            <w:tcW w:w="4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94"/>
              </w:rPr>
              <w:t>during</w:t>
            </w:r>
          </w:p>
        </w:tc>
        <w:tc>
          <w:tcPr>
            <w:tcW w:w="140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auto"/>
              </w:rPr>
              <w:t>the  six  months</w:t>
            </w: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ended  June  30,</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2022</w:t>
            </w:r>
          </w:p>
        </w:tc>
        <w:tc>
          <w:tcPr>
            <w:tcW w:w="126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is  as  follows:</w:t>
            </w:r>
          </w:p>
        </w:tc>
        <w:tc>
          <w:tcPr>
            <w:tcW w:w="0" w:type="dxa"/>
            <w:vAlign w:val="bottom"/>
          </w:tcPr>
          <w:p>
            <w:pPr>
              <w:spacing w:after="0"/>
              <w:rPr>
                <w:sz w:val="1"/>
                <w:szCs w:val="1"/>
                <w:color w:val="auto"/>
              </w:rPr>
            </w:pPr>
          </w:p>
        </w:tc>
      </w:tr>
      <w:tr>
        <w:trPr>
          <w:trHeight w:val="156"/>
        </w:trPr>
        <w:tc>
          <w:tcPr>
            <w:tcW w:w="35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20" w:type="dxa"/>
            <w:vAlign w:val="bottom"/>
            <w:vMerge w:val="restart"/>
          </w:tcPr>
          <w:p>
            <w:pPr>
              <w:jc w:val="center"/>
              <w:ind w:right="161"/>
              <w:spacing w:after="0"/>
              <w:rPr>
                <w:sz w:val="20"/>
                <w:szCs w:val="20"/>
                <w:color w:val="auto"/>
              </w:rPr>
            </w:pPr>
            <w:r>
              <w:rPr>
                <w:rFonts w:ascii="Times New Roman" w:cs="Times New Roman" w:eastAsia="Times New Roman" w:hAnsi="Times New Roman"/>
                <w:sz w:val="14"/>
                <w:szCs w:val="14"/>
                <w:b w:val="1"/>
                <w:bCs w:val="1"/>
                <w:color w:val="auto"/>
                <w:w w:val="96"/>
              </w:rPr>
              <w:t>Total Number</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60" w:type="dxa"/>
            <w:vAlign w:val="bottom"/>
            <w:gridSpan w:val="2"/>
          </w:tcPr>
          <w:p>
            <w:pPr>
              <w:jc w:val="center"/>
              <w:ind w:right="360"/>
              <w:spacing w:after="0" w:line="157" w:lineRule="exact"/>
              <w:rPr>
                <w:sz w:val="20"/>
                <w:szCs w:val="20"/>
                <w:color w:val="auto"/>
              </w:rPr>
            </w:pPr>
            <w:r>
              <w:rPr>
                <w:rFonts w:ascii="Times New Roman" w:cs="Times New Roman" w:eastAsia="Times New Roman" w:hAnsi="Times New Roman"/>
                <w:sz w:val="14"/>
                <w:szCs w:val="14"/>
                <w:b w:val="1"/>
                <w:bCs w:val="1"/>
                <w:color w:val="auto"/>
                <w:w w:val="98"/>
              </w:rPr>
              <w:t>Approximate</w:t>
            </w:r>
          </w:p>
        </w:tc>
        <w:tc>
          <w:tcPr>
            <w:tcW w:w="0" w:type="dxa"/>
            <w:vAlign w:val="bottom"/>
          </w:tcPr>
          <w:p>
            <w:pPr>
              <w:spacing w:after="0"/>
              <w:rPr>
                <w:sz w:val="1"/>
                <w:szCs w:val="1"/>
                <w:color w:val="auto"/>
              </w:rPr>
            </w:pPr>
          </w:p>
        </w:tc>
      </w:tr>
      <w:tr>
        <w:trPr>
          <w:trHeight w:val="142"/>
        </w:trPr>
        <w:tc>
          <w:tcPr>
            <w:tcW w:w="35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60" w:type="dxa"/>
            <w:vAlign w:val="bottom"/>
            <w:gridSpan w:val="2"/>
          </w:tcPr>
          <w:p>
            <w:pPr>
              <w:jc w:val="center"/>
              <w:ind w:right="380"/>
              <w:spacing w:after="0" w:line="143" w:lineRule="exact"/>
              <w:rPr>
                <w:sz w:val="20"/>
                <w:szCs w:val="20"/>
                <w:color w:val="auto"/>
              </w:rPr>
            </w:pPr>
            <w:r>
              <w:rPr>
                <w:rFonts w:ascii="Times New Roman" w:cs="Times New Roman" w:eastAsia="Times New Roman" w:hAnsi="Times New Roman"/>
                <w:sz w:val="14"/>
                <w:szCs w:val="14"/>
                <w:b w:val="1"/>
                <w:bCs w:val="1"/>
                <w:color w:val="auto"/>
                <w:w w:val="95"/>
              </w:rPr>
              <w:t>Dollar Value of</w:t>
            </w:r>
          </w:p>
        </w:tc>
        <w:tc>
          <w:tcPr>
            <w:tcW w:w="0" w:type="dxa"/>
            <w:vAlign w:val="bottom"/>
          </w:tcPr>
          <w:p>
            <w:pPr>
              <w:spacing w:after="0"/>
              <w:rPr>
                <w:sz w:val="1"/>
                <w:szCs w:val="1"/>
                <w:color w:val="auto"/>
              </w:rPr>
            </w:pPr>
          </w:p>
        </w:tc>
      </w:tr>
      <w:tr>
        <w:trPr>
          <w:trHeight w:val="141"/>
        </w:trPr>
        <w:tc>
          <w:tcPr>
            <w:tcW w:w="35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tcPr>
          <w:p>
            <w:pPr>
              <w:jc w:val="center"/>
              <w:ind w:right="161"/>
              <w:spacing w:after="0" w:line="141" w:lineRule="exact"/>
              <w:rPr>
                <w:sz w:val="20"/>
                <w:szCs w:val="20"/>
                <w:color w:val="auto"/>
              </w:rPr>
            </w:pPr>
            <w:r>
              <w:rPr>
                <w:rFonts w:ascii="Times New Roman" w:cs="Times New Roman" w:eastAsia="Times New Roman" w:hAnsi="Times New Roman"/>
                <w:sz w:val="14"/>
                <w:szCs w:val="14"/>
                <w:b w:val="1"/>
                <w:bCs w:val="1"/>
                <w:color w:val="auto"/>
                <w:w w:val="97"/>
              </w:rPr>
              <w:t>of Shares</w:t>
            </w:r>
          </w:p>
        </w:tc>
        <w:tc>
          <w:tcPr>
            <w:tcW w:w="100" w:type="dxa"/>
            <w:vAlign w:val="bottom"/>
          </w:tcPr>
          <w:p>
            <w:pPr>
              <w:spacing w:after="0"/>
              <w:rPr>
                <w:sz w:val="12"/>
                <w:szCs w:val="12"/>
                <w:color w:val="auto"/>
              </w:rPr>
            </w:pPr>
          </w:p>
        </w:tc>
        <w:tc>
          <w:tcPr>
            <w:tcW w:w="1600" w:type="dxa"/>
            <w:vAlign w:val="bottom"/>
            <w:gridSpan w:val="3"/>
          </w:tcPr>
          <w:p>
            <w:pPr>
              <w:jc w:val="center"/>
              <w:ind w:right="40"/>
              <w:spacing w:after="0" w:line="141" w:lineRule="exact"/>
              <w:rPr>
                <w:sz w:val="20"/>
                <w:szCs w:val="20"/>
                <w:color w:val="auto"/>
              </w:rPr>
            </w:pPr>
            <w:r>
              <w:rPr>
                <w:rFonts w:ascii="Times New Roman" w:cs="Times New Roman" w:eastAsia="Times New Roman" w:hAnsi="Times New Roman"/>
                <w:sz w:val="14"/>
                <w:szCs w:val="14"/>
                <w:b w:val="1"/>
                <w:bCs w:val="1"/>
                <w:color w:val="auto"/>
                <w:w w:val="97"/>
              </w:rPr>
              <w:t>Shares that May</w:t>
            </w:r>
          </w:p>
        </w:tc>
        <w:tc>
          <w:tcPr>
            <w:tcW w:w="0" w:type="dxa"/>
            <w:vAlign w:val="bottom"/>
          </w:tcPr>
          <w:p>
            <w:pPr>
              <w:spacing w:after="0"/>
              <w:rPr>
                <w:sz w:val="1"/>
                <w:szCs w:val="1"/>
                <w:color w:val="auto"/>
              </w:rPr>
            </w:pPr>
          </w:p>
        </w:tc>
      </w:tr>
      <w:tr>
        <w:trPr>
          <w:trHeight w:val="142"/>
        </w:trPr>
        <w:tc>
          <w:tcPr>
            <w:tcW w:w="35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0" w:type="dxa"/>
            <w:vAlign w:val="bottom"/>
            <w:gridSpan w:val="3"/>
            <w:vMerge w:val="restart"/>
          </w:tcPr>
          <w:p>
            <w:pPr>
              <w:jc w:val="center"/>
              <w:ind w:right="800"/>
              <w:spacing w:after="0"/>
              <w:rPr>
                <w:sz w:val="20"/>
                <w:szCs w:val="20"/>
                <w:color w:val="auto"/>
              </w:rPr>
            </w:pPr>
            <w:r>
              <w:rPr>
                <w:rFonts w:ascii="Times New Roman" w:cs="Times New Roman" w:eastAsia="Times New Roman" w:hAnsi="Times New Roman"/>
                <w:sz w:val="14"/>
                <w:szCs w:val="14"/>
                <w:b w:val="1"/>
                <w:bCs w:val="1"/>
                <w:color w:val="auto"/>
                <w:w w:val="96"/>
              </w:rPr>
              <w:t>Average</w:t>
            </w:r>
          </w:p>
        </w:tc>
        <w:tc>
          <w:tcPr>
            <w:tcW w:w="1420" w:type="dxa"/>
            <w:vAlign w:val="bottom"/>
          </w:tcPr>
          <w:p>
            <w:pPr>
              <w:jc w:val="center"/>
              <w:ind w:right="161"/>
              <w:spacing w:after="0" w:line="143" w:lineRule="exact"/>
              <w:rPr>
                <w:sz w:val="20"/>
                <w:szCs w:val="20"/>
                <w:color w:val="auto"/>
              </w:rPr>
            </w:pPr>
            <w:r>
              <w:rPr>
                <w:rFonts w:ascii="Times New Roman" w:cs="Times New Roman" w:eastAsia="Times New Roman" w:hAnsi="Times New Roman"/>
                <w:sz w:val="14"/>
                <w:szCs w:val="14"/>
                <w:b w:val="1"/>
                <w:bCs w:val="1"/>
                <w:color w:val="auto"/>
                <w:w w:val="98"/>
              </w:rPr>
              <w:t>Purchased as</w:t>
            </w:r>
          </w:p>
        </w:tc>
        <w:tc>
          <w:tcPr>
            <w:tcW w:w="100" w:type="dxa"/>
            <w:vAlign w:val="bottom"/>
          </w:tcPr>
          <w:p>
            <w:pPr>
              <w:spacing w:after="0"/>
              <w:rPr>
                <w:sz w:val="12"/>
                <w:szCs w:val="12"/>
                <w:color w:val="auto"/>
              </w:rPr>
            </w:pPr>
          </w:p>
        </w:tc>
        <w:tc>
          <w:tcPr>
            <w:tcW w:w="1600" w:type="dxa"/>
            <w:vAlign w:val="bottom"/>
            <w:gridSpan w:val="3"/>
          </w:tcPr>
          <w:p>
            <w:pPr>
              <w:jc w:val="center"/>
              <w:ind w:right="40"/>
              <w:spacing w:after="0" w:line="143" w:lineRule="exact"/>
              <w:rPr>
                <w:sz w:val="20"/>
                <w:szCs w:val="20"/>
                <w:color w:val="auto"/>
              </w:rPr>
            </w:pPr>
            <w:r>
              <w:rPr>
                <w:rFonts w:ascii="Times New Roman" w:cs="Times New Roman" w:eastAsia="Times New Roman" w:hAnsi="Times New Roman"/>
                <w:sz w:val="14"/>
                <w:szCs w:val="14"/>
                <w:b w:val="1"/>
                <w:bCs w:val="1"/>
                <w:color w:val="auto"/>
                <w:w w:val="97"/>
              </w:rPr>
              <w:t>Yet Be Purchased</w:t>
            </w:r>
          </w:p>
        </w:tc>
        <w:tc>
          <w:tcPr>
            <w:tcW w:w="0" w:type="dxa"/>
            <w:vAlign w:val="bottom"/>
          </w:tcPr>
          <w:p>
            <w:pPr>
              <w:spacing w:after="0"/>
              <w:rPr>
                <w:sz w:val="1"/>
                <w:szCs w:val="1"/>
                <w:color w:val="auto"/>
              </w:rPr>
            </w:pPr>
          </w:p>
        </w:tc>
      </w:tr>
      <w:tr>
        <w:trPr>
          <w:trHeight w:val="131"/>
        </w:trPr>
        <w:tc>
          <w:tcPr>
            <w:tcW w:w="35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4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w w:val="98"/>
              </w:rPr>
              <w:t>Number of</w:t>
            </w: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0" w:type="dxa"/>
            <w:vAlign w:val="bottom"/>
            <w:gridSpan w:val="3"/>
            <w:vMerge w:val="continue"/>
          </w:tcPr>
          <w:p>
            <w:pPr>
              <w:spacing w:after="0"/>
              <w:rPr>
                <w:sz w:val="11"/>
                <w:szCs w:val="11"/>
                <w:color w:val="auto"/>
              </w:rPr>
            </w:pPr>
          </w:p>
        </w:tc>
        <w:tc>
          <w:tcPr>
            <w:tcW w:w="1420" w:type="dxa"/>
            <w:vAlign w:val="bottom"/>
          </w:tcPr>
          <w:p>
            <w:pPr>
              <w:jc w:val="center"/>
              <w:ind w:right="141"/>
              <w:spacing w:after="0" w:line="131" w:lineRule="exact"/>
              <w:rPr>
                <w:sz w:val="20"/>
                <w:szCs w:val="20"/>
                <w:color w:val="auto"/>
              </w:rPr>
            </w:pPr>
            <w:r>
              <w:rPr>
                <w:rFonts w:ascii="Times New Roman" w:cs="Times New Roman" w:eastAsia="Times New Roman" w:hAnsi="Times New Roman"/>
                <w:sz w:val="14"/>
                <w:szCs w:val="14"/>
                <w:b w:val="1"/>
                <w:bCs w:val="1"/>
                <w:color w:val="auto"/>
                <w:w w:val="97"/>
              </w:rPr>
              <w:t>Part of Publicly</w:t>
            </w:r>
          </w:p>
        </w:tc>
        <w:tc>
          <w:tcPr>
            <w:tcW w:w="100" w:type="dxa"/>
            <w:vAlign w:val="bottom"/>
          </w:tcPr>
          <w:p>
            <w:pPr>
              <w:spacing w:after="0"/>
              <w:rPr>
                <w:sz w:val="11"/>
                <w:szCs w:val="11"/>
                <w:color w:val="auto"/>
              </w:rPr>
            </w:pPr>
          </w:p>
        </w:tc>
        <w:tc>
          <w:tcPr>
            <w:tcW w:w="1600" w:type="dxa"/>
            <w:vAlign w:val="bottom"/>
            <w:gridSpan w:val="3"/>
          </w:tcPr>
          <w:p>
            <w:pPr>
              <w:jc w:val="center"/>
              <w:ind w:right="40"/>
              <w:spacing w:after="0" w:line="131" w:lineRule="exact"/>
              <w:rPr>
                <w:sz w:val="20"/>
                <w:szCs w:val="20"/>
                <w:color w:val="auto"/>
              </w:rPr>
            </w:pPr>
            <w:r>
              <w:rPr>
                <w:rFonts w:ascii="Times New Roman" w:cs="Times New Roman" w:eastAsia="Times New Roman" w:hAnsi="Times New Roman"/>
                <w:sz w:val="14"/>
                <w:szCs w:val="14"/>
                <w:b w:val="1"/>
                <w:bCs w:val="1"/>
                <w:color w:val="auto"/>
                <w:w w:val="97"/>
              </w:rPr>
              <w:t>Under the Share</w:t>
            </w:r>
          </w:p>
        </w:tc>
        <w:tc>
          <w:tcPr>
            <w:tcW w:w="0" w:type="dxa"/>
            <w:vAlign w:val="bottom"/>
          </w:tcPr>
          <w:p>
            <w:pPr>
              <w:spacing w:after="0"/>
              <w:rPr>
                <w:sz w:val="1"/>
                <w:szCs w:val="1"/>
                <w:color w:val="auto"/>
              </w:rPr>
            </w:pPr>
          </w:p>
        </w:tc>
      </w:tr>
      <w:tr>
        <w:trPr>
          <w:trHeight w:val="141"/>
        </w:trPr>
        <w:tc>
          <w:tcPr>
            <w:tcW w:w="35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3"/>
              </w:rPr>
              <w:t>Shares</w:t>
            </w:r>
          </w:p>
        </w:tc>
        <w:tc>
          <w:tcPr>
            <w:tcW w:w="100" w:type="dxa"/>
            <w:vAlign w:val="bottom"/>
          </w:tcPr>
          <w:p>
            <w:pPr>
              <w:spacing w:after="0"/>
              <w:rPr>
                <w:sz w:val="12"/>
                <w:szCs w:val="12"/>
                <w:color w:val="auto"/>
              </w:rPr>
            </w:pPr>
          </w:p>
        </w:tc>
        <w:tc>
          <w:tcPr>
            <w:tcW w:w="1880" w:type="dxa"/>
            <w:vAlign w:val="bottom"/>
            <w:gridSpan w:val="4"/>
          </w:tcPr>
          <w:p>
            <w:pPr>
              <w:jc w:val="center"/>
              <w:ind w:right="320"/>
              <w:spacing w:after="0" w:line="141" w:lineRule="exact"/>
              <w:rPr>
                <w:sz w:val="20"/>
                <w:szCs w:val="20"/>
                <w:color w:val="auto"/>
              </w:rPr>
            </w:pPr>
            <w:r>
              <w:rPr>
                <w:rFonts w:ascii="Times New Roman" w:cs="Times New Roman" w:eastAsia="Times New Roman" w:hAnsi="Times New Roman"/>
                <w:sz w:val="14"/>
                <w:szCs w:val="14"/>
                <w:b w:val="1"/>
                <w:bCs w:val="1"/>
                <w:color w:val="auto"/>
                <w:w w:val="96"/>
              </w:rPr>
              <w:t>Price Paid</w:t>
            </w:r>
          </w:p>
        </w:tc>
        <w:tc>
          <w:tcPr>
            <w:tcW w:w="1420" w:type="dxa"/>
            <w:vAlign w:val="bottom"/>
          </w:tcPr>
          <w:p>
            <w:pPr>
              <w:jc w:val="center"/>
              <w:ind w:right="141"/>
              <w:spacing w:after="0" w:line="141" w:lineRule="exact"/>
              <w:rPr>
                <w:sz w:val="20"/>
                <w:szCs w:val="20"/>
                <w:color w:val="auto"/>
              </w:rPr>
            </w:pPr>
            <w:r>
              <w:rPr>
                <w:rFonts w:ascii="Times New Roman" w:cs="Times New Roman" w:eastAsia="Times New Roman" w:hAnsi="Times New Roman"/>
                <w:sz w:val="14"/>
                <w:szCs w:val="14"/>
                <w:b w:val="1"/>
                <w:bCs w:val="1"/>
                <w:color w:val="auto"/>
                <w:w w:val="99"/>
              </w:rPr>
              <w:t>Announced</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60" w:type="dxa"/>
            <w:vAlign w:val="bottom"/>
            <w:gridSpan w:val="2"/>
          </w:tcPr>
          <w:p>
            <w:pPr>
              <w:jc w:val="center"/>
              <w:ind w:right="360"/>
              <w:spacing w:after="0" w:line="141" w:lineRule="exact"/>
              <w:rPr>
                <w:sz w:val="20"/>
                <w:szCs w:val="20"/>
                <w:color w:val="auto"/>
              </w:rPr>
            </w:pPr>
            <w:r>
              <w:rPr>
                <w:rFonts w:ascii="Times New Roman" w:cs="Times New Roman" w:eastAsia="Times New Roman" w:hAnsi="Times New Roman"/>
                <w:sz w:val="14"/>
                <w:szCs w:val="14"/>
                <w:b w:val="1"/>
                <w:bCs w:val="1"/>
                <w:color w:val="auto"/>
                <w:w w:val="98"/>
              </w:rPr>
              <w:t>Repurchase</w:t>
            </w:r>
          </w:p>
        </w:tc>
        <w:tc>
          <w:tcPr>
            <w:tcW w:w="0" w:type="dxa"/>
            <w:vAlign w:val="bottom"/>
          </w:tcPr>
          <w:p>
            <w:pPr>
              <w:spacing w:after="0"/>
              <w:rPr>
                <w:sz w:val="1"/>
                <w:szCs w:val="1"/>
                <w:color w:val="auto"/>
              </w:rPr>
            </w:pPr>
          </w:p>
        </w:tc>
      </w:tr>
      <w:tr>
        <w:trPr>
          <w:trHeight w:val="189"/>
        </w:trPr>
        <w:tc>
          <w:tcPr>
            <w:tcW w:w="3500" w:type="dxa"/>
            <w:vAlign w:val="bottom"/>
            <w:vMerge w:val="continue"/>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Purchased</w:t>
            </w:r>
            <w:r>
              <w:rPr>
                <w:rFonts w:ascii="Times New Roman" w:cs="Times New Roman" w:eastAsia="Times New Roman" w:hAnsi="Times New Roman"/>
                <w:sz w:val="8"/>
                <w:szCs w:val="8"/>
                <w:b w:val="1"/>
                <w:bCs w:val="1"/>
                <w:color w:val="auto"/>
                <w:w w:val="99"/>
              </w:rPr>
              <w:t>(2)</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0" w:type="dxa"/>
            <w:vAlign w:val="bottom"/>
            <w:gridSpan w:val="3"/>
          </w:tcPr>
          <w:p>
            <w:pPr>
              <w:jc w:val="center"/>
              <w:ind w:right="820"/>
              <w:spacing w:after="0"/>
              <w:rPr>
                <w:sz w:val="20"/>
                <w:szCs w:val="20"/>
                <w:color w:val="auto"/>
              </w:rPr>
            </w:pPr>
            <w:r>
              <w:rPr>
                <w:rFonts w:ascii="Times New Roman" w:cs="Times New Roman" w:eastAsia="Times New Roman" w:hAnsi="Times New Roman"/>
                <w:sz w:val="14"/>
                <w:szCs w:val="14"/>
                <w:b w:val="1"/>
                <w:bCs w:val="1"/>
                <w:color w:val="auto"/>
                <w:w w:val="97"/>
              </w:rPr>
              <w:t>Per Share</w:t>
            </w:r>
          </w:p>
        </w:tc>
        <w:tc>
          <w:tcPr>
            <w:tcW w:w="1420" w:type="dxa"/>
            <w:vAlign w:val="bottom"/>
          </w:tcPr>
          <w:p>
            <w:pPr>
              <w:jc w:val="center"/>
              <w:ind w:right="161"/>
              <w:spacing w:after="0"/>
              <w:rPr>
                <w:sz w:val="20"/>
                <w:szCs w:val="20"/>
                <w:color w:val="auto"/>
              </w:rPr>
            </w:pPr>
            <w:r>
              <w:rPr>
                <w:rFonts w:ascii="Times New Roman" w:cs="Times New Roman" w:eastAsia="Times New Roman" w:hAnsi="Times New Roman"/>
                <w:sz w:val="14"/>
                <w:szCs w:val="14"/>
                <w:b w:val="1"/>
                <w:bCs w:val="1"/>
                <w:color w:val="auto"/>
                <w:w w:val="98"/>
              </w:rPr>
              <w:t>Plans or Programs</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6"/>
              </w:rPr>
              <w:t>Program</w:t>
            </w:r>
          </w:p>
        </w:tc>
        <w:tc>
          <w:tcPr>
            <w:tcW w:w="0" w:type="dxa"/>
            <w:vAlign w:val="bottom"/>
          </w:tcPr>
          <w:p>
            <w:pPr>
              <w:spacing w:after="0"/>
              <w:rPr>
                <w:sz w:val="1"/>
                <w:szCs w:val="1"/>
                <w:color w:val="auto"/>
              </w:rPr>
            </w:pPr>
          </w:p>
        </w:tc>
      </w:tr>
      <w:tr>
        <w:trPr>
          <w:trHeight w:val="218"/>
        </w:trPr>
        <w:tc>
          <w:tcPr>
            <w:tcW w:w="35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January 1 through January 31, 2022</w:t>
            </w: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67"/>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9,617,312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February 1 through February 28, 2022</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jc w:val="right"/>
              <w:ind w:right="4"/>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0" w:type="dxa"/>
            <w:vAlign w:val="bottom"/>
            <w:gridSpan w:val="3"/>
          </w:tcPr>
          <w:p>
            <w:pPr>
              <w:jc w:val="right"/>
              <w:ind w:right="400"/>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Pr>
          <w:p>
            <w:pPr>
              <w:jc w:val="right"/>
              <w:ind w:right="1"/>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9,617,312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March 1 through March 31, 2022</w:t>
            </w:r>
          </w:p>
        </w:tc>
        <w:tc>
          <w:tcPr>
            <w:tcW w:w="2640" w:type="dxa"/>
            <w:vAlign w:val="bottom"/>
            <w:gridSpan w:val="3"/>
            <w:shd w:val="clear" w:color="auto" w:fill="CCEEFF"/>
          </w:tcPr>
          <w:p>
            <w:pPr>
              <w:jc w:val="right"/>
              <w:ind w:right="4"/>
              <w:spacing w:after="0"/>
              <w:rPr>
                <w:sz w:val="20"/>
                <w:szCs w:val="20"/>
                <w:color w:val="auto"/>
              </w:rPr>
            </w:pPr>
            <w:r>
              <w:rPr>
                <w:rFonts w:ascii="Times New Roman" w:cs="Times New Roman" w:eastAsia="Times New Roman" w:hAnsi="Times New Roman"/>
                <w:sz w:val="17"/>
                <w:szCs w:val="17"/>
                <w:color w:val="auto"/>
              </w:rPr>
              <w:t>153,517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153,517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23,257,705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April 1 through April 30, 2022</w:t>
            </w:r>
          </w:p>
        </w:tc>
        <w:tc>
          <w:tcPr>
            <w:tcW w:w="2640" w:type="dxa"/>
            <w:vAlign w:val="bottom"/>
            <w:gridSpan w:val="3"/>
          </w:tcPr>
          <w:p>
            <w:pPr>
              <w:jc w:val="right"/>
              <w:ind w:right="4"/>
              <w:spacing w:after="0"/>
              <w:rPr>
                <w:sz w:val="20"/>
                <w:szCs w:val="20"/>
                <w:color w:val="auto"/>
              </w:rPr>
            </w:pPr>
            <w:r>
              <w:rPr>
                <w:rFonts w:ascii="Times New Roman" w:cs="Times New Roman" w:eastAsia="Times New Roman" w:hAnsi="Times New Roman"/>
                <w:sz w:val="17"/>
                <w:szCs w:val="17"/>
                <w:color w:val="auto"/>
              </w:rPr>
              <w:t>431,134</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ind w:right="1"/>
              <w:spacing w:after="0"/>
              <w:rPr>
                <w:sz w:val="20"/>
                <w:szCs w:val="20"/>
                <w:color w:val="auto"/>
              </w:rPr>
            </w:pPr>
            <w:r>
              <w:rPr>
                <w:rFonts w:ascii="Times New Roman" w:cs="Times New Roman" w:eastAsia="Times New Roman" w:hAnsi="Times New Roman"/>
                <w:sz w:val="17"/>
                <w:szCs w:val="17"/>
                <w:color w:val="auto"/>
              </w:rPr>
              <w:t>431,134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19,562,554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May 1 through May 31, 2022</w:t>
            </w:r>
          </w:p>
        </w:tc>
        <w:tc>
          <w:tcPr>
            <w:tcW w:w="2640" w:type="dxa"/>
            <w:vAlign w:val="bottom"/>
            <w:gridSpan w:val="3"/>
            <w:shd w:val="clear" w:color="auto" w:fill="CCEEFF"/>
          </w:tcPr>
          <w:p>
            <w:pPr>
              <w:jc w:val="right"/>
              <w:ind w:right="4"/>
              <w:spacing w:after="0"/>
              <w:rPr>
                <w:sz w:val="20"/>
                <w:szCs w:val="20"/>
                <w:color w:val="auto"/>
              </w:rPr>
            </w:pPr>
            <w:r>
              <w:rPr>
                <w:rFonts w:ascii="Times New Roman" w:cs="Times New Roman" w:eastAsia="Times New Roman" w:hAnsi="Times New Roman"/>
                <w:sz w:val="17"/>
                <w:szCs w:val="17"/>
                <w:color w:val="auto"/>
              </w:rPr>
              <w:t>250,000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250,000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17,540,619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June 1 through June 30, 2022</w:t>
            </w:r>
          </w:p>
        </w:tc>
        <w:tc>
          <w:tcPr>
            <w:tcW w:w="2640" w:type="dxa"/>
            <w:vAlign w:val="bottom"/>
            <w:gridSpan w:val="3"/>
          </w:tcPr>
          <w:p>
            <w:pPr>
              <w:jc w:val="right"/>
              <w:ind w:right="4"/>
              <w:spacing w:after="0"/>
              <w:rPr>
                <w:sz w:val="20"/>
                <w:szCs w:val="20"/>
                <w:color w:val="auto"/>
              </w:rPr>
            </w:pPr>
            <w:r>
              <w:rPr>
                <w:rFonts w:ascii="Times New Roman" w:cs="Times New Roman" w:eastAsia="Times New Roman" w:hAnsi="Times New Roman"/>
                <w:sz w:val="17"/>
                <w:szCs w:val="17"/>
                <w:color w:val="auto"/>
              </w:rPr>
              <w:t>174,025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ind w:right="1"/>
              <w:spacing w:after="0"/>
              <w:rPr>
                <w:sz w:val="20"/>
                <w:szCs w:val="20"/>
                <w:color w:val="auto"/>
              </w:rPr>
            </w:pPr>
            <w:r>
              <w:rPr>
                <w:rFonts w:ascii="Times New Roman" w:cs="Times New Roman" w:eastAsia="Times New Roman" w:hAnsi="Times New Roman"/>
                <w:sz w:val="17"/>
                <w:szCs w:val="17"/>
                <w:color w:val="auto"/>
              </w:rPr>
              <w:t>174,025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16,364,771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35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10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54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7"/>
                <w:szCs w:val="17"/>
                <w:b w:val="1"/>
                <w:bCs w:val="1"/>
                <w:color w:val="auto"/>
              </w:rPr>
              <w:t>1,008,676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80" w:type="dxa"/>
            <w:vAlign w:val="bottom"/>
            <w:tcBorders>
              <w:top w:val="single" w:sz="8" w:color="CCEEFF"/>
              <w:bottom w:val="single" w:sz="8" w:color="CCEEFF"/>
            </w:tcBorders>
            <w:shd w:val="clear" w:color="auto" w:fill="CCEEFF"/>
          </w:tcPr>
          <w:p>
            <w:pPr>
              <w:spacing w:after="0"/>
              <w:rPr>
                <w:sz w:val="20"/>
                <w:szCs w:val="20"/>
                <w:color w:val="auto"/>
              </w:rPr>
            </w:pPr>
          </w:p>
        </w:tc>
        <w:tc>
          <w:tcPr>
            <w:tcW w:w="10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142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b w:val="1"/>
                <w:bCs w:val="1"/>
                <w:color w:val="auto"/>
              </w:rPr>
              <w:t>1,008,676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CCEEFF"/>
              <w:bottom w:val="single" w:sz="8" w:color="CCEEFF"/>
            </w:tcBorders>
            <w:shd w:val="clear" w:color="auto" w:fill="CCEEFF"/>
          </w:tcPr>
          <w:p>
            <w:pPr>
              <w:spacing w:after="0"/>
              <w:rPr>
                <w:sz w:val="20"/>
                <w:szCs w:val="20"/>
                <w:color w:val="auto"/>
              </w:rPr>
            </w:pPr>
          </w:p>
        </w:tc>
        <w:tc>
          <w:tcPr>
            <w:tcW w:w="1220" w:type="dxa"/>
            <w:vAlign w:val="bottom"/>
            <w:tcBorders>
              <w:top w:val="single" w:sz="8" w:color="CCEEFF"/>
              <w:bottom w:val="single" w:sz="8" w:color="CCEEFF"/>
            </w:tcBorders>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w:t>
      </w:r>
    </w:p>
    <w:p>
      <w:pPr>
        <w:spacing w:after="0" w:line="21" w:lineRule="exact"/>
        <w:rPr>
          <w:sz w:val="20"/>
          <w:szCs w:val="20"/>
          <w:color w:val="auto"/>
        </w:rPr>
      </w:pPr>
    </w:p>
    <w:p>
      <w:pPr>
        <w:jc w:val="both"/>
        <w:ind w:left="460" w:hanging="457"/>
        <w:spacing w:after="0" w:line="268" w:lineRule="auto"/>
        <w:tabs>
          <w:tab w:leader="none" w:pos="46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August 8, 2017, we announced the $5.0 million discretionary open-market Share Repurchase Program under which our Board of Directors authorized the repurchase of shares of our common stock in the open market until the earlier of (i) August 6, 2018 or (ii) the repurchase of $5.0 million in aggregate amount of our common stock. On November 7, 2017, our Board of Directors authorized an extension of, and an increase in the amount of shares of our common stock that may be repurchased under, the discretionary Share Repurchase Program until the earlier of (i) November 6, 2018 or (ii) the repurchase of $10.0 million in aggregate amount of our common stock. On May 3, 2018, the Company’s Board of Directors authorized an additional $5.0 million increase in the amount of shares of our common stock that may be repurchased under the discretionary Share Repurchase Program until the earlier of (i) November 6, 2018 or (ii) the repurchase of $15.0 million in aggregate amount of our common stock. On November 1, 2018, the Company’s Board of Directors authorized a $5.0 million increase in the amount of shares of the Company’s common stock that may be repurchased under the discretionary Share Repurchase Program until the earlier of (i) October 31, 2019 or (ii) the repurchase of $20.0 million in aggregate amount of the Company’s common stock. On August 5, 2019, our Board of Directors authorized a $5.0 million increase in the amount of shares of our common stock that may be repurchased under the discretionary Share Repurchase Program until the earlier of (i) August 4, 2020 or (ii) the repurchase of $25.0 million in aggregate amount of our common stock. On March 9, 2020, our Board of Directors authorized a $5.0 million increase in the amount of shares of our common stock that may be repurchased under the discretionary Share Repurchase Program until the earlier of (i) March 8, 2021 or (ii) the repurchase of $30.0 million in aggregate amount of our common stock. On October 28, 2020, our Board of Directors authorized a $10.0 million increase in the amount of shares of our common stock that may be repurchased under the discretionary Share Repurchase Program until the earlier of (i) October 31, 2021 or (ii) the repurchase of $40.0 million in aggregate amount of our common stock. On October 27, 2021, our Board of Directors approved an extension of the Share Repurchase Program until the earlier of (i) October 31, 2022 or (ii) the repurchase of $40.0 million in aggregate amount of our common stock. On March 13, 2022, our Board of Directors authorized a $15.0 million increase in the amount of shares of our common stock that may be repurchased under the discretionary Share Repurchase Program until the earlier of (i) October 31, 2022 or (ii) the repurchase of $55.0 million in aggregate amount of our common stock. The timing and number of shares to be repurchased will depend on a number of factors, including market conditions and alternative investment opportunities. The Share Repurchase Program may be suspended, terminated or modified at any time for any reason and does not obligate us to acquire any specific number of shares of our common stock. During the three and six months ended June 30, 2022, we repurchased 855,159 and 1,008,676 shares, respectively, of our common stock under the Share Repurchase Program. During the three and six months ended June 30, 2021, the Company did not repurchase shares of common stock under the Share Repurchase Program. As of June 30, 2022, the dollar value of shares that remained available to be purchased by the Company under the Share Repurchase Program was approximately $16.4 million.</w:t>
      </w:r>
    </w:p>
    <w:p>
      <w:pPr>
        <w:spacing w:after="0" w:line="340" w:lineRule="exact"/>
        <w:rPr>
          <w:rFonts w:ascii="Times New Roman" w:cs="Times New Roman" w:eastAsia="Times New Roman" w:hAnsi="Times New Roman"/>
          <w:sz w:val="14"/>
          <w:szCs w:val="14"/>
          <w:color w:val="auto"/>
        </w:rPr>
      </w:pPr>
    </w:p>
    <w:p>
      <w:pPr>
        <w:ind w:left="460" w:hanging="457"/>
        <w:spacing w:after="0" w:line="249" w:lineRule="auto"/>
        <w:tabs>
          <w:tab w:leader="none" w:pos="46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purchases of our common stock made on the open market by or on behalf of any “affiliated purchaser,” as defined in Exchange Act Rule 10b-18(a)(3), of the Company.</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71</w:t>
      </w:r>
    </w:p>
    <w:p>
      <w:pPr>
        <w:sectPr>
          <w:pgSz w:w="11900" w:h="16838" w:orient="portrait"/>
          <w:cols w:equalWidth="0" w:num="1">
            <w:col w:w="11240"/>
          </w:cols>
          <w:pgMar w:left="320" w:top="1296"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7"/>
          <w:szCs w:val="17"/>
          <w:b w:val="1"/>
          <w:bCs w:val="1"/>
          <w:color w:val="auto"/>
        </w:rPr>
        <w:t>Item 3. Defaults Upon Senior Securities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None.</w:t>
      </w:r>
    </w:p>
    <w:p>
      <w:pPr>
        <w:spacing w:after="0" w:line="242"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7"/>
          <w:szCs w:val="17"/>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4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5. Other Information</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 applicable.</w:t>
      </w:r>
    </w:p>
    <w:p>
      <w:pPr>
        <w:spacing w:after="0" w:line="200" w:lineRule="exact"/>
        <w:rPr>
          <w:sz w:val="20"/>
          <w:szCs w:val="20"/>
          <w:color w:val="auto"/>
        </w:rPr>
      </w:pPr>
    </w:p>
    <w:p>
      <w:pPr>
        <w:spacing w:after="0" w:line="342"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7"/>
          <w:szCs w:val="17"/>
          <w:color w:val="auto"/>
        </w:rPr>
        <w:t>72</w:t>
      </w:r>
    </w:p>
    <w:p>
      <w:pPr>
        <w:sectPr>
          <w:pgSz w:w="11900" w:h="16838" w:orient="portrait"/>
          <w:cols w:equalWidth="0" w:num="1">
            <w:col w:w="10139"/>
          </w:cols>
          <w:pgMar w:left="320" w:top="856" w:right="1440"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7"/>
          <w:szCs w:val="17"/>
          <w:b w:val="1"/>
          <w:bCs w:val="1"/>
          <w:color w:val="auto"/>
        </w:rPr>
        <w:t>Item 6. Exhibits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exhibits are filed as part of this report or hereby incorporated by reference to exhibits previously filed with the SEC:</w:t>
      </w:r>
    </w:p>
    <w:p>
      <w:pPr>
        <w:spacing w:after="0" w:line="138" w:lineRule="exact"/>
        <w:rPr>
          <w:sz w:val="20"/>
          <w:szCs w:val="20"/>
          <w:color w:val="auto"/>
        </w:rPr>
      </w:pPr>
    </w:p>
    <w:p>
      <w:pPr>
        <w:ind w:left="240"/>
        <w:spacing w:after="0"/>
        <w:tabs>
          <w:tab w:leader="none" w:pos="68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7"/>
          <w:szCs w:val="17"/>
          <w:color w:val="auto"/>
        </w:rPr>
        <w:t>3.1</w:t>
      </w:r>
      <w:r>
        <w:rPr>
          <w:sz w:val="20"/>
          <w:szCs w:val="20"/>
          <w:color w:val="auto"/>
        </w:rPr>
        <w:tab/>
      </w:r>
      <w:hyperlink r:id="rId69">
        <w:r>
          <w:rPr>
            <w:rFonts w:ascii="Times New Roman" w:cs="Times New Roman" w:eastAsia="Times New Roman" w:hAnsi="Times New Roman"/>
            <w:sz w:val="16"/>
            <w:szCs w:val="16"/>
            <w:u w:val="single" w:color="auto"/>
            <w:color w:val="0000FF"/>
          </w:rPr>
          <w:t>Articles of Amendment and Restatement</w:t>
        </w:r>
      </w:hyperlink>
      <w:r>
        <w:rPr>
          <w:rFonts w:ascii="Times New Roman" w:cs="Times New Roman" w:eastAsia="Times New Roman" w:hAnsi="Times New Roman"/>
          <w:sz w:val="20"/>
          <w:szCs w:val="20"/>
          <w:color w:val="000000"/>
          <w:vertAlign w:val="superscript"/>
        </w:rPr>
        <w:t>(1)</w:t>
      </w:r>
    </w:p>
    <w:p>
      <w:pPr>
        <w:ind w:left="240"/>
        <w:spacing w:after="0" w:line="231" w:lineRule="auto"/>
        <w:tabs>
          <w:tab w:leader="none" w:pos="68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7"/>
          <w:szCs w:val="17"/>
          <w:color w:val="auto"/>
        </w:rPr>
        <w:t>3.2</w:t>
      </w:r>
      <w:r>
        <w:rPr>
          <w:sz w:val="20"/>
          <w:szCs w:val="20"/>
          <w:color w:val="auto"/>
        </w:rPr>
        <w:tab/>
      </w:r>
      <w:hyperlink r:id="rId70">
        <w:r>
          <w:rPr>
            <w:rFonts w:ascii="Times New Roman" w:cs="Times New Roman" w:eastAsia="Times New Roman" w:hAnsi="Times New Roman"/>
            <w:sz w:val="16"/>
            <w:szCs w:val="16"/>
            <w:u w:val="single" w:color="auto"/>
            <w:color w:val="0000FF"/>
          </w:rPr>
          <w:t>Articles of Amendment</w:t>
        </w:r>
      </w:hyperlink>
      <w:r>
        <w:rPr>
          <w:rFonts w:ascii="Times New Roman" w:cs="Times New Roman" w:eastAsia="Times New Roman" w:hAnsi="Times New Roman"/>
          <w:sz w:val="20"/>
          <w:szCs w:val="20"/>
          <w:color w:val="000000"/>
          <w:vertAlign w:val="superscript"/>
        </w:rPr>
        <w:t>(2)</w:t>
      </w:r>
    </w:p>
    <w:p>
      <w:pPr>
        <w:ind w:left="240"/>
        <w:spacing w:after="0" w:line="229" w:lineRule="auto"/>
        <w:tabs>
          <w:tab w:leader="none" w:pos="68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7"/>
          <w:szCs w:val="17"/>
          <w:color w:val="auto"/>
        </w:rPr>
        <w:t>3.3</w:t>
      </w:r>
      <w:r>
        <w:rPr>
          <w:sz w:val="20"/>
          <w:szCs w:val="20"/>
          <w:color w:val="auto"/>
        </w:rPr>
        <w:tab/>
      </w:r>
      <w:hyperlink r:id="rId71">
        <w:r>
          <w:rPr>
            <w:rFonts w:ascii="Times New Roman" w:cs="Times New Roman" w:eastAsia="Times New Roman" w:hAnsi="Times New Roman"/>
            <w:sz w:val="16"/>
            <w:szCs w:val="16"/>
            <w:u w:val="single" w:color="auto"/>
            <w:color w:val="0000FF"/>
          </w:rPr>
          <w:t>Articles of Amendment</w:t>
        </w:r>
      </w:hyperlink>
      <w:r>
        <w:rPr>
          <w:rFonts w:ascii="Times New Roman" w:cs="Times New Roman" w:eastAsia="Times New Roman" w:hAnsi="Times New Roman"/>
          <w:sz w:val="20"/>
          <w:szCs w:val="20"/>
          <w:color w:val="000000"/>
          <w:vertAlign w:val="superscript"/>
        </w:rPr>
        <w:t>(3)</w:t>
      </w:r>
    </w:p>
    <w:p>
      <w:pPr>
        <w:ind w:left="240"/>
        <w:spacing w:after="0" w:line="230" w:lineRule="auto"/>
        <w:tabs>
          <w:tab w:leader="none" w:pos="68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7"/>
          <w:szCs w:val="17"/>
          <w:color w:val="auto"/>
        </w:rPr>
        <w:t>3.4</w:t>
      </w:r>
      <w:r>
        <w:rPr>
          <w:sz w:val="20"/>
          <w:szCs w:val="20"/>
          <w:color w:val="auto"/>
        </w:rPr>
        <w:tab/>
      </w:r>
      <w:hyperlink r:id="rId72">
        <w:r>
          <w:rPr>
            <w:rFonts w:ascii="Times New Roman" w:cs="Times New Roman" w:eastAsia="Times New Roman" w:hAnsi="Times New Roman"/>
            <w:sz w:val="16"/>
            <w:szCs w:val="16"/>
            <w:u w:val="single" w:color="auto"/>
            <w:color w:val="0000FF"/>
          </w:rPr>
          <w:t>Articles of Amendment</w:t>
        </w:r>
      </w:hyperlink>
      <w:r>
        <w:rPr>
          <w:rFonts w:ascii="Times New Roman" w:cs="Times New Roman" w:eastAsia="Times New Roman" w:hAnsi="Times New Roman"/>
          <w:sz w:val="20"/>
          <w:szCs w:val="20"/>
          <w:color w:val="000000"/>
          <w:vertAlign w:val="superscript"/>
        </w:rPr>
        <w:t>(4)</w:t>
      </w:r>
    </w:p>
    <w:p>
      <w:pPr>
        <w:ind w:left="240"/>
        <w:spacing w:after="0" w:line="219" w:lineRule="auto"/>
        <w:tabs>
          <w:tab w:leader="none" w:pos="68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3.5</w:t>
      </w:r>
      <w:r>
        <w:rPr>
          <w:sz w:val="20"/>
          <w:szCs w:val="20"/>
          <w:color w:val="auto"/>
        </w:rPr>
        <w:tab/>
      </w:r>
      <w:hyperlink r:id="rId73">
        <w:r>
          <w:rPr>
            <w:rFonts w:ascii="Times New Roman" w:cs="Times New Roman" w:eastAsia="Times New Roman" w:hAnsi="Times New Roman"/>
            <w:sz w:val="17"/>
            <w:szCs w:val="17"/>
            <w:u w:val="single" w:color="auto"/>
            <w:color w:val="0000FF"/>
          </w:rPr>
          <w:t>Second Amended and Restated Bylaws</w:t>
        </w:r>
      </w:hyperlink>
      <w:r>
        <w:rPr>
          <w:rFonts w:ascii="Times New Roman" w:cs="Times New Roman" w:eastAsia="Times New Roman" w:hAnsi="Times New Roman"/>
          <w:sz w:val="21"/>
          <w:szCs w:val="21"/>
          <w:color w:val="000000"/>
          <w:vertAlign w:val="superscript"/>
        </w:rPr>
        <w:t>(4)</w:t>
      </w:r>
    </w:p>
    <w:p>
      <w:pPr>
        <w:ind w:left="240"/>
        <w:spacing w:after="0" w:line="218" w:lineRule="auto"/>
        <w:tabs>
          <w:tab w:leader="none" w:pos="68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4.1</w:t>
      </w:r>
      <w:r>
        <w:rPr>
          <w:sz w:val="20"/>
          <w:szCs w:val="20"/>
          <w:color w:val="auto"/>
        </w:rPr>
        <w:tab/>
      </w:r>
      <w:hyperlink r:id="rId74">
        <w:r>
          <w:rPr>
            <w:rFonts w:ascii="Times New Roman" w:cs="Times New Roman" w:eastAsia="Times New Roman" w:hAnsi="Times New Roman"/>
            <w:sz w:val="17"/>
            <w:szCs w:val="17"/>
            <w:u w:val="single" w:color="auto"/>
            <w:color w:val="0000FF"/>
          </w:rPr>
          <w:t>Base Indenture, dated March 28, 2018, by and between the Registrant and U.S. Bank National Association, as trustee</w:t>
        </w:r>
      </w:hyperlink>
      <w:r>
        <w:rPr>
          <w:rFonts w:ascii="Times New Roman" w:cs="Times New Roman" w:eastAsia="Times New Roman" w:hAnsi="Times New Roman"/>
          <w:sz w:val="22"/>
          <w:szCs w:val="22"/>
          <w:color w:val="000000"/>
          <w:vertAlign w:val="superscript"/>
        </w:rPr>
        <w:t>(5)</w:t>
      </w:r>
    </w:p>
    <w:p>
      <w:pPr>
        <w:spacing w:after="0" w:line="1" w:lineRule="exact"/>
        <w:rPr>
          <w:sz w:val="20"/>
          <w:szCs w:val="20"/>
          <w:color w:val="auto"/>
        </w:rPr>
      </w:pPr>
    </w:p>
    <w:p>
      <w:pPr>
        <w:ind w:left="700" w:right="640" w:hanging="460"/>
        <w:spacing w:after="0" w:line="208" w:lineRule="auto"/>
        <w:tabs>
          <w:tab w:leader="none" w:pos="680" w:val="left"/>
        </w:tabs>
        <w:rPr>
          <w:rFonts w:ascii="Times New Roman" w:cs="Times New Roman" w:eastAsia="Times New Roman" w:hAnsi="Times New Roman"/>
          <w:sz w:val="17"/>
          <w:szCs w:val="17"/>
          <w:color w:val="0000FF"/>
        </w:rPr>
      </w:pPr>
      <w:r>
        <w:rPr>
          <w:rFonts w:ascii="Times New Roman" w:cs="Times New Roman" w:eastAsia="Times New Roman" w:hAnsi="Times New Roman"/>
          <w:sz w:val="17"/>
          <w:szCs w:val="17"/>
          <w:color w:val="auto"/>
        </w:rPr>
        <w:t>4.2</w:t>
      </w:r>
      <w:r>
        <w:rPr>
          <w:sz w:val="20"/>
          <w:szCs w:val="20"/>
          <w:color w:val="auto"/>
        </w:rPr>
        <w:tab/>
      </w:r>
      <w:hyperlink r:id="rId75">
        <w:r>
          <w:rPr>
            <w:rFonts w:ascii="Times New Roman" w:cs="Times New Roman" w:eastAsia="Times New Roman" w:hAnsi="Times New Roman"/>
            <w:sz w:val="17"/>
            <w:szCs w:val="17"/>
            <w:u w:val="single" w:color="auto"/>
            <w:color w:val="0000FF"/>
          </w:rPr>
          <w:t>Second Supplemental Indenture, dated December 17, 2021, relating to the 6.00% Notes due 2026, by and between the Company and U.S. Bank</w:t>
        </w:r>
      </w:hyperlink>
      <w:r>
        <w:rPr>
          <w:rFonts w:ascii="Times New Roman" w:cs="Times New Roman" w:eastAsia="Times New Roman" w:hAnsi="Times New Roman"/>
          <w:sz w:val="17"/>
          <w:szCs w:val="17"/>
          <w:u w:val="single" w:color="auto"/>
          <w:color w:val="0000FF"/>
        </w:rPr>
        <w:t xml:space="preserve"> </w:t>
      </w:r>
      <w:hyperlink r:id="rId75">
        <w:r>
          <w:rPr>
            <w:rFonts w:ascii="Times New Roman" w:cs="Times New Roman" w:eastAsia="Times New Roman" w:hAnsi="Times New Roman"/>
            <w:sz w:val="17"/>
            <w:szCs w:val="17"/>
            <w:u w:val="single" w:color="auto"/>
            <w:color w:val="0000FF"/>
          </w:rPr>
          <w:t>National Association, as trustee</w:t>
        </w:r>
        <w:r>
          <w:rPr>
            <w:rFonts w:ascii="Times New Roman" w:cs="Times New Roman" w:eastAsia="Times New Roman" w:hAnsi="Times New Roman"/>
            <w:sz w:val="22"/>
            <w:szCs w:val="22"/>
            <w:color w:val="000000"/>
            <w:vertAlign w:val="superscript"/>
          </w:rPr>
          <w:t>(6)</w:t>
        </w:r>
      </w:hyperlink>
    </w:p>
    <w:p>
      <w:pPr>
        <w:ind w:left="240"/>
        <w:spacing w:after="0" w:line="210" w:lineRule="auto"/>
        <w:tabs>
          <w:tab w:leader="none" w:pos="68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4.3</w:t>
      </w:r>
      <w:r>
        <w:rPr>
          <w:sz w:val="20"/>
          <w:szCs w:val="20"/>
          <w:color w:val="auto"/>
        </w:rPr>
        <w:tab/>
      </w:r>
      <w:hyperlink r:id="rId76">
        <w:r>
          <w:rPr>
            <w:rFonts w:ascii="Times New Roman" w:cs="Times New Roman" w:eastAsia="Times New Roman" w:hAnsi="Times New Roman"/>
            <w:sz w:val="17"/>
            <w:szCs w:val="17"/>
            <w:u w:val="single" w:color="auto"/>
            <w:color w:val="0000FF"/>
          </w:rPr>
          <w:t>Form of 6.00% Notes due 2026 (incorporated by reference to Exhibit 4.2)</w:t>
        </w:r>
      </w:hyperlink>
      <w:r>
        <w:rPr>
          <w:rFonts w:ascii="Times New Roman" w:cs="Times New Roman" w:eastAsia="Times New Roman" w:hAnsi="Times New Roman"/>
          <w:sz w:val="22"/>
          <w:szCs w:val="22"/>
          <w:color w:val="000000"/>
          <w:vertAlign w:val="superscript"/>
        </w:rPr>
        <w:t>(6)</w:t>
      </w:r>
    </w:p>
    <w:p>
      <w:pPr>
        <w:ind w:left="240"/>
        <w:spacing w:after="0"/>
        <w:tabs>
          <w:tab w:leader="none" w:pos="68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7"/>
          <w:szCs w:val="17"/>
          <w:color w:val="auto"/>
        </w:rPr>
        <w:t>4.4</w:t>
      </w:r>
      <w:r>
        <w:rPr>
          <w:sz w:val="20"/>
          <w:szCs w:val="20"/>
          <w:color w:val="auto"/>
        </w:rPr>
        <w:tab/>
      </w:r>
      <w:hyperlink r:id="rId77">
        <w:r>
          <w:rPr>
            <w:rFonts w:ascii="Times New Roman" w:cs="Times New Roman" w:eastAsia="Times New Roman" w:hAnsi="Times New Roman"/>
            <w:sz w:val="16"/>
            <w:szCs w:val="16"/>
            <w:u w:val="single" w:color="auto"/>
            <w:color w:val="0000FF"/>
          </w:rPr>
          <w:t>Description of Securities</w:t>
        </w:r>
      </w:hyperlink>
      <w:r>
        <w:rPr>
          <w:rFonts w:ascii="Times New Roman" w:cs="Times New Roman" w:eastAsia="Times New Roman" w:hAnsi="Times New Roman"/>
          <w:sz w:val="20"/>
          <w:szCs w:val="20"/>
          <w:color w:val="000000"/>
          <w:vertAlign w:val="superscript"/>
        </w:rPr>
        <w:t>(7)</w:t>
      </w:r>
    </w:p>
    <w:p>
      <w:pPr>
        <w:spacing w:after="0" w:line="1" w:lineRule="exact"/>
        <w:rPr>
          <w:sz w:val="20"/>
          <w:szCs w:val="20"/>
          <w:color w:val="auto"/>
        </w:rPr>
      </w:pPr>
    </w:p>
    <w:p>
      <w:pPr>
        <w:ind w:left="180"/>
        <w:spacing w:after="0"/>
        <w:tabs>
          <w:tab w:leader="none" w:pos="680" w:val="left"/>
        </w:tabs>
        <w:rPr>
          <w:sz w:val="20"/>
          <w:szCs w:val="20"/>
          <w:color w:val="auto"/>
        </w:rPr>
      </w:pPr>
      <w:r>
        <w:rPr>
          <w:rFonts w:ascii="Times New Roman" w:cs="Times New Roman" w:eastAsia="Times New Roman" w:hAnsi="Times New Roman"/>
          <w:sz w:val="17"/>
          <w:szCs w:val="17"/>
          <w:color w:val="auto"/>
        </w:rPr>
        <w:t>31.1</w:t>
      </w:r>
      <w:r>
        <w:rPr>
          <w:sz w:val="20"/>
          <w:szCs w:val="20"/>
          <w:color w:val="auto"/>
        </w:rPr>
        <w:tab/>
      </w:r>
      <w:r>
        <w:rPr>
          <w:rFonts w:ascii="Times New Roman" w:cs="Times New Roman" w:eastAsia="Times New Roman" w:hAnsi="Times New Roman"/>
          <w:sz w:val="17"/>
          <w:szCs w:val="17"/>
          <w:u w:val="single" w:color="auto"/>
          <w:color w:val="0000FF"/>
        </w:rPr>
        <w:t>Certification of Chief Executive Officer pursuant to Rule 13a-14 of the Securities Exchange Act of 1934, as amended*</w:t>
      </w:r>
    </w:p>
    <w:p>
      <w:pPr>
        <w:spacing w:after="0" w:line="10" w:lineRule="exact"/>
        <w:rPr>
          <w:sz w:val="20"/>
          <w:szCs w:val="20"/>
          <w:color w:val="auto"/>
        </w:rPr>
      </w:pPr>
    </w:p>
    <w:p>
      <w:pPr>
        <w:ind w:left="180"/>
        <w:spacing w:after="0"/>
        <w:tabs>
          <w:tab w:leader="none" w:pos="680" w:val="left"/>
        </w:tabs>
        <w:rPr>
          <w:sz w:val="20"/>
          <w:szCs w:val="20"/>
          <w:color w:val="auto"/>
        </w:rPr>
      </w:pPr>
      <w:r>
        <w:rPr>
          <w:rFonts w:ascii="Times New Roman" w:cs="Times New Roman" w:eastAsia="Times New Roman" w:hAnsi="Times New Roman"/>
          <w:sz w:val="17"/>
          <w:szCs w:val="17"/>
          <w:color w:val="auto"/>
        </w:rPr>
        <w:t>31.2</w:t>
      </w:r>
      <w:r>
        <w:rPr>
          <w:sz w:val="20"/>
          <w:szCs w:val="20"/>
          <w:color w:val="auto"/>
        </w:rPr>
        <w:tab/>
      </w:r>
      <w:r>
        <w:rPr>
          <w:rFonts w:ascii="Times New Roman" w:cs="Times New Roman" w:eastAsia="Times New Roman" w:hAnsi="Times New Roman"/>
          <w:sz w:val="17"/>
          <w:szCs w:val="17"/>
          <w:u w:val="single" w:color="auto"/>
          <w:color w:val="0000FF"/>
        </w:rPr>
        <w:t>Certification of Chief Financial Officer pursuant to Rule 13a-14 of the Securities Exchange Act of 1934, as amended*</w:t>
      </w:r>
    </w:p>
    <w:p>
      <w:pPr>
        <w:spacing w:after="0" w:line="45" w:lineRule="exact"/>
        <w:rPr>
          <w:sz w:val="20"/>
          <w:szCs w:val="20"/>
          <w:color w:val="auto"/>
        </w:rPr>
      </w:pPr>
    </w:p>
    <w:p>
      <w:pPr>
        <w:ind w:left="180"/>
        <w:spacing w:after="0"/>
        <w:tabs>
          <w:tab w:leader="none" w:pos="680" w:val="left"/>
        </w:tabs>
        <w:rPr>
          <w:sz w:val="20"/>
          <w:szCs w:val="20"/>
          <w:color w:val="auto"/>
        </w:rPr>
      </w:pPr>
      <w:r>
        <w:rPr>
          <w:rFonts w:ascii="Times New Roman" w:cs="Times New Roman" w:eastAsia="Times New Roman" w:hAnsi="Times New Roman"/>
          <w:sz w:val="17"/>
          <w:szCs w:val="17"/>
          <w:color w:val="auto"/>
        </w:rPr>
        <w:t>32.1</w:t>
      </w:r>
      <w:r>
        <w:rPr>
          <w:sz w:val="20"/>
          <w:szCs w:val="20"/>
          <w:color w:val="auto"/>
        </w:rPr>
        <w:tab/>
      </w:r>
      <w:r>
        <w:rPr>
          <w:rFonts w:ascii="Times New Roman" w:cs="Times New Roman" w:eastAsia="Times New Roman" w:hAnsi="Times New Roman"/>
          <w:sz w:val="17"/>
          <w:szCs w:val="17"/>
          <w:u w:val="single" w:color="auto"/>
          <w:color w:val="0000FF"/>
        </w:rPr>
        <w:t>Certification of Chief Executive Officer pursuant to Section 906 of the Sarbanes-Oxley Act of 2002*</w:t>
      </w:r>
    </w:p>
    <w:p>
      <w:pPr>
        <w:spacing w:after="0" w:line="30" w:lineRule="exact"/>
        <w:rPr>
          <w:sz w:val="20"/>
          <w:szCs w:val="20"/>
          <w:color w:val="auto"/>
        </w:rPr>
      </w:pPr>
    </w:p>
    <w:p>
      <w:pPr>
        <w:ind w:left="180"/>
        <w:spacing w:after="0"/>
        <w:tabs>
          <w:tab w:leader="none" w:pos="680" w:val="left"/>
        </w:tabs>
        <w:rPr>
          <w:sz w:val="20"/>
          <w:szCs w:val="20"/>
          <w:color w:val="auto"/>
        </w:rPr>
      </w:pPr>
      <w:r>
        <w:rPr>
          <w:rFonts w:ascii="Times New Roman" w:cs="Times New Roman" w:eastAsia="Times New Roman" w:hAnsi="Times New Roman"/>
          <w:sz w:val="17"/>
          <w:szCs w:val="17"/>
          <w:color w:val="auto"/>
        </w:rPr>
        <w:t>32.2</w:t>
      </w:r>
      <w:r>
        <w:rPr>
          <w:sz w:val="20"/>
          <w:szCs w:val="20"/>
          <w:color w:val="auto"/>
        </w:rPr>
        <w:tab/>
      </w:r>
      <w:r>
        <w:rPr>
          <w:rFonts w:ascii="Times New Roman" w:cs="Times New Roman" w:eastAsia="Times New Roman" w:hAnsi="Times New Roman"/>
          <w:sz w:val="17"/>
          <w:szCs w:val="17"/>
          <w:u w:val="single" w:color="auto"/>
          <w:color w:val="0000FF"/>
        </w:rPr>
        <w:t>Certification of Chief Financial Officer pursuant to Section 906 of the Sarbanes-Oxley Act of 2002*</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__________________</w:t>
      </w:r>
    </w:p>
    <w:p>
      <w:pPr>
        <w:spacing w:after="0" w:line="32" w:lineRule="exact"/>
        <w:rPr>
          <w:sz w:val="20"/>
          <w:szCs w:val="20"/>
          <w:color w:val="auto"/>
        </w:rPr>
      </w:pPr>
    </w:p>
    <w:p>
      <w:pPr>
        <w:ind w:left="460" w:right="80" w:hanging="457"/>
        <w:spacing w:after="0" w:line="246" w:lineRule="auto"/>
        <w:tabs>
          <w:tab w:leader="none" w:pos="368"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Previously filed in connection with Pre-Effective Amendment No. 2 to the Registrant’s Registration Statement on Form N-2 (File No. 333-171578), filed on March 30, 2011, and incorporated by reference herein.</w:t>
      </w:r>
    </w:p>
    <w:p>
      <w:pPr>
        <w:spacing w:after="0" w:line="1" w:lineRule="exact"/>
        <w:rPr>
          <w:rFonts w:ascii="Times New Roman" w:cs="Times New Roman" w:eastAsia="Times New Roman" w:hAnsi="Times New Roman"/>
          <w:sz w:val="17"/>
          <w:szCs w:val="17"/>
          <w:color w:val="auto"/>
        </w:rPr>
      </w:pPr>
    </w:p>
    <w:p>
      <w:pPr>
        <w:ind w:left="460" w:right="100" w:hanging="457"/>
        <w:spacing w:after="0" w:line="250" w:lineRule="auto"/>
        <w:tabs>
          <w:tab w:leader="none" w:pos="368"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Previously filed in connection with the Registrant’s Current Report on Form 8-K (File No. 814-00852), filed on June 1, 2011, and incorporated by reference herein.</w:t>
      </w:r>
    </w:p>
    <w:p>
      <w:pPr>
        <w:spacing w:after="0" w:line="206" w:lineRule="exact"/>
        <w:rPr>
          <w:rFonts w:ascii="Times New Roman" w:cs="Times New Roman" w:eastAsia="Times New Roman" w:hAnsi="Times New Roman"/>
          <w:sz w:val="17"/>
          <w:szCs w:val="17"/>
          <w:color w:val="auto"/>
        </w:rPr>
      </w:pPr>
    </w:p>
    <w:p>
      <w:pPr>
        <w:ind w:left="460" w:right="640" w:hanging="457"/>
        <w:spacing w:after="0" w:line="275" w:lineRule="auto"/>
        <w:tabs>
          <w:tab w:leader="none" w:pos="368"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Previously filed in connection with the Registrant’s Current Report on Form 8-K (File No. 814-00852) filed on August 1, 2019, and incorporated by reference herein.</w:t>
      </w:r>
    </w:p>
    <w:p>
      <w:pPr>
        <w:spacing w:after="0" w:line="172" w:lineRule="exact"/>
        <w:rPr>
          <w:rFonts w:ascii="Times New Roman" w:cs="Times New Roman" w:eastAsia="Times New Roman" w:hAnsi="Times New Roman"/>
          <w:sz w:val="17"/>
          <w:szCs w:val="17"/>
          <w:color w:val="auto"/>
        </w:rPr>
      </w:pPr>
    </w:p>
    <w:p>
      <w:pPr>
        <w:ind w:left="460" w:hanging="457"/>
        <w:spacing w:after="0" w:line="291" w:lineRule="auto"/>
        <w:tabs>
          <w:tab w:leader="none" w:pos="411"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Previously filed in connection with the Registrant’s Current Report on Form 8-K (File No. 814-00852) filed on June 16, 2020, and incorporated by reference herein.</w:t>
      </w:r>
    </w:p>
    <w:p>
      <w:pPr>
        <w:spacing w:after="0" w:line="146" w:lineRule="exact"/>
        <w:rPr>
          <w:rFonts w:ascii="Times New Roman" w:cs="Times New Roman" w:eastAsia="Times New Roman" w:hAnsi="Times New Roman"/>
          <w:sz w:val="17"/>
          <w:szCs w:val="17"/>
          <w:color w:val="auto"/>
        </w:rPr>
      </w:pPr>
    </w:p>
    <w:p>
      <w:pPr>
        <w:ind w:left="460" w:right="200" w:hanging="457"/>
        <w:spacing w:after="0" w:line="275" w:lineRule="auto"/>
        <w:tabs>
          <w:tab w:leader="none" w:pos="368"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Previously filed in connection with the Registrant's Registration Statement on Form N-2 (File No. 333-239681), filed on July 2, 2020, and incorporated by reference herein.</w:t>
      </w:r>
    </w:p>
    <w:p>
      <w:pPr>
        <w:spacing w:after="0" w:line="172" w:lineRule="exact"/>
        <w:rPr>
          <w:rFonts w:ascii="Times New Roman" w:cs="Times New Roman" w:eastAsia="Times New Roman" w:hAnsi="Times New Roman"/>
          <w:sz w:val="17"/>
          <w:szCs w:val="17"/>
          <w:color w:val="auto"/>
        </w:rPr>
      </w:pPr>
    </w:p>
    <w:p>
      <w:pPr>
        <w:ind w:left="460" w:right="360" w:hanging="457"/>
        <w:spacing w:after="0" w:line="275" w:lineRule="auto"/>
        <w:tabs>
          <w:tab w:leader="none" w:pos="368"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Previously filed in connection with the Registrant's Current Report on Form 8-K (File No. 814-00852) filed on December 17, 2021, and incorporated by reference herein.</w:t>
      </w:r>
    </w:p>
    <w:p>
      <w:pPr>
        <w:spacing w:after="0" w:line="186"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7"/>
          <w:szCs w:val="17"/>
          <w:color w:val="auto"/>
        </w:rPr>
        <w:t>*</w:t>
        <w:tab/>
        <w:t>Filed herewith.</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73</w:t>
      </w:r>
    </w:p>
    <w:p>
      <w:pPr>
        <w:sectPr>
          <w:pgSz w:w="11900" w:h="16838" w:orient="portrait"/>
          <w:cols w:equalWidth="0" w:num="1">
            <w:col w:w="11240"/>
          </w:cols>
          <w:pgMar w:left="320" w:top="1089" w:right="339" w:bottom="1440" w:gutter="0" w:footer="0" w:header="0"/>
        </w:sectPr>
      </w:pPr>
    </w:p>
    <w:bookmarkStart w:id="75" w:name="page76"/>
    <w:bookmarkEnd w:id="75"/>
    <w:p>
      <w:pPr>
        <w:jc w:val="center"/>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246" w:lineRule="exact"/>
        <w:rPr>
          <w:sz w:val="20"/>
          <w:szCs w:val="20"/>
          <w:color w:val="auto"/>
        </w:rPr>
      </w:pPr>
    </w:p>
    <w:p>
      <w:pPr>
        <w:ind w:right="460"/>
        <w:spacing w:after="0" w:line="276"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registrant has duly caused this report to be signed on its behalf by the undersigned, thereunto duly authorized.</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28"/>
        </w:trPr>
        <w:tc>
          <w:tcPr>
            <w:tcW w:w="52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52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SURO CAPITAL CORP.</w:t>
            </w:r>
          </w:p>
        </w:tc>
      </w:tr>
      <w:tr>
        <w:trPr>
          <w:trHeight w:val="478"/>
        </w:trPr>
        <w:tc>
          <w:tcPr>
            <w:tcW w:w="520" w:type="dxa"/>
            <w:vAlign w:val="bottom"/>
          </w:tcPr>
          <w:p>
            <w:pPr>
              <w:spacing w:after="0"/>
              <w:rPr>
                <w:sz w:val="20"/>
                <w:szCs w:val="20"/>
                <w:color w:val="auto"/>
              </w:rPr>
            </w:pPr>
            <w:r>
              <w:rPr>
                <w:rFonts w:ascii="Times New Roman" w:cs="Times New Roman" w:eastAsia="Times New Roman" w:hAnsi="Times New Roman"/>
                <w:sz w:val="17"/>
                <w:szCs w:val="17"/>
                <w:color w:val="auto"/>
              </w:rPr>
              <w:t>Date:</w:t>
            </w:r>
          </w:p>
        </w:tc>
        <w:tc>
          <w:tcPr>
            <w:tcW w:w="30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August 4, 2022</w:t>
            </w:r>
          </w:p>
        </w:tc>
        <w:tc>
          <w:tcPr>
            <w:tcW w:w="2360" w:type="dxa"/>
            <w:vAlign w:val="bottom"/>
          </w:tcPr>
          <w:p>
            <w:pPr>
              <w:ind w:left="1880"/>
              <w:spacing w:after="0"/>
              <w:rPr>
                <w:sz w:val="20"/>
                <w:szCs w:val="20"/>
                <w:color w:val="auto"/>
              </w:rPr>
            </w:pPr>
            <w:r>
              <w:rPr>
                <w:rFonts w:ascii="Times New Roman" w:cs="Times New Roman" w:eastAsia="Times New Roman" w:hAnsi="Times New Roman"/>
                <w:sz w:val="17"/>
                <w:szCs w:val="17"/>
                <w:color w:val="auto"/>
              </w:rPr>
              <w:t>By:</w:t>
            </w:r>
          </w:p>
        </w:tc>
        <w:tc>
          <w:tcPr>
            <w:tcW w:w="5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Mark D. Klein</w:t>
            </w:r>
          </w:p>
        </w:tc>
      </w:tr>
      <w:tr>
        <w:trPr>
          <w:trHeight w:val="207"/>
        </w:trPr>
        <w:tc>
          <w:tcPr>
            <w:tcW w:w="5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52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Mark D. Klein</w:t>
            </w:r>
          </w:p>
        </w:tc>
      </w:tr>
      <w:tr>
        <w:trPr>
          <w:trHeight w:val="220"/>
        </w:trPr>
        <w:tc>
          <w:tcPr>
            <w:tcW w:w="52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5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Chairman, President and Chief Executive Officer</w:t>
            </w:r>
          </w:p>
        </w:tc>
      </w:tr>
      <w:tr>
        <w:trPr>
          <w:trHeight w:val="226"/>
        </w:trPr>
        <w:tc>
          <w:tcPr>
            <w:tcW w:w="52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5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(Principal Executive Officer)</w:t>
            </w:r>
          </w:p>
        </w:tc>
      </w:tr>
      <w:tr>
        <w:trPr>
          <w:trHeight w:val="478"/>
        </w:trPr>
        <w:tc>
          <w:tcPr>
            <w:tcW w:w="520" w:type="dxa"/>
            <w:vAlign w:val="bottom"/>
          </w:tcPr>
          <w:p>
            <w:pPr>
              <w:spacing w:after="0"/>
              <w:rPr>
                <w:sz w:val="20"/>
                <w:szCs w:val="20"/>
                <w:color w:val="auto"/>
              </w:rPr>
            </w:pPr>
            <w:r>
              <w:rPr>
                <w:rFonts w:ascii="Times New Roman" w:cs="Times New Roman" w:eastAsia="Times New Roman" w:hAnsi="Times New Roman"/>
                <w:sz w:val="17"/>
                <w:szCs w:val="17"/>
                <w:color w:val="auto"/>
              </w:rPr>
              <w:t>Date:</w:t>
            </w:r>
          </w:p>
        </w:tc>
        <w:tc>
          <w:tcPr>
            <w:tcW w:w="30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August 4, 2022</w:t>
            </w:r>
          </w:p>
        </w:tc>
        <w:tc>
          <w:tcPr>
            <w:tcW w:w="2360" w:type="dxa"/>
            <w:vAlign w:val="bottom"/>
          </w:tcPr>
          <w:p>
            <w:pPr>
              <w:ind w:left="1880"/>
              <w:spacing w:after="0"/>
              <w:rPr>
                <w:sz w:val="20"/>
                <w:szCs w:val="20"/>
                <w:color w:val="auto"/>
              </w:rPr>
            </w:pPr>
            <w:r>
              <w:rPr>
                <w:rFonts w:ascii="Times New Roman" w:cs="Times New Roman" w:eastAsia="Times New Roman" w:hAnsi="Times New Roman"/>
                <w:sz w:val="17"/>
                <w:szCs w:val="17"/>
                <w:color w:val="auto"/>
              </w:rPr>
              <w:t>By:</w:t>
            </w:r>
          </w:p>
        </w:tc>
        <w:tc>
          <w:tcPr>
            <w:tcW w:w="5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Allison Green</w:t>
            </w:r>
          </w:p>
        </w:tc>
      </w:tr>
      <w:tr>
        <w:trPr>
          <w:trHeight w:val="207"/>
        </w:trPr>
        <w:tc>
          <w:tcPr>
            <w:tcW w:w="5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52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Allison Green</w:t>
            </w:r>
          </w:p>
        </w:tc>
      </w:tr>
      <w:tr>
        <w:trPr>
          <w:trHeight w:val="174"/>
        </w:trPr>
        <w:tc>
          <w:tcPr>
            <w:tcW w:w="52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5240" w:type="dxa"/>
            <w:vAlign w:val="bottom"/>
          </w:tcPr>
          <w:p>
            <w:pPr>
              <w:ind w:left="20"/>
              <w:spacing w:after="0" w:line="174" w:lineRule="exact"/>
              <w:rPr>
                <w:sz w:val="20"/>
                <w:szCs w:val="20"/>
                <w:color w:val="auto"/>
              </w:rPr>
            </w:pPr>
            <w:r>
              <w:rPr>
                <w:rFonts w:ascii="Times New Roman" w:cs="Times New Roman" w:eastAsia="Times New Roman" w:hAnsi="Times New Roman"/>
                <w:sz w:val="17"/>
                <w:szCs w:val="17"/>
                <w:color w:val="auto"/>
              </w:rPr>
              <w:t>Chief Financial Officer, Chief Compliance Officer, Treasurer, and</w:t>
            </w:r>
          </w:p>
        </w:tc>
      </w:tr>
      <w:tr>
        <w:trPr>
          <w:trHeight w:val="226"/>
        </w:trPr>
        <w:tc>
          <w:tcPr>
            <w:tcW w:w="52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5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Corporate Secretary</w:t>
            </w:r>
          </w:p>
        </w:tc>
      </w:tr>
      <w:tr>
        <w:trPr>
          <w:trHeight w:val="227"/>
        </w:trPr>
        <w:tc>
          <w:tcPr>
            <w:tcW w:w="52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5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74</w:t>
      </w:r>
    </w:p>
    <w:p>
      <w:pPr>
        <w:sectPr>
          <w:pgSz w:w="11900" w:h="16838" w:orient="portrait"/>
          <w:cols w:equalWidth="0" w:num="1">
            <w:col w:w="11240"/>
          </w:cols>
          <w:pgMar w:left="320" w:top="857" w:right="339" w:bottom="1440" w:gutter="0" w:footer="0" w:header="0"/>
        </w:sectPr>
      </w:pPr>
    </w:p>
    <w:bookmarkStart w:id="76" w:name="page77"/>
    <w:bookmarkEnd w:id="76"/>
    <w:p>
      <w:pPr>
        <w:jc w:val="right"/>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of Chief Executive Officer of SuRo Capital Corp.</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pursuant to Rule 13a-14(a) under the Exchange Act,</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adopted pursuant to Section 302 of the Sarbanes-Oxley Act of 2002</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Mark D. Klein, certify that:</w:t>
      </w:r>
    </w:p>
    <w:p>
      <w:pPr>
        <w:spacing w:after="0" w:line="244" w:lineRule="exact"/>
        <w:rPr>
          <w:sz w:val="20"/>
          <w:szCs w:val="20"/>
          <w:color w:val="auto"/>
        </w:rPr>
      </w:pPr>
    </w:p>
    <w:p>
      <w:pPr>
        <w:ind w:left="620" w:hanging="306"/>
        <w:spacing w:after="0"/>
        <w:tabs>
          <w:tab w:leader="none" w:pos="62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SuRo Capital Corp.;</w:t>
      </w:r>
    </w:p>
    <w:p>
      <w:pPr>
        <w:spacing w:after="0" w:line="244" w:lineRule="exact"/>
        <w:rPr>
          <w:rFonts w:ascii="Times New Roman" w:cs="Times New Roman" w:eastAsia="Times New Roman" w:hAnsi="Times New Roman"/>
          <w:sz w:val="17"/>
          <w:szCs w:val="17"/>
          <w:color w:val="auto"/>
        </w:rPr>
      </w:pPr>
    </w:p>
    <w:p>
      <w:pPr>
        <w:ind w:left="620" w:hanging="306"/>
        <w:spacing w:after="0" w:line="291" w:lineRule="auto"/>
        <w:tabs>
          <w:tab w:leader="none" w:pos="62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2" w:lineRule="exact"/>
        <w:rPr>
          <w:rFonts w:ascii="Times New Roman" w:cs="Times New Roman" w:eastAsia="Times New Roman" w:hAnsi="Times New Roman"/>
          <w:sz w:val="17"/>
          <w:szCs w:val="17"/>
          <w:color w:val="auto"/>
        </w:rPr>
      </w:pPr>
    </w:p>
    <w:p>
      <w:pPr>
        <w:ind w:left="620" w:hanging="306"/>
        <w:spacing w:after="0" w:line="291" w:lineRule="auto"/>
        <w:tabs>
          <w:tab w:leader="none" w:pos="62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2" w:lineRule="exact"/>
        <w:rPr>
          <w:rFonts w:ascii="Times New Roman" w:cs="Times New Roman" w:eastAsia="Times New Roman" w:hAnsi="Times New Roman"/>
          <w:sz w:val="17"/>
          <w:szCs w:val="17"/>
          <w:color w:val="auto"/>
        </w:rPr>
      </w:pPr>
    </w:p>
    <w:p>
      <w:pPr>
        <w:jc w:val="both"/>
        <w:ind w:left="620" w:hanging="306"/>
        <w:spacing w:after="0" w:line="272" w:lineRule="auto"/>
        <w:tabs>
          <w:tab w:leader="none" w:pos="62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1" w:lineRule="exact"/>
        <w:rPr>
          <w:rFonts w:ascii="Times New Roman" w:cs="Times New Roman" w:eastAsia="Times New Roman" w:hAnsi="Times New Roman"/>
          <w:sz w:val="17"/>
          <w:szCs w:val="17"/>
          <w:color w:val="auto"/>
        </w:rPr>
      </w:pPr>
    </w:p>
    <w:p>
      <w:pPr>
        <w:jc w:val="both"/>
        <w:ind w:left="940" w:hanging="316"/>
        <w:spacing w:after="0" w:line="272" w:lineRule="auto"/>
        <w:tabs>
          <w:tab w:leader="none" w:pos="937" w:val="left"/>
        </w:tabs>
        <w:numPr>
          <w:ilvl w:val="1"/>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Times New Roman" w:cs="Times New Roman" w:eastAsia="Times New Roman" w:hAnsi="Times New Roman"/>
          <w:sz w:val="17"/>
          <w:szCs w:val="17"/>
          <w:color w:val="auto"/>
        </w:rPr>
      </w:pPr>
    </w:p>
    <w:p>
      <w:pPr>
        <w:jc w:val="both"/>
        <w:ind w:left="940" w:hanging="316"/>
        <w:spacing w:after="0" w:line="272" w:lineRule="auto"/>
        <w:tabs>
          <w:tab w:leader="none" w:pos="934" w:val="left"/>
        </w:tabs>
        <w:numPr>
          <w:ilvl w:val="1"/>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Times New Roman" w:cs="Times New Roman" w:eastAsia="Times New Roman" w:hAnsi="Times New Roman"/>
          <w:sz w:val="17"/>
          <w:szCs w:val="17"/>
          <w:color w:val="auto"/>
        </w:rPr>
      </w:pPr>
    </w:p>
    <w:p>
      <w:pPr>
        <w:ind w:left="940" w:hanging="316"/>
        <w:spacing w:after="0" w:line="291" w:lineRule="auto"/>
        <w:tabs>
          <w:tab w:leader="none" w:pos="937" w:val="left"/>
        </w:tabs>
        <w:numPr>
          <w:ilvl w:val="1"/>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3" w:lineRule="exact"/>
        <w:rPr>
          <w:rFonts w:ascii="Times New Roman" w:cs="Times New Roman" w:eastAsia="Times New Roman" w:hAnsi="Times New Roman"/>
          <w:sz w:val="17"/>
          <w:szCs w:val="17"/>
          <w:color w:val="auto"/>
        </w:rPr>
      </w:pPr>
    </w:p>
    <w:p>
      <w:pPr>
        <w:jc w:val="both"/>
        <w:ind w:left="940" w:hanging="316"/>
        <w:spacing w:after="0" w:line="272" w:lineRule="auto"/>
        <w:tabs>
          <w:tab w:leader="none" w:pos="934" w:val="left"/>
        </w:tabs>
        <w:numPr>
          <w:ilvl w:val="1"/>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Times New Roman" w:cs="Times New Roman" w:eastAsia="Times New Roman" w:hAnsi="Times New Roman"/>
          <w:sz w:val="17"/>
          <w:szCs w:val="17"/>
          <w:color w:val="auto"/>
        </w:rPr>
      </w:pPr>
    </w:p>
    <w:p>
      <w:pPr>
        <w:ind w:left="620" w:hanging="306"/>
        <w:spacing w:after="0" w:line="291" w:lineRule="auto"/>
        <w:tabs>
          <w:tab w:leader="none" w:pos="62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2" w:lineRule="exact"/>
        <w:rPr>
          <w:rFonts w:ascii="Times New Roman" w:cs="Times New Roman" w:eastAsia="Times New Roman" w:hAnsi="Times New Roman"/>
          <w:sz w:val="17"/>
          <w:szCs w:val="17"/>
          <w:color w:val="auto"/>
        </w:rPr>
      </w:pPr>
    </w:p>
    <w:p>
      <w:pPr>
        <w:ind w:left="940" w:hanging="316"/>
        <w:spacing w:after="0" w:line="291" w:lineRule="auto"/>
        <w:tabs>
          <w:tab w:leader="none" w:pos="937" w:val="left"/>
        </w:tabs>
        <w:numPr>
          <w:ilvl w:val="1"/>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2" w:lineRule="exact"/>
        <w:rPr>
          <w:rFonts w:ascii="Times New Roman" w:cs="Times New Roman" w:eastAsia="Times New Roman" w:hAnsi="Times New Roman"/>
          <w:sz w:val="17"/>
          <w:szCs w:val="17"/>
          <w:color w:val="auto"/>
        </w:rPr>
      </w:pPr>
    </w:p>
    <w:p>
      <w:pPr>
        <w:ind w:left="940" w:hanging="316"/>
        <w:spacing w:after="0" w:line="291" w:lineRule="auto"/>
        <w:tabs>
          <w:tab w:leader="none" w:pos="934" w:val="left"/>
        </w:tabs>
        <w:numPr>
          <w:ilvl w:val="1"/>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Dated this 4th day of August, 2022.</w:t>
      </w:r>
    </w:p>
    <w:p>
      <w:pPr>
        <w:spacing w:after="0" w:line="167" w:lineRule="exact"/>
        <w:rPr>
          <w:sz w:val="20"/>
          <w:szCs w:val="20"/>
          <w:color w:val="auto"/>
        </w:rPr>
      </w:pPr>
    </w:p>
    <w:p>
      <w:pPr>
        <w:ind w:left="20"/>
        <w:spacing w:after="0"/>
        <w:tabs>
          <w:tab w:leader="none" w:pos="420" w:val="left"/>
        </w:tabs>
        <w:rPr>
          <w:sz w:val="20"/>
          <w:szCs w:val="20"/>
          <w:color w:val="auto"/>
        </w:rPr>
      </w:pPr>
      <w:r>
        <w:rPr>
          <w:rFonts w:ascii="Times New Roman" w:cs="Times New Roman" w:eastAsia="Times New Roman" w:hAnsi="Times New Roman"/>
          <w:sz w:val="17"/>
          <w:szCs w:val="17"/>
          <w:color w:val="auto"/>
        </w:rPr>
        <w:t>By:</w:t>
        <w:tab/>
        <w:t>/s/ Mark Klein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264795</wp:posOffset>
            </wp:positionH>
            <wp:positionV relativeFrom="paragraph">
              <wp:posOffset>19050</wp:posOffset>
            </wp:positionV>
            <wp:extent cx="135509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8">
                      <a:extLst>
                        <a:ext uri="{28A0092B-C50C-407E-A947-70E740481C1C}"/>
                      </a:extLst>
                    </a:blip>
                    <a:srcRect/>
                    <a:stretch>
                      <a:fillRect/>
                    </a:stretch>
                  </pic:blipFill>
                  <pic:spPr bwMode="auto">
                    <a:xfrm>
                      <a:off x="0" y="0"/>
                      <a:ext cx="1355090" cy="8255"/>
                    </a:xfrm>
                    <a:prstGeom prst="rect">
                      <a:avLst/>
                    </a:prstGeom>
                    <a:noFill/>
                  </pic:spPr>
                </pic:pic>
              </a:graphicData>
            </a:graphic>
          </wp:anchor>
        </w:drawing>
      </w:r>
    </w:p>
    <w:p>
      <w:pPr>
        <w:spacing w:after="0" w:line="2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color w:val="auto"/>
        </w:rPr>
        <w:t>Mark D. Klein</w:t>
      </w:r>
    </w:p>
    <w:p>
      <w:pPr>
        <w:spacing w:after="0" w:line="5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color w:val="auto"/>
        </w:rPr>
        <w:t>Chief Executive Officer</w:t>
      </w:r>
    </w:p>
    <w:p>
      <w:pPr>
        <w:sectPr>
          <w:pgSz w:w="11900" w:h="16838" w:orient="portrait"/>
          <w:cols w:equalWidth="0" w:num="1">
            <w:col w:w="11240"/>
          </w:cols>
          <w:pgMar w:left="320" w:top="856" w:right="339" w:bottom="1440" w:gutter="0" w:footer="0" w:header="0"/>
        </w:sectPr>
      </w:pPr>
    </w:p>
    <w:bookmarkStart w:id="77" w:name="page78"/>
    <w:bookmarkEnd w:id="77"/>
    <w:p>
      <w:pPr>
        <w:jc w:val="right"/>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of Chief Financial Officer of SuRo Capital Corp.</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pursuant to Rule 13a-14(a) under the Exchange Act,</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adopted pursuant to Section 302 of the Sarbanes-Oxley Act of 2002</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Allison Green, certify that:</w:t>
      </w:r>
    </w:p>
    <w:p>
      <w:pPr>
        <w:spacing w:after="0" w:line="244" w:lineRule="exact"/>
        <w:rPr>
          <w:sz w:val="20"/>
          <w:szCs w:val="20"/>
          <w:color w:val="auto"/>
        </w:rPr>
      </w:pPr>
    </w:p>
    <w:p>
      <w:pPr>
        <w:ind w:left="620" w:hanging="306"/>
        <w:spacing w:after="0"/>
        <w:tabs>
          <w:tab w:leader="none" w:pos="62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SuRo Capital Corp.;</w:t>
      </w:r>
    </w:p>
    <w:p>
      <w:pPr>
        <w:spacing w:after="0" w:line="244" w:lineRule="exact"/>
        <w:rPr>
          <w:rFonts w:ascii="Times New Roman" w:cs="Times New Roman" w:eastAsia="Times New Roman" w:hAnsi="Times New Roman"/>
          <w:sz w:val="17"/>
          <w:szCs w:val="17"/>
          <w:color w:val="auto"/>
        </w:rPr>
      </w:pPr>
    </w:p>
    <w:p>
      <w:pPr>
        <w:ind w:left="620" w:hanging="306"/>
        <w:spacing w:after="0" w:line="291" w:lineRule="auto"/>
        <w:tabs>
          <w:tab w:leader="none" w:pos="62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2" w:lineRule="exact"/>
        <w:rPr>
          <w:rFonts w:ascii="Times New Roman" w:cs="Times New Roman" w:eastAsia="Times New Roman" w:hAnsi="Times New Roman"/>
          <w:sz w:val="17"/>
          <w:szCs w:val="17"/>
          <w:color w:val="auto"/>
        </w:rPr>
      </w:pPr>
    </w:p>
    <w:p>
      <w:pPr>
        <w:ind w:left="620" w:hanging="306"/>
        <w:spacing w:after="0" w:line="291" w:lineRule="auto"/>
        <w:tabs>
          <w:tab w:leader="none" w:pos="62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2" w:lineRule="exact"/>
        <w:rPr>
          <w:rFonts w:ascii="Times New Roman" w:cs="Times New Roman" w:eastAsia="Times New Roman" w:hAnsi="Times New Roman"/>
          <w:sz w:val="17"/>
          <w:szCs w:val="17"/>
          <w:color w:val="auto"/>
        </w:rPr>
      </w:pPr>
    </w:p>
    <w:p>
      <w:pPr>
        <w:jc w:val="both"/>
        <w:ind w:left="620" w:hanging="306"/>
        <w:spacing w:after="0" w:line="272" w:lineRule="auto"/>
        <w:tabs>
          <w:tab w:leader="none" w:pos="62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1" w:lineRule="exact"/>
        <w:rPr>
          <w:rFonts w:ascii="Times New Roman" w:cs="Times New Roman" w:eastAsia="Times New Roman" w:hAnsi="Times New Roman"/>
          <w:sz w:val="17"/>
          <w:szCs w:val="17"/>
          <w:color w:val="auto"/>
        </w:rPr>
      </w:pPr>
    </w:p>
    <w:p>
      <w:pPr>
        <w:jc w:val="both"/>
        <w:ind w:left="940" w:hanging="316"/>
        <w:spacing w:after="0" w:line="272" w:lineRule="auto"/>
        <w:tabs>
          <w:tab w:leader="none" w:pos="937" w:val="left"/>
        </w:tabs>
        <w:numPr>
          <w:ilvl w:val="1"/>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Times New Roman" w:cs="Times New Roman" w:eastAsia="Times New Roman" w:hAnsi="Times New Roman"/>
          <w:sz w:val="17"/>
          <w:szCs w:val="17"/>
          <w:color w:val="auto"/>
        </w:rPr>
      </w:pPr>
    </w:p>
    <w:p>
      <w:pPr>
        <w:jc w:val="both"/>
        <w:ind w:left="940" w:hanging="316"/>
        <w:spacing w:after="0" w:line="272" w:lineRule="auto"/>
        <w:tabs>
          <w:tab w:leader="none" w:pos="934" w:val="left"/>
        </w:tabs>
        <w:numPr>
          <w:ilvl w:val="1"/>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Times New Roman" w:cs="Times New Roman" w:eastAsia="Times New Roman" w:hAnsi="Times New Roman"/>
          <w:sz w:val="17"/>
          <w:szCs w:val="17"/>
          <w:color w:val="auto"/>
        </w:rPr>
      </w:pPr>
    </w:p>
    <w:p>
      <w:pPr>
        <w:ind w:left="940" w:hanging="316"/>
        <w:spacing w:after="0" w:line="291" w:lineRule="auto"/>
        <w:tabs>
          <w:tab w:leader="none" w:pos="937" w:val="left"/>
        </w:tabs>
        <w:numPr>
          <w:ilvl w:val="1"/>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3" w:lineRule="exact"/>
        <w:rPr>
          <w:rFonts w:ascii="Times New Roman" w:cs="Times New Roman" w:eastAsia="Times New Roman" w:hAnsi="Times New Roman"/>
          <w:sz w:val="17"/>
          <w:szCs w:val="17"/>
          <w:color w:val="auto"/>
        </w:rPr>
      </w:pPr>
    </w:p>
    <w:p>
      <w:pPr>
        <w:jc w:val="both"/>
        <w:ind w:left="940" w:hanging="316"/>
        <w:spacing w:after="0" w:line="272" w:lineRule="auto"/>
        <w:tabs>
          <w:tab w:leader="none" w:pos="934" w:val="left"/>
        </w:tabs>
        <w:numPr>
          <w:ilvl w:val="1"/>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Times New Roman" w:cs="Times New Roman" w:eastAsia="Times New Roman" w:hAnsi="Times New Roman"/>
          <w:sz w:val="17"/>
          <w:szCs w:val="17"/>
          <w:color w:val="auto"/>
        </w:rPr>
      </w:pPr>
    </w:p>
    <w:p>
      <w:pPr>
        <w:ind w:left="620" w:hanging="306"/>
        <w:spacing w:after="0" w:line="291" w:lineRule="auto"/>
        <w:tabs>
          <w:tab w:leader="none" w:pos="62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2" w:lineRule="exact"/>
        <w:rPr>
          <w:rFonts w:ascii="Times New Roman" w:cs="Times New Roman" w:eastAsia="Times New Roman" w:hAnsi="Times New Roman"/>
          <w:sz w:val="17"/>
          <w:szCs w:val="17"/>
          <w:color w:val="auto"/>
        </w:rPr>
      </w:pPr>
    </w:p>
    <w:p>
      <w:pPr>
        <w:ind w:left="940" w:hanging="316"/>
        <w:spacing w:after="0" w:line="291" w:lineRule="auto"/>
        <w:tabs>
          <w:tab w:leader="none" w:pos="937" w:val="left"/>
        </w:tabs>
        <w:numPr>
          <w:ilvl w:val="1"/>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2" w:lineRule="exact"/>
        <w:rPr>
          <w:rFonts w:ascii="Times New Roman" w:cs="Times New Roman" w:eastAsia="Times New Roman" w:hAnsi="Times New Roman"/>
          <w:sz w:val="17"/>
          <w:szCs w:val="17"/>
          <w:color w:val="auto"/>
        </w:rPr>
      </w:pPr>
    </w:p>
    <w:p>
      <w:pPr>
        <w:ind w:left="940" w:hanging="316"/>
        <w:spacing w:after="0" w:line="291" w:lineRule="auto"/>
        <w:tabs>
          <w:tab w:leader="none" w:pos="934" w:val="left"/>
        </w:tabs>
        <w:numPr>
          <w:ilvl w:val="1"/>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Dated this 4th day of August, 2022.</w:t>
      </w:r>
    </w:p>
    <w:p>
      <w:pPr>
        <w:spacing w:after="0" w:line="167" w:lineRule="exact"/>
        <w:rPr>
          <w:sz w:val="20"/>
          <w:szCs w:val="20"/>
          <w:color w:val="auto"/>
        </w:rPr>
      </w:pPr>
    </w:p>
    <w:p>
      <w:pPr>
        <w:ind w:left="20"/>
        <w:spacing w:after="0"/>
        <w:tabs>
          <w:tab w:leader="none" w:pos="420" w:val="left"/>
        </w:tabs>
        <w:rPr>
          <w:sz w:val="20"/>
          <w:szCs w:val="20"/>
          <w:color w:val="auto"/>
        </w:rPr>
      </w:pPr>
      <w:r>
        <w:rPr>
          <w:rFonts w:ascii="Times New Roman" w:cs="Times New Roman" w:eastAsia="Times New Roman" w:hAnsi="Times New Roman"/>
          <w:sz w:val="17"/>
          <w:szCs w:val="17"/>
          <w:color w:val="auto"/>
        </w:rPr>
        <w:t>By:</w:t>
        <w:tab/>
        <w:t>/s/ Allison Green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264795</wp:posOffset>
            </wp:positionH>
            <wp:positionV relativeFrom="paragraph">
              <wp:posOffset>19050</wp:posOffset>
            </wp:positionV>
            <wp:extent cx="160147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9">
                      <a:extLst>
                        <a:ext uri="{28A0092B-C50C-407E-A947-70E740481C1C}"/>
                      </a:extLst>
                    </a:blip>
                    <a:srcRect/>
                    <a:stretch>
                      <a:fillRect/>
                    </a:stretch>
                  </pic:blipFill>
                  <pic:spPr bwMode="auto">
                    <a:xfrm>
                      <a:off x="0" y="0"/>
                      <a:ext cx="1601470" cy="8255"/>
                    </a:xfrm>
                    <a:prstGeom prst="rect">
                      <a:avLst/>
                    </a:prstGeom>
                    <a:noFill/>
                  </pic:spPr>
                </pic:pic>
              </a:graphicData>
            </a:graphic>
          </wp:anchor>
        </w:drawing>
      </w:r>
    </w:p>
    <w:p>
      <w:pPr>
        <w:spacing w:after="0" w:line="2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color w:val="auto"/>
        </w:rPr>
        <w:t>Allison Green</w:t>
      </w:r>
    </w:p>
    <w:p>
      <w:pPr>
        <w:spacing w:after="0" w:line="5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color w:val="auto"/>
        </w:rPr>
        <w:t>Chief Financial Officer</w:t>
      </w:r>
    </w:p>
    <w:p>
      <w:pPr>
        <w:sectPr>
          <w:pgSz w:w="11900" w:h="16838" w:orient="portrait"/>
          <w:cols w:equalWidth="0" w:num="1">
            <w:col w:w="11240"/>
          </w:cols>
          <w:pgMar w:left="320" w:top="856" w:right="339" w:bottom="1440" w:gutter="0" w:footer="0" w:header="0"/>
        </w:sectPr>
      </w:pPr>
    </w:p>
    <w:bookmarkStart w:id="78" w:name="page79"/>
    <w:bookmarkEnd w:id="78"/>
    <w:p>
      <w:pPr>
        <w:jc w:val="right"/>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of Chief Executive Officer</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Pursuant to</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906 of the Sarbanes-Oxley Act of 2002 (18 U.S.C. 1350)</w:t>
      </w:r>
    </w:p>
    <w:p>
      <w:pPr>
        <w:spacing w:after="0" w:line="226"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In connection with the quarterly report on Form 10-Q for the three and six months ended June 30, 2022 (the “Report”) of SuRo Capital Corp. (the “Registrant”), as filed with the Securities and Exchange Commission on the date hereof, I, Mark D. Klein, the Chief Executive Officer of the Registrant, hereby certify, to the best of my knowledge, that:</w:t>
      </w:r>
    </w:p>
    <w:p>
      <w:pPr>
        <w:spacing w:after="0" w:line="189" w:lineRule="exact"/>
        <w:rPr>
          <w:sz w:val="20"/>
          <w:szCs w:val="20"/>
          <w:color w:val="auto"/>
        </w:rPr>
      </w:pPr>
    </w:p>
    <w:p>
      <w:pPr>
        <w:ind w:left="620" w:hanging="306"/>
        <w:spacing w:after="0"/>
        <w:tabs>
          <w:tab w:leader="none" w:pos="62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of the Securities Exchange Act of 1934, as amended; and</w:t>
      </w:r>
    </w:p>
    <w:p>
      <w:pPr>
        <w:spacing w:after="0" w:line="244" w:lineRule="exact"/>
        <w:rPr>
          <w:rFonts w:ascii="Times New Roman" w:cs="Times New Roman" w:eastAsia="Times New Roman" w:hAnsi="Times New Roman"/>
          <w:sz w:val="17"/>
          <w:szCs w:val="17"/>
          <w:color w:val="auto"/>
        </w:rPr>
      </w:pPr>
    </w:p>
    <w:p>
      <w:pPr>
        <w:ind w:left="620" w:hanging="306"/>
        <w:spacing w:after="0"/>
        <w:tabs>
          <w:tab w:leader="none" w:pos="62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Registrant.</w:t>
      </w:r>
    </w:p>
    <w:p>
      <w:pPr>
        <w:spacing w:after="0" w:line="141"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7"/>
          <w:szCs w:val="17"/>
          <w:color w:val="auto"/>
        </w:rPr>
        <w:t>/s/ Mark D. Klein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19050</wp:posOffset>
            </wp:positionV>
            <wp:extent cx="350710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0">
                      <a:extLst>
                        <a:ext uri="{28A0092B-C50C-407E-A947-70E740481C1C}"/>
                      </a:extLst>
                    </a:blip>
                    <a:srcRect/>
                    <a:stretch>
                      <a:fillRect/>
                    </a:stretch>
                  </pic:blipFill>
                  <pic:spPr bwMode="auto">
                    <a:xfrm>
                      <a:off x="0" y="0"/>
                      <a:ext cx="3507105" cy="8255"/>
                    </a:xfrm>
                    <a:prstGeom prst="rect">
                      <a:avLst/>
                    </a:prstGeom>
                    <a:noFill/>
                  </pic:spPr>
                </pic:pic>
              </a:graphicData>
            </a:graphic>
          </wp:anchor>
        </w:drawing>
      </w:r>
    </w:p>
    <w:p>
      <w:pPr>
        <w:spacing w:after="0" w:line="15"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7"/>
          <w:szCs w:val="17"/>
          <w:b w:val="1"/>
          <w:bCs w:val="1"/>
          <w:color w:val="auto"/>
        </w:rPr>
        <w:t>Name: Mark D. Klein</w:t>
      </w:r>
    </w:p>
    <w:p>
      <w:pPr>
        <w:spacing w:after="0" w:line="32"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7"/>
          <w:szCs w:val="17"/>
          <w:color w:val="auto"/>
        </w:rPr>
        <w:t>Date: August 4, 2022</w:t>
      </w:r>
    </w:p>
    <w:p>
      <w:pPr>
        <w:sectPr>
          <w:pgSz w:w="11900" w:h="16838" w:orient="portrait"/>
          <w:cols w:equalWidth="0" w:num="1">
            <w:col w:w="11240"/>
          </w:cols>
          <w:pgMar w:left="320" w:top="856" w:right="339" w:bottom="1440" w:gutter="0" w:footer="0" w:header="0"/>
        </w:sectPr>
      </w:pPr>
    </w:p>
    <w:bookmarkStart w:id="79" w:name="page80"/>
    <w:bookmarkEnd w:id="79"/>
    <w:p>
      <w:pPr>
        <w:jc w:val="right"/>
        <w:spacing w:after="0"/>
        <w:rPr>
          <w:sz w:val="20"/>
          <w:szCs w:val="20"/>
          <w:color w:val="auto"/>
        </w:rPr>
      </w:pPr>
      <w:r>
        <w:rPr>
          <w:rFonts w:ascii="Times New Roman" w:cs="Times New Roman" w:eastAsia="Times New Roman" w:hAnsi="Times New Roman"/>
          <w:sz w:val="17"/>
          <w:szCs w:val="17"/>
          <w:b w:val="1"/>
          <w:bCs w:val="1"/>
          <w:color w:val="auto"/>
        </w:rPr>
        <w:t>Exhibit 32.2</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of Chief Financial Officer</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Pursuant to</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906 of the Sarbanes-Oxley Act of 2002 (18 U.S.C. 1350)</w:t>
      </w:r>
    </w:p>
    <w:p>
      <w:pPr>
        <w:spacing w:after="0" w:line="226"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In connection with the quarterly report on Form 10-Q for the three and six months ended June 30, 2022 (the “Report”) of SuRo Capital Corp. (the “Registrant”), as filed with the Securities and Exchange Commission on the date hereof, I, Allison Green, the Chief Financial Officer of the Registrant, hereby certify, to the best of my knowledge, that:</w:t>
      </w:r>
    </w:p>
    <w:p>
      <w:pPr>
        <w:spacing w:after="0" w:line="189" w:lineRule="exact"/>
        <w:rPr>
          <w:sz w:val="20"/>
          <w:szCs w:val="20"/>
          <w:color w:val="auto"/>
        </w:rPr>
      </w:pPr>
    </w:p>
    <w:p>
      <w:pPr>
        <w:ind w:left="620" w:hanging="306"/>
        <w:spacing w:after="0"/>
        <w:tabs>
          <w:tab w:leader="none" w:pos="62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of the Securities Exchange Act of 1934, as amended; and</w:t>
      </w:r>
    </w:p>
    <w:p>
      <w:pPr>
        <w:spacing w:after="0" w:line="244" w:lineRule="exact"/>
        <w:rPr>
          <w:rFonts w:ascii="Times New Roman" w:cs="Times New Roman" w:eastAsia="Times New Roman" w:hAnsi="Times New Roman"/>
          <w:sz w:val="17"/>
          <w:szCs w:val="17"/>
          <w:color w:val="auto"/>
        </w:rPr>
      </w:pPr>
    </w:p>
    <w:p>
      <w:pPr>
        <w:ind w:left="620" w:hanging="306"/>
        <w:spacing w:after="0"/>
        <w:tabs>
          <w:tab w:leader="none" w:pos="62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Registrant.</w:t>
      </w:r>
    </w:p>
    <w:p>
      <w:pPr>
        <w:spacing w:after="0" w:line="141"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7"/>
          <w:szCs w:val="17"/>
          <w:color w:val="auto"/>
        </w:rPr>
        <w:t>/s/ Allison Green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3649345</wp:posOffset>
            </wp:positionH>
            <wp:positionV relativeFrom="paragraph">
              <wp:posOffset>19050</wp:posOffset>
            </wp:positionV>
            <wp:extent cx="349123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1">
                      <a:extLst>
                        <a:ext uri="{28A0092B-C50C-407E-A947-70E740481C1C}"/>
                      </a:extLst>
                    </a:blip>
                    <a:srcRect/>
                    <a:stretch>
                      <a:fillRect/>
                    </a:stretch>
                  </pic:blipFill>
                  <pic:spPr bwMode="auto">
                    <a:xfrm>
                      <a:off x="0" y="0"/>
                      <a:ext cx="3491230" cy="8255"/>
                    </a:xfrm>
                    <a:prstGeom prst="rect">
                      <a:avLst/>
                    </a:prstGeom>
                    <a:noFill/>
                  </pic:spPr>
                </pic:pic>
              </a:graphicData>
            </a:graphic>
          </wp:anchor>
        </w:drawing>
      </w:r>
    </w:p>
    <w:p>
      <w:pPr>
        <w:spacing w:after="0" w:line="15"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7"/>
          <w:szCs w:val="17"/>
          <w:b w:val="1"/>
          <w:bCs w:val="1"/>
          <w:color w:val="auto"/>
        </w:rPr>
        <w:t>Name: Allison Green</w:t>
      </w:r>
    </w:p>
    <w:p>
      <w:pPr>
        <w:spacing w:after="0" w:line="32"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7"/>
          <w:szCs w:val="17"/>
          <w:color w:val="auto"/>
        </w:rPr>
        <w:t>Date: August 4, 2022</w:t>
      </w:r>
    </w:p>
    <w:sectPr>
      <w:pgSz w:w="11900" w:h="16838" w:orient="portrait"/>
      <w:cols w:equalWidth="0" w:num="1">
        <w:col w:w="11240"/>
      </w:cols>
      <w:pgMar w:left="320" w:top="85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1F32454"/>
    <w:multiLevelType w:val="hybridMultilevel"/>
    <w:lvl w:ilvl="0">
      <w:lvlJc w:val="left"/>
      <w:lvlText w:val="☐"/>
      <w:numFmt w:val="bullet"/>
      <w:start w:val="1"/>
    </w:lvl>
  </w:abstractNum>
  <w:abstractNum w:abstractNumId="1">
    <w:nsid w:val="2CA88611"/>
    <w:multiLevelType w:val="hybridMultilevel"/>
    <w:lvl w:ilvl="0">
      <w:lvlJc w:val="left"/>
      <w:lvlText w:val="(%1)"/>
      <w:numFmt w:val="decimal"/>
      <w:start w:val="1"/>
    </w:lvl>
  </w:abstractNum>
  <w:abstractNum w:abstractNumId="2">
    <w:nsid w:val="836C40E"/>
    <w:multiLevelType w:val="hybridMultilevel"/>
    <w:lvl w:ilvl="0">
      <w:lvlJc w:val="left"/>
      <w:lvlText w:val="(%1)"/>
      <w:numFmt w:val="decimal"/>
      <w:start w:val="1"/>
    </w:lvl>
  </w:abstractNum>
  <w:abstractNum w:abstractNumId="3">
    <w:nsid w:val="2901D82"/>
    <w:multiLevelType w:val="hybridMultilevel"/>
    <w:lvl w:ilvl="0">
      <w:lvlJc w:val="left"/>
      <w:lvlText w:val="*"/>
      <w:numFmt w:val="bullet"/>
      <w:start w:val="1"/>
    </w:lvl>
  </w:abstractNum>
  <w:abstractNum w:abstractNumId="4">
    <w:nsid w:val="3A95F874"/>
    <w:multiLevelType w:val="hybridMultilevel"/>
    <w:lvl w:ilvl="0">
      <w:lvlJc w:val="left"/>
      <w:lvlText w:val="**"/>
      <w:numFmt w:val="bullet"/>
      <w:start w:val="1"/>
    </w:lvl>
  </w:abstractNum>
  <w:abstractNum w:abstractNumId="5">
    <w:nsid w:val="8138641"/>
    <w:multiLevelType w:val="hybridMultilevel"/>
    <w:lvl w:ilvl="0">
      <w:lvlJc w:val="left"/>
      <w:lvlText w:val="***"/>
      <w:numFmt w:val="bullet"/>
      <w:start w:val="1"/>
    </w:lvl>
  </w:abstractNum>
  <w:abstractNum w:abstractNumId="6">
    <w:nsid w:val="1E7FF521"/>
    <w:multiLevelType w:val="hybridMultilevel"/>
    <w:lvl w:ilvl="0">
      <w:lvlJc w:val="left"/>
      <w:lvlText w:val="(%1)"/>
      <w:numFmt w:val="decimal"/>
      <w:start w:val="1"/>
    </w:lvl>
  </w:abstractNum>
  <w:abstractNum w:abstractNumId="7">
    <w:nsid w:val="7C3DBD3D"/>
    <w:multiLevelType w:val="hybridMultilevel"/>
    <w:lvl w:ilvl="0">
      <w:lvlJc w:val="left"/>
      <w:lvlText w:val="(%1)"/>
      <w:numFmt w:val="decimal"/>
      <w:start w:val="14"/>
    </w:lvl>
  </w:abstractNum>
  <w:abstractNum w:abstractNumId="8">
    <w:nsid w:val="737B8DDC"/>
    <w:multiLevelType w:val="hybridMultilevel"/>
    <w:lvl w:ilvl="0">
      <w:lvlJc w:val="left"/>
      <w:lvlText w:val="*"/>
      <w:numFmt w:val="bullet"/>
      <w:start w:val="1"/>
    </w:lvl>
  </w:abstractNum>
  <w:abstractNum w:abstractNumId="9">
    <w:nsid w:val="6CEAF087"/>
    <w:multiLevelType w:val="hybridMultilevel"/>
    <w:lvl w:ilvl="0">
      <w:lvlJc w:val="left"/>
      <w:lvlText w:val="**"/>
      <w:numFmt w:val="bullet"/>
      <w:start w:val="1"/>
    </w:lvl>
  </w:abstractNum>
  <w:abstractNum w:abstractNumId="10">
    <w:nsid w:val="22221A70"/>
    <w:multiLevelType w:val="hybridMultilevel"/>
    <w:lvl w:ilvl="0">
      <w:lvlJc w:val="left"/>
      <w:lvlText w:val="***"/>
      <w:numFmt w:val="bullet"/>
      <w:start w:val="1"/>
    </w:lvl>
  </w:abstractNum>
  <w:abstractNum w:abstractNumId="11">
    <w:nsid w:val="4516DDE9"/>
    <w:multiLevelType w:val="hybridMultilevel"/>
    <w:lvl w:ilvl="0">
      <w:lvlJc w:val="left"/>
      <w:lvlText w:val="(%1)"/>
      <w:numFmt w:val="decimal"/>
      <w:start w:val="1"/>
    </w:lvl>
  </w:abstractNum>
  <w:abstractNum w:abstractNumId="12">
    <w:nsid w:val="3006C83E"/>
    <w:multiLevelType w:val="hybridMultilevel"/>
    <w:lvl w:ilvl="0">
      <w:lvlJc w:val="left"/>
      <w:lvlText w:val="(%1)"/>
      <w:numFmt w:val="decimal"/>
      <w:start w:val="14"/>
    </w:lvl>
  </w:abstractNum>
  <w:abstractNum w:abstractNumId="13">
    <w:nsid w:val="614FD4A1"/>
    <w:multiLevelType w:val="hybridMultilevel"/>
    <w:lvl w:ilvl="0">
      <w:lvlJc w:val="left"/>
      <w:lvlText w:val="%1."/>
      <w:numFmt w:val="decimal"/>
      <w:start w:val="1"/>
    </w:lvl>
  </w:abstractNum>
  <w:abstractNum w:abstractNumId="14">
    <w:nsid w:val="419AC241"/>
    <w:multiLevelType w:val="hybridMultilevel"/>
    <w:lvl w:ilvl="0">
      <w:lvlJc w:val="left"/>
      <w:lvlText w:val="%1."/>
      <w:numFmt w:val="decimal"/>
      <w:start w:val="4"/>
    </w:lvl>
  </w:abstractNum>
  <w:abstractNum w:abstractNumId="15">
    <w:nsid w:val="5577F8E1"/>
    <w:multiLevelType w:val="hybridMultilevel"/>
    <w:lvl w:ilvl="0">
      <w:lvlJc w:val="left"/>
      <w:lvlText w:val="(%1)"/>
      <w:numFmt w:val="decimal"/>
      <w:start w:val="1"/>
    </w:lvl>
  </w:abstractNum>
  <w:abstractNum w:abstractNumId="16">
    <w:nsid w:val="440BADFC"/>
    <w:multiLevelType w:val="hybridMultilevel"/>
    <w:lvl w:ilvl="0">
      <w:lvlJc w:val="left"/>
      <w:lvlText w:val="(%1)"/>
      <w:numFmt w:val="decimal"/>
      <w:start w:val="1"/>
    </w:lvl>
  </w:abstractNum>
  <w:abstractNum w:abstractNumId="17">
    <w:nsid w:val="5072367"/>
    <w:multiLevelType w:val="hybridMultilevel"/>
    <w:lvl w:ilvl="0">
      <w:lvlJc w:val="left"/>
      <w:lvlText w:val="(%1)"/>
      <w:numFmt w:val="decimal"/>
      <w:start w:val="3"/>
    </w:lvl>
  </w:abstractNum>
  <w:abstractNum w:abstractNumId="18">
    <w:nsid w:val="3804823E"/>
    <w:multiLevelType w:val="hybridMultilevel"/>
    <w:lvl w:ilvl="0">
      <w:lvlJc w:val="left"/>
      <w:lvlText w:val="(%1)"/>
      <w:numFmt w:val="decimal"/>
      <w:start w:val="1"/>
    </w:lvl>
  </w:abstractNum>
  <w:abstractNum w:abstractNumId="19">
    <w:nsid w:val="77465F01"/>
    <w:multiLevelType w:val="hybridMultilevel"/>
    <w:lvl w:ilvl="0">
      <w:lvlJc w:val="left"/>
      <w:lvlText w:val="(%1)"/>
      <w:numFmt w:val="decimal"/>
      <w:start w:val="3"/>
    </w:lvl>
  </w:abstractNum>
  <w:abstractNum w:abstractNumId="20">
    <w:nsid w:val="7724C67E"/>
    <w:multiLevelType w:val="hybridMultilevel"/>
    <w:lvl w:ilvl="0">
      <w:lvlJc w:val="left"/>
      <w:lvlText w:val="(%1)"/>
      <w:numFmt w:val="decimal"/>
      <w:start w:val="1"/>
    </w:lvl>
  </w:abstractNum>
  <w:abstractNum w:abstractNumId="21">
    <w:nsid w:val="5C482A97"/>
    <w:multiLevelType w:val="hybridMultilevel"/>
    <w:lvl w:ilvl="0">
      <w:lvlJc w:val="left"/>
      <w:lvlText w:val="(%1)"/>
      <w:numFmt w:val="decimal"/>
      <w:start w:val="1"/>
    </w:lvl>
  </w:abstractNum>
  <w:abstractNum w:abstractNumId="22">
    <w:nsid w:val="2463B9EA"/>
    <w:multiLevelType w:val="hybridMultilevel"/>
    <w:lvl w:ilvl="0">
      <w:lvlJc w:val="left"/>
      <w:lvlText w:val="*"/>
      <w:numFmt w:val="bullet"/>
      <w:start w:val="1"/>
    </w:lvl>
  </w:abstractNum>
  <w:abstractNum w:abstractNumId="23">
    <w:nsid w:val="5E884ADC"/>
    <w:multiLevelType w:val="hybridMultilevel"/>
    <w:lvl w:ilvl="0">
      <w:lvlJc w:val="left"/>
      <w:lvlText w:val="**"/>
      <w:numFmt w:val="bullet"/>
      <w:start w:val="1"/>
    </w:lvl>
  </w:abstractNum>
  <w:abstractNum w:abstractNumId="24">
    <w:nsid w:val="51EAD36B"/>
    <w:multiLevelType w:val="hybridMultilevel"/>
    <w:lvl w:ilvl="0">
      <w:lvlJc w:val="left"/>
      <w:lvlText w:val="***"/>
      <w:numFmt w:val="bullet"/>
      <w:start w:val="1"/>
    </w:lvl>
  </w:abstractNum>
  <w:abstractNum w:abstractNumId="25">
    <w:nsid w:val="2D517796"/>
    <w:multiLevelType w:val="hybridMultilevel"/>
    <w:lvl w:ilvl="0">
      <w:lvlJc w:val="left"/>
      <w:lvlText w:val="(%1)"/>
      <w:numFmt w:val="decimal"/>
      <w:start w:val="1"/>
    </w:lvl>
  </w:abstractNum>
  <w:abstractNum w:abstractNumId="26">
    <w:nsid w:val="580BD78F"/>
    <w:multiLevelType w:val="hybridMultilevel"/>
    <w:lvl w:ilvl="0">
      <w:lvlJc w:val="left"/>
      <w:lvlText w:val="(%1)"/>
      <w:numFmt w:val="decimal"/>
      <w:start w:val="2"/>
    </w:lvl>
  </w:abstractNum>
  <w:abstractNum w:abstractNumId="27">
    <w:nsid w:val="153EA438"/>
    <w:multiLevelType w:val="hybridMultilevel"/>
    <w:lvl w:ilvl="0">
      <w:lvlJc w:val="left"/>
      <w:lvlText w:val="*"/>
      <w:numFmt w:val="bullet"/>
      <w:start w:val="1"/>
    </w:lvl>
  </w:abstractNum>
  <w:abstractNum w:abstractNumId="28">
    <w:nsid w:val="3855585C"/>
    <w:multiLevelType w:val="hybridMultilevel"/>
    <w:lvl w:ilvl="0">
      <w:lvlJc w:val="left"/>
      <w:lvlText w:val="**"/>
      <w:numFmt w:val="bullet"/>
      <w:start w:val="1"/>
    </w:lvl>
  </w:abstractNum>
  <w:abstractNum w:abstractNumId="29">
    <w:nsid w:val="70A64E2A"/>
    <w:multiLevelType w:val="hybridMultilevel"/>
    <w:lvl w:ilvl="0">
      <w:lvlJc w:val="left"/>
      <w:lvlText w:val="***"/>
      <w:numFmt w:val="bullet"/>
      <w:start w:val="1"/>
    </w:lvl>
  </w:abstractNum>
  <w:abstractNum w:abstractNumId="30">
    <w:nsid w:val="6A2342EC"/>
    <w:multiLevelType w:val="hybridMultilevel"/>
    <w:lvl w:ilvl="0">
      <w:lvlJc w:val="left"/>
      <w:lvlText w:val="(%1)"/>
      <w:numFmt w:val="decimal"/>
      <w:start w:val="1"/>
    </w:lvl>
  </w:abstractNum>
  <w:abstractNum w:abstractNumId="31">
    <w:nsid w:val="2A487CB0"/>
    <w:multiLevelType w:val="hybridMultilevel"/>
    <w:lvl w:ilvl="0">
      <w:lvlJc w:val="left"/>
      <w:lvlText w:val="(%1)"/>
      <w:numFmt w:val="decimal"/>
      <w:start w:val="7"/>
    </w:lvl>
  </w:abstractNum>
  <w:abstractNum w:abstractNumId="32">
    <w:nsid w:val="1D4ED43B"/>
    <w:multiLevelType w:val="hybridMultilevel"/>
    <w:lvl w:ilvl="0">
      <w:lvlJc w:val="left"/>
      <w:lvlText w:val="(%1)"/>
      <w:numFmt w:val="decimal"/>
      <w:start w:val="1"/>
    </w:lvl>
  </w:abstractNum>
  <w:abstractNum w:abstractNumId="33">
    <w:nsid w:val="725A06FB"/>
    <w:multiLevelType w:val="hybridMultilevel"/>
    <w:lvl w:ilvl="0">
      <w:lvlJc w:val="left"/>
      <w:lvlText w:val="(%1)"/>
      <w:numFmt w:val="decimal"/>
      <w:start w:val="1"/>
    </w:lvl>
  </w:abstractNum>
  <w:abstractNum w:abstractNumId="34">
    <w:nsid w:val="2CD89A32"/>
    <w:multiLevelType w:val="hybridMultilevel"/>
    <w:lvl w:ilvl="0">
      <w:lvlJc w:val="left"/>
      <w:lvlText w:val="(%1)"/>
      <w:numFmt w:val="decimal"/>
      <w:start w:val="1"/>
    </w:lvl>
  </w:abstractNum>
  <w:abstractNum w:abstractNumId="35">
    <w:nsid w:val="57E4CCAF"/>
    <w:multiLevelType w:val="hybridMultilevel"/>
    <w:lvl w:ilvl="0">
      <w:lvlJc w:val="left"/>
      <w:lvlText w:val="(%1)"/>
      <w:numFmt w:val="decimal"/>
      <w:start w:val="1"/>
    </w:lvl>
  </w:abstractNum>
  <w:abstractNum w:abstractNumId="36">
    <w:nsid w:val="7A6D8D3C"/>
    <w:multiLevelType w:val="hybridMultilevel"/>
    <w:lvl w:ilvl="0">
      <w:lvlJc w:val="left"/>
      <w:lvlText w:val="•"/>
      <w:numFmt w:val="bullet"/>
      <w:start w:val="1"/>
    </w:lvl>
  </w:abstractNum>
  <w:abstractNum w:abstractNumId="37">
    <w:nsid w:val="4B588F54"/>
    <w:multiLevelType w:val="hybridMultilevel"/>
    <w:lvl w:ilvl="0">
      <w:lvlJc w:val="left"/>
      <w:lvlText w:val="•"/>
      <w:numFmt w:val="bullet"/>
      <w:start w:val="1"/>
    </w:lvl>
  </w:abstractNum>
  <w:abstractNum w:abstractNumId="38">
    <w:nsid w:val="542289EC"/>
    <w:multiLevelType w:val="hybridMultilevel"/>
    <w:lvl w:ilvl="0">
      <w:lvlJc w:val="left"/>
      <w:lvlText w:val="•"/>
      <w:numFmt w:val="bullet"/>
      <w:start w:val="1"/>
    </w:lvl>
  </w:abstractNum>
  <w:abstractNum w:abstractNumId="39">
    <w:nsid w:val="6DE91B18"/>
    <w:multiLevelType w:val="hybridMultilevel"/>
    <w:lvl w:ilvl="0">
      <w:lvlJc w:val="left"/>
      <w:lvlText w:val="(%1)"/>
      <w:numFmt w:val="decimal"/>
      <w:start w:val="1"/>
    </w:lvl>
  </w:abstractNum>
  <w:abstractNum w:abstractNumId="40">
    <w:nsid w:val="38437FDB"/>
    <w:multiLevelType w:val="hybridMultilevel"/>
    <w:lvl w:ilvl="0">
      <w:lvlJc w:val="left"/>
      <w:lvlText w:val="(%1)"/>
      <w:numFmt w:val="decimal"/>
      <w:start w:val="1"/>
    </w:lvl>
  </w:abstractNum>
  <w:abstractNum w:abstractNumId="41">
    <w:nsid w:val="7644A45C"/>
    <w:multiLevelType w:val="hybridMultilevel"/>
    <w:lvl w:ilvl="0">
      <w:lvlJc w:val="left"/>
      <w:lvlText w:val="(%1)"/>
      <w:numFmt w:val="decimal"/>
      <w:start w:val="1"/>
    </w:lvl>
  </w:abstractNum>
  <w:abstractNum w:abstractNumId="42">
    <w:nsid w:val="32FFF902"/>
    <w:multiLevelType w:val="hybridMultilevel"/>
    <w:lvl w:ilvl="0">
      <w:lvlJc w:val="left"/>
      <w:lvlText w:val="(%1)"/>
      <w:numFmt w:val="decimal"/>
      <w:start w:val="1"/>
    </w:lvl>
  </w:abstractNum>
  <w:abstractNum w:abstractNumId="43">
    <w:nsid w:val="684A481A"/>
    <w:multiLevelType w:val="hybridMultilevel"/>
    <w:lvl w:ilvl="0">
      <w:lvlJc w:val="left"/>
      <w:lvlText w:val="(%1)"/>
      <w:numFmt w:val="decimal"/>
      <w:start w:val="1"/>
    </w:lvl>
  </w:abstractNum>
  <w:abstractNum w:abstractNumId="44">
    <w:nsid w:val="579478FE"/>
    <w:multiLevelType w:val="hybridMultilevel"/>
    <w:lvl w:ilvl="0">
      <w:lvlJc w:val="left"/>
      <w:lvlText w:val="(%1)"/>
      <w:numFmt w:val="decimal"/>
      <w:start w:val="1"/>
    </w:lvl>
  </w:abstractNum>
  <w:abstractNum w:abstractNumId="45">
    <w:nsid w:val="749ABB43"/>
    <w:multiLevelType w:val="hybridMultilevel"/>
    <w:lvl w:ilvl="0">
      <w:lvlJc w:val="left"/>
      <w:lvlText w:val="(%1)"/>
      <w:numFmt w:val="decimal"/>
      <w:start w:val="1"/>
    </w:lvl>
  </w:abstractNum>
  <w:abstractNum w:abstractNumId="46">
    <w:nsid w:val="3DC240FB"/>
    <w:multiLevelType w:val="hybridMultilevel"/>
    <w:lvl w:ilvl="0">
      <w:lvlJc w:val="left"/>
      <w:lvlText w:val="(%1)"/>
      <w:numFmt w:val="decimal"/>
      <w:start w:val="1"/>
    </w:lvl>
  </w:abstractNum>
  <w:abstractNum w:abstractNumId="47">
    <w:nsid w:val="1BA026FA"/>
    <w:multiLevelType w:val="hybridMultilevel"/>
    <w:lvl w:ilvl="0">
      <w:lvlJc w:val="left"/>
      <w:lvlText w:val="(%1)"/>
      <w:numFmt w:val="decimal"/>
      <w:start w:val="11"/>
    </w:lvl>
  </w:abstractNum>
  <w:abstractNum w:abstractNumId="48">
    <w:nsid w:val="79A1DEAA"/>
    <w:multiLevelType w:val="hybridMultilevel"/>
    <w:lvl w:ilvl="0">
      <w:lvlJc w:val="left"/>
      <w:lvlText w:val="(%1)"/>
      <w:numFmt w:val="decimal"/>
      <w:start w:val="1"/>
    </w:lvl>
  </w:abstractNum>
  <w:abstractNum w:abstractNumId="49">
    <w:nsid w:val="75C6C33A"/>
    <w:multiLevelType w:val="hybridMultilevel"/>
    <w:lvl w:ilvl="0">
      <w:lvlJc w:val="left"/>
      <w:lvlText w:val="(%1)"/>
      <w:numFmt w:val="decimal"/>
      <w:start w:val="1"/>
    </w:lvl>
  </w:abstractNum>
  <w:abstractNum w:abstractNumId="50">
    <w:nsid w:val="12E685FB"/>
    <w:multiLevelType w:val="hybridMultilevel"/>
    <w:lvl w:ilvl="0">
      <w:lvlJc w:val="left"/>
      <w:lvlText w:val="%1."/>
      <w:numFmt w:val="decimal"/>
      <w:start w:val="1"/>
    </w:lvl>
    <w:lvl w:ilvl="1">
      <w:lvlJc w:val="left"/>
      <w:lvlText w:val="(%2)"/>
      <w:numFmt w:val="lowerLetter"/>
      <w:start w:val="1"/>
    </w:lvl>
  </w:abstractNum>
  <w:abstractNum w:abstractNumId="51">
    <w:nsid w:val="70C6A529"/>
    <w:multiLevelType w:val="hybridMultilevel"/>
    <w:lvl w:ilvl="0">
      <w:lvlJc w:val="left"/>
      <w:lvlText w:val="%1."/>
      <w:numFmt w:val="decimal"/>
      <w:start w:val="1"/>
    </w:lvl>
    <w:lvl w:ilvl="1">
      <w:lvlJc w:val="left"/>
      <w:lvlText w:val="(%2)"/>
      <w:numFmt w:val="lowerLetter"/>
      <w:start w:val="1"/>
    </w:lvl>
  </w:abstractNum>
  <w:abstractNum w:abstractNumId="52">
    <w:nsid w:val="520EEDD1"/>
    <w:multiLevelType w:val="hybridMultilevel"/>
    <w:lvl w:ilvl="0">
      <w:lvlJc w:val="left"/>
      <w:lvlText w:val="(%1)"/>
      <w:numFmt w:val="decimal"/>
      <w:start w:val="1"/>
    </w:lvl>
  </w:abstractNum>
  <w:abstractNum w:abstractNumId="53">
    <w:nsid w:val="374A3FE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78" Type="http://schemas.openxmlformats.org/officeDocument/2006/relationships/image" Target="media/image62.png"/><Relationship Id="rId79" Type="http://schemas.openxmlformats.org/officeDocument/2006/relationships/image" Target="media/image63.png"/><Relationship Id="rId80" Type="http://schemas.openxmlformats.org/officeDocument/2006/relationships/image" Target="media/image64.png"/><Relationship Id="rId81" Type="http://schemas.openxmlformats.org/officeDocument/2006/relationships/image" Target="media/image65.png"/><Relationship Id="rId69" Type="http://schemas.openxmlformats.org/officeDocument/2006/relationships/hyperlink" Target="http://www.sec.gov/Archives/edgar/data/1509470/000113379611000069/k216228_ex99-2a.htm" TargetMode="External"/><Relationship Id="rId70" Type="http://schemas.openxmlformats.org/officeDocument/2006/relationships/hyperlink" Target="http://www.sec.gov/Archives/edgar/data/1509470/000114420411033389/v224342_ex3-1.htm" TargetMode="External"/><Relationship Id="rId71" Type="http://schemas.openxmlformats.org/officeDocument/2006/relationships/hyperlink" Target="http://www.sec.gov/Archives/edgar/data/1509470/000114420419037014/tv526412_ex3-1.htm" TargetMode="External"/><Relationship Id="rId72" Type="http://schemas.openxmlformats.org/officeDocument/2006/relationships/hyperlink" Target="http://www.sec.gov/Archives/edgar/data/1509470/000110465920073783/tm2022743d1_ex3-1.htm" TargetMode="External"/><Relationship Id="rId73" Type="http://schemas.openxmlformats.org/officeDocument/2006/relationships/hyperlink" Target="http://www.sec.gov/Archives/edgar/data/1509470/000114420419037014/tv526412_ex3-2.htm" TargetMode="External"/><Relationship Id="rId74" Type="http://schemas.openxmlformats.org/officeDocument/2006/relationships/hyperlink" Target="http://www.sec.gov/Archives/edgar/data/1509470/000110465920080689/tm2023838d1_ex-d3.htm" TargetMode="External"/><Relationship Id="rId75" Type="http://schemas.openxmlformats.org/officeDocument/2006/relationships/hyperlink" Target="https://www.sec.gov/Archives/edgar/data/0001509470/000110465921150924/tm2135610d1_ex4-2.htm" TargetMode="External"/><Relationship Id="rId76" Type="http://schemas.openxmlformats.org/officeDocument/2006/relationships/hyperlink" Target="https://www.sec.gov/Archives/edgar/data/0001509470/000110465921150924/tm2135610d1_ex4-2.htm#S1" TargetMode="External"/><Relationship Id="rId77" Type="http://schemas.openxmlformats.org/officeDocument/2006/relationships/hyperlink" Target="https://www.sec.gov/Archives/edgar/data/0001509470/000162828022005867/surocapital-form10xkex4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2022-08-04T13:34:02Z</dcterms:created>
  <dcterms:modified xsi:type="dcterms:W3CDTF">2022-08-04T13:34:02Z</dcterms:modified>
</cp:coreProperties>
</file>