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line="232" w:lineRule="auto"/>
        <w:rPr>
          <w:sz w:val="20"/>
          <w:szCs w:val="20"/>
          <w:color w:val="auto"/>
        </w:rPr>
      </w:pPr>
      <w:r>
        <w:rPr>
          <w:rFonts w:ascii="Arial" w:cs="Arial" w:eastAsia="Arial" w:hAnsi="Arial"/>
          <w:sz w:val="16"/>
          <w:szCs w:val="16"/>
          <w:b w:val="1"/>
          <w:bCs w:val="1"/>
          <w:color w:val="auto"/>
        </w:rPr>
        <w:t>Washington, D.C. 20549</w:t>
      </w:r>
    </w:p>
    <w:p>
      <w:pPr>
        <w:ind w:left="4700"/>
        <w:spacing w:after="0"/>
        <w:rPr>
          <w:sz w:val="20"/>
          <w:szCs w:val="20"/>
          <w:color w:val="auto"/>
        </w:rPr>
      </w:pPr>
      <w:r>
        <w:rPr>
          <w:rFonts w:ascii="Arial" w:cs="Arial" w:eastAsia="Arial" w:hAnsi="Arial"/>
          <w:sz w:val="14"/>
          <w:szCs w:val="14"/>
          <w:color w:val="auto"/>
        </w:rPr>
        <w:t>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7"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p>
    <w:p>
      <w:pPr>
        <w:spacing w:after="0" w:line="149" w:lineRule="exact"/>
        <w:rPr>
          <w:sz w:val="24"/>
          <w:szCs w:val="24"/>
          <w:color w:val="auto"/>
        </w:rPr>
      </w:pPr>
    </w:p>
    <w:p>
      <w:pPr>
        <w:ind w:left="3560"/>
        <w:spacing w:after="0"/>
        <w:rPr>
          <w:sz w:val="20"/>
          <w:szCs w:val="20"/>
          <w:color w:val="auto"/>
        </w:rPr>
      </w:pPr>
      <w:r>
        <w:rPr>
          <w:rFonts w:ascii="Arial" w:cs="Arial" w:eastAsia="Arial" w:hAnsi="Arial"/>
          <w:sz w:val="16"/>
          <w:szCs w:val="16"/>
          <w:b w:val="1"/>
          <w:bCs w:val="1"/>
          <w:color w:val="auto"/>
        </w:rPr>
        <w:t xml:space="preserve">FOR THE QUARTERLY PERIOD ENDED </w:t>
      </w:r>
      <w:r>
        <w:rPr>
          <w:rFonts w:ascii="Arial" w:cs="Arial" w:eastAsia="Arial" w:hAnsi="Arial"/>
          <w:sz w:val="18"/>
          <w:szCs w:val="18"/>
          <w:b w:val="1"/>
          <w:bCs w:val="1"/>
          <w:color w:val="auto"/>
        </w:rPr>
        <w:t>March 31, 2019</w:t>
      </w:r>
    </w:p>
    <w:p>
      <w:pPr>
        <w:spacing w:after="0" w:line="176"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814-00852</w:t>
      </w:r>
    </w:p>
    <w:p>
      <w:pPr>
        <w:spacing w:after="0" w:line="11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GSV Capital Corp.</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169" w:lineRule="exact"/>
        <w:rPr>
          <w:sz w:val="24"/>
          <w:szCs w:val="24"/>
          <w:color w:val="auto"/>
        </w:rPr>
      </w:pPr>
    </w:p>
    <w:tbl>
      <w:tblPr>
        <w:tblLayout w:type="fixed"/>
        <w:tblInd w:w="1100" w:type="dxa"/>
        <w:tblCellMar>
          <w:top w:w="0" w:type="dxa"/>
          <w:left w:w="0" w:type="dxa"/>
          <w:bottom w:w="0" w:type="dxa"/>
          <w:right w:w="0" w:type="dxa"/>
        </w:tblCellMar>
      </w:tblPr>
      <w:tr>
        <w:trPr>
          <w:trHeight w:val="210"/>
        </w:trPr>
        <w:tc>
          <w:tcPr>
            <w:tcW w:w="6280" w:type="dxa"/>
            <w:vAlign w:val="bottom"/>
          </w:tcPr>
          <w:p>
            <w:pPr>
              <w:jc w:val="center"/>
              <w:ind w:right="2663"/>
              <w:spacing w:after="0"/>
              <w:rPr>
                <w:sz w:val="20"/>
                <w:szCs w:val="20"/>
                <w:color w:val="auto"/>
              </w:rPr>
            </w:pPr>
            <w:r>
              <w:rPr>
                <w:rFonts w:ascii="Arial" w:cs="Arial" w:eastAsia="Arial" w:hAnsi="Arial"/>
                <w:sz w:val="16"/>
                <w:szCs w:val="16"/>
                <w:b w:val="1"/>
                <w:bCs w:val="1"/>
                <w:color w:val="auto"/>
                <w:w w:val="99"/>
              </w:rPr>
              <w:t>Maryland</w:t>
            </w:r>
          </w:p>
        </w:tc>
        <w:tc>
          <w:tcPr>
            <w:tcW w:w="2240" w:type="dxa"/>
            <w:vAlign w:val="bottom"/>
          </w:tcPr>
          <w:p>
            <w:pPr>
              <w:jc w:val="right"/>
              <w:ind w:right="583"/>
              <w:spacing w:after="0"/>
              <w:rPr>
                <w:sz w:val="20"/>
                <w:szCs w:val="20"/>
                <w:color w:val="auto"/>
              </w:rPr>
            </w:pPr>
            <w:r>
              <w:rPr>
                <w:rFonts w:ascii="Arial" w:cs="Arial" w:eastAsia="Arial" w:hAnsi="Arial"/>
                <w:sz w:val="16"/>
                <w:szCs w:val="16"/>
                <w:b w:val="1"/>
                <w:bCs w:val="1"/>
                <w:color w:val="auto"/>
              </w:rPr>
              <w:t>27-4443543</w:t>
            </w:r>
          </w:p>
        </w:tc>
      </w:tr>
      <w:tr>
        <w:trPr>
          <w:trHeight w:val="224"/>
        </w:trPr>
        <w:tc>
          <w:tcPr>
            <w:tcW w:w="6280" w:type="dxa"/>
            <w:vAlign w:val="bottom"/>
          </w:tcPr>
          <w:p>
            <w:pPr>
              <w:jc w:val="center"/>
              <w:ind w:right="2683"/>
              <w:spacing w:after="0"/>
              <w:rPr>
                <w:sz w:val="20"/>
                <w:szCs w:val="20"/>
                <w:color w:val="auto"/>
              </w:rPr>
            </w:pPr>
            <w:r>
              <w:rPr>
                <w:rFonts w:ascii="Arial" w:cs="Arial" w:eastAsia="Arial" w:hAnsi="Arial"/>
                <w:sz w:val="14"/>
                <w:szCs w:val="14"/>
                <w:color w:val="auto"/>
                <w:w w:val="95"/>
              </w:rPr>
              <w:t>(State of incorporation)</w:t>
            </w:r>
          </w:p>
        </w:tc>
        <w:tc>
          <w:tcPr>
            <w:tcW w:w="2240" w:type="dxa"/>
            <w:vAlign w:val="bottom"/>
          </w:tcPr>
          <w:p>
            <w:pPr>
              <w:jc w:val="center"/>
              <w:ind w:left="63"/>
              <w:spacing w:after="0"/>
              <w:rPr>
                <w:sz w:val="20"/>
                <w:szCs w:val="20"/>
                <w:color w:val="auto"/>
              </w:rPr>
            </w:pPr>
            <w:r>
              <w:rPr>
                <w:rFonts w:ascii="Arial" w:cs="Arial" w:eastAsia="Arial" w:hAnsi="Arial"/>
                <w:sz w:val="14"/>
                <w:szCs w:val="14"/>
                <w:color w:val="auto"/>
                <w:w w:val="97"/>
              </w:rPr>
              <w:t>(I.R.S. Employer Identification No.)</w:t>
            </w:r>
          </w:p>
        </w:tc>
      </w:tr>
      <w:tr>
        <w:trPr>
          <w:trHeight w:val="236"/>
        </w:trPr>
        <w:tc>
          <w:tcPr>
            <w:tcW w:w="6280" w:type="dxa"/>
            <w:vAlign w:val="bottom"/>
          </w:tcPr>
          <w:p>
            <w:pPr>
              <w:jc w:val="center"/>
              <w:ind w:right="2663"/>
              <w:spacing w:after="0"/>
              <w:rPr>
                <w:sz w:val="20"/>
                <w:szCs w:val="20"/>
                <w:color w:val="auto"/>
              </w:rPr>
            </w:pPr>
            <w:r>
              <w:rPr>
                <w:rFonts w:ascii="Arial" w:cs="Arial" w:eastAsia="Arial" w:hAnsi="Arial"/>
                <w:sz w:val="16"/>
                <w:szCs w:val="16"/>
                <w:b w:val="1"/>
                <w:bCs w:val="1"/>
                <w:color w:val="auto"/>
                <w:w w:val="92"/>
              </w:rPr>
              <w:t>345 California Street, Suite 600, San Francisco, CA</w:t>
            </w:r>
          </w:p>
        </w:tc>
        <w:tc>
          <w:tcPr>
            <w:tcW w:w="2240" w:type="dxa"/>
            <w:vAlign w:val="bottom"/>
          </w:tcPr>
          <w:p>
            <w:pPr>
              <w:jc w:val="right"/>
              <w:ind w:right="763"/>
              <w:spacing w:after="0"/>
              <w:rPr>
                <w:sz w:val="20"/>
                <w:szCs w:val="20"/>
                <w:color w:val="auto"/>
              </w:rPr>
            </w:pPr>
            <w:r>
              <w:rPr>
                <w:rFonts w:ascii="Arial" w:cs="Arial" w:eastAsia="Arial" w:hAnsi="Arial"/>
                <w:sz w:val="16"/>
                <w:szCs w:val="16"/>
                <w:b w:val="1"/>
                <w:bCs w:val="1"/>
                <w:color w:val="auto"/>
              </w:rPr>
              <w:t>94104</w:t>
            </w:r>
          </w:p>
        </w:tc>
      </w:tr>
      <w:tr>
        <w:trPr>
          <w:trHeight w:val="224"/>
        </w:trPr>
        <w:tc>
          <w:tcPr>
            <w:tcW w:w="6280" w:type="dxa"/>
            <w:vAlign w:val="bottom"/>
          </w:tcPr>
          <w:p>
            <w:pPr>
              <w:jc w:val="center"/>
              <w:ind w:right="2683"/>
              <w:spacing w:after="0"/>
              <w:rPr>
                <w:sz w:val="20"/>
                <w:szCs w:val="20"/>
                <w:color w:val="auto"/>
              </w:rPr>
            </w:pPr>
            <w:r>
              <w:rPr>
                <w:rFonts w:ascii="Arial" w:cs="Arial" w:eastAsia="Arial" w:hAnsi="Arial"/>
                <w:sz w:val="14"/>
                <w:szCs w:val="14"/>
                <w:color w:val="auto"/>
                <w:w w:val="95"/>
              </w:rPr>
              <w:t>(Address of principal executive offices)</w:t>
            </w:r>
          </w:p>
        </w:tc>
        <w:tc>
          <w:tcPr>
            <w:tcW w:w="2240" w:type="dxa"/>
            <w:vAlign w:val="bottom"/>
          </w:tcPr>
          <w:p>
            <w:pPr>
              <w:jc w:val="center"/>
              <w:ind w:left="63"/>
              <w:spacing w:after="0"/>
              <w:rPr>
                <w:sz w:val="20"/>
                <w:szCs w:val="20"/>
                <w:color w:val="auto"/>
              </w:rPr>
            </w:pPr>
            <w:r>
              <w:rPr>
                <w:rFonts w:ascii="Arial" w:cs="Arial" w:eastAsia="Arial" w:hAnsi="Arial"/>
                <w:sz w:val="14"/>
                <w:szCs w:val="14"/>
                <w:color w:val="auto"/>
                <w:w w:val="93"/>
              </w:rPr>
              <w:t>(Zip Code)</w:t>
            </w:r>
          </w:p>
        </w:tc>
      </w:tr>
      <w:tr>
        <w:trPr>
          <w:trHeight w:val="357"/>
        </w:trPr>
        <w:tc>
          <w:tcPr>
            <w:tcW w:w="6280" w:type="dxa"/>
            <w:vAlign w:val="bottom"/>
          </w:tcPr>
          <w:p>
            <w:pPr>
              <w:jc w:val="right"/>
              <w:ind w:right="1083"/>
              <w:spacing w:after="0"/>
              <w:rPr>
                <w:sz w:val="20"/>
                <w:szCs w:val="20"/>
                <w:color w:val="auto"/>
              </w:rPr>
            </w:pPr>
            <w:r>
              <w:rPr>
                <w:rFonts w:ascii="Arial" w:cs="Arial" w:eastAsia="Arial" w:hAnsi="Arial"/>
                <w:sz w:val="16"/>
                <w:szCs w:val="16"/>
                <w:b w:val="1"/>
                <w:bCs w:val="1"/>
                <w:color w:val="auto"/>
              </w:rPr>
              <w:t>(650) 235-4769</w:t>
            </w:r>
          </w:p>
        </w:tc>
        <w:tc>
          <w:tcPr>
            <w:tcW w:w="2240" w:type="dxa"/>
            <w:vAlign w:val="bottom"/>
          </w:tcPr>
          <w:p>
            <w:pPr>
              <w:spacing w:after="0"/>
              <w:rPr>
                <w:sz w:val="24"/>
                <w:szCs w:val="24"/>
                <w:color w:val="auto"/>
              </w:rPr>
            </w:pPr>
          </w:p>
        </w:tc>
      </w:tr>
      <w:tr>
        <w:trPr>
          <w:trHeight w:val="224"/>
        </w:trPr>
        <w:tc>
          <w:tcPr>
            <w:tcW w:w="6280" w:type="dxa"/>
            <w:vAlign w:val="bottom"/>
          </w:tcPr>
          <w:p>
            <w:pPr>
              <w:jc w:val="center"/>
              <w:ind w:left="2883"/>
              <w:spacing w:after="0"/>
              <w:rPr>
                <w:sz w:val="20"/>
                <w:szCs w:val="20"/>
                <w:color w:val="auto"/>
              </w:rPr>
            </w:pPr>
            <w:r>
              <w:rPr>
                <w:rFonts w:ascii="Arial" w:cs="Arial" w:eastAsia="Arial" w:hAnsi="Arial"/>
                <w:sz w:val="14"/>
                <w:szCs w:val="14"/>
                <w:color w:val="auto"/>
                <w:w w:val="92"/>
              </w:rPr>
              <w:t>(Registrant’s telephone number, including area code)</w:t>
            </w:r>
          </w:p>
        </w:tc>
        <w:tc>
          <w:tcPr>
            <w:tcW w:w="2240" w:type="dxa"/>
            <w:vAlign w:val="bottom"/>
          </w:tcPr>
          <w:p>
            <w:pPr>
              <w:spacing w:after="0"/>
              <w:rPr>
                <w:sz w:val="19"/>
                <w:szCs w:val="19"/>
                <w:color w:val="auto"/>
              </w:rPr>
            </w:pPr>
          </w:p>
        </w:tc>
      </w:tr>
    </w:tbl>
    <w:p>
      <w:pPr>
        <w:spacing w:after="0" w:line="205" w:lineRule="exact"/>
        <w:rPr>
          <w:sz w:val="24"/>
          <w:szCs w:val="24"/>
          <w:color w:val="auto"/>
        </w:rPr>
      </w:pPr>
    </w:p>
    <w:p>
      <w:pPr>
        <w:ind w:right="220" w:firstLine="351"/>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56" w:lineRule="exact"/>
        <w:rPr>
          <w:sz w:val="24"/>
          <w:szCs w:val="24"/>
          <w:color w:val="auto"/>
        </w:rPr>
      </w:pPr>
    </w:p>
    <w:p>
      <w:pPr>
        <w:ind w:right="240" w:firstLine="351"/>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ind w:right="180" w:firstLine="351"/>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29" w:lineRule="exact"/>
        <w:rPr>
          <w:sz w:val="24"/>
          <w:szCs w:val="24"/>
          <w:color w:val="auto"/>
        </w:rPr>
      </w:pPr>
    </w:p>
    <w:p>
      <w:pPr>
        <w:ind w:left="36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x</w:t>
      </w:r>
    </w:p>
    <w:p>
      <w:pPr>
        <w:spacing w:after="0" w:line="84" w:lineRule="exact"/>
        <w:rPr>
          <w:sz w:val="24"/>
          <w:szCs w:val="24"/>
          <w:color w:val="auto"/>
        </w:rPr>
      </w:pPr>
    </w:p>
    <w:p>
      <w:pPr>
        <w:sectPr>
          <w:pgSz w:w="11900" w:h="16838" w:orient="portrait"/>
          <w:cols w:equalWidth="0" w:num="2">
            <w:col w:w="7180" w:space="720"/>
            <w:col w:w="3520"/>
          </w:cols>
          <w:pgMar w:left="240" w:top="229" w:right="23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96" w:lineRule="exact"/>
        <w:rPr>
          <w:sz w:val="24"/>
          <w:szCs w:val="24"/>
          <w:color w:val="auto"/>
        </w:rPr>
      </w:pPr>
    </w:p>
    <w:p>
      <w:pPr>
        <w:sectPr>
          <w:pgSz w:w="11900" w:h="16838" w:orient="portrait"/>
          <w:cols w:equalWidth="0" w:num="2">
            <w:col w:w="7180" w:space="720"/>
            <w:col w:w="3520"/>
          </w:cols>
          <w:pgMar w:left="240" w:top="229" w:right="23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229" w:right="239" w:bottom="1440" w:gutter="0" w:footer="0" w:header="0"/>
          <w:type w:val="continuous"/>
        </w:sectPr>
      </w:pPr>
    </w:p>
    <w:p>
      <w:pPr>
        <w:spacing w:after="0" w:line="69" w:lineRule="exact"/>
        <w:rPr>
          <w:sz w:val="24"/>
          <w:szCs w:val="24"/>
          <w:color w:val="auto"/>
        </w:rPr>
      </w:pPr>
    </w:p>
    <w:p>
      <w:pPr>
        <w:ind w:right="400" w:firstLine="351"/>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2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20" w:type="dxa"/>
            <w:vAlign w:val="bottom"/>
          </w:tcPr>
          <w:p>
            <w:pPr>
              <w:spacing w:after="0"/>
              <w:rPr>
                <w:sz w:val="16"/>
                <w:szCs w:val="16"/>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37"/>
        </w:trPr>
        <w:tc>
          <w:tcPr>
            <w:tcW w:w="43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Common Stock, par value $0.01 per share</w:t>
            </w:r>
          </w:p>
        </w:tc>
        <w:tc>
          <w:tcPr>
            <w:tcW w:w="26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GSVC</w:t>
            </w:r>
          </w:p>
        </w:tc>
        <w:tc>
          <w:tcPr>
            <w:tcW w:w="4440" w:type="dxa"/>
            <w:vAlign w:val="bottom"/>
          </w:tcPr>
          <w:p>
            <w:pPr>
              <w:jc w:val="center"/>
              <w:spacing w:after="0"/>
              <w:rPr>
                <w:sz w:val="20"/>
                <w:szCs w:val="20"/>
                <w:color w:val="auto"/>
              </w:rPr>
            </w:pPr>
            <w:r>
              <w:rPr>
                <w:rFonts w:ascii="Arial" w:cs="Arial" w:eastAsia="Arial" w:hAnsi="Arial"/>
                <w:sz w:val="16"/>
                <w:szCs w:val="16"/>
                <w:color w:val="auto"/>
                <w:w w:val="93"/>
              </w:rPr>
              <w:t>Nasdaq Capital Market</w:t>
            </w:r>
          </w:p>
        </w:tc>
      </w:tr>
    </w:tbl>
    <w:p>
      <w:pPr>
        <w:spacing w:after="0" w:line="21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issuer had 19,762,647 shares of common stock, $0.01 par value per share, outstanding as of May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PAGE</w:t>
            </w:r>
          </w:p>
        </w:tc>
      </w:tr>
      <w:tr>
        <w:trPr>
          <w:trHeight w:val="250"/>
        </w:trPr>
        <w:tc>
          <w:tcPr>
            <w:tcW w:w="10680" w:type="dxa"/>
            <w:vAlign w:val="bottom"/>
            <w:tcBorders>
              <w:bottom w:val="single" w:sz="8" w:color="CCEEFF"/>
            </w:tcBorders>
            <w:gridSpan w:val="23"/>
            <w:shd w:val="clear" w:color="auto" w:fill="CCEEFF"/>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gridSpan w:val="5"/>
          </w:tcPr>
          <w:p>
            <w:pPr>
              <w:ind w:left="20"/>
              <w:spacing w:after="0" w:line="202" w:lineRule="exact"/>
              <w:rPr>
                <w:sz w:val="20"/>
                <w:szCs w:val="20"/>
                <w:color w:val="auto"/>
              </w:rPr>
            </w:pPr>
            <w:r>
              <w:rPr>
                <w:rFonts w:ascii="Arial" w:cs="Arial" w:eastAsia="Arial" w:hAnsi="Arial"/>
                <w:sz w:val="18"/>
                <w:szCs w:val="18"/>
                <w:color w:val="0000EE"/>
              </w:rPr>
              <w:t>Item 1.</w:t>
            </w:r>
          </w:p>
        </w:tc>
        <w:tc>
          <w:tcPr>
            <w:tcW w:w="9700" w:type="dxa"/>
            <w:vAlign w:val="bottom"/>
            <w:gridSpan w:val="18"/>
          </w:tcPr>
          <w:p>
            <w:pPr>
              <w:ind w:left="20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680" w:type="dxa"/>
            <w:vAlign w:val="bottom"/>
            <w:gridSpan w:val="4"/>
          </w:tcPr>
          <w:p>
            <w:pPr>
              <w:jc w:val="right"/>
              <w:ind w:righ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700" w:type="dxa"/>
            <w:vAlign w:val="bottom"/>
            <w:gridSpan w:val="18"/>
            <w:shd w:val="clear" w:color="auto" w:fill="CCEEFF"/>
          </w:tcPr>
          <w:p>
            <w:pPr>
              <w:ind w:left="200"/>
              <w:spacing w:after="0" w:line="202"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Condensed Consolidated Statements of Assets and Liabilities as of March 31, 2019 (Unaudited) and December 31, 2018</w:t>
              </w:r>
            </w:hyperlink>
          </w:p>
        </w:tc>
        <w:tc>
          <w:tcPr>
            <w:tcW w:w="6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00" w:type="dxa"/>
            <w:vAlign w:val="bottom"/>
            <w:gridSpan w:val="18"/>
          </w:tcPr>
          <w:p>
            <w:pPr>
              <w:ind w:left="200"/>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for the Three Months Ended March 31, 2019 and 2018 (Unaudited)</w:t>
              </w:r>
            </w:hyperlink>
          </w:p>
        </w:tc>
        <w:tc>
          <w:tcPr>
            <w:tcW w:w="680" w:type="dxa"/>
            <w:vAlign w:val="bottom"/>
            <w:gridSpan w:val="4"/>
          </w:tcPr>
          <w:p>
            <w:pPr>
              <w:jc w:val="right"/>
              <w:ind w:righ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700" w:type="dxa"/>
            <w:vAlign w:val="bottom"/>
            <w:gridSpan w:val="18"/>
            <w:shd w:val="clear" w:color="auto" w:fill="CCEEFF"/>
          </w:tcPr>
          <w:p>
            <w:pPr>
              <w:ind w:left="200"/>
              <w:spacing w:after="0" w:line="202"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Changes in Net Assets for the Three Months Ended March 31, 2019 and 2018 (Unaudited)</w:t>
              </w:r>
            </w:hyperlink>
          </w:p>
        </w:tc>
        <w:tc>
          <w:tcPr>
            <w:tcW w:w="6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00" w:type="dxa"/>
            <w:vAlign w:val="bottom"/>
            <w:gridSpan w:val="18"/>
          </w:tcPr>
          <w:p>
            <w:pPr>
              <w:ind w:left="200"/>
              <w:spacing w:after="0" w:line="20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Cash Flows for the Three Months Ended March 31, 2019 and 2018 (Unaudited)</w:t>
              </w:r>
            </w:hyperlink>
          </w:p>
        </w:tc>
        <w:tc>
          <w:tcPr>
            <w:tcW w:w="680" w:type="dxa"/>
            <w:vAlign w:val="bottom"/>
            <w:gridSpan w:val="4"/>
          </w:tcPr>
          <w:p>
            <w:pPr>
              <w:jc w:val="right"/>
              <w:ind w:righ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700" w:type="dxa"/>
            <w:vAlign w:val="bottom"/>
            <w:gridSpan w:val="18"/>
            <w:shd w:val="clear" w:color="auto" w:fill="CCEEFF"/>
          </w:tcPr>
          <w:p>
            <w:pPr>
              <w:ind w:left="20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Schedule of Investments as of March 31, 2019 (Unaudited)</w:t>
              </w:r>
            </w:hyperlink>
          </w:p>
        </w:tc>
        <w:tc>
          <w:tcPr>
            <w:tcW w:w="6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00" w:type="dxa"/>
            <w:vAlign w:val="bottom"/>
            <w:gridSpan w:val="18"/>
          </w:tcPr>
          <w:p>
            <w:pPr>
              <w:ind w:left="20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Condensed Consolidated Schedule of Investments as of December 31, 2018</w:t>
              </w:r>
            </w:hyperlink>
          </w:p>
        </w:tc>
        <w:tc>
          <w:tcPr>
            <w:tcW w:w="680" w:type="dxa"/>
            <w:vAlign w:val="bottom"/>
            <w:gridSpan w:val="4"/>
          </w:tcPr>
          <w:p>
            <w:pPr>
              <w:jc w:val="right"/>
              <w:ind w:right="4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700" w:type="dxa"/>
            <w:vAlign w:val="bottom"/>
            <w:gridSpan w:val="18"/>
            <w:shd w:val="clear" w:color="auto" w:fill="CCEEFF"/>
          </w:tcPr>
          <w:p>
            <w:pPr>
              <w:ind w:left="20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Notes to Condensed Consolidated Financial Statements as of March 31, 2019 (Unaudited)</w:t>
              </w:r>
            </w:hyperlink>
          </w:p>
        </w:tc>
        <w:tc>
          <w:tcPr>
            <w:tcW w:w="6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5"/>
          </w:tcPr>
          <w:p>
            <w:pPr>
              <w:ind w:lef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2.</w:t>
              </w:r>
            </w:hyperlink>
          </w:p>
        </w:tc>
        <w:tc>
          <w:tcPr>
            <w:tcW w:w="9700" w:type="dxa"/>
            <w:vAlign w:val="bottom"/>
            <w:gridSpan w:val="18"/>
          </w:tcPr>
          <w:p>
            <w:pPr>
              <w:ind w:left="20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3.</w:t>
              </w:r>
            </w:hyperlink>
          </w:p>
        </w:tc>
        <w:tc>
          <w:tcPr>
            <w:tcW w:w="440" w:type="dxa"/>
            <w:vAlign w:val="bottom"/>
            <w:gridSpan w:val="3"/>
            <w:shd w:val="clear" w:color="auto" w:fill="CCEEFF"/>
          </w:tcPr>
          <w:p>
            <w:pPr>
              <w:spacing w:after="0"/>
              <w:rPr>
                <w:sz w:val="17"/>
                <w:szCs w:val="17"/>
                <w:color w:val="auto"/>
              </w:rPr>
            </w:pPr>
          </w:p>
        </w:tc>
        <w:tc>
          <w:tcPr>
            <w:tcW w:w="9700" w:type="dxa"/>
            <w:vAlign w:val="bottom"/>
            <w:gridSpan w:val="18"/>
            <w:shd w:val="clear" w:color="auto" w:fill="CCEEFF"/>
          </w:tcPr>
          <w:p>
            <w:pPr>
              <w:ind w:left="20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Quantitative and Qualitative Disclosures About Market Risk</w:t>
              </w:r>
            </w:hyperlink>
          </w:p>
        </w:tc>
        <w:tc>
          <w:tcPr>
            <w:tcW w:w="6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63</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Item 4.</w:t>
              </w:r>
            </w:hyperlink>
          </w:p>
        </w:tc>
        <w:tc>
          <w:tcPr>
            <w:tcW w:w="440" w:type="dxa"/>
            <w:vAlign w:val="bottom"/>
            <w:gridSpan w:val="3"/>
          </w:tcPr>
          <w:p>
            <w:pPr>
              <w:spacing w:after="0"/>
              <w:rPr>
                <w:sz w:val="17"/>
                <w:szCs w:val="17"/>
                <w:color w:val="auto"/>
              </w:rPr>
            </w:pPr>
          </w:p>
        </w:tc>
        <w:tc>
          <w:tcPr>
            <w:tcW w:w="9700" w:type="dxa"/>
            <w:vAlign w:val="bottom"/>
            <w:gridSpan w:val="18"/>
          </w:tcPr>
          <w:p>
            <w:pPr>
              <w:ind w:left="20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Controls and Procedures</w:t>
              </w:r>
            </w:hyperlink>
          </w:p>
        </w:tc>
        <w:tc>
          <w:tcPr>
            <w:tcW w:w="680" w:type="dxa"/>
            <w:vAlign w:val="bottom"/>
            <w:gridSpan w:val="4"/>
          </w:tcPr>
          <w:p>
            <w:pPr>
              <w:jc w:val="right"/>
              <w:ind w:right="4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10680" w:type="dxa"/>
            <w:vAlign w:val="bottom"/>
            <w:tcBorders>
              <w:bottom w:val="single" w:sz="8" w:color="CCEEFF"/>
            </w:tcBorders>
            <w:gridSpan w:val="23"/>
            <w:shd w:val="clear" w:color="auto" w:fill="CCEEFF"/>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gridSpan w:val="5"/>
          </w:tcPr>
          <w:p>
            <w:pPr>
              <w:ind w:left="2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Item 1.</w:t>
              </w:r>
            </w:hyperlink>
          </w:p>
        </w:tc>
        <w:tc>
          <w:tcPr>
            <w:tcW w:w="9700" w:type="dxa"/>
            <w:vAlign w:val="bottom"/>
            <w:gridSpan w:val="18"/>
          </w:tcPr>
          <w:p>
            <w:pPr>
              <w:ind w:left="20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Legal Proceedings</w:t>
              </w:r>
            </w:hyperlink>
          </w:p>
        </w:tc>
        <w:tc>
          <w:tcPr>
            <w:tcW w:w="680" w:type="dxa"/>
            <w:vAlign w:val="bottom"/>
            <w:gridSpan w:val="4"/>
          </w:tcPr>
          <w:p>
            <w:pPr>
              <w:jc w:val="right"/>
              <w:ind w:right="4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0" w:type="dxa"/>
            <w:vAlign w:val="bottom"/>
            <w:gridSpan w:val="4"/>
            <w:shd w:val="clear" w:color="auto" w:fill="CCEEFF"/>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Item 1A.</w:t>
              </w:r>
            </w:hyperlink>
          </w:p>
        </w:tc>
        <w:tc>
          <w:tcPr>
            <w:tcW w:w="9700" w:type="dxa"/>
            <w:vAlign w:val="bottom"/>
            <w:gridSpan w:val="18"/>
            <w:shd w:val="clear" w:color="auto" w:fill="CCEEFF"/>
          </w:tcPr>
          <w:p>
            <w:pPr>
              <w:ind w:left="20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Risk Factors</w:t>
              </w:r>
            </w:hyperlink>
          </w:p>
        </w:tc>
        <w:tc>
          <w:tcPr>
            <w:tcW w:w="6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40" w:type="dxa"/>
            <w:vAlign w:val="bottom"/>
            <w:gridSpan w:val="2"/>
          </w:tcPr>
          <w:p>
            <w:pPr>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Item 2.</w:t>
              </w:r>
            </w:hyperlink>
          </w:p>
        </w:tc>
        <w:tc>
          <w:tcPr>
            <w:tcW w:w="320" w:type="dxa"/>
            <w:vAlign w:val="bottom"/>
            <w:gridSpan w:val="2"/>
          </w:tcPr>
          <w:p>
            <w:pPr>
              <w:spacing w:after="0"/>
              <w:rPr>
                <w:sz w:val="17"/>
                <w:szCs w:val="17"/>
                <w:color w:val="auto"/>
              </w:rPr>
            </w:pPr>
          </w:p>
        </w:tc>
        <w:tc>
          <w:tcPr>
            <w:tcW w:w="9700" w:type="dxa"/>
            <w:vAlign w:val="bottom"/>
            <w:gridSpan w:val="18"/>
          </w:tcPr>
          <w:p>
            <w:pPr>
              <w:ind w:left="20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4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3.</w:t>
              </w:r>
            </w:hyperlink>
          </w:p>
        </w:tc>
        <w:tc>
          <w:tcPr>
            <w:tcW w:w="440" w:type="dxa"/>
            <w:vAlign w:val="bottom"/>
            <w:gridSpan w:val="3"/>
            <w:shd w:val="clear" w:color="auto" w:fill="CCEEFF"/>
          </w:tcPr>
          <w:p>
            <w:pPr>
              <w:spacing w:after="0"/>
              <w:rPr>
                <w:sz w:val="17"/>
                <w:szCs w:val="17"/>
                <w:color w:val="auto"/>
              </w:rPr>
            </w:pPr>
          </w:p>
        </w:tc>
        <w:tc>
          <w:tcPr>
            <w:tcW w:w="9700" w:type="dxa"/>
            <w:vAlign w:val="bottom"/>
            <w:gridSpan w:val="18"/>
            <w:shd w:val="clear" w:color="auto" w:fill="CCEEFF"/>
          </w:tcPr>
          <w:p>
            <w:pPr>
              <w:ind w:left="20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Defaults Upon Senior Securities</w:t>
              </w:r>
            </w:hyperlink>
          </w:p>
        </w:tc>
        <w:tc>
          <w:tcPr>
            <w:tcW w:w="6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4.</w:t>
              </w:r>
            </w:hyperlink>
          </w:p>
        </w:tc>
        <w:tc>
          <w:tcPr>
            <w:tcW w:w="440" w:type="dxa"/>
            <w:vAlign w:val="bottom"/>
            <w:gridSpan w:val="3"/>
          </w:tcPr>
          <w:p>
            <w:pPr>
              <w:spacing w:after="0"/>
              <w:rPr>
                <w:sz w:val="17"/>
                <w:szCs w:val="17"/>
                <w:color w:val="auto"/>
              </w:rPr>
            </w:pPr>
          </w:p>
        </w:tc>
        <w:tc>
          <w:tcPr>
            <w:tcW w:w="9700" w:type="dxa"/>
            <w:vAlign w:val="bottom"/>
            <w:gridSpan w:val="18"/>
          </w:tcPr>
          <w:p>
            <w:pPr>
              <w:ind w:left="20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Mine Safety Disclosures</w:t>
              </w:r>
            </w:hyperlink>
          </w:p>
        </w:tc>
        <w:tc>
          <w:tcPr>
            <w:tcW w:w="680" w:type="dxa"/>
            <w:vAlign w:val="bottom"/>
            <w:gridSpan w:val="4"/>
          </w:tcPr>
          <w:p>
            <w:pPr>
              <w:jc w:val="right"/>
              <w:ind w:righ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5.</w:t>
              </w:r>
            </w:hyperlink>
          </w:p>
        </w:tc>
        <w:tc>
          <w:tcPr>
            <w:tcW w:w="440" w:type="dxa"/>
            <w:vAlign w:val="bottom"/>
            <w:gridSpan w:val="3"/>
            <w:shd w:val="clear" w:color="auto" w:fill="CCEEFF"/>
          </w:tcPr>
          <w:p>
            <w:pPr>
              <w:spacing w:after="0"/>
              <w:rPr>
                <w:sz w:val="17"/>
                <w:szCs w:val="17"/>
                <w:color w:val="auto"/>
              </w:rPr>
            </w:pPr>
          </w:p>
        </w:tc>
        <w:tc>
          <w:tcPr>
            <w:tcW w:w="9700" w:type="dxa"/>
            <w:vAlign w:val="bottom"/>
            <w:gridSpan w:val="18"/>
            <w:shd w:val="clear" w:color="auto" w:fill="CCEEFF"/>
          </w:tcPr>
          <w:p>
            <w:pPr>
              <w:ind w:left="20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6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Item 6.</w:t>
              </w:r>
            </w:hyperlink>
          </w:p>
        </w:tc>
        <w:tc>
          <w:tcPr>
            <w:tcW w:w="440" w:type="dxa"/>
            <w:vAlign w:val="bottom"/>
            <w:gridSpan w:val="3"/>
          </w:tcPr>
          <w:p>
            <w:pPr>
              <w:spacing w:after="0"/>
              <w:rPr>
                <w:sz w:val="17"/>
                <w:szCs w:val="17"/>
                <w:color w:val="auto"/>
              </w:rPr>
            </w:pPr>
          </w:p>
        </w:tc>
        <w:tc>
          <w:tcPr>
            <w:tcW w:w="9700" w:type="dxa"/>
            <w:vAlign w:val="bottom"/>
            <w:gridSpan w:val="18"/>
          </w:tcPr>
          <w:p>
            <w:pPr>
              <w:ind w:left="20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Exhibits</w:t>
              </w:r>
            </w:hyperlink>
          </w:p>
        </w:tc>
        <w:tc>
          <w:tcPr>
            <w:tcW w:w="680" w:type="dxa"/>
            <w:vAlign w:val="bottom"/>
            <w:gridSpan w:val="4"/>
          </w:tcPr>
          <w:p>
            <w:pPr>
              <w:jc w:val="right"/>
              <w:ind w:right="4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69</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80" w:type="dxa"/>
            <w:vAlign w:val="bottom"/>
            <w:gridSpan w:val="5"/>
            <w:shd w:val="clear" w:color="auto" w:fill="CCEEFF"/>
          </w:tcPr>
          <w:p>
            <w:pPr>
              <w:ind w:left="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-3609975</wp:posOffset>
            </wp:positionV>
            <wp:extent cx="6783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ASSETS AND LIABILITIES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Investments at fair value:</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Non-controlled/non-affiliate investments (cost of $112,265,183 and $105,869,607, respectively)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193,484,417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170,067,233</w:t>
            </w:r>
          </w:p>
        </w:tc>
        <w:tc>
          <w:tcPr>
            <w:tcW w:w="0" w:type="dxa"/>
            <w:vAlign w:val="bottom"/>
          </w:tcPr>
          <w:p>
            <w:pPr>
              <w:spacing w:after="0"/>
              <w:rPr>
                <w:sz w:val="1"/>
                <w:szCs w:val="1"/>
                <w:color w:val="auto"/>
              </w:rPr>
            </w:pPr>
          </w:p>
        </w:tc>
      </w:tr>
      <w:tr>
        <w:trPr>
          <w:trHeight w:val="237"/>
        </w:trPr>
        <w:tc>
          <w:tcPr>
            <w:tcW w:w="8340" w:type="dxa"/>
            <w:vAlign w:val="bottom"/>
          </w:tcPr>
          <w:p>
            <w:pPr>
              <w:ind w:left="220"/>
              <w:spacing w:after="0"/>
              <w:rPr>
                <w:sz w:val="20"/>
                <w:szCs w:val="20"/>
                <w:color w:val="auto"/>
              </w:rPr>
            </w:pPr>
            <w:r>
              <w:rPr>
                <w:rFonts w:ascii="Arial" w:cs="Arial" w:eastAsia="Arial" w:hAnsi="Arial"/>
                <w:sz w:val="16"/>
                <w:szCs w:val="16"/>
                <w:color w:val="auto"/>
              </w:rPr>
              <w:t>Non-controlled/affiliate investments (cost of $29,999,703 and $42,333,854, respectively)</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2,620,361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5,931,863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Controlled investments (cost of $22,962,133 and $22,960,942, respectively)</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17,466,686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22,816,733</w:t>
            </w:r>
          </w:p>
        </w:tc>
        <w:tc>
          <w:tcPr>
            <w:tcW w:w="0" w:type="dxa"/>
            <w:vAlign w:val="bottom"/>
          </w:tcPr>
          <w:p>
            <w:pPr>
              <w:spacing w:after="0"/>
              <w:rPr>
                <w:sz w:val="1"/>
                <w:szCs w:val="1"/>
                <w:color w:val="auto"/>
              </w:rPr>
            </w:pPr>
          </w:p>
        </w:tc>
      </w:tr>
      <w:tr>
        <w:trPr>
          <w:trHeight w:val="217"/>
        </w:trPr>
        <w:tc>
          <w:tcPr>
            <w:tcW w:w="8340" w:type="dxa"/>
            <w:vAlign w:val="bottom"/>
          </w:tcPr>
          <w:p>
            <w:pPr>
              <w:ind w:left="340"/>
              <w:spacing w:after="0"/>
              <w:rPr>
                <w:sz w:val="20"/>
                <w:szCs w:val="20"/>
                <w:color w:val="auto"/>
              </w:rPr>
            </w:pPr>
            <w:r>
              <w:rPr>
                <w:rFonts w:ascii="Arial" w:cs="Arial" w:eastAsia="Arial" w:hAnsi="Arial"/>
                <w:sz w:val="16"/>
                <w:szCs w:val="16"/>
                <w:color w:val="auto"/>
              </w:rPr>
              <w:t>Total Portfolio Investments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213,571,464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198,815,829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Investments in U.S. Treasury bills (cost of $99,961,333 and $99,982,067, respectively)</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99,980,000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99,994,000</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Total Investments (cost of $265,188,352 and $271,146,470, respectively)</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313,551,464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298,809,829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24,997,482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28,184,163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Escrow proceeds receivable</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2,177,555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2,494,582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dividends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345,884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255,670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financing costs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267,541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267,541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Receivable for unsettled trades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2,017,423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699,114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207,769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344,056,463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330,219,554</w:t>
            </w:r>
          </w:p>
        </w:tc>
        <w:tc>
          <w:tcPr>
            <w:tcW w:w="0" w:type="dxa"/>
            <w:vAlign w:val="bottom"/>
          </w:tcPr>
          <w:p>
            <w:pPr>
              <w:spacing w:after="0"/>
              <w:rPr>
                <w:sz w:val="1"/>
                <w:szCs w:val="1"/>
                <w:color w:val="auto"/>
              </w:rPr>
            </w:pPr>
          </w:p>
        </w:tc>
      </w:tr>
      <w:tr>
        <w:trPr>
          <w:trHeight w:val="217"/>
        </w:trPr>
        <w:tc>
          <w:tcPr>
            <w:tcW w:w="834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to GSV Asset Management</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207,710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2,345,086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490,687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incentive fees, net of waiver of incentive fees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4,660,472</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Accrued management fees, net of waiver of management fees</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415,056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payable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475,000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Payable for securities purchased</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89,460,654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89,480,103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979,713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885,566</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4.75% Convertible Senior Notes due March 28, 2023</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38,525,528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38,434,511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131,518,691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134,841,395</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Commitments and contingencies (Notes 7 and 10)</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212,537,772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195,378,159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NET ASSETS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Common stock, par value $0.01 per share (100,000,000 authorized; 19,762,647 and 19,762,647 issued and outstanding,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respectively)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197,626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197,626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Paid-in capital in excess of par</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192,322,399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192,322,399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net investment loss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(15,608,592)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(16,228,294)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Accumulated net realized losses on investments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(11,757,058)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(7,691,365)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net unrealized appreciation of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47,383,397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26,777,793</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color w:val="auto"/>
              </w:rPr>
              <w:t>Net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212,537,772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195,378,159</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Net Asset Value Per Share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10.75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620"/>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3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340" w:type="dxa"/>
            <w:vAlign w:val="bottom"/>
          </w:tcPr>
          <w:p>
            <w:pPr>
              <w:spacing w:after="0"/>
              <w:rPr>
                <w:sz w:val="20"/>
                <w:szCs w:val="20"/>
                <w:color w:val="auto"/>
              </w:rPr>
            </w:pPr>
            <w:r>
              <w:rPr>
                <w:rFonts w:ascii="Arial" w:cs="Arial" w:eastAsia="Arial" w:hAnsi="Arial"/>
                <w:sz w:val="11"/>
                <w:szCs w:val="11"/>
                <w:color w:val="auto"/>
              </w:rPr>
              <w:t>__________________________________________________</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-4298315</wp:posOffset>
            </wp:positionV>
            <wp:extent cx="5291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-5327650</wp:posOffset>
            </wp:positionV>
            <wp:extent cx="5291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-6356985</wp:posOffset>
            </wp:positionV>
            <wp:extent cx="5291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balance references a related-party transaction. Refer to “Note 3—Related-Party Arrangements” for more detail.</w:t>
      </w:r>
    </w:p>
    <w:p>
      <w:pPr>
        <w:spacing w:after="0" w:line="5"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of March 31, 2019 and December 31, 2018, the 4.75% Convertible Senior Notes due March 28, 2023 had a face value of $40,000,000. Refer to “Note 10—Debt Capital Activities” for a reconciliation of the carrying value to the face value.</w:t>
      </w:r>
    </w:p>
    <w:p>
      <w:pPr>
        <w:sectPr>
          <w:pgSz w:w="11900" w:h="16838" w:orient="portrait"/>
          <w:cols w:equalWidth="0" w:num="1">
            <w:col w:w="11420"/>
          </w:cols>
          <w:pgMar w:left="240" w:top="121"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6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 Ended March</w:t>
            </w: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Three Months Ended March</w:t>
            </w:r>
          </w:p>
        </w:tc>
      </w:tr>
      <w:tr>
        <w:trPr>
          <w:trHeight w:val="192"/>
        </w:trPr>
        <w:tc>
          <w:tcPr>
            <w:tcW w:w="74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31, 2019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31, 2018</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INVESTMENT INCOME</w:t>
            </w:r>
          </w:p>
        </w:tc>
        <w:tc>
          <w:tcPr>
            <w:tcW w:w="4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Non-controlled/non-affiliate investments:</w:t>
            </w:r>
          </w:p>
        </w:tc>
        <w:tc>
          <w:tcPr>
            <w:tcW w:w="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138,497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1,680</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Non-controlled/affiliate investments:</w:t>
            </w:r>
          </w:p>
        </w:tc>
        <w:tc>
          <w:tcPr>
            <w:tcW w:w="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234,082</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Controlled investments:</w:t>
            </w:r>
          </w:p>
        </w:tc>
        <w:tc>
          <w:tcPr>
            <w:tcW w:w="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4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29,287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13,573</w:t>
            </w: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b w:val="1"/>
                <w:bCs w:val="1"/>
                <w:color w:val="auto"/>
              </w:rPr>
              <w:t>Total Investment Income</w:t>
            </w:r>
          </w:p>
        </w:tc>
        <w:tc>
          <w:tcPr>
            <w:tcW w:w="4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227,250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249,335</w:t>
            </w:r>
          </w:p>
        </w:tc>
      </w:tr>
      <w:tr>
        <w:trPr>
          <w:trHeight w:val="33"/>
        </w:trPr>
        <w:tc>
          <w:tcPr>
            <w:tcW w:w="7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4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Management fees</w:t>
            </w:r>
            <w:r>
              <w:rPr>
                <w:rFonts w:ascii="Arial" w:cs="Arial" w:eastAsia="Arial" w:hAnsi="Arial"/>
                <w:sz w:val="21"/>
                <w:szCs w:val="21"/>
                <w:color w:val="auto"/>
                <w:vertAlign w:val="superscript"/>
              </w:rPr>
              <w:t>(1)</w:t>
            </w:r>
          </w:p>
        </w:tc>
        <w:tc>
          <w:tcPr>
            <w:tcW w:w="420" w:type="dxa"/>
            <w:vAlign w:val="bottom"/>
          </w:tcPr>
          <w:p>
            <w:pPr>
              <w:spacing w:after="0"/>
              <w:rPr>
                <w:sz w:val="23"/>
                <w:szCs w:val="23"/>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848,723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1,323,576</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(Reversal of Incentive fee accrual)/Incentive fees</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(4,660,472)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1,471,334</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Costs incurred under Administration Agreement</w:t>
            </w:r>
            <w:r>
              <w:rPr>
                <w:rFonts w:ascii="Arial" w:cs="Arial" w:eastAsia="Arial" w:hAnsi="Arial"/>
                <w:sz w:val="21"/>
                <w:szCs w:val="21"/>
                <w:color w:val="auto"/>
                <w:vertAlign w:val="superscript"/>
              </w:rPr>
              <w:t>(1)</w:t>
            </w:r>
          </w:p>
        </w:tc>
        <w:tc>
          <w:tcPr>
            <w:tcW w:w="420" w:type="dxa"/>
            <w:vAlign w:val="bottom"/>
          </w:tcPr>
          <w:p>
            <w:pPr>
              <w:spacing w:after="0"/>
              <w:rPr>
                <w:sz w:val="23"/>
                <w:szCs w:val="23"/>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306,084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424,145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Directors’ fees</w:t>
            </w: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86,250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86,250</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Professional fees</w:t>
            </w:r>
          </w:p>
        </w:tc>
        <w:tc>
          <w:tcPr>
            <w:tcW w:w="42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2,061,922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339,898</w:t>
            </w:r>
          </w:p>
        </w:tc>
      </w:tr>
      <w:tr>
        <w:trPr>
          <w:trHeight w:val="33"/>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604,168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1,140,063</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42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3,763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122,270</w:t>
            </w:r>
          </w:p>
        </w:tc>
      </w:tr>
      <w:tr>
        <w:trPr>
          <w:trHeight w:val="33"/>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w:t>
            </w:r>
          </w:p>
        </w:tc>
        <w:tc>
          <w:tcPr>
            <w:tcW w:w="4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357,110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489,270</w:t>
            </w: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Total Operating Expenses</w:t>
            </w:r>
          </w:p>
        </w:tc>
        <w:tc>
          <w:tcPr>
            <w:tcW w:w="4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(392,452)</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5,396,806</w:t>
            </w:r>
          </w:p>
        </w:tc>
      </w:tr>
      <w:tr>
        <w:trPr>
          <w:trHeight w:val="33"/>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84"/>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Management fee waiver</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(154,944)</w:t>
            </w:r>
          </w:p>
        </w:tc>
      </w:tr>
      <w:tr>
        <w:trPr>
          <w:trHeight w:val="257"/>
        </w:trPr>
        <w:tc>
          <w:tcPr>
            <w:tcW w:w="7440" w:type="dxa"/>
            <w:vAlign w:val="bottom"/>
          </w:tcPr>
          <w:p>
            <w:pPr>
              <w:ind w:left="280"/>
              <w:spacing w:after="0"/>
              <w:rPr>
                <w:sz w:val="20"/>
                <w:szCs w:val="20"/>
                <w:color w:val="auto"/>
              </w:rPr>
            </w:pPr>
            <w:r>
              <w:rPr>
                <w:rFonts w:ascii="Arial" w:cs="Arial" w:eastAsia="Arial" w:hAnsi="Arial"/>
                <w:sz w:val="16"/>
                <w:szCs w:val="16"/>
                <w:color w:val="auto"/>
              </w:rPr>
              <w:t>Incentive fee waiver</w:t>
            </w:r>
            <w:r>
              <w:rPr>
                <w:rFonts w:ascii="Arial" w:cs="Arial" w:eastAsia="Arial" w:hAnsi="Arial"/>
                <w:sz w:val="21"/>
                <w:szCs w:val="21"/>
                <w:color w:val="auto"/>
                <w:vertAlign w:val="superscript"/>
              </w:rPr>
              <w:t>(1)</w:t>
            </w:r>
          </w:p>
        </w:tc>
        <w:tc>
          <w:tcPr>
            <w:tcW w:w="42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(5,000,000)</w:t>
            </w:r>
          </w:p>
        </w:tc>
      </w:tr>
      <w:tr>
        <w:trPr>
          <w:trHeight w:val="230"/>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operating expenses, net of waiver of management and incentive fees</w:t>
            </w: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(392,452)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241,862</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b w:val="1"/>
                <w:bCs w:val="1"/>
                <w:color w:val="auto"/>
              </w:rPr>
              <w:t>Net Investment Income</w:t>
            </w:r>
          </w:p>
        </w:tc>
        <w:tc>
          <w:tcPr>
            <w:tcW w:w="42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619,702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7,473</w:t>
            </w:r>
          </w:p>
        </w:tc>
      </w:tr>
      <w:tr>
        <w:trPr>
          <w:trHeight w:val="33"/>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Realized Gains/(Losses) on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Non-controlled/non-affiliated investments</w:t>
            </w:r>
          </w:p>
        </w:tc>
        <w:tc>
          <w:tcPr>
            <w:tcW w:w="42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8,269,138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(776,045)</w:t>
            </w:r>
          </w:p>
        </w:tc>
      </w:tr>
      <w:tr>
        <w:trPr>
          <w:trHeight w:val="33"/>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Non-controlled/affiliate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(12,334,831)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Controlled investments</w:t>
            </w:r>
          </w:p>
        </w:tc>
        <w:tc>
          <w:tcPr>
            <w:tcW w:w="4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(680)</w:t>
            </w:r>
          </w:p>
        </w:tc>
      </w:tr>
      <w:tr>
        <w:trPr>
          <w:trHeight w:val="33"/>
        </w:trPr>
        <w:tc>
          <w:tcPr>
            <w:tcW w:w="7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Realized Losses on Investments</w:t>
            </w:r>
          </w:p>
        </w:tc>
        <w:tc>
          <w:tcPr>
            <w:tcW w:w="4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(4,065,693)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(776,725)</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Realized loss on partial repurchase of 5.25% Convertible Senior Notes due 2018</w:t>
            </w:r>
          </w:p>
        </w:tc>
        <w:tc>
          <w:tcPr>
            <w:tcW w:w="4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(397,846)</w:t>
            </w:r>
          </w:p>
        </w:tc>
      </w:tr>
      <w:tr>
        <w:trPr>
          <w:trHeight w:val="33"/>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Unrealized Appreciation/(Depreciation) of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Non-controlled/non-affiliated investments</w:t>
            </w:r>
          </w:p>
        </w:tc>
        <w:tc>
          <w:tcPr>
            <w:tcW w:w="42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17,028,343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9,854,664</w:t>
            </w:r>
          </w:p>
        </w:tc>
      </w:tr>
      <w:tr>
        <w:trPr>
          <w:trHeight w:val="33"/>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Non-controlled/affiliate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9,022,648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(7,676,330)</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Controlled investments</w:t>
            </w:r>
          </w:p>
        </w:tc>
        <w:tc>
          <w:tcPr>
            <w:tcW w:w="4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(5,351,240)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5,955,060</w:t>
            </w:r>
          </w:p>
        </w:tc>
      </w:tr>
      <w:tr>
        <w:trPr>
          <w:trHeight w:val="33"/>
        </w:trPr>
        <w:tc>
          <w:tcPr>
            <w:tcW w:w="7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Change in Unrealized Appreciation/(Depreciation) of Investments</w:t>
            </w:r>
          </w:p>
        </w:tc>
        <w:tc>
          <w:tcPr>
            <w:tcW w:w="4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20,699,751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8,133,394</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Provision for taxes on unrealized appreciation of investments</w:t>
            </w:r>
          </w:p>
        </w:tc>
        <w:tc>
          <w:tcPr>
            <w:tcW w:w="4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(94,147)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Increase in Net Assets Resulting from Operations</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17,159,613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6,966,296</w:t>
            </w: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 Change in Net Assets Resulting from Operations per Common Share:</w:t>
            </w: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3"/>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r>
      <w:tr>
        <w:trPr>
          <w:trHeight w:val="20"/>
        </w:trPr>
        <w:tc>
          <w:tcPr>
            <w:tcW w:w="7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77"/>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Diluted</w:t>
            </w: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0.75</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0.30</w:t>
            </w:r>
          </w:p>
        </w:tc>
      </w:tr>
      <w:tr>
        <w:trPr>
          <w:trHeight w:val="22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Weighted-Average Common Shares Outstanding</w:t>
            </w:r>
          </w:p>
        </w:tc>
        <w:tc>
          <w:tcPr>
            <w:tcW w:w="4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Basic</w:t>
            </w:r>
          </w:p>
        </w:tc>
        <w:tc>
          <w:tcPr>
            <w:tcW w:w="42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19,762,647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21,150,662</w:t>
            </w:r>
          </w:p>
        </w:tc>
      </w:tr>
      <w:tr>
        <w:trPr>
          <w:trHeight w:val="270"/>
        </w:trPr>
        <w:tc>
          <w:tcPr>
            <w:tcW w:w="7440" w:type="dxa"/>
            <w:vAlign w:val="bottom"/>
          </w:tcPr>
          <w:p>
            <w:pPr>
              <w:ind w:left="380"/>
              <w:spacing w:after="0"/>
              <w:rPr>
                <w:sz w:val="20"/>
                <w:szCs w:val="20"/>
                <w:color w:val="auto"/>
              </w:rPr>
            </w:pPr>
            <w:r>
              <w:rPr>
                <w:rFonts w:ascii="Arial" w:cs="Arial" w:eastAsia="Arial" w:hAnsi="Arial"/>
                <w:sz w:val="16"/>
                <w:szCs w:val="16"/>
                <w:color w:val="auto"/>
              </w:rPr>
              <w:t>Diluted</w:t>
            </w:r>
          </w:p>
        </w:tc>
        <w:tc>
          <w:tcPr>
            <w:tcW w:w="420" w:type="dxa"/>
            <w:vAlign w:val="bottom"/>
          </w:tcPr>
          <w:p>
            <w:pPr>
              <w:spacing w:after="0"/>
              <w:rPr>
                <w:sz w:val="23"/>
                <w:szCs w:val="23"/>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23,493,991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26,713,656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-3288665</wp:posOffset>
            </wp:positionV>
            <wp:extent cx="4716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-7061835</wp:posOffset>
            </wp:positionV>
            <wp:extent cx="4716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4"/>
          <w:szCs w:val="4"/>
          <w:color w:val="auto"/>
        </w:rPr>
        <w:t>____________________________________________________________________________________________________________________________</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balance references a related-party transaction. Refer to “Note 3—Related-Party Arrangements” for more detail.</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NET ASSETS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4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March</w:t>
            </w: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March</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31, 2019</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31, 2018</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Net Assets Resulting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investment gain</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619,702</w:t>
            </w:r>
          </w:p>
        </w:tc>
        <w:tc>
          <w:tcPr>
            <w:tcW w:w="100" w:type="dxa"/>
            <w:vAlign w:val="bottom"/>
          </w:tcPr>
          <w:p>
            <w:pPr>
              <w:spacing w:after="0"/>
              <w:rPr>
                <w:sz w:val="21"/>
                <w:szCs w:val="21"/>
                <w:color w:val="auto"/>
              </w:rPr>
            </w:pP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7,473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realized losses on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(4,065,693)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(776,725)</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Realized loss on partial repurchase of 5.25% Convertible Senior Notes due 2018</w:t>
            </w:r>
          </w:p>
        </w:tc>
        <w:tc>
          <w:tcPr>
            <w:tcW w:w="42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(397,846)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appreciation of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20,699,751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8,133,394</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Provision for taxes on unrealized appreciation of investments</w:t>
            </w: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(94,147)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17,159,613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6,966,296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Change in Net Assets Resulting from Capital Transactions</w:t>
            </w:r>
          </w:p>
        </w:tc>
        <w:tc>
          <w:tcPr>
            <w:tcW w:w="4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4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(1,241,428)</w:t>
            </w:r>
          </w:p>
        </w:tc>
        <w:tc>
          <w:tcPr>
            <w:tcW w:w="0" w:type="dxa"/>
            <w:vAlign w:val="bottom"/>
          </w:tcPr>
          <w:p>
            <w:pPr>
              <w:spacing w:after="0"/>
              <w:rPr>
                <w:sz w:val="1"/>
                <w:szCs w:val="1"/>
                <w:color w:val="auto"/>
              </w:rPr>
            </w:pPr>
          </w:p>
        </w:tc>
      </w:tr>
      <w:tr>
        <w:trPr>
          <w:trHeight w:val="237"/>
        </w:trPr>
        <w:tc>
          <w:tcPr>
            <w:tcW w:w="7440" w:type="dxa"/>
            <w:vAlign w:val="bottom"/>
            <w:tcBorders>
              <w:top w:val="single" w:sz="8" w:color="CCEEFF"/>
            </w:tcBorders>
          </w:tcPr>
          <w:p>
            <w:pPr>
              <w:ind w:left="280"/>
              <w:spacing w:after="0"/>
              <w:rPr>
                <w:sz w:val="20"/>
                <w:szCs w:val="20"/>
                <w:color w:val="auto"/>
              </w:rPr>
            </w:pPr>
            <w:r>
              <w:rPr>
                <w:rFonts w:ascii="Arial" w:cs="Arial" w:eastAsia="Arial" w:hAnsi="Arial"/>
                <w:sz w:val="18"/>
                <w:szCs w:val="18"/>
                <w:b w:val="1"/>
                <w:bCs w:val="1"/>
                <w:color w:val="auto"/>
              </w:rPr>
              <w:t>Net Decrease in Net Assets Resulting from Capital Transactions</w:t>
            </w:r>
          </w:p>
        </w:tc>
        <w:tc>
          <w:tcPr>
            <w:tcW w:w="4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(1,241,428)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Increase in Net Assets</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17,159,613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5,724,868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assets at beginning of year</w:t>
            </w:r>
          </w:p>
        </w:tc>
        <w:tc>
          <w:tcPr>
            <w:tcW w:w="42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195,378,159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204,762,866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Assets at End of Period</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212,537,772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210,487,734</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Capital Share Activity</w:t>
            </w: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outstanding at beginning of year</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19,762,647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21,246,345</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Shares issued</w:t>
            </w:r>
          </w:p>
        </w:tc>
        <w:tc>
          <w:tcPr>
            <w:tcW w:w="42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(179,807)</w:t>
            </w:r>
          </w:p>
        </w:tc>
        <w:tc>
          <w:tcPr>
            <w:tcW w:w="0" w:type="dxa"/>
            <w:vAlign w:val="bottom"/>
          </w:tcPr>
          <w:p>
            <w:pPr>
              <w:spacing w:after="0"/>
              <w:rPr>
                <w:sz w:val="1"/>
                <w:szCs w:val="1"/>
                <w:color w:val="auto"/>
              </w:rPr>
            </w:pPr>
          </w:p>
        </w:tc>
      </w:tr>
      <w:tr>
        <w:trPr>
          <w:trHeight w:val="257"/>
        </w:trPr>
        <w:tc>
          <w:tcPr>
            <w:tcW w:w="7440" w:type="dxa"/>
            <w:vAlign w:val="bottom"/>
            <w:tcBorders>
              <w:top w:val="single" w:sz="8" w:color="CCEEFF"/>
            </w:tcBorders>
          </w:tcPr>
          <w:p>
            <w:pPr>
              <w:ind w:left="40"/>
              <w:spacing w:after="0"/>
              <w:rPr>
                <w:sz w:val="20"/>
                <w:szCs w:val="20"/>
                <w:color w:val="auto"/>
              </w:rPr>
            </w:pPr>
            <w:r>
              <w:rPr>
                <w:rFonts w:ascii="Arial" w:cs="Arial" w:eastAsia="Arial" w:hAnsi="Arial"/>
                <w:sz w:val="18"/>
                <w:szCs w:val="18"/>
                <w:b w:val="1"/>
                <w:bCs w:val="1"/>
                <w:color w:val="auto"/>
              </w:rPr>
              <w:t>Shares Outstanding at End of Period</w:t>
            </w:r>
          </w:p>
        </w:tc>
        <w:tc>
          <w:tcPr>
            <w:tcW w:w="4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19,762,647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21,066,538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-1097280</wp:posOffset>
            </wp:positionV>
            <wp:extent cx="4716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47167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-3189605</wp:posOffset>
            </wp:positionV>
            <wp:extent cx="4716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March 31,</w:t>
            </w:r>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92"/>
        </w:trPr>
        <w:tc>
          <w:tcPr>
            <w:tcW w:w="69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2018</w:t>
            </w:r>
          </w:p>
        </w:tc>
      </w:tr>
      <w:tr>
        <w:trPr>
          <w:trHeight w:val="23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Net change in net assets resulting from operations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ind w:right="39"/>
              <w:spacing w:after="0"/>
              <w:rPr>
                <w:sz w:val="20"/>
                <w:szCs w:val="20"/>
                <w:color w:val="auto"/>
              </w:rPr>
            </w:pPr>
            <w:r>
              <w:rPr>
                <w:rFonts w:ascii="Arial" w:cs="Arial" w:eastAsia="Arial" w:hAnsi="Arial"/>
                <w:sz w:val="16"/>
                <w:szCs w:val="16"/>
                <w:color w:val="auto"/>
              </w:rPr>
              <w:t>17,159,613</w:t>
            </w:r>
          </w:p>
        </w:tc>
        <w:tc>
          <w:tcPr>
            <w:tcW w:w="120" w:type="dxa"/>
            <w:vAlign w:val="bottom"/>
          </w:tcPr>
          <w:p>
            <w:pPr>
              <w:spacing w:after="0"/>
              <w:rPr>
                <w:sz w:val="20"/>
                <w:szCs w:val="20"/>
                <w:color w:val="auto"/>
              </w:rPr>
            </w:pP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6,966,296</w:t>
            </w: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Adjustments to reconcile net increase in net assets resulting from operations to net cash provided by/(used</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9"/>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 operating activities:</w:t>
            </w:r>
          </w:p>
        </w:tc>
        <w:tc>
          <w:tcPr>
            <w:tcW w:w="1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Net realized losses on investments</w:t>
            </w:r>
          </w:p>
        </w:tc>
        <w:tc>
          <w:tcPr>
            <w:tcW w:w="100" w:type="dxa"/>
            <w:vAlign w:val="bottom"/>
          </w:tcPr>
          <w:p>
            <w:pPr>
              <w:spacing w:after="0"/>
              <w:rPr>
                <w:sz w:val="20"/>
                <w:szCs w:val="20"/>
                <w:color w:val="auto"/>
              </w:rPr>
            </w:pPr>
          </w:p>
        </w:tc>
        <w:tc>
          <w:tcPr>
            <w:tcW w:w="2080" w:type="dxa"/>
            <w:vAlign w:val="bottom"/>
          </w:tcPr>
          <w:p>
            <w:pPr>
              <w:jc w:val="right"/>
              <w:ind w:right="39"/>
              <w:spacing w:after="0"/>
              <w:rPr>
                <w:sz w:val="20"/>
                <w:szCs w:val="20"/>
                <w:color w:val="auto"/>
              </w:rPr>
            </w:pPr>
            <w:r>
              <w:rPr>
                <w:rFonts w:ascii="Arial" w:cs="Arial" w:eastAsia="Arial" w:hAnsi="Arial"/>
                <w:sz w:val="16"/>
                <w:szCs w:val="16"/>
                <w:color w:val="auto"/>
              </w:rPr>
              <w:t>4,065,693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776,725</w:t>
            </w: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unrealized appreciation of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(20,699,751)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(8,133,394)</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Change in deferred tax liability</w:t>
            </w:r>
          </w:p>
        </w:tc>
        <w:tc>
          <w:tcPr>
            <w:tcW w:w="100" w:type="dxa"/>
            <w:vAlign w:val="bottom"/>
          </w:tcPr>
          <w:p>
            <w:pPr>
              <w:spacing w:after="0"/>
              <w:rPr>
                <w:sz w:val="20"/>
                <w:szCs w:val="20"/>
                <w:color w:val="auto"/>
              </w:rPr>
            </w:pPr>
          </w:p>
        </w:tc>
        <w:tc>
          <w:tcPr>
            <w:tcW w:w="2080" w:type="dxa"/>
            <w:vAlign w:val="bottom"/>
          </w:tcPr>
          <w:p>
            <w:pPr>
              <w:jc w:val="right"/>
              <w:ind w:right="39"/>
              <w:spacing w:after="0"/>
              <w:rPr>
                <w:sz w:val="20"/>
                <w:szCs w:val="20"/>
                <w:color w:val="auto"/>
              </w:rPr>
            </w:pPr>
            <w:r>
              <w:rPr>
                <w:rFonts w:ascii="Arial" w:cs="Arial" w:eastAsia="Arial" w:hAnsi="Arial"/>
                <w:sz w:val="16"/>
                <w:szCs w:val="16"/>
                <w:color w:val="auto"/>
              </w:rPr>
              <w:t>94,147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(343,515)</w:t>
            </w: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discount on 5.25% Convertible Senior Notes due 2018</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201,162</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Amortization of discount on 4.75% Convertible Senior Notes due 2023</w:t>
            </w:r>
          </w:p>
        </w:tc>
        <w:tc>
          <w:tcPr>
            <w:tcW w:w="100" w:type="dxa"/>
            <w:vAlign w:val="bottom"/>
          </w:tcPr>
          <w:p>
            <w:pPr>
              <w:spacing w:after="0"/>
              <w:rPr>
                <w:sz w:val="20"/>
                <w:szCs w:val="20"/>
                <w:color w:val="auto"/>
              </w:rPr>
            </w:pPr>
          </w:p>
        </w:tc>
        <w:tc>
          <w:tcPr>
            <w:tcW w:w="2080" w:type="dxa"/>
            <w:vAlign w:val="bottom"/>
          </w:tcPr>
          <w:p>
            <w:pPr>
              <w:jc w:val="right"/>
              <w:ind w:right="39"/>
              <w:spacing w:after="0"/>
              <w:rPr>
                <w:sz w:val="20"/>
                <w:szCs w:val="20"/>
                <w:color w:val="auto"/>
              </w:rPr>
            </w:pPr>
            <w:r>
              <w:rPr>
                <w:rFonts w:ascii="Arial" w:cs="Arial" w:eastAsia="Arial" w:hAnsi="Arial"/>
                <w:sz w:val="16"/>
                <w:szCs w:val="16"/>
                <w:color w:val="auto"/>
              </w:rPr>
              <w:t>91,017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3,024</w:t>
            </w: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deferred financing costs</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20,472</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Amortization of fixed income security premiums and discounts</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(1,191)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Write-off of deferred offering costs</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325,248</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Paid-in-kind interest</w:t>
            </w:r>
          </w:p>
        </w:tc>
        <w:tc>
          <w:tcPr>
            <w:tcW w:w="100" w:type="dxa"/>
            <w:vAlign w:val="bottom"/>
          </w:tcPr>
          <w:p>
            <w:pPr>
              <w:spacing w:after="0"/>
              <w:rPr>
                <w:sz w:val="20"/>
                <w:szCs w:val="20"/>
                <w:color w:val="auto"/>
              </w:rPr>
            </w:pPr>
          </w:p>
        </w:tc>
        <w:tc>
          <w:tcPr>
            <w:tcW w:w="2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(207,069)</w:t>
            </w: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Escrow proceeds receivable</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(8,359)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Purchases of investments in:</w:t>
            </w: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Portfolio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(10,008,040)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(105,568)</w:t>
            </w: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U.S. Treasury bills</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(99,961,333)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(99,970,444)</w:t>
            </w: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sales or maturity of investments in:</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Portfolio investments</w:t>
            </w:r>
          </w:p>
        </w:tc>
        <w:tc>
          <w:tcPr>
            <w:tcW w:w="100" w:type="dxa"/>
            <w:vAlign w:val="bottom"/>
          </w:tcPr>
          <w:p>
            <w:pPr>
              <w:spacing w:after="0"/>
              <w:rPr>
                <w:sz w:val="20"/>
                <w:szCs w:val="20"/>
                <w:color w:val="auto"/>
              </w:rPr>
            </w:pPr>
          </w:p>
        </w:tc>
        <w:tc>
          <w:tcPr>
            <w:tcW w:w="2080" w:type="dxa"/>
            <w:vAlign w:val="bottom"/>
          </w:tcPr>
          <w:p>
            <w:pPr>
              <w:jc w:val="right"/>
              <w:ind w:right="39"/>
              <w:spacing w:after="0"/>
              <w:rPr>
                <w:sz w:val="20"/>
                <w:szCs w:val="20"/>
                <w:color w:val="auto"/>
              </w:rPr>
            </w:pPr>
            <w:r>
              <w:rPr>
                <w:rFonts w:ascii="Arial" w:cs="Arial" w:eastAsia="Arial" w:hAnsi="Arial"/>
                <w:sz w:val="16"/>
                <w:szCs w:val="16"/>
                <w:color w:val="auto"/>
              </w:rPr>
              <w:t>11,871,346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15,962,239</w:t>
            </w: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Treasury bills</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100,000,000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100,000,000</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Change in operating assets and liabilities:</w:t>
            </w: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Due from controlled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Prepaid expenses and other assets</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(491,345)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49,711</w:t>
            </w: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and dividends receivable</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(90,214)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(31,901)</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Receivable from unsettled trades</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(2,017,423)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Escrow proceeds receivable</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317,027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395,009</w:t>
            </w:r>
          </w:p>
        </w:tc>
      </w:tr>
      <w:tr>
        <w:trPr>
          <w:trHeight w:val="270"/>
        </w:trPr>
        <w:tc>
          <w:tcPr>
            <w:tcW w:w="6980" w:type="dxa"/>
            <w:vAlign w:val="bottom"/>
          </w:tcPr>
          <w:p>
            <w:pPr>
              <w:ind w:left="180"/>
              <w:spacing w:after="0"/>
              <w:rPr>
                <w:sz w:val="20"/>
                <w:szCs w:val="20"/>
                <w:color w:val="auto"/>
              </w:rPr>
            </w:pPr>
            <w:r>
              <w:rPr>
                <w:rFonts w:ascii="Arial" w:cs="Arial" w:eastAsia="Arial" w:hAnsi="Arial"/>
                <w:sz w:val="16"/>
                <w:szCs w:val="16"/>
                <w:color w:val="auto"/>
              </w:rPr>
              <w:t>Due to GSV Asset Management</w:t>
            </w:r>
            <w:r>
              <w:rPr>
                <w:rFonts w:ascii="Arial" w:cs="Arial" w:eastAsia="Arial" w:hAnsi="Arial"/>
                <w:sz w:val="21"/>
                <w:szCs w:val="21"/>
                <w:color w:val="auto"/>
                <w:vertAlign w:val="superscript"/>
              </w:rPr>
              <w:t>(1)</w:t>
            </w:r>
          </w:p>
        </w:tc>
        <w:tc>
          <w:tcPr>
            <w:tcW w:w="100" w:type="dxa"/>
            <w:vAlign w:val="bottom"/>
          </w:tcPr>
          <w:p>
            <w:pPr>
              <w:spacing w:after="0"/>
              <w:rPr>
                <w:sz w:val="23"/>
                <w:szCs w:val="23"/>
                <w:color w:val="auto"/>
              </w:rPr>
            </w:pPr>
          </w:p>
        </w:tc>
        <w:tc>
          <w:tcPr>
            <w:tcW w:w="2080" w:type="dxa"/>
            <w:vAlign w:val="bottom"/>
          </w:tcPr>
          <w:p>
            <w:pPr>
              <w:jc w:val="right"/>
              <w:ind w:right="39"/>
              <w:spacing w:after="0"/>
              <w:rPr>
                <w:sz w:val="20"/>
                <w:szCs w:val="20"/>
                <w:color w:val="auto"/>
              </w:rPr>
            </w:pPr>
            <w:r>
              <w:rPr>
                <w:rFonts w:ascii="Arial" w:cs="Arial" w:eastAsia="Arial" w:hAnsi="Arial"/>
                <w:sz w:val="16"/>
                <w:szCs w:val="16"/>
                <w:color w:val="auto"/>
              </w:rPr>
              <w:t>207,710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239,693</w:t>
            </w: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Payable for securities purchased</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(19,449)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(15,393)</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Accounts payable and accrued expenses</w:t>
            </w:r>
          </w:p>
        </w:tc>
        <w:tc>
          <w:tcPr>
            <w:tcW w:w="100" w:type="dxa"/>
            <w:vAlign w:val="bottom"/>
          </w:tcPr>
          <w:p>
            <w:pPr>
              <w:spacing w:after="0"/>
              <w:rPr>
                <w:sz w:val="20"/>
                <w:szCs w:val="20"/>
                <w:color w:val="auto"/>
              </w:rPr>
            </w:pPr>
          </w:p>
        </w:tc>
        <w:tc>
          <w:tcPr>
            <w:tcW w:w="2080" w:type="dxa"/>
            <w:vAlign w:val="bottom"/>
          </w:tcPr>
          <w:p>
            <w:pPr>
              <w:jc w:val="right"/>
              <w:ind w:right="39"/>
              <w:spacing w:after="0"/>
              <w:rPr>
                <w:sz w:val="20"/>
                <w:szCs w:val="20"/>
                <w:color w:val="auto"/>
              </w:rPr>
            </w:pPr>
            <w:r>
              <w:rPr>
                <w:rFonts w:ascii="Arial" w:cs="Arial" w:eastAsia="Arial" w:hAnsi="Arial"/>
                <w:sz w:val="16"/>
                <w:szCs w:val="16"/>
                <w:color w:val="auto"/>
              </w:rPr>
              <w:t>1,854,399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329,951</w:t>
            </w: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payable</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465,775</w:t>
            </w:r>
          </w:p>
        </w:tc>
      </w:tr>
      <w:tr>
        <w:trPr>
          <w:trHeight w:val="270"/>
        </w:trPr>
        <w:tc>
          <w:tcPr>
            <w:tcW w:w="6980" w:type="dxa"/>
            <w:vAlign w:val="bottom"/>
          </w:tcPr>
          <w:p>
            <w:pPr>
              <w:ind w:left="180"/>
              <w:spacing w:after="0"/>
              <w:rPr>
                <w:sz w:val="20"/>
                <w:szCs w:val="20"/>
                <w:color w:val="auto"/>
              </w:rPr>
            </w:pPr>
            <w:r>
              <w:rPr>
                <w:rFonts w:ascii="Arial" w:cs="Arial" w:eastAsia="Arial" w:hAnsi="Arial"/>
                <w:sz w:val="16"/>
                <w:szCs w:val="16"/>
                <w:color w:val="auto"/>
              </w:rPr>
              <w:t>Accrued incentive fees</w:t>
            </w:r>
            <w:r>
              <w:rPr>
                <w:rFonts w:ascii="Arial" w:cs="Arial" w:eastAsia="Arial" w:hAnsi="Arial"/>
                <w:sz w:val="21"/>
                <w:szCs w:val="21"/>
                <w:color w:val="auto"/>
                <w:vertAlign w:val="superscript"/>
              </w:rPr>
              <w:t>(1)</w:t>
            </w:r>
          </w:p>
        </w:tc>
        <w:tc>
          <w:tcPr>
            <w:tcW w:w="10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(4,660,472)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(3,528,666)</w:t>
            </w:r>
          </w:p>
        </w:tc>
      </w:tr>
      <w:tr>
        <w:trPr>
          <w:trHeight w:val="270"/>
        </w:trPr>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management fees</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23"/>
                <w:szCs w:val="23"/>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(415,056)</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(49,717)</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Accrued interest payable</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(475,000)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(931,394)</w:t>
            </w:r>
          </w:p>
        </w:tc>
      </w:tr>
      <w:tr>
        <w:trPr>
          <w:trHeight w:val="33"/>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(3,186,681)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12,419,085</w:t>
            </w:r>
          </w:p>
        </w:tc>
      </w:tr>
      <w:tr>
        <w:trPr>
          <w:trHeight w:val="217"/>
        </w:trPr>
        <w:tc>
          <w:tcPr>
            <w:tcW w:w="698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the issuance of 4.75% Convertible Senior Notes due 2023</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40,000,000</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Deferred debt issuance costs</w:t>
            </w:r>
          </w:p>
        </w:tc>
        <w:tc>
          <w:tcPr>
            <w:tcW w:w="100" w:type="dxa"/>
            <w:vAlign w:val="bottom"/>
          </w:tcPr>
          <w:p>
            <w:pPr>
              <w:spacing w:after="0"/>
              <w:rPr>
                <w:sz w:val="20"/>
                <w:szCs w:val="20"/>
                <w:color w:val="auto"/>
              </w:rPr>
            </w:pPr>
          </w:p>
        </w:tc>
        <w:tc>
          <w:tcPr>
            <w:tcW w:w="2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(1,840,120)</w:t>
            </w: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 of common stock</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(1,241,428)</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Repayment of 5.25% Convertible Senior Notes due 2018</w:t>
            </w:r>
          </w:p>
        </w:tc>
        <w:tc>
          <w:tcPr>
            <w:tcW w:w="100" w:type="dxa"/>
            <w:vAlign w:val="bottom"/>
          </w:tcPr>
          <w:p>
            <w:pPr>
              <w:spacing w:after="0"/>
              <w:rPr>
                <w:sz w:val="20"/>
                <w:szCs w:val="20"/>
                <w:color w:val="auto"/>
              </w:rPr>
            </w:pPr>
          </w:p>
        </w:tc>
        <w:tc>
          <w:tcPr>
            <w:tcW w:w="2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(19,290,565)</w:t>
            </w: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loss on repurchase of 5.25% Convertible Senior Notes due 2018</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397,846</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Deferred offering costs</w:t>
            </w:r>
          </w:p>
        </w:tc>
        <w:tc>
          <w:tcPr>
            <w:tcW w:w="100" w:type="dxa"/>
            <w:vAlign w:val="bottom"/>
          </w:tcPr>
          <w:p>
            <w:pPr>
              <w:spacing w:after="0"/>
              <w:rPr>
                <w:sz w:val="20"/>
                <w:szCs w:val="20"/>
                <w:color w:val="auto"/>
              </w:rPr>
            </w:pPr>
          </w:p>
        </w:tc>
        <w:tc>
          <w:tcPr>
            <w:tcW w:w="2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36,140</w:t>
            </w:r>
          </w:p>
        </w:tc>
      </w:tr>
      <w:tr>
        <w:trPr>
          <w:trHeight w:val="33"/>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by/(Used in) 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18,061,873</w:t>
            </w:r>
          </w:p>
        </w:tc>
      </w:tr>
      <w:tr>
        <w:trPr>
          <w:trHeight w:val="217"/>
        </w:trPr>
        <w:tc>
          <w:tcPr>
            <w:tcW w:w="698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Total Increase/(Decrease) in Cash Balance</w:t>
            </w:r>
          </w:p>
        </w:tc>
        <w:tc>
          <w:tcPr>
            <w:tcW w:w="10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(3,186,681)</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30,480,958</w:t>
            </w: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Balance at Beginning of Year</w:t>
            </w:r>
          </w:p>
        </w:tc>
        <w:tc>
          <w:tcPr>
            <w:tcW w:w="1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28,184,163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59,838,600</w:t>
            </w:r>
          </w:p>
        </w:tc>
      </w:tr>
      <w:tr>
        <w:trPr>
          <w:trHeight w:val="217"/>
        </w:trPr>
        <w:tc>
          <w:tcPr>
            <w:tcW w:w="698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Cash Balance at End of Period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24,997,482</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90,319,558</w:t>
            </w:r>
          </w:p>
        </w:tc>
      </w:tr>
      <w:tr>
        <w:trPr>
          <w:trHeight w:val="33"/>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1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Interest paid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ind w:right="39"/>
              <w:spacing w:after="0"/>
              <w:rPr>
                <w:sz w:val="20"/>
                <w:szCs w:val="20"/>
                <w:color w:val="auto"/>
              </w:rPr>
            </w:pPr>
            <w:r>
              <w:rPr>
                <w:rFonts w:ascii="Arial" w:cs="Arial" w:eastAsia="Arial" w:hAnsi="Arial"/>
                <w:sz w:val="16"/>
                <w:szCs w:val="16"/>
                <w:color w:val="auto"/>
              </w:rPr>
              <w:t>974,932</w:t>
            </w:r>
          </w:p>
        </w:tc>
        <w:tc>
          <w:tcPr>
            <w:tcW w:w="120" w:type="dxa"/>
            <w:vAlign w:val="bottom"/>
          </w:tcPr>
          <w:p>
            <w:pPr>
              <w:spacing w:after="0"/>
              <w:rPr>
                <w:sz w:val="20"/>
                <w:szCs w:val="20"/>
                <w:color w:val="auto"/>
              </w:rPr>
            </w:pP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1,810,677</w:t>
            </w:r>
          </w:p>
        </w:tc>
      </w:tr>
      <w:tr>
        <w:trPr>
          <w:trHeight w:val="33"/>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3,763</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810</w:t>
            </w:r>
          </w:p>
        </w:tc>
      </w:tr>
      <w:tr>
        <w:trPr>
          <w:trHeight w:val="33"/>
        </w:trPr>
        <w:tc>
          <w:tcPr>
            <w:tcW w:w="6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44253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253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44253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253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-2572385</wp:posOffset>
            </wp:positionV>
            <wp:extent cx="4425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253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-8180705</wp:posOffset>
            </wp:positionV>
            <wp:extent cx="44253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9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balance references a related-party transaction. Refer to “Note 3—Related-Party Arrangements” for more detail.</w:t>
      </w:r>
    </w:p>
    <w:p>
      <w:pPr>
        <w:sectPr>
          <w:pgSz w:w="11900" w:h="16838" w:orient="portrait"/>
          <w:cols w:equalWidth="0" w:num="1">
            <w:col w:w="11420"/>
          </w:cols>
          <w:pgMar w:left="240" w:top="121" w:right="239" w:bottom="462"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462" w:gutter="0" w:footer="0" w:header="0"/>
          <w:type w:val="continuous"/>
        </w:sectPr>
      </w:pPr>
    </w:p>
    <w:bookmarkStart w:id="6" w:name="page7"/>
    <w:bookmarkEnd w:id="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260" w:right="2420"/>
        <w:spacing w:after="0" w:line="275" w:lineRule="auto"/>
        <w:rPr>
          <w:sz w:val="20"/>
          <w:szCs w:val="20"/>
          <w:color w:val="auto"/>
        </w:rPr>
      </w:pPr>
      <w:r>
        <w:rPr>
          <w:rFonts w:ascii="Arial" w:cs="Arial" w:eastAsia="Arial" w:hAnsi="Arial"/>
          <w:sz w:val="18"/>
          <w:szCs w:val="18"/>
          <w:b w:val="1"/>
          <w:bCs w:val="1"/>
          <w:color w:val="auto"/>
        </w:rPr>
        <w:t>GSV CAPITAL CORP. AND SUBSIDIARIES CONDENSED CONSOLIDATED SCHEDULE OF INVESTMENTS (UNAUDITED) March 31, 2019</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18"/>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Date of Initial</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Shares/</w:t>
            </w:r>
          </w:p>
        </w:tc>
        <w:tc>
          <w:tcPr>
            <w:tcW w:w="140" w:type="dxa"/>
            <w:vAlign w:val="bottom"/>
          </w:tcPr>
          <w:p>
            <w:pPr>
              <w:spacing w:after="0"/>
              <w:rPr>
                <w:sz w:val="14"/>
                <w:szCs w:val="14"/>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100" w:type="dxa"/>
            <w:vAlign w:val="bottom"/>
            <w:gridSpan w:val="18"/>
            <w:vMerge w:val="continue"/>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70"/>
        </w:trPr>
        <w:tc>
          <w:tcPr>
            <w:tcW w:w="3100" w:type="dxa"/>
            <w:vAlign w:val="bottom"/>
            <w:tcBorders>
              <w:top w:val="single" w:sz="8" w:color="auto"/>
            </w:tcBorders>
            <w:gridSpan w:val="18"/>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23"/>
                <w:szCs w:val="23"/>
                <w:color w:val="auto"/>
              </w:rPr>
            </w:pPr>
          </w:p>
        </w:tc>
        <w:tc>
          <w:tcPr>
            <w:tcW w:w="2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Palantir Technologies, Inc.</w:t>
            </w: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Palo Alto,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 Class A</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Data Analysis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5/7/2012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5,773,690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16,189,935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30,136,481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w:t>
            </w:r>
          </w:p>
        </w:tc>
        <w:tc>
          <w:tcPr>
            <w:tcW w:w="0" w:type="dxa"/>
            <w:vAlign w:val="bottom"/>
          </w:tcPr>
          <w:p>
            <w:pPr>
              <w:spacing w:after="0"/>
              <w:rPr>
                <w:sz w:val="1"/>
                <w:szCs w:val="1"/>
                <w:color w:val="auto"/>
              </w:rPr>
            </w:pPr>
          </w:p>
        </w:tc>
      </w:tr>
      <w:tr>
        <w:trPr>
          <w:trHeight w:val="230"/>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Coursera,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6/9/2013</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2,961,399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14,519,519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28,685,381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230"/>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Lyft,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 Class A</w:t>
            </w:r>
            <w:r>
              <w:rPr>
                <w:rFonts w:ascii="Arial" w:cs="Arial" w:eastAsia="Arial" w:hAnsi="Arial"/>
                <w:sz w:val="8"/>
                <w:szCs w:val="8"/>
                <w:color w:val="auto"/>
              </w:rPr>
              <w:t>(3)(8)</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On-Demand Transportation Services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3/21/2014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304,829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4,296,894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22,075,716</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243"/>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Spotify Technology S.A.</w:t>
            </w: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Stockholm, Sweden</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(3)(7)</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On-Demand Music Streaming</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8/6/2012</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150,360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6,390,300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20,869,968</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230"/>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Course Hero, Inc.</w:t>
            </w: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Redwood City,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9/18/2014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2,145,509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20,572,207</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230"/>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Dropbox,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(3)(11)</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Cloud Computing Services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11/15/2011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874,990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13,656,926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19,074,782</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230"/>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Neutron Holdings, Inc. (d/b/a/ Lime)</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Micromobility</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1/25/2019</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41,237,113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10,006,800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230"/>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Enjoy Technology, Inc.</w:t>
            </w: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Menlo Park,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On-Demand Commerce</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7/29/2015</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1,681,520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4,000,280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6,380,359</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gridSpan w:val="18"/>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tcPr>
          <w:p>
            <w:pPr>
              <w:spacing w:after="0"/>
              <w:rPr>
                <w:sz w:val="22"/>
                <w:szCs w:val="22"/>
                <w:color w:val="auto"/>
              </w:rPr>
            </w:pPr>
          </w:p>
        </w:tc>
        <w:tc>
          <w:tcPr>
            <w:tcW w:w="24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1"/>
              </w:rPr>
              <w:t>10/16/2014</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879,198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1,002,440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3,336,029</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17"/>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5,002,720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9,716,388</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229"/>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Nextdoor.com,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Social Networking</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9/27/2018</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580,360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10,006,578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9,691,395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30"/>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SharesPost,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Online Marketplace Finance</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7/19/2011</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1,771,653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2,259,716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6,738,469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gridSpan w:val="18"/>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22"/>
                <w:szCs w:val="22"/>
                <w:color w:val="auto"/>
              </w:rPr>
            </w:pPr>
          </w:p>
        </w:tc>
        <w:tc>
          <w:tcPr>
            <w:tcW w:w="24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7/20/2011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770,934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123,987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969,718</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17"/>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2,383,703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7,708,187</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29"/>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Parchment, Inc.</w:t>
            </w: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Scottsdale, AZ</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D 8%</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E-Transcript Exchange</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10/1/2012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3,200,512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4,000,982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6,825,071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30"/>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A Place for Rover Inc. (f/k/a DogVacay,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Seattle, WA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Peer-to-Peer Pet Services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11/3/2014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707,991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2,506,119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3,180,863</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30"/>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Clever,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Education Software</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12/5/2014</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1,799,047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2,000,601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2,000,001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230"/>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Aspiration Partners,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Marina Del Rey,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Financial Services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8/11/2015</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540,270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1,001,815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1,702,207</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30"/>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Tynker (f/k/a Neuron Fuel,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A 8%</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Computer Software</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8/8/2012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534,162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309,310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789,491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230"/>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4C Insights (f/k/a The Echo Systems Corp.)</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Chicago, IL</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Social Data Platform</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3/30/2012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436,219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1,436,404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422,678</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230"/>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Knewton,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rPr>
              <w:t>New York, NY</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12/16/2013</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375,985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4,999,999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00" w:type="dxa"/>
            <w:vAlign w:val="bottom"/>
            <w:gridSpan w:val="18"/>
          </w:tcPr>
          <w:p>
            <w:pPr>
              <w:ind w:left="40"/>
              <w:spacing w:after="0" w:line="157" w:lineRule="exact"/>
              <w:rPr>
                <w:sz w:val="20"/>
                <w:szCs w:val="20"/>
                <w:color w:val="auto"/>
              </w:rPr>
            </w:pPr>
            <w:r>
              <w:rPr>
                <w:rFonts w:ascii="Arial" w:cs="Arial" w:eastAsia="Arial" w:hAnsi="Arial"/>
                <w:sz w:val="14"/>
                <w:szCs w:val="14"/>
                <w:color w:val="auto"/>
              </w:rPr>
              <w:t>Convertible Promissory Note 8% Due</w:t>
            </w: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2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color w:val="auto"/>
                <w:w w:val="99"/>
              </w:rPr>
              <w:t>12/31/2019***</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7/23/2018</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134,405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135,213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33,601</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060" w:type="dxa"/>
            <w:vAlign w:val="bottom"/>
            <w:gridSpan w:val="17"/>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5,135,212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33,601</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23"/>
        </w:trPr>
        <w:tc>
          <w:tcPr>
            <w:tcW w:w="3100" w:type="dxa"/>
            <w:vAlign w:val="bottom"/>
            <w:gridSpan w:val="18"/>
          </w:tcPr>
          <w:p>
            <w:pPr>
              <w:ind w:left="40"/>
              <w:spacing w:after="0"/>
              <w:rPr>
                <w:sz w:val="20"/>
                <w:szCs w:val="20"/>
                <w:color w:val="auto"/>
              </w:rPr>
            </w:pPr>
            <w:r>
              <w:rPr>
                <w:rFonts w:ascii="Arial" w:cs="Arial" w:eastAsia="Arial" w:hAnsi="Arial"/>
                <w:sz w:val="14"/>
                <w:szCs w:val="14"/>
                <w:b w:val="1"/>
                <w:bCs w:val="1"/>
                <w:color w:val="auto"/>
              </w:rPr>
              <w:t>Fullbridge, Inc.</w:t>
            </w: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Cambridge, MA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Business Education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5/13/2012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517,917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6,150,506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gridSpan w:val="18"/>
          </w:tcPr>
          <w:p>
            <w:pPr>
              <w:ind w:left="40"/>
              <w:spacing w:after="0"/>
              <w:rPr>
                <w:sz w:val="20"/>
                <w:szCs w:val="20"/>
                <w:color w:val="auto"/>
              </w:rPr>
            </w:pPr>
            <w:r>
              <w:rPr>
                <w:rFonts w:ascii="Arial" w:cs="Arial" w:eastAsia="Arial" w:hAnsi="Arial"/>
                <w:sz w:val="14"/>
                <w:szCs w:val="14"/>
                <w:color w:val="auto"/>
              </w:rPr>
              <w:t>Promissory note 1.47%, Due 11/9/2021</w:t>
            </w:r>
            <w:r>
              <w:rPr>
                <w:rFonts w:ascii="Arial" w:cs="Arial" w:eastAsia="Arial" w:hAnsi="Arial"/>
                <w:sz w:val="8"/>
                <w:szCs w:val="8"/>
                <w:color w:val="auto"/>
              </w:rPr>
              <w:t>(4)</w:t>
            </w:r>
          </w:p>
        </w:tc>
        <w:tc>
          <w:tcPr>
            <w:tcW w:w="120" w:type="dxa"/>
            <w:vAlign w:val="bottom"/>
            <w:tcBorders>
              <w:bottom w:val="single" w:sz="8" w:color="CCEEFF"/>
            </w:tcBorders>
          </w:tcPr>
          <w:p>
            <w:pPr>
              <w:spacing w:after="0"/>
              <w:rPr>
                <w:sz w:val="22"/>
                <w:szCs w:val="22"/>
                <w:color w:val="auto"/>
              </w:rPr>
            </w:pPr>
          </w:p>
        </w:tc>
        <w:tc>
          <w:tcPr>
            <w:tcW w:w="24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3/3/2016</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2,270,458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2,270,858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060" w:type="dxa"/>
            <w:vAlign w:val="bottom"/>
            <w:gridSpan w:val="17"/>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8,421,364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7"/>
        </w:trPr>
        <w:tc>
          <w:tcPr>
            <w:tcW w:w="40" w:type="dxa"/>
            <w:vAlign w:val="bottom"/>
            <w:tcBorders>
              <w:top w:val="single" w:sz="8" w:color="CCEEFF"/>
            </w:tcBorders>
          </w:tcPr>
          <w:p>
            <w:pPr>
              <w:spacing w:after="0"/>
              <w:rPr>
                <w:sz w:val="24"/>
                <w:szCs w:val="24"/>
                <w:color w:val="auto"/>
              </w:rPr>
            </w:pPr>
          </w:p>
        </w:tc>
        <w:tc>
          <w:tcPr>
            <w:tcW w:w="3060" w:type="dxa"/>
            <w:vAlign w:val="bottom"/>
            <w:tcBorders>
              <w:top w:val="single" w:sz="8" w:color="CCEEFF"/>
            </w:tcBorders>
            <w:gridSpan w:val="17"/>
          </w:tcPr>
          <w:p>
            <w:pPr>
              <w:ind w:left="140"/>
              <w:spacing w:after="0"/>
              <w:rPr>
                <w:sz w:val="20"/>
                <w:szCs w:val="20"/>
                <w:color w:val="auto"/>
              </w:rPr>
            </w:pPr>
            <w:r>
              <w:rPr>
                <w:rFonts w:ascii="Arial" w:cs="Arial" w:eastAsia="Arial" w:hAnsi="Arial"/>
                <w:sz w:val="14"/>
                <w:szCs w:val="14"/>
                <w:b w:val="1"/>
                <w:bCs w:val="1"/>
                <w:color w:val="auto"/>
              </w:rPr>
              <w:t>Total Non-controlled/Non-affiliate</w:t>
            </w:r>
          </w:p>
        </w:tc>
        <w:tc>
          <w:tcPr>
            <w:tcW w:w="120" w:type="dxa"/>
            <w:vAlign w:val="bottom"/>
            <w:tcBorders>
              <w:top w:val="single" w:sz="8" w:color="CCEEFF"/>
            </w:tcBorders>
          </w:tcPr>
          <w:p>
            <w:pPr>
              <w:spacing w:after="0"/>
              <w:rPr>
                <w:sz w:val="24"/>
                <w:szCs w:val="24"/>
                <w:color w:val="auto"/>
              </w:rPr>
            </w:pPr>
          </w:p>
        </w:tc>
        <w:tc>
          <w:tcPr>
            <w:tcW w:w="240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5"/>
              </w:rPr>
              <w:t>112,265,183</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193,484,417</w:t>
            </w:r>
          </w:p>
        </w:tc>
        <w:tc>
          <w:tcPr>
            <w:tcW w:w="100" w:type="dxa"/>
            <w:vAlign w:val="bottom"/>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43567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56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-1175385</wp:posOffset>
            </wp:positionV>
            <wp:extent cx="43567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56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-4013835</wp:posOffset>
            </wp:positionV>
            <wp:extent cx="50685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685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-5077460</wp:posOffset>
            </wp:positionV>
            <wp:extent cx="50685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ectPr>
          <w:pgSz w:w="11900" w:h="16838" w:orient="portrait"/>
          <w:cols w:equalWidth="0" w:num="1">
            <w:col w:w="11420"/>
          </w:cols>
          <w:pgMar w:left="240" w:top="121" w:right="239" w:bottom="921"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921" w:gutter="0" w:footer="0" w:header="0"/>
          <w:type w:val="continuous"/>
        </w:sectPr>
      </w:pPr>
    </w:p>
    <w:bookmarkStart w:id="7" w:name="page8"/>
    <w:bookmarkEnd w:id="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GSV CAPITAL CORP.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SCHEDULE OF INVESTMENTS (UNAUDITED) -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2019</w:t>
      </w:r>
    </w:p>
    <w:p>
      <w:pPr>
        <w:spacing w:after="0" w:line="13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Date of Initial</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w:t>
            </w:r>
          </w:p>
        </w:tc>
        <w:tc>
          <w:tcPr>
            <w:tcW w:w="22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4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Investment</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3240" w:type="dxa"/>
            <w:vAlign w:val="bottom"/>
            <w:gridSpan w:val="6"/>
            <w:shd w:val="clear" w:color="auto" w:fill="CCEEFF"/>
          </w:tcPr>
          <w:p>
            <w:pPr>
              <w:spacing w:after="0"/>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8"/>
                <w:szCs w:val="8"/>
                <w:color w:val="auto"/>
              </w:rPr>
              <w:t>(1)</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6"/>
          </w:tcPr>
          <w:p>
            <w:pPr>
              <w:spacing w:after="0"/>
              <w:rPr>
                <w:sz w:val="20"/>
                <w:szCs w:val="20"/>
                <w:color w:val="auto"/>
              </w:rPr>
            </w:pPr>
            <w:r>
              <w:rPr>
                <w:rFonts w:ascii="Arial" w:cs="Arial" w:eastAsia="Arial" w:hAnsi="Arial"/>
                <w:sz w:val="14"/>
                <w:szCs w:val="14"/>
                <w:b w:val="1"/>
                <w:bCs w:val="1"/>
                <w:color w:val="auto"/>
              </w:rPr>
              <w:t>Ozy Media, Inc.</w:t>
            </w:r>
          </w:p>
        </w:tc>
        <w:tc>
          <w:tcPr>
            <w:tcW w:w="120" w:type="dxa"/>
            <w:vAlign w:val="bottom"/>
          </w:tcPr>
          <w:p>
            <w:pPr>
              <w:spacing w:after="0"/>
              <w:rPr>
                <w:sz w:val="19"/>
                <w:szCs w:val="19"/>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3240" w:type="dxa"/>
            <w:vAlign w:val="bottom"/>
            <w:gridSpan w:val="6"/>
            <w:shd w:val="clear" w:color="auto" w:fill="CCEEFF"/>
          </w:tcPr>
          <w:p>
            <w:pPr>
              <w:spacing w:after="0"/>
              <w:rPr>
                <w:sz w:val="20"/>
                <w:szCs w:val="20"/>
                <w:color w:val="auto"/>
              </w:rPr>
            </w:pPr>
            <w:r>
              <w:rPr>
                <w:rFonts w:ascii="Arial" w:cs="Arial" w:eastAsia="Arial" w:hAnsi="Arial"/>
                <w:sz w:val="14"/>
                <w:szCs w:val="14"/>
                <w:color w:val="auto"/>
                <w:w w:val="99"/>
              </w:rPr>
              <w:t>Convertible Promissory Note 5% Due 12/31/2018***</w:t>
            </w:r>
          </w:p>
        </w:tc>
        <w:tc>
          <w:tcPr>
            <w:tcW w:w="120" w:type="dxa"/>
            <w:vAlign w:val="bottom"/>
            <w:shd w:val="clear" w:color="auto" w:fill="CCEEFF"/>
          </w:tcPr>
          <w:p>
            <w:pPr>
              <w:spacing w:after="0"/>
              <w:rPr>
                <w:sz w:val="14"/>
                <w:szCs w:val="14"/>
                <w:color w:val="auto"/>
              </w:rPr>
            </w:pPr>
          </w:p>
        </w:tc>
        <w:tc>
          <w:tcPr>
            <w:tcW w:w="21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7"/>
              </w:rPr>
              <w:t>Digital Media Platform</w:t>
            </w:r>
          </w:p>
        </w:tc>
        <w:tc>
          <w:tcPr>
            <w:tcW w:w="1220" w:type="dxa"/>
            <w:vAlign w:val="bottom"/>
            <w:vMerge w:val="restart"/>
            <w:shd w:val="clear" w:color="auto" w:fill="CCEEFF"/>
          </w:tcPr>
          <w:p>
            <w:pPr>
              <w:jc w:val="center"/>
              <w:ind w:right="28"/>
              <w:spacing w:after="0"/>
              <w:rPr>
                <w:sz w:val="20"/>
                <w:szCs w:val="20"/>
                <w:color w:val="auto"/>
              </w:rPr>
            </w:pPr>
            <w:r>
              <w:rPr>
                <w:rFonts w:ascii="Arial" w:cs="Arial" w:eastAsia="Arial" w:hAnsi="Arial"/>
                <w:sz w:val="14"/>
                <w:szCs w:val="14"/>
                <w:color w:val="auto"/>
                <w:w w:val="96"/>
              </w:rPr>
              <w:t>8/31/2016</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2,102,384</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2,102,384</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1,576,788</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142"/>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(4)(9)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20" w:type="dxa"/>
            <w:vAlign w:val="bottom"/>
            <w:gridSpan w:val="2"/>
            <w:vMerge w:val="continue"/>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40" w:type="dxa"/>
            <w:vAlign w:val="bottom"/>
            <w:gridSpan w:val="6"/>
          </w:tcPr>
          <w:p>
            <w:pPr>
              <w:spacing w:after="0" w:line="157" w:lineRule="exact"/>
              <w:rPr>
                <w:sz w:val="20"/>
                <w:szCs w:val="20"/>
                <w:color w:val="auto"/>
              </w:rPr>
            </w:pPr>
            <w:r>
              <w:rPr>
                <w:rFonts w:ascii="Arial" w:cs="Arial" w:eastAsia="Arial" w:hAnsi="Arial"/>
                <w:sz w:val="14"/>
                <w:szCs w:val="14"/>
                <w:color w:val="auto"/>
                <w:w w:val="94"/>
              </w:rPr>
              <w:t>Common Warrants, Strike Price $0.01, Expiration Date</w:t>
            </w: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 w:type="dxa"/>
            <w:vAlign w:val="bottom"/>
            <w:gridSpan w:val="2"/>
          </w:tcPr>
          <w:p>
            <w:pPr>
              <w:ind w:left="20"/>
              <w:spacing w:after="0"/>
              <w:rPr>
                <w:sz w:val="20"/>
                <w:szCs w:val="20"/>
                <w:color w:val="auto"/>
              </w:rPr>
            </w:pPr>
            <w:r>
              <w:rPr>
                <w:rFonts w:ascii="Arial" w:cs="Arial" w:eastAsia="Arial" w:hAnsi="Arial"/>
                <w:sz w:val="14"/>
                <w:szCs w:val="14"/>
                <w:color w:val="auto"/>
              </w:rPr>
              <w:t>4/9/2018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color w:val="auto"/>
                <w:w w:val="95"/>
              </w:rPr>
              <w:t>4/9/2018</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295,565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30,647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324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6"/>
              </w:rPr>
              <w:t>10/3/2014</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922,509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4,999,999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40" w:type="dxa"/>
            <w:vAlign w:val="bottom"/>
            <w:gridSpan w:val="6"/>
          </w:tcPr>
          <w:p>
            <w:pPr>
              <w:spacing w:after="0"/>
              <w:rPr>
                <w:sz w:val="20"/>
                <w:szCs w:val="20"/>
                <w:color w:val="auto"/>
              </w:rPr>
            </w:pPr>
            <w:r>
              <w:rPr>
                <w:rFonts w:ascii="Arial" w:cs="Arial" w:eastAsia="Arial" w:hAnsi="Arial"/>
                <w:sz w:val="14"/>
                <w:szCs w:val="14"/>
                <w:color w:val="auto"/>
              </w:rPr>
              <w:t>Preferred shares, Series A 6%</w:t>
            </w: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color w:val="auto"/>
                <w:w w:val="91"/>
              </w:rPr>
              <w:t>12/11/2013</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1,090,909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3,000,200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324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Preferred shares, Series Seed 6%</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89"/>
              </w:rPr>
              <w:t>11/2/2012</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gridSpan w:val="6"/>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10,633,230</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1,576,788</w:t>
            </w:r>
          </w:p>
        </w:tc>
        <w:tc>
          <w:tcPr>
            <w:tcW w:w="10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3"/>
              </w:rPr>
              <w:t>EdSurge, Inc.</w:t>
            </w:r>
          </w:p>
        </w:tc>
        <w:tc>
          <w:tcPr>
            <w:tcW w:w="2380" w:type="dxa"/>
            <w:vAlign w:val="bottom"/>
            <w:tcBorders>
              <w:bottom w:val="single" w:sz="8" w:color="CCEEFF"/>
            </w:tcBorders>
            <w:gridSpan w:val="5"/>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Burlingame, CA</w:t>
            </w:r>
          </w:p>
        </w:tc>
        <w:tc>
          <w:tcPr>
            <w:tcW w:w="1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40" w:type="dxa"/>
            <w:vAlign w:val="bottom"/>
            <w:gridSpan w:val="6"/>
          </w:tcPr>
          <w:p>
            <w:pPr>
              <w:spacing w:after="0"/>
              <w:rPr>
                <w:sz w:val="20"/>
                <w:szCs w:val="20"/>
                <w:color w:val="auto"/>
              </w:rPr>
            </w:pPr>
            <w:r>
              <w:rPr>
                <w:rFonts w:ascii="Arial" w:cs="Arial" w:eastAsia="Arial" w:hAnsi="Arial"/>
                <w:sz w:val="14"/>
                <w:szCs w:val="14"/>
                <w:color w:val="auto"/>
              </w:rPr>
              <w:t>Preferred shares, Series A-1</w:t>
            </w:r>
          </w:p>
        </w:tc>
        <w:tc>
          <w:tcPr>
            <w:tcW w:w="120" w:type="dxa"/>
            <w:vAlign w:val="bottom"/>
          </w:tcPr>
          <w:p>
            <w:pPr>
              <w:spacing w:after="0"/>
              <w:rPr>
                <w:sz w:val="22"/>
                <w:szCs w:val="22"/>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Education Media Platform</w:t>
            </w:r>
          </w:p>
        </w:tc>
        <w:tc>
          <w:tcPr>
            <w:tcW w:w="1220" w:type="dxa"/>
            <w:vAlign w:val="bottom"/>
          </w:tcPr>
          <w:p>
            <w:pPr>
              <w:jc w:val="center"/>
              <w:ind w:right="28"/>
              <w:spacing w:after="0"/>
              <w:rPr>
                <w:sz w:val="20"/>
                <w:szCs w:val="20"/>
                <w:color w:val="auto"/>
              </w:rPr>
            </w:pPr>
            <w:r>
              <w:rPr>
                <w:rFonts w:ascii="Arial" w:cs="Arial" w:eastAsia="Arial" w:hAnsi="Arial"/>
                <w:sz w:val="14"/>
                <w:szCs w:val="14"/>
                <w:color w:val="auto"/>
                <w:w w:val="91"/>
              </w:rPr>
              <w:t>11/12/2015</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378,788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501,360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24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6"/>
              </w:rPr>
              <w:t>2/28/2014</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494,365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500,801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276,178</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gridSpan w:val="6"/>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1,002,161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526,178</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4"/>
                <w:szCs w:val="14"/>
                <w:b w:val="1"/>
                <w:bCs w:val="1"/>
                <w:color w:val="auto"/>
                <w:w w:val="98"/>
              </w:rPr>
              <w:t>CUX, Inc. (d/b/a CorpU)</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Philadelphia, PA</w:t>
            </w:r>
          </w:p>
        </w:tc>
        <w:tc>
          <w:tcPr>
            <w:tcW w:w="1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40" w:type="dxa"/>
            <w:vAlign w:val="bottom"/>
            <w:gridSpan w:val="6"/>
          </w:tcPr>
          <w:p>
            <w:pPr>
              <w:spacing w:after="0" w:line="157" w:lineRule="exact"/>
              <w:rPr>
                <w:sz w:val="20"/>
                <w:szCs w:val="20"/>
                <w:color w:val="auto"/>
              </w:rPr>
            </w:pPr>
            <w:r>
              <w:rPr>
                <w:rFonts w:ascii="Arial" w:cs="Arial" w:eastAsia="Arial" w:hAnsi="Arial"/>
                <w:sz w:val="14"/>
                <w:szCs w:val="14"/>
                <w:color w:val="auto"/>
              </w:rPr>
              <w:t>Senior Subordinated Convertible Promissory Note</w:t>
            </w: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gridSpan w:val="6"/>
          </w:tcPr>
          <w:p>
            <w:pPr>
              <w:spacing w:after="0"/>
              <w:rPr>
                <w:sz w:val="20"/>
                <w:szCs w:val="20"/>
                <w:color w:val="auto"/>
              </w:rPr>
            </w:pPr>
            <w:r>
              <w:rPr>
                <w:rFonts w:ascii="Arial" w:cs="Arial" w:eastAsia="Arial" w:hAnsi="Arial"/>
                <w:sz w:val="14"/>
                <w:szCs w:val="14"/>
                <w:color w:val="auto"/>
              </w:rPr>
              <w:t>10% Due 2/14/2020***</w:t>
            </w:r>
            <w:r>
              <w:rPr>
                <w:rFonts w:ascii="Arial" w:cs="Arial" w:eastAsia="Arial" w:hAnsi="Arial"/>
                <w:sz w:val="8"/>
                <w:szCs w:val="8"/>
                <w:color w:val="auto"/>
              </w:rPr>
              <w:t>(6)</w:t>
            </w:r>
          </w:p>
        </w:tc>
        <w:tc>
          <w:tcPr>
            <w:tcW w:w="120" w:type="dxa"/>
            <w:vAlign w:val="bottom"/>
          </w:tcPr>
          <w:p>
            <w:pPr>
              <w:spacing w:after="0"/>
              <w:rPr>
                <w:sz w:val="16"/>
                <w:szCs w:val="16"/>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Corporate Education</w:t>
            </w:r>
          </w:p>
        </w:tc>
        <w:tc>
          <w:tcPr>
            <w:tcW w:w="1220" w:type="dxa"/>
            <w:vAlign w:val="bottom"/>
          </w:tcPr>
          <w:p>
            <w:pPr>
              <w:jc w:val="center"/>
              <w:ind w:right="28"/>
              <w:spacing w:after="0"/>
              <w:rPr>
                <w:sz w:val="20"/>
                <w:szCs w:val="20"/>
                <w:color w:val="auto"/>
              </w:rPr>
            </w:pPr>
            <w:r>
              <w:rPr>
                <w:rFonts w:ascii="Arial" w:cs="Arial" w:eastAsia="Arial" w:hAnsi="Arial"/>
                <w:sz w:val="14"/>
                <w:szCs w:val="14"/>
                <w:color w:val="auto"/>
                <w:w w:val="91"/>
              </w:rPr>
              <w:t>11/26/2014</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1,360,489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1,361,969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340,122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324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Convertible preferred shares, Series D 6%</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6"/>
              </w:rPr>
              <w:t>5/31/2013</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169,033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778,607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177,273</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40" w:type="dxa"/>
            <w:vAlign w:val="bottom"/>
            <w:gridSpan w:val="6"/>
          </w:tcPr>
          <w:p>
            <w:pPr>
              <w:spacing w:after="0"/>
              <w:rPr>
                <w:sz w:val="20"/>
                <w:szCs w:val="20"/>
                <w:color w:val="auto"/>
              </w:rPr>
            </w:pPr>
            <w:r>
              <w:rPr>
                <w:rFonts w:ascii="Arial" w:cs="Arial" w:eastAsia="Arial" w:hAnsi="Arial"/>
                <w:sz w:val="14"/>
                <w:szCs w:val="14"/>
                <w:color w:val="auto"/>
              </w:rPr>
              <w:t>Convertible preferred shares, Series C 8%</w:t>
            </w: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color w:val="auto"/>
                <w:w w:val="96"/>
              </w:rPr>
              <w:t>3/29/2012</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615,763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2,006,077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24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Preferred Warrants Series D, Strike Price $4.59,</w:t>
            </w:r>
          </w:p>
        </w:tc>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324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Expiration Date 2/14/2020</w:t>
            </w:r>
          </w:p>
        </w:tc>
        <w:tc>
          <w:tcPr>
            <w:tcW w:w="1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6"/>
              </w:rPr>
              <w:t>5/31/2013</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16,903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gridSpan w:val="6"/>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4,146,653</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517,395</w:t>
            </w:r>
          </w:p>
        </w:tc>
        <w:tc>
          <w:tcPr>
            <w:tcW w:w="10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40" w:type="dxa"/>
            <w:vAlign w:val="bottom"/>
            <w:gridSpan w:val="6"/>
            <w:shd w:val="clear" w:color="auto" w:fill="CCEEFF"/>
          </w:tcPr>
          <w:p>
            <w:pPr>
              <w:spacing w:after="0"/>
              <w:rPr>
                <w:sz w:val="20"/>
                <w:szCs w:val="20"/>
                <w:color w:val="auto"/>
              </w:rPr>
            </w:pPr>
            <w:r>
              <w:rPr>
                <w:rFonts w:ascii="Arial" w:cs="Arial" w:eastAsia="Arial" w:hAnsi="Arial"/>
                <w:sz w:val="14"/>
                <w:szCs w:val="14"/>
                <w:b w:val="1"/>
                <w:bCs w:val="1"/>
                <w:color w:val="auto"/>
              </w:rPr>
              <w:t>Maven Research, Inc.</w:t>
            </w:r>
          </w:p>
        </w:tc>
        <w:tc>
          <w:tcPr>
            <w:tcW w:w="1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40" w:type="dxa"/>
            <w:vAlign w:val="bottom"/>
            <w:gridSpan w:val="6"/>
          </w:tcPr>
          <w:p>
            <w:pPr>
              <w:spacing w:after="0"/>
              <w:rPr>
                <w:sz w:val="20"/>
                <w:szCs w:val="20"/>
                <w:color w:val="auto"/>
              </w:rPr>
            </w:pPr>
            <w:r>
              <w:rPr>
                <w:rFonts w:ascii="Arial" w:cs="Arial" w:eastAsia="Arial" w:hAnsi="Arial"/>
                <w:sz w:val="14"/>
                <w:szCs w:val="14"/>
                <w:color w:val="auto"/>
              </w:rPr>
              <w:t>Preferred shares, Series C</w:t>
            </w:r>
          </w:p>
        </w:tc>
        <w:tc>
          <w:tcPr>
            <w:tcW w:w="120" w:type="dxa"/>
            <w:vAlign w:val="bottom"/>
          </w:tcPr>
          <w:p>
            <w:pPr>
              <w:spacing w:after="0"/>
              <w:rPr>
                <w:sz w:val="22"/>
                <w:szCs w:val="22"/>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Knowledge Networks</w:t>
            </w:r>
          </w:p>
        </w:tc>
        <w:tc>
          <w:tcPr>
            <w:tcW w:w="1220" w:type="dxa"/>
            <w:vAlign w:val="bottom"/>
          </w:tcPr>
          <w:p>
            <w:pPr>
              <w:jc w:val="center"/>
              <w:ind w:right="28"/>
              <w:spacing w:after="0"/>
              <w:rPr>
                <w:sz w:val="20"/>
                <w:szCs w:val="20"/>
                <w:color w:val="auto"/>
              </w:rPr>
            </w:pPr>
            <w:r>
              <w:rPr>
                <w:rFonts w:ascii="Arial" w:cs="Arial" w:eastAsia="Arial" w:hAnsi="Arial"/>
                <w:sz w:val="14"/>
                <w:szCs w:val="14"/>
                <w:color w:val="auto"/>
                <w:w w:val="95"/>
              </w:rPr>
              <w:t>7/2/2012</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318,979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2,000,447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2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6"/>
              </w:rPr>
              <w:t>2/28/2012</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49,505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217,206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40" w:type="dxa"/>
            <w:vAlign w:val="bottom"/>
            <w:gridSpan w:val="6"/>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2,217,653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tcBorders>
            <w:shd w:val="clear" w:color="auto" w:fill="CCEEFF"/>
          </w:tcPr>
          <w:p>
            <w:pPr>
              <w:spacing w:after="0"/>
              <w:rPr>
                <w:sz w:val="21"/>
                <w:szCs w:val="21"/>
                <w:color w:val="auto"/>
              </w:rPr>
            </w:pPr>
          </w:p>
        </w:tc>
        <w:tc>
          <w:tcPr>
            <w:tcW w:w="324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4"/>
                <w:szCs w:val="14"/>
                <w:b w:val="1"/>
                <w:bCs w:val="1"/>
                <w:color w:val="auto"/>
              </w:rPr>
              <w:t>Curious.com, Inc.</w:t>
            </w:r>
          </w:p>
        </w:tc>
        <w:tc>
          <w:tcPr>
            <w:tcW w:w="120" w:type="dxa"/>
            <w:vAlign w:val="bottom"/>
            <w:tcBorders>
              <w:top w:val="single" w:sz="8" w:color="CCEEFF"/>
            </w:tcBorders>
            <w:shd w:val="clear" w:color="auto" w:fill="CCEEFF"/>
          </w:tcPr>
          <w:p>
            <w:pPr>
              <w:spacing w:after="0"/>
              <w:rPr>
                <w:sz w:val="21"/>
                <w:szCs w:val="21"/>
                <w:color w:val="auto"/>
              </w:rPr>
            </w:pPr>
          </w:p>
        </w:tc>
        <w:tc>
          <w:tcPr>
            <w:tcW w:w="212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Menlo Park, CA</w:t>
            </w:r>
          </w:p>
        </w:tc>
        <w:tc>
          <w:tcPr>
            <w:tcW w:w="12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11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Common shares</w:t>
            </w:r>
          </w:p>
        </w:tc>
        <w:tc>
          <w:tcPr>
            <w:tcW w:w="2140" w:type="dxa"/>
            <w:vAlign w:val="bottom"/>
            <w:tcBorders>
              <w:top w:val="single" w:sz="8" w:color="CCEEFF"/>
            </w:tcBorders>
            <w:gridSpan w:val="3"/>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12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5"/>
              </w:rPr>
              <w:t>Online Education</w:t>
            </w:r>
          </w:p>
        </w:tc>
        <w:tc>
          <w:tcPr>
            <w:tcW w:w="1220" w:type="dxa"/>
            <w:vAlign w:val="bottom"/>
            <w:tcBorders>
              <w:top w:val="single" w:sz="8" w:color="CCEEFF"/>
            </w:tcBorders>
          </w:tcPr>
          <w:p>
            <w:pPr>
              <w:jc w:val="center"/>
              <w:ind w:right="28"/>
              <w:spacing w:after="0"/>
              <w:rPr>
                <w:sz w:val="20"/>
                <w:szCs w:val="20"/>
                <w:color w:val="auto"/>
              </w:rPr>
            </w:pPr>
            <w:r>
              <w:rPr>
                <w:rFonts w:ascii="Arial" w:cs="Arial" w:eastAsia="Arial" w:hAnsi="Arial"/>
                <w:sz w:val="14"/>
                <w:szCs w:val="14"/>
                <w:color w:val="auto"/>
                <w:w w:val="91"/>
              </w:rPr>
              <w:t>11/22/2013</w:t>
            </w:r>
          </w:p>
        </w:tc>
        <w:tc>
          <w:tcPr>
            <w:tcW w:w="10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1,135,944</w:t>
            </w:r>
          </w:p>
        </w:tc>
        <w:tc>
          <w:tcPr>
            <w:tcW w:w="1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88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12,000,006</w:t>
            </w: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4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-530860</wp:posOffset>
            </wp:positionV>
            <wp:extent cx="42710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71010"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-3446780</wp:posOffset>
            </wp:positionV>
            <wp:extent cx="34220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2"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8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Non-controlled/Affiliate</w:t>
            </w:r>
          </w:p>
        </w:tc>
        <w:tc>
          <w:tcPr>
            <w:tcW w:w="2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29,999,703</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2,620,361</w:t>
            </w:r>
          </w:p>
        </w:tc>
        <w:tc>
          <w:tcPr>
            <w:tcW w:w="100" w:type="dxa"/>
            <w:vAlign w:val="bottom"/>
          </w:tcPr>
          <w:p>
            <w:pPr>
              <w:spacing w:after="0"/>
              <w:rPr>
                <w:sz w:val="16"/>
                <w:szCs w:val="16"/>
                <w:color w:val="auto"/>
              </w:rPr>
            </w:pPr>
          </w:p>
        </w:tc>
        <w:tc>
          <w:tcPr>
            <w:tcW w:w="960" w:type="dxa"/>
            <w:vAlign w:val="bottom"/>
          </w:tcPr>
          <w:p>
            <w:pPr>
              <w:ind w:left="540"/>
              <w:spacing w:after="0"/>
              <w:rPr>
                <w:sz w:val="20"/>
                <w:szCs w:val="20"/>
                <w:color w:val="auto"/>
              </w:rPr>
            </w:pPr>
            <w:r>
              <w:rPr>
                <w:rFonts w:ascii="Arial" w:cs="Arial" w:eastAsia="Arial" w:hAnsi="Arial"/>
                <w:sz w:val="14"/>
                <w:szCs w:val="14"/>
                <w:b w:val="1"/>
                <w:bCs w:val="1"/>
                <w:color w:val="auto"/>
              </w:rPr>
              <w:t>1.23%</w:t>
            </w:r>
          </w:p>
        </w:tc>
      </w:tr>
      <w:tr>
        <w:trPr>
          <w:trHeight w:val="290"/>
        </w:trPr>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CONTROLLED</w:t>
            </w:r>
            <w:r>
              <w:rPr>
                <w:rFonts w:ascii="Arial" w:cs="Arial" w:eastAsia="Arial" w:hAnsi="Arial"/>
                <w:sz w:val="8"/>
                <w:szCs w:val="8"/>
                <w:color w:val="auto"/>
              </w:rPr>
              <w:t>(2)</w:t>
            </w:r>
          </w:p>
        </w:tc>
        <w:tc>
          <w:tcPr>
            <w:tcW w:w="24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49"/>
        </w:trPr>
        <w:tc>
          <w:tcPr>
            <w:tcW w:w="20" w:type="dxa"/>
            <w:vAlign w:val="bottom"/>
            <w:shd w:val="clear" w:color="auto" w:fill="CCEEFF"/>
          </w:tcPr>
          <w:p>
            <w:pPr>
              <w:spacing w:after="0"/>
              <w:rPr>
                <w:sz w:val="21"/>
                <w:szCs w:val="2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StormWind, LLC</w:t>
            </w:r>
            <w:r>
              <w:rPr>
                <w:rFonts w:ascii="Arial" w:cs="Arial" w:eastAsia="Arial" w:hAnsi="Arial"/>
                <w:sz w:val="8"/>
                <w:szCs w:val="8"/>
                <w:color w:val="auto"/>
              </w:rPr>
              <w:t>(5)</w:t>
            </w:r>
          </w:p>
        </w:tc>
        <w:tc>
          <w:tcPr>
            <w:tcW w:w="24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w w:val="94"/>
              </w:rPr>
              <w:t>Scottsdale, AZ</w:t>
            </w:r>
          </w:p>
        </w:tc>
        <w:tc>
          <w:tcPr>
            <w:tcW w:w="1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880" w:type="dxa"/>
            <w:vAlign w:val="bottom"/>
            <w:gridSpan w:val="2"/>
          </w:tcPr>
          <w:p>
            <w:pPr>
              <w:spacing w:after="0"/>
              <w:rPr>
                <w:sz w:val="20"/>
                <w:szCs w:val="20"/>
                <w:color w:val="auto"/>
              </w:rPr>
            </w:pPr>
            <w:r>
              <w:rPr>
                <w:rFonts w:ascii="Arial" w:cs="Arial" w:eastAsia="Arial" w:hAnsi="Arial"/>
                <w:sz w:val="14"/>
                <w:szCs w:val="14"/>
                <w:color w:val="auto"/>
              </w:rPr>
              <w:t>Preferred shares, Series C 8%</w:t>
            </w:r>
          </w:p>
        </w:tc>
        <w:tc>
          <w:tcPr>
            <w:tcW w:w="2460" w:type="dxa"/>
            <w:vAlign w:val="bottom"/>
          </w:tcPr>
          <w:p>
            <w:pPr>
              <w:jc w:val="center"/>
              <w:ind w:left="448"/>
              <w:spacing w:after="0"/>
              <w:rPr>
                <w:sz w:val="20"/>
                <w:szCs w:val="20"/>
                <w:color w:val="auto"/>
              </w:rPr>
            </w:pPr>
            <w:r>
              <w:rPr>
                <w:rFonts w:ascii="Arial" w:cs="Arial" w:eastAsia="Arial" w:hAnsi="Arial"/>
                <w:sz w:val="14"/>
                <w:szCs w:val="14"/>
                <w:color w:val="auto"/>
                <w:w w:val="95"/>
              </w:rPr>
              <w:t>Interactive Learning</w:t>
            </w:r>
          </w:p>
        </w:tc>
        <w:tc>
          <w:tcPr>
            <w:tcW w:w="1360" w:type="dxa"/>
            <w:vAlign w:val="bottom"/>
          </w:tcPr>
          <w:p>
            <w:pPr>
              <w:jc w:val="center"/>
              <w:spacing w:after="0"/>
              <w:rPr>
                <w:sz w:val="20"/>
                <w:szCs w:val="20"/>
                <w:color w:val="auto"/>
              </w:rPr>
            </w:pPr>
            <w:r>
              <w:rPr>
                <w:rFonts w:ascii="Arial" w:cs="Arial" w:eastAsia="Arial" w:hAnsi="Arial"/>
                <w:sz w:val="14"/>
                <w:szCs w:val="14"/>
                <w:color w:val="auto"/>
                <w:w w:val="95"/>
              </w:rPr>
              <w:t>1/7/2014</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2,779,134</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4,000,787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6,761,479</w:t>
            </w:r>
          </w:p>
        </w:tc>
        <w:tc>
          <w:tcPr>
            <w:tcW w:w="100" w:type="dxa"/>
            <w:vAlign w:val="bottom"/>
          </w:tcPr>
          <w:p>
            <w:pPr>
              <w:spacing w:after="0"/>
              <w:rPr>
                <w:sz w:val="22"/>
                <w:szCs w:val="22"/>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rPr>
              <w:t>3.18%</w:t>
            </w:r>
          </w:p>
        </w:tc>
      </w:tr>
      <w:tr>
        <w:trPr>
          <w:trHeight w:val="276"/>
        </w:trPr>
        <w:tc>
          <w:tcPr>
            <w:tcW w:w="20" w:type="dxa"/>
            <w:vAlign w:val="bottom"/>
            <w:shd w:val="clear" w:color="auto" w:fill="CCEEFF"/>
          </w:tcPr>
          <w:p>
            <w:pPr>
              <w:spacing w:after="0"/>
              <w:rPr>
                <w:sz w:val="24"/>
                <w:szCs w:val="24"/>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Preferred shares, Series B 8%</w:t>
            </w:r>
          </w:p>
        </w:tc>
        <w:tc>
          <w:tcPr>
            <w:tcW w:w="246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12/16/2011</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3,279,629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2,019,687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5,258,768</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2.48%</w:t>
            </w:r>
          </w:p>
        </w:tc>
      </w:tr>
      <w:tr>
        <w:trPr>
          <w:trHeight w:val="264"/>
        </w:trPr>
        <w:tc>
          <w:tcPr>
            <w:tcW w:w="20" w:type="dxa"/>
            <w:vAlign w:val="bottom"/>
            <w:tcBorders>
              <w:bottom w:val="single" w:sz="8" w:color="CCEEFF"/>
            </w:tcBorders>
          </w:tcPr>
          <w:p>
            <w:pPr>
              <w:spacing w:after="0"/>
              <w:rPr>
                <w:sz w:val="22"/>
                <w:szCs w:val="22"/>
                <w:color w:val="auto"/>
              </w:rPr>
            </w:pPr>
          </w:p>
        </w:tc>
        <w:tc>
          <w:tcPr>
            <w:tcW w:w="28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Preferred shares, Series A 8%</w:t>
            </w:r>
          </w:p>
        </w:tc>
        <w:tc>
          <w:tcPr>
            <w:tcW w:w="246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2/25/2014</w:t>
            </w:r>
          </w:p>
        </w:tc>
        <w:tc>
          <w:tcPr>
            <w:tcW w:w="1120" w:type="dxa"/>
            <w:vAlign w:val="bottom"/>
            <w:tcBorders>
              <w:bottom w:val="single" w:sz="8" w:color="CCEEFF"/>
            </w:tcBorders>
          </w:tcPr>
          <w:p>
            <w:pPr>
              <w:jc w:val="right"/>
              <w:ind w:right="148"/>
              <w:spacing w:after="0"/>
              <w:rPr>
                <w:sz w:val="20"/>
                <w:szCs w:val="20"/>
                <w:color w:val="auto"/>
              </w:rPr>
            </w:pPr>
            <w:r>
              <w:rPr>
                <w:rFonts w:ascii="Arial" w:cs="Arial" w:eastAsia="Arial" w:hAnsi="Arial"/>
                <w:sz w:val="14"/>
                <w:szCs w:val="14"/>
                <w:color w:val="auto"/>
              </w:rPr>
              <w:t>366,666</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110,000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364,332</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0.17%</w:t>
            </w:r>
          </w:p>
        </w:tc>
      </w:tr>
      <w:tr>
        <w:trPr>
          <w:trHeight w:val="264"/>
        </w:trPr>
        <w:tc>
          <w:tcPr>
            <w:tcW w:w="20" w:type="dxa"/>
            <w:vAlign w:val="bottom"/>
            <w:shd w:val="clear" w:color="auto" w:fill="CCEEFF"/>
          </w:tcPr>
          <w:p>
            <w:pPr>
              <w:spacing w:after="0"/>
              <w:rPr>
                <w:sz w:val="22"/>
                <w:szCs w:val="22"/>
                <w:color w:val="auto"/>
              </w:rPr>
            </w:pPr>
          </w:p>
        </w:tc>
        <w:tc>
          <w:tcPr>
            <w:tcW w:w="2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4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6,130,474</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12,384,579</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5.83%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-187960</wp:posOffset>
            </wp:positionV>
            <wp:extent cx="49053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0537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-882650</wp:posOffset>
            </wp:positionV>
            <wp:extent cx="4905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121" w:right="339" w:bottom="1440" w:gutter="0" w:footer="0" w:header="0"/>
        </w:sectPr>
      </w:pPr>
    </w:p>
    <w:bookmarkStart w:id="8" w:name="page9"/>
    <w:bookmarkEnd w:id="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13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0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vMerge w:val="restart"/>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Headquarters/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7"/>
              </w:rPr>
              <w:t>Date of Initial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auto"/>
            </w:tcBorders>
            <w:gridSpan w:val="6"/>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4"/>
                <w:szCs w:val="14"/>
                <w:b w:val="1"/>
                <w:bCs w:val="1"/>
                <w:color w:val="auto"/>
              </w:rPr>
              <w:t>NestGSV, Inc. (d/b/a GSV Labs, Inc.)</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San Mateo, CA</w:t>
            </w: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CCEEFF"/>
            </w:tcBorders>
          </w:tcPr>
          <w:p>
            <w:pPr>
              <w:spacing w:after="0"/>
              <w:rPr>
                <w:sz w:val="13"/>
                <w:szCs w:val="13"/>
                <w:color w:val="auto"/>
              </w:rPr>
            </w:pPr>
          </w:p>
        </w:tc>
        <w:tc>
          <w:tcPr>
            <w:tcW w:w="2280" w:type="dxa"/>
            <w:vAlign w:val="bottom"/>
            <w:tcBorders>
              <w:top w:val="single" w:sz="8" w:color="auto"/>
            </w:tcBorders>
            <w:gridSpan w:val="3"/>
          </w:tcPr>
          <w:p>
            <w:pPr>
              <w:spacing w:after="0" w:line="157" w:lineRule="exact"/>
              <w:rPr>
                <w:sz w:val="20"/>
                <w:szCs w:val="20"/>
                <w:color w:val="auto"/>
              </w:rPr>
            </w:pPr>
            <w:r>
              <w:rPr>
                <w:rFonts w:ascii="Arial" w:cs="Arial" w:eastAsia="Arial" w:hAnsi="Arial"/>
                <w:sz w:val="14"/>
                <w:szCs w:val="14"/>
                <w:color w:val="auto"/>
                <w:w w:val="94"/>
              </w:rPr>
              <w:t>Convertible Promissory Note 12% Due</w:t>
            </w:r>
          </w:p>
        </w:tc>
        <w:tc>
          <w:tcPr>
            <w:tcW w:w="860" w:type="dxa"/>
            <w:vAlign w:val="bottom"/>
            <w:tcBorders>
              <w:top w:val="single" w:sz="8" w:color="CCEEFF"/>
            </w:tcBorders>
            <w:gridSpan w:val="3"/>
          </w:tcPr>
          <w:p>
            <w:pPr>
              <w:spacing w:after="0"/>
              <w:rPr>
                <w:sz w:val="13"/>
                <w:szCs w:val="13"/>
                <w:color w:val="auto"/>
              </w:rPr>
            </w:pPr>
          </w:p>
        </w:tc>
        <w:tc>
          <w:tcPr>
            <w:tcW w:w="20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20" w:type="dxa"/>
            <w:vAlign w:val="bottom"/>
            <w:gridSpan w:val="3"/>
          </w:tcPr>
          <w:p>
            <w:pPr>
              <w:ind w:left="20"/>
              <w:spacing w:after="0"/>
              <w:rPr>
                <w:sz w:val="20"/>
                <w:szCs w:val="20"/>
                <w:color w:val="auto"/>
              </w:rPr>
            </w:pPr>
            <w:r>
              <w:rPr>
                <w:rFonts w:ascii="Arial" w:cs="Arial" w:eastAsia="Arial" w:hAnsi="Arial"/>
                <w:sz w:val="14"/>
                <w:szCs w:val="14"/>
                <w:color w:val="auto"/>
              </w:rPr>
              <w:t>12/31/2019***</w:t>
            </w: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Global Innovation Platform</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2/17/2016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936,525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952,627</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468,262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76"/>
        </w:trPr>
        <w:tc>
          <w:tcPr>
            <w:tcW w:w="316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Preferred shares, Series A-4</w:t>
            </w: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10/6/2014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3,720,424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4,904,498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2,432,829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64"/>
        </w:trPr>
        <w:tc>
          <w:tcPr>
            <w:tcW w:w="3160" w:type="dxa"/>
            <w:vAlign w:val="bottom"/>
            <w:gridSpan w:val="7"/>
          </w:tcPr>
          <w:p>
            <w:pPr>
              <w:ind w:left="20"/>
              <w:spacing w:after="0"/>
              <w:rPr>
                <w:sz w:val="20"/>
                <w:szCs w:val="20"/>
                <w:color w:val="auto"/>
              </w:rPr>
            </w:pPr>
            <w:r>
              <w:rPr>
                <w:rFonts w:ascii="Arial" w:cs="Arial" w:eastAsia="Arial" w:hAnsi="Arial"/>
                <w:sz w:val="14"/>
                <w:szCs w:val="14"/>
                <w:color w:val="auto"/>
              </w:rPr>
              <w:t>Preferred shares, Series A-3</w:t>
            </w: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5"/>
              </w:rPr>
              <w:t>4/4/2014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1,561,625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2,005,730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850,971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276"/>
        </w:trPr>
        <w:tc>
          <w:tcPr>
            <w:tcW w:w="316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Preferred shares, Series A-2</w:t>
            </w: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7/15/2013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450,001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605,500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147,130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64"/>
        </w:trPr>
        <w:tc>
          <w:tcPr>
            <w:tcW w:w="3160" w:type="dxa"/>
            <w:vAlign w:val="bottom"/>
            <w:gridSpan w:val="7"/>
          </w:tcPr>
          <w:p>
            <w:pPr>
              <w:ind w:left="20"/>
              <w:spacing w:after="0"/>
              <w:rPr>
                <w:sz w:val="20"/>
                <w:szCs w:val="20"/>
                <w:color w:val="auto"/>
              </w:rPr>
            </w:pPr>
            <w:r>
              <w:rPr>
                <w:rFonts w:ascii="Arial" w:cs="Arial" w:eastAsia="Arial" w:hAnsi="Arial"/>
                <w:sz w:val="14"/>
                <w:szCs w:val="14"/>
                <w:color w:val="auto"/>
              </w:rPr>
              <w:t>Preferred shares, Series A-1</w:t>
            </w: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5/25/2012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1,021,778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245,217</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76"/>
        </w:trPr>
        <w:tc>
          <w:tcPr>
            <w:tcW w:w="316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Common shares</w:t>
            </w: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7/1/2014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60" w:type="dxa"/>
            <w:vAlign w:val="bottom"/>
            <w:gridSpan w:val="7"/>
          </w:tcPr>
          <w:p>
            <w:pPr>
              <w:ind w:left="20"/>
              <w:spacing w:after="0" w:line="157" w:lineRule="exact"/>
              <w:rPr>
                <w:sz w:val="20"/>
                <w:szCs w:val="20"/>
                <w:color w:val="auto"/>
              </w:rPr>
            </w:pPr>
            <w:r>
              <w:rPr>
                <w:rFonts w:ascii="Arial" w:cs="Arial" w:eastAsia="Arial" w:hAnsi="Arial"/>
                <w:sz w:val="14"/>
                <w:szCs w:val="14"/>
                <w:color w:val="auto"/>
              </w:rPr>
              <w:t>Preferred Warrants Series A-3, Strike Price $1.33,</w:t>
            </w: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60" w:type="dxa"/>
            <w:vAlign w:val="bottom"/>
            <w:gridSpan w:val="7"/>
          </w:tcPr>
          <w:p>
            <w:pPr>
              <w:ind w:left="20"/>
              <w:spacing w:after="0"/>
              <w:rPr>
                <w:sz w:val="20"/>
                <w:szCs w:val="20"/>
                <w:color w:val="auto"/>
              </w:rPr>
            </w:pPr>
            <w:r>
              <w:rPr>
                <w:rFonts w:ascii="Arial" w:cs="Arial" w:eastAsia="Arial" w:hAnsi="Arial"/>
                <w:sz w:val="14"/>
                <w:szCs w:val="14"/>
                <w:color w:val="auto"/>
              </w:rPr>
              <w:t>Expiration Date 4/4/2021</w:t>
            </w: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5"/>
              </w:rPr>
              <w:t>4/4/2014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16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Preferred Warrants Series A-4, Strike Price $1.33,</w:t>
            </w: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6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Expiration Date 10/6/2021</w:t>
            </w: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10/6/2014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57"/>
        </w:trPr>
        <w:tc>
          <w:tcPr>
            <w:tcW w:w="3160" w:type="dxa"/>
            <w:vAlign w:val="bottom"/>
            <w:gridSpan w:val="7"/>
          </w:tcPr>
          <w:p>
            <w:pPr>
              <w:ind w:left="20"/>
              <w:spacing w:after="0" w:line="157" w:lineRule="exact"/>
              <w:rPr>
                <w:sz w:val="20"/>
                <w:szCs w:val="20"/>
                <w:color w:val="auto"/>
              </w:rPr>
            </w:pPr>
            <w:r>
              <w:rPr>
                <w:rFonts w:ascii="Arial" w:cs="Arial" w:eastAsia="Arial" w:hAnsi="Arial"/>
                <w:sz w:val="14"/>
                <w:szCs w:val="14"/>
                <w:color w:val="auto"/>
              </w:rPr>
              <w:t>Preferred Warrants Series A-4, Strike Price $1.33,</w:t>
            </w: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60" w:type="dxa"/>
            <w:vAlign w:val="bottom"/>
            <w:gridSpan w:val="7"/>
          </w:tcPr>
          <w:p>
            <w:pPr>
              <w:ind w:left="20"/>
              <w:spacing w:after="0"/>
              <w:rPr>
                <w:sz w:val="20"/>
                <w:szCs w:val="20"/>
                <w:color w:val="auto"/>
              </w:rPr>
            </w:pPr>
            <w:r>
              <w:rPr>
                <w:rFonts w:ascii="Arial" w:cs="Arial" w:eastAsia="Arial" w:hAnsi="Arial"/>
                <w:sz w:val="14"/>
                <w:szCs w:val="14"/>
                <w:color w:val="auto"/>
              </w:rPr>
              <w:t>Expiration Date 7/18/2021</w:t>
            </w: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5"/>
              </w:rPr>
              <w:t>7/8/2016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74,380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63"/>
        </w:trPr>
        <w:tc>
          <w:tcPr>
            <w:tcW w:w="316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Preferred Warrants Series B, Strike Price $2.31,</w:t>
            </w: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6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Expiration Date 11/29/2021</w:t>
            </w: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11/29/2016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29,275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60" w:type="dxa"/>
            <w:vAlign w:val="bottom"/>
            <w:gridSpan w:val="7"/>
          </w:tcPr>
          <w:p>
            <w:pPr>
              <w:ind w:left="20"/>
              <w:spacing w:after="0" w:line="157" w:lineRule="exact"/>
              <w:rPr>
                <w:sz w:val="20"/>
                <w:szCs w:val="20"/>
                <w:color w:val="auto"/>
              </w:rPr>
            </w:pPr>
            <w:r>
              <w:rPr>
                <w:rFonts w:ascii="Arial" w:cs="Arial" w:eastAsia="Arial" w:hAnsi="Arial"/>
                <w:sz w:val="14"/>
                <w:szCs w:val="14"/>
                <w:color w:val="auto"/>
              </w:rPr>
              <w:t>Preferred Warrant Series B–Strike Price $2.31,</w:t>
            </w: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60" w:type="dxa"/>
            <w:vAlign w:val="bottom"/>
            <w:gridSpan w:val="7"/>
          </w:tcPr>
          <w:p>
            <w:pPr>
              <w:ind w:left="20"/>
              <w:spacing w:after="0"/>
              <w:rPr>
                <w:sz w:val="20"/>
                <w:szCs w:val="20"/>
                <w:color w:val="auto"/>
              </w:rPr>
            </w:pPr>
            <w:r>
              <w:rPr>
                <w:rFonts w:ascii="Arial" w:cs="Arial" w:eastAsia="Arial" w:hAnsi="Arial"/>
                <w:sz w:val="14"/>
                <w:szCs w:val="14"/>
                <w:color w:val="auto"/>
              </w:rPr>
              <w:t>Expiration Date 6/30/2022</w:t>
            </w: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5/29/2017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70,379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16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Preferred Warrant Series B–Strike Price $2.31,</w:t>
            </w: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6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Expiration Date 12/31/2023</w:t>
            </w: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12/31/2018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3140" w:type="dxa"/>
            <w:vAlign w:val="bottom"/>
            <w:tcBorders>
              <w:bottom w:val="single" w:sz="8" w:color="CCEEFF"/>
            </w:tcBorders>
            <w:gridSpan w:val="6"/>
          </w:tcPr>
          <w:p>
            <w:pPr>
              <w:ind w:left="140"/>
              <w:spacing w:after="0"/>
              <w:rPr>
                <w:sz w:val="20"/>
                <w:szCs w:val="20"/>
                <w:color w:val="auto"/>
              </w:rPr>
            </w:pPr>
            <w:r>
              <w:rPr>
                <w:rFonts w:ascii="Arial" w:cs="Arial" w:eastAsia="Arial" w:hAnsi="Arial"/>
                <w:sz w:val="14"/>
                <w:szCs w:val="14"/>
                <w:color w:val="auto"/>
              </w:rPr>
              <w:t>Total</w:t>
            </w:r>
          </w:p>
        </w:tc>
        <w:tc>
          <w:tcPr>
            <w:tcW w:w="20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9,670,247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4,151,909</w:t>
            </w:r>
          </w:p>
        </w:tc>
        <w:tc>
          <w:tcPr>
            <w:tcW w:w="10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8"/>
        </w:trPr>
        <w:tc>
          <w:tcPr>
            <w:tcW w:w="3160" w:type="dxa"/>
            <w:vAlign w:val="bottom"/>
            <w:gridSpan w:val="7"/>
            <w:shd w:val="clear" w:color="auto" w:fill="CCEEFF"/>
          </w:tcPr>
          <w:p>
            <w:pPr>
              <w:ind w:left="20"/>
              <w:spacing w:after="0" w:line="148" w:lineRule="exact"/>
              <w:rPr>
                <w:sz w:val="20"/>
                <w:szCs w:val="20"/>
                <w:color w:val="auto"/>
              </w:rPr>
            </w:pPr>
            <w:r>
              <w:rPr>
                <w:rFonts w:ascii="Arial" w:cs="Arial" w:eastAsia="Arial" w:hAnsi="Arial"/>
                <w:sz w:val="14"/>
                <w:szCs w:val="14"/>
                <w:b w:val="1"/>
                <w:bCs w:val="1"/>
                <w:color w:val="auto"/>
              </w:rPr>
              <w:t>SPBRX, INC. (f/k/a GSV Sustainability</w:t>
            </w:r>
          </w:p>
        </w:tc>
        <w:tc>
          <w:tcPr>
            <w:tcW w:w="21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6"/>
              </w:rPr>
              <w:t>Woodside, CA</w:t>
            </w: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4"/>
              </w:rPr>
              <w:t>Partners, Inc.)</w:t>
            </w:r>
          </w:p>
        </w:tc>
        <w:tc>
          <w:tcPr>
            <w:tcW w:w="1520" w:type="dxa"/>
            <w:vAlign w:val="bottom"/>
            <w:tcBorders>
              <w:top w:val="single" w:sz="8" w:color="auto"/>
              <w:bottom w:val="single" w:sz="8" w:color="CCEEFF"/>
            </w:tcBorders>
            <w:gridSpan w:val="2"/>
            <w:shd w:val="clear" w:color="auto" w:fill="CCEEFF"/>
          </w:tcPr>
          <w:p>
            <w:pPr>
              <w:spacing w:after="0"/>
              <w:rPr>
                <w:sz w:val="12"/>
                <w:szCs w:val="12"/>
                <w:color w:val="auto"/>
              </w:rPr>
            </w:pPr>
          </w:p>
        </w:tc>
        <w:tc>
          <w:tcPr>
            <w:tcW w:w="7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140" w:type="dxa"/>
            <w:vAlign w:val="bottom"/>
            <w:tcBorders>
              <w:top w:val="single" w:sz="8" w:color="CCEEFF"/>
              <w:bottom w:val="single" w:sz="8" w:color="CCEEFF"/>
            </w:tcBorders>
            <w:gridSpan w:val="2"/>
            <w:vMerge w:val="continue"/>
            <w:shd w:val="clear" w:color="auto" w:fill="CCEEFF"/>
          </w:tcPr>
          <w:p>
            <w:pPr>
              <w:spacing w:after="0"/>
              <w:rPr>
                <w:sz w:val="12"/>
                <w:szCs w:val="12"/>
                <w:color w:val="auto"/>
              </w:rPr>
            </w:pPr>
          </w:p>
        </w:tc>
        <w:tc>
          <w:tcPr>
            <w:tcW w:w="1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3160" w:type="dxa"/>
            <w:vAlign w:val="bottom"/>
            <w:gridSpan w:val="7"/>
          </w:tcPr>
          <w:p>
            <w:pPr>
              <w:ind w:left="20"/>
              <w:spacing w:after="0"/>
              <w:rPr>
                <w:sz w:val="20"/>
                <w:szCs w:val="20"/>
                <w:color w:val="auto"/>
              </w:rPr>
            </w:pPr>
            <w:r>
              <w:rPr>
                <w:rFonts w:ascii="Arial" w:cs="Arial" w:eastAsia="Arial" w:hAnsi="Arial"/>
                <w:sz w:val="14"/>
                <w:szCs w:val="14"/>
                <w:color w:val="auto"/>
              </w:rPr>
              <w:t>Preferred shares, Class A***</w:t>
            </w:r>
            <w:r>
              <w:rPr>
                <w:rFonts w:ascii="Arial" w:cs="Arial" w:eastAsia="Arial" w:hAnsi="Arial"/>
                <w:sz w:val="8"/>
                <w:szCs w:val="8"/>
                <w:color w:val="auto"/>
              </w:rPr>
              <w:t>(10)</w:t>
            </w: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Clean Technology</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4/15/2014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14,300,000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7,151,412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930,198</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270"/>
        </w:trPr>
        <w:tc>
          <w:tcPr>
            <w:tcW w:w="316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Common shares</w:t>
            </w:r>
          </w:p>
        </w:tc>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4/15/2014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140" w:type="dxa"/>
            <w:vAlign w:val="bottom"/>
            <w:tcBorders>
              <w:bottom w:val="single" w:sz="8" w:color="CCEEFF"/>
            </w:tcBorders>
            <w:gridSpan w:val="6"/>
          </w:tcPr>
          <w:p>
            <w:pPr>
              <w:ind w:left="140"/>
              <w:spacing w:after="0"/>
              <w:rPr>
                <w:sz w:val="20"/>
                <w:szCs w:val="20"/>
                <w:color w:val="auto"/>
              </w:rPr>
            </w:pPr>
            <w:r>
              <w:rPr>
                <w:rFonts w:ascii="Arial" w:cs="Arial" w:eastAsia="Arial" w:hAnsi="Arial"/>
                <w:sz w:val="14"/>
                <w:szCs w:val="14"/>
                <w:color w:val="auto"/>
              </w:rPr>
              <w:t>Total</w:t>
            </w:r>
          </w:p>
        </w:tc>
        <w:tc>
          <w:tcPr>
            <w:tcW w:w="2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7,161,412</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930,198</w:t>
            </w:r>
          </w:p>
        </w:tc>
        <w:tc>
          <w:tcPr>
            <w:tcW w:w="10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gridSpan w:val="6"/>
          </w:tcPr>
          <w:p>
            <w:pPr>
              <w:ind w:left="140"/>
              <w:spacing w:after="0"/>
              <w:rPr>
                <w:sz w:val="20"/>
                <w:szCs w:val="20"/>
                <w:color w:val="auto"/>
              </w:rPr>
            </w:pPr>
            <w:r>
              <w:rPr>
                <w:rFonts w:ascii="Arial" w:cs="Arial" w:eastAsia="Arial" w:hAnsi="Arial"/>
                <w:sz w:val="14"/>
                <w:szCs w:val="14"/>
                <w:b w:val="1"/>
                <w:bCs w:val="1"/>
                <w:color w:val="auto"/>
              </w:rPr>
              <w:t>Total Controlled</w:t>
            </w: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22,962,133</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17,466,686</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8.22%</w:t>
            </w:r>
          </w:p>
        </w:tc>
        <w:tc>
          <w:tcPr>
            <w:tcW w:w="0" w:type="dxa"/>
            <w:vAlign w:val="bottom"/>
          </w:tcPr>
          <w:p>
            <w:pPr>
              <w:spacing w:after="0"/>
              <w:rPr>
                <w:sz w:val="1"/>
                <w:szCs w:val="1"/>
                <w:color w:val="auto"/>
              </w:rPr>
            </w:pPr>
          </w:p>
        </w:tc>
      </w:tr>
      <w:tr>
        <w:trPr>
          <w:trHeight w:val="303"/>
        </w:trPr>
        <w:tc>
          <w:tcPr>
            <w:tcW w:w="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gridSpan w:val="6"/>
          </w:tcPr>
          <w:p>
            <w:pPr>
              <w:ind w:left="140"/>
              <w:spacing w:after="0"/>
              <w:rPr>
                <w:sz w:val="20"/>
                <w:szCs w:val="20"/>
                <w:color w:val="auto"/>
              </w:rPr>
            </w:pPr>
            <w:r>
              <w:rPr>
                <w:rFonts w:ascii="Arial" w:cs="Arial" w:eastAsia="Arial" w:hAnsi="Arial"/>
                <w:sz w:val="14"/>
                <w:szCs w:val="14"/>
                <w:b w:val="1"/>
                <w:bCs w:val="1"/>
                <w:color w:val="auto"/>
              </w:rPr>
              <w:t>Total Portfolio Investments</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165,227,019</w:t>
            </w:r>
          </w:p>
        </w:tc>
        <w:tc>
          <w:tcPr>
            <w:tcW w:w="120" w:type="dxa"/>
            <w:vAlign w:val="bottom"/>
          </w:tcPr>
          <w:p>
            <w:pPr>
              <w:spacing w:after="0"/>
              <w:rPr>
                <w:sz w:val="21"/>
                <w:szCs w:val="21"/>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213,571,464</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100.49%</w:t>
            </w: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60" w:type="dxa"/>
            <w:vAlign w:val="bottom"/>
            <w:gridSpan w:val="7"/>
          </w:tcPr>
          <w:p>
            <w:pPr>
              <w:ind w:left="20"/>
              <w:spacing w:after="0"/>
              <w:rPr>
                <w:sz w:val="20"/>
                <w:szCs w:val="20"/>
                <w:color w:val="auto"/>
              </w:rPr>
            </w:pPr>
            <w:r>
              <w:rPr>
                <w:rFonts w:ascii="Arial" w:cs="Arial" w:eastAsia="Arial" w:hAnsi="Arial"/>
                <w:sz w:val="14"/>
                <w:szCs w:val="14"/>
                <w:b w:val="1"/>
                <w:bCs w:val="1"/>
                <w:color w:val="auto"/>
              </w:rPr>
              <w:t>U.S. Treasury</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6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U.S. Treasury bill, 0%, due 4/4/2019***</w:t>
            </w:r>
            <w:r>
              <w:rPr>
                <w:rFonts w:ascii="Arial" w:cs="Arial" w:eastAsia="Arial" w:hAnsi="Arial"/>
                <w:sz w:val="8"/>
                <w:szCs w:val="8"/>
                <w:color w:val="auto"/>
              </w:rPr>
              <w:t>(3)</w:t>
            </w: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3/28/2019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5"/>
              </w:rPr>
              <w:t>100,000,000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99,961,333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99,980,000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47.04%</w:t>
            </w: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4"/>
                <w:szCs w:val="14"/>
                <w:b w:val="1"/>
                <w:bCs w:val="1"/>
                <w:color w:val="auto"/>
              </w:rPr>
              <w:t>TOTAL INVESTMENTS</w:t>
            </w: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265,188,352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313,551,464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-1268730</wp:posOffset>
            </wp:positionV>
            <wp:extent cx="1929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w:t>
      </w:r>
    </w:p>
    <w:p>
      <w:pPr>
        <w:spacing w:after="0" w:line="2" w:lineRule="exact"/>
        <w:rPr>
          <w:sz w:val="20"/>
          <w:szCs w:val="20"/>
          <w:color w:val="auto"/>
        </w:rPr>
      </w:pPr>
    </w:p>
    <w:p>
      <w:pPr>
        <w:jc w:val="both"/>
        <w:ind w:left="500" w:hanging="492"/>
        <w:spacing w:after="0" w:line="313"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4"/>
          <w:szCs w:val="14"/>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and officers, as applicable, may serve on the board of directors of the Company’s portfolio investments. (Refer to “Note 3—Related-Party Arrangements”). All portfolio investments are considered Level 3 and valued using significant unobservable inputs, unless otherwise noted. (Refer to “Note 4— Investments at Fair Value”). All of the Company's portfolio investments are restricted as to resale, unless otherwise noted, and were valued at fair value as determined</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good faith by the Company’s Board of Directors.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w:t>
      </w:r>
    </w:p>
    <w:p>
      <w:pPr>
        <w:spacing w:after="0" w:line="22" w:lineRule="exact"/>
        <w:rPr>
          <w:sz w:val="20"/>
          <w:szCs w:val="20"/>
          <w:color w:val="auto"/>
        </w:rPr>
      </w:pPr>
    </w:p>
    <w:p>
      <w:pPr>
        <w:ind w:left="500" w:right="20" w:hanging="492"/>
        <w:spacing w:after="0" w:line="253"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Indicates assets that GSV Capital Corp. believes do not represent “qualifying assets” under Section 55(a) of the Investment Company Act of 1940, as amended (the “1940 Act”). Of GSV Capital Corp.’s total investments as of March 31, 2019, 19.78% of its total investments are non-qualifying assets.</w:t>
      </w: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180" w:lineRule="exact"/>
        <w:rPr>
          <w:sz w:val="20"/>
          <w:szCs w:val="20"/>
          <w:color w:val="auto"/>
        </w:rPr>
      </w:pPr>
    </w:p>
    <w:p>
      <w:pPr>
        <w:jc w:val="both"/>
        <w:ind w:left="500" w:hanging="492"/>
        <w:spacing w:after="0" w:line="256"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 For the Schedule of Investments In, and Advances To, Affiliates, as required by SEC Regulation S-X, Rule 12-14, refer to “Note 4—Investments at Fair Value”.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15" w:lineRule="exact"/>
        <w:rPr>
          <w:sz w:val="20"/>
          <w:szCs w:val="20"/>
          <w:color w:val="auto"/>
        </w:rPr>
      </w:pPr>
    </w:p>
    <w:p>
      <w:pPr>
        <w:jc w:val="both"/>
        <w:ind w:left="500" w:hanging="492"/>
        <w:spacing w:after="0" w:line="256"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60" w:lineRule="exact"/>
        <w:rPr>
          <w:rFonts w:ascii="Arial" w:cs="Arial" w:eastAsia="Arial" w:hAnsi="Arial"/>
          <w:sz w:val="16"/>
          <w:szCs w:val="16"/>
          <w:color w:val="auto"/>
        </w:rPr>
      </w:pPr>
    </w:p>
    <w:p>
      <w:pPr>
        <w:ind w:left="500" w:hanging="49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Denotes an investment considered Level 1 or Level 2 and valued using observable inputs.</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March 31, 2019, the investments noted had been placed on non-accrual status.</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GSV Capital Corp.’s investments in StormWind, LLC are held through GSV Capital Corp.'s wholly owned subsidiary, GSVC SW Holdings, Inc.</w:t>
      </w:r>
    </w:p>
    <w:p>
      <w:pPr>
        <w:spacing w:after="0" w:line="194" w:lineRule="exact"/>
        <w:rPr>
          <w:rFonts w:ascii="Arial" w:cs="Arial" w:eastAsia="Arial" w:hAnsi="Arial"/>
          <w:sz w:val="16"/>
          <w:szCs w:val="16"/>
          <w:color w:val="auto"/>
        </w:rPr>
      </w:pPr>
    </w:p>
    <w:p>
      <w:pPr>
        <w:ind w:left="500" w:right="20" w:hanging="492"/>
        <w:spacing w:after="0" w:line="275"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w:t>
      </w:r>
    </w:p>
    <w:p>
      <w:pPr>
        <w:spacing w:after="0" w:line="145"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April 3, 2018, Spotify Technology S.A. registered for resale up to 55,731,480 ordinary shares by the registered shareholders in a direct listing. GSV Capital Corp.'s common shares of Spotify Technology S.A. are considered unrestricted as they are not subject to restrictions upon sale. During the three months ended March 31, 2019, GSV Capital Corp. sold 85,000 common shares of Spotify Technology S.A. At March 31, 2019, GSV Capital Corp. valued its common shares of Spotify Technology S.A. based on its March 31, 2019 closing price.</w:t>
      </w:r>
    </w:p>
    <w:p>
      <w:pPr>
        <w:spacing w:after="0" w:line="160"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March 29, 2019, Lyft, Inc. priced its initial public offering for 32,500,000 Class A common shares at a price of $72.00 per share. GSV Capital Corp.'s 176,266 Series D preferred shares and 128,563 Series E preferred shares of Lyft, Inc. automatically converted to Class A common shares immediately prior to the close of the offering and are subject to a 180-day lock-up provision. At March 31, 2019, GSV Capital Corp. valued is common shares of Lyft, Inc. Based on its March 31, 2019 closing price, less a 7.5% liquidity discount due to the lock-up provision.</w:t>
      </w:r>
    </w:p>
    <w:p>
      <w:pPr>
        <w:spacing w:after="0" w:line="187" w:lineRule="exact"/>
        <w:rPr>
          <w:rFonts w:ascii="Arial" w:cs="Arial" w:eastAsia="Arial" w:hAnsi="Arial"/>
          <w:sz w:val="16"/>
          <w:szCs w:val="16"/>
          <w:color w:val="auto"/>
        </w:rPr>
      </w:pPr>
    </w:p>
    <w:p>
      <w:pPr>
        <w:ind w:left="500" w:hanging="49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Subsequent to December 31, 2018, Ozy Media Inc.'s obligations under its financing arrangements with the Company became past due.</w:t>
      </w:r>
    </w:p>
    <w:p>
      <w:pPr>
        <w:spacing w:after="0" w:line="194" w:lineRule="exact"/>
        <w:rPr>
          <w:rFonts w:ascii="Arial" w:cs="Arial" w:eastAsia="Arial" w:hAnsi="Arial"/>
          <w:sz w:val="16"/>
          <w:szCs w:val="16"/>
          <w:color w:val="auto"/>
        </w:rPr>
      </w:pPr>
    </w:p>
    <w:p>
      <w:pPr>
        <w:jc w:val="both"/>
        <w:ind w:left="500" w:hanging="492"/>
        <w:spacing w:after="0" w:line="286" w:lineRule="auto"/>
        <w:tabs>
          <w:tab w:leader="none" w:pos="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SPBRX, INC. (f/k/a GSV Sustainability Partners, Inc.) preferred shares held by GSV Capital Corp. do not entitle GSV Capital Corp. to a preferred dividend rate. During the three months ended March 31, 2019, SPBRX, INC. declared, and GSV Capital Corp. received, an aggregate of $0 in cash distributions. GSV Capital Corp. does not anticipate that SPBRX, INC. will pay distributions on a quarterly or regular basis or become a predictable distributor of distributions.</w:t>
      </w:r>
    </w:p>
    <w:p>
      <w:pPr>
        <w:spacing w:after="0" w:line="139" w:lineRule="exact"/>
        <w:rPr>
          <w:rFonts w:ascii="Arial" w:cs="Arial" w:eastAsia="Arial" w:hAnsi="Arial"/>
          <w:sz w:val="15"/>
          <w:szCs w:val="15"/>
          <w:color w:val="auto"/>
        </w:rPr>
      </w:pPr>
    </w:p>
    <w:p>
      <w:pPr>
        <w:ind w:left="500" w:hanging="492"/>
        <w:spacing w:after="0" w:line="275"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March 23, 2018, Dropbox, Inc. priced its IPO. The lock-up agreement for GSV Capital Corp.'s common shares expired on August 23, 2018. At March 31, 2019, GSV Capital Corp. valued its common shares of Dropbox, Inc. based on ite March 31, 2019 closing price.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18"/>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Headquarters/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Date of Initial</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Shares/</w:t>
            </w:r>
          </w:p>
        </w:tc>
        <w:tc>
          <w:tcPr>
            <w:tcW w:w="160" w:type="dxa"/>
            <w:vAlign w:val="bottom"/>
          </w:tcPr>
          <w:p>
            <w:pPr>
              <w:spacing w:after="0"/>
              <w:rPr>
                <w:sz w:val="14"/>
                <w:szCs w:val="14"/>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080" w:type="dxa"/>
            <w:vAlign w:val="bottom"/>
          </w:tcPr>
          <w:p>
            <w:pPr>
              <w:jc w:val="right"/>
              <w:ind w:right="18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2980" w:type="dxa"/>
            <w:vAlign w:val="bottom"/>
            <w:gridSpan w:val="18"/>
            <w:vMerge w:val="continue"/>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Industry</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70"/>
        </w:trPr>
        <w:tc>
          <w:tcPr>
            <w:tcW w:w="2980" w:type="dxa"/>
            <w:vAlign w:val="bottom"/>
            <w:tcBorders>
              <w:top w:val="single" w:sz="8" w:color="auto"/>
            </w:tcBorders>
            <w:gridSpan w:val="18"/>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23"/>
                <w:szCs w:val="23"/>
                <w:color w:val="auto"/>
              </w:rPr>
            </w:pPr>
          </w:p>
        </w:tc>
        <w:tc>
          <w:tcPr>
            <w:tcW w:w="2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Palantir Technologies,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Palo Alto,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 Class A</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Data Analysis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5/7/2012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16,189,935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34,053,394</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Spotify Technology S.A.</w:t>
            </w: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Stockholm, Sweden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(3)(7)</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On-Demand Music Streaming</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8/6/2012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235,360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10,002,084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26,713,360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Coursera, Inc.</w:t>
            </w:r>
          </w:p>
        </w:tc>
        <w:tc>
          <w:tcPr>
            <w:tcW w:w="120" w:type="dxa"/>
            <w:vAlign w:val="bottom"/>
          </w:tcPr>
          <w:p>
            <w:pPr>
              <w:spacing w:after="0"/>
              <w:rPr>
                <w:sz w:val="19"/>
                <w:szCs w:val="19"/>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Online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6/9/2013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2,961,399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14,519,519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23,111,889</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Dropbox, Inc.</w:t>
            </w: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(3)(8)</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Cloud Computing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11/15/2011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874,990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13,656,926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17,876,046</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Lyft,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On-Demand Transportation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3/11/2015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128,563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2,503,585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6,583,483</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gridSpan w:val="18"/>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tcBorders>
              <w:bottom w:val="single" w:sz="8" w:color="CCEEFF"/>
            </w:tcBorders>
          </w:tcPr>
          <w:p>
            <w:pPr>
              <w:spacing w:after="0"/>
              <w:rPr>
                <w:sz w:val="22"/>
                <w:szCs w:val="22"/>
                <w:color w:val="auto"/>
              </w:rPr>
            </w:pPr>
          </w:p>
        </w:tc>
        <w:tc>
          <w:tcPr>
            <w:tcW w:w="2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3/21/2014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176,266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1,792,749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9,026,269</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gridSpan w:val="17"/>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4,296,334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15,609,752</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229"/>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Course Hero,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Redwood City,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Online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9/18/2014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2,145,509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14,106,625</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Nextdoor.com,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Social Networking</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9/27/2018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580,360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10,006,578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10,097,442</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SharesPost,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Online Marketplace Finance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7/19/2011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1,771,653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2,259,716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5,943,577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gridSpan w:val="18"/>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(13)</w:t>
            </w:r>
          </w:p>
        </w:tc>
        <w:tc>
          <w:tcPr>
            <w:tcW w:w="120" w:type="dxa"/>
            <w:vAlign w:val="bottom"/>
            <w:tcBorders>
              <w:bottom w:val="single" w:sz="8" w:color="CCEEFF"/>
            </w:tcBorders>
          </w:tcPr>
          <w:p>
            <w:pPr>
              <w:spacing w:after="0"/>
              <w:rPr>
                <w:sz w:val="22"/>
                <w:szCs w:val="22"/>
                <w:color w:val="auto"/>
              </w:rPr>
            </w:pPr>
          </w:p>
        </w:tc>
        <w:tc>
          <w:tcPr>
            <w:tcW w:w="2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7/20/2011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770,934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123,987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855,327</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gridSpan w:val="17"/>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2,383,703</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6,798,904</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29"/>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Parchment,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Scottsdale, AZ</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D 8%</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E-Transcript Exchange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10/1/2012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3,200,512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4,000,982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6,151,161</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Enjoy Technology,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Menlo Park,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On-Demand Commerce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7/29/2015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1,681,520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4,000,280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4,000,000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gridSpan w:val="18"/>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tcPr>
          <w:p>
            <w:pPr>
              <w:spacing w:after="0"/>
              <w:rPr>
                <w:sz w:val="22"/>
                <w:szCs w:val="22"/>
                <w:color w:val="auto"/>
              </w:rPr>
            </w:pPr>
          </w:p>
        </w:tc>
        <w:tc>
          <w:tcPr>
            <w:tcW w:w="2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10/16/2014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879,198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1,002,440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2,091,436</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gridSpan w:val="17"/>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5,002,720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6,091,436</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29"/>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A Place for Rover Inc. (f/k/a DogVacay,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Seattle, WA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9"/>
              </w:rPr>
              <w:t>Peer-to-Peer Pet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11/3/2014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707,991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2,506,119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3,511,661</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Knewton,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Online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375,985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4,999,999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2,021,690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7"/>
        </w:trPr>
        <w:tc>
          <w:tcPr>
            <w:tcW w:w="2980" w:type="dxa"/>
            <w:vAlign w:val="bottom"/>
            <w:gridSpan w:val="18"/>
          </w:tcPr>
          <w:p>
            <w:pPr>
              <w:ind w:left="40"/>
              <w:spacing w:after="0" w:line="157" w:lineRule="exact"/>
              <w:rPr>
                <w:sz w:val="20"/>
                <w:szCs w:val="20"/>
                <w:color w:val="auto"/>
              </w:rPr>
            </w:pPr>
            <w:r>
              <w:rPr>
                <w:rFonts w:ascii="Arial" w:cs="Arial" w:eastAsia="Arial" w:hAnsi="Arial"/>
                <w:sz w:val="14"/>
                <w:szCs w:val="14"/>
                <w:color w:val="auto"/>
              </w:rPr>
              <w:t>Convertible Promissory Note 8% Due</w:t>
            </w:r>
          </w:p>
        </w:tc>
        <w:tc>
          <w:tcPr>
            <w:tcW w:w="1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w w:val="97"/>
              </w:rPr>
              <w:t>12/31/2019</w:t>
            </w:r>
            <w:r>
              <w:rPr>
                <w:rFonts w:ascii="Arial" w:cs="Arial" w:eastAsia="Arial" w:hAnsi="Arial"/>
                <w:sz w:val="8"/>
                <w:szCs w:val="8"/>
                <w:color w:val="auto"/>
                <w:w w:val="97"/>
              </w:rPr>
              <w:t>(12)</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7/23/2018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134,405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135,213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134,405</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940" w:type="dxa"/>
            <w:vAlign w:val="bottom"/>
            <w:gridSpan w:val="17"/>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5,135,212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2,156,095</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23"/>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Clever,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Education Software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12/5/2014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1,799,047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2,000,601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2,000,001</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Aspiration Partners,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Marina Del Rey,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Financial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8/11/2015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540,270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1,001,815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999,975</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Tynker (f/k/a Neuron Fuel, Inc.)</w:t>
            </w:r>
          </w:p>
        </w:tc>
        <w:tc>
          <w:tcPr>
            <w:tcW w:w="120" w:type="dxa"/>
            <w:vAlign w:val="bottom"/>
          </w:tcPr>
          <w:p>
            <w:pPr>
              <w:spacing w:after="0"/>
              <w:rPr>
                <w:sz w:val="19"/>
                <w:szCs w:val="19"/>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A 8%</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Computer Software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8/8/2012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534,162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309,310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789,492</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4C Insights (f/k/a The Echo Systems Corp.)</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Chicago, IL</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Social Data Platform</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3/30/2012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436,219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1,436,404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Fullbridge,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Cambridge, MA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Business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5/13/2012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517,917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6,150,506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2980" w:type="dxa"/>
            <w:vAlign w:val="bottom"/>
            <w:tcBorders>
              <w:bottom w:val="single" w:sz="8" w:color="CCEEFF"/>
            </w:tcBorders>
            <w:gridSpan w:val="18"/>
          </w:tcPr>
          <w:p>
            <w:pPr>
              <w:ind w:left="40"/>
              <w:spacing w:after="0"/>
              <w:rPr>
                <w:sz w:val="20"/>
                <w:szCs w:val="20"/>
                <w:color w:val="auto"/>
              </w:rPr>
            </w:pPr>
            <w:r>
              <w:rPr>
                <w:rFonts w:ascii="Arial" w:cs="Arial" w:eastAsia="Arial" w:hAnsi="Arial"/>
                <w:sz w:val="14"/>
                <w:szCs w:val="14"/>
                <w:color w:val="auto"/>
              </w:rPr>
              <w:t>Promissory Note 1.49% Due 11/9/2021</w:t>
            </w:r>
            <w:r>
              <w:rPr>
                <w:rFonts w:ascii="Arial" w:cs="Arial" w:eastAsia="Arial" w:hAnsi="Arial"/>
                <w:sz w:val="8"/>
                <w:szCs w:val="8"/>
                <w:color w:val="auto"/>
              </w:rPr>
              <w:t>(4)</w:t>
            </w:r>
          </w:p>
        </w:tc>
        <w:tc>
          <w:tcPr>
            <w:tcW w:w="120" w:type="dxa"/>
            <w:vAlign w:val="bottom"/>
            <w:tcBorders>
              <w:bottom w:val="single" w:sz="8" w:color="CCEEFF"/>
            </w:tcBorders>
          </w:tcPr>
          <w:p>
            <w:pPr>
              <w:spacing w:after="0"/>
              <w:rPr>
                <w:sz w:val="21"/>
                <w:szCs w:val="21"/>
                <w:color w:val="auto"/>
              </w:rPr>
            </w:pPr>
          </w:p>
        </w:tc>
        <w:tc>
          <w:tcPr>
            <w:tcW w:w="23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3/3/2016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2,270,458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2,270,858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2940" w:type="dxa"/>
            <w:vAlign w:val="bottom"/>
            <w:gridSpan w:val="17"/>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8,421,364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300" w:type="dxa"/>
            <w:vAlign w:val="bottom"/>
            <w:tcBorders>
              <w:top w:val="single" w:sz="8" w:color="CCEEFF"/>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940" w:type="dxa"/>
            <w:vAlign w:val="bottom"/>
            <w:gridSpan w:val="17"/>
            <w:shd w:val="clear" w:color="auto" w:fill="CCEEFF"/>
          </w:tcPr>
          <w:p>
            <w:pPr>
              <w:ind w:left="140"/>
              <w:spacing w:after="0"/>
              <w:rPr>
                <w:sz w:val="20"/>
                <w:szCs w:val="20"/>
                <w:color w:val="auto"/>
              </w:rPr>
            </w:pPr>
            <w:r>
              <w:rPr>
                <w:rFonts w:ascii="Arial" w:cs="Arial" w:eastAsia="Arial" w:hAnsi="Arial"/>
                <w:sz w:val="14"/>
                <w:szCs w:val="14"/>
                <w:b w:val="1"/>
                <w:bCs w:val="1"/>
                <w:color w:val="auto"/>
              </w:rPr>
              <w:t>Total Non-controlled/Non-affiliate</w:t>
            </w:r>
          </w:p>
        </w:tc>
        <w:tc>
          <w:tcPr>
            <w:tcW w:w="1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5"/>
              </w:rPr>
              <w:t>105,869,607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170,067,233</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49999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-2572385</wp:posOffset>
            </wp:positionV>
            <wp:extent cx="49999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-3669665</wp:posOffset>
            </wp:positionV>
            <wp:extent cx="49999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-4716145</wp:posOffset>
            </wp:positionV>
            <wp:extent cx="49999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-6122670</wp:posOffset>
            </wp:positionV>
            <wp:extent cx="49999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ectPr>
          <w:pgSz w:w="11900" w:h="16838" w:orient="portrait"/>
          <w:cols w:equalWidth="0" w:num="1">
            <w:col w:w="11420"/>
          </w:cols>
          <w:pgMar w:left="240" w:top="122" w:right="239" w:bottom="678" w:gutter="0" w:footer="0" w:header="0"/>
        </w:sect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2" w:right="239" w:bottom="678" w:gutter="0" w:footer="0" w:header="0"/>
          <w:type w:val="continuous"/>
        </w:sectPr>
      </w:pPr>
    </w:p>
    <w:bookmarkStart w:id="11" w:name="page12"/>
    <w:bookmarkEnd w:id="1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9"/>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4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Date of Initial</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w:t>
            </w:r>
          </w:p>
        </w:tc>
        <w:tc>
          <w:tcPr>
            <w:tcW w:w="180" w:type="dxa"/>
            <w:vAlign w:val="bottom"/>
          </w:tcPr>
          <w:p>
            <w:pPr>
              <w:spacing w:after="0"/>
              <w:rPr>
                <w:sz w:val="14"/>
                <w:szCs w:val="14"/>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080" w:type="dxa"/>
            <w:vAlign w:val="bottom"/>
          </w:tcPr>
          <w:p>
            <w:pPr>
              <w:jc w:val="right"/>
              <w:ind w:right="18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200" w:type="dxa"/>
            <w:vAlign w:val="bottom"/>
            <w:gridSpan w:val="9"/>
            <w:vMerge w:val="continue"/>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Investment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Principal</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70"/>
        </w:trPr>
        <w:tc>
          <w:tcPr>
            <w:tcW w:w="3200" w:type="dxa"/>
            <w:vAlign w:val="bottom"/>
            <w:tcBorders>
              <w:top w:val="single" w:sz="8" w:color="auto"/>
            </w:tcBorders>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8"/>
                <w:szCs w:val="8"/>
                <w:color w:val="auto"/>
              </w:rPr>
              <w:t>(1)</w:t>
            </w:r>
          </w:p>
        </w:tc>
        <w:tc>
          <w:tcPr>
            <w:tcW w:w="140" w:type="dxa"/>
            <w:vAlign w:val="bottom"/>
            <w:tcBorders>
              <w:top w:val="single" w:sz="8" w:color="CCEEFF"/>
            </w:tcBorders>
            <w:shd w:val="clear" w:color="auto" w:fill="CCEEFF"/>
          </w:tcPr>
          <w:p>
            <w:pPr>
              <w:spacing w:after="0"/>
              <w:rPr>
                <w:sz w:val="23"/>
                <w:szCs w:val="23"/>
                <w:color w:val="auto"/>
              </w:rPr>
            </w:pPr>
          </w:p>
        </w:tc>
        <w:tc>
          <w:tcPr>
            <w:tcW w:w="1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200" w:type="dxa"/>
            <w:vAlign w:val="bottom"/>
            <w:gridSpan w:val="9"/>
          </w:tcPr>
          <w:p>
            <w:pPr>
              <w:ind w:left="40"/>
              <w:spacing w:after="0"/>
              <w:rPr>
                <w:sz w:val="20"/>
                <w:szCs w:val="20"/>
                <w:color w:val="auto"/>
              </w:rPr>
            </w:pPr>
            <w:r>
              <w:rPr>
                <w:rFonts w:ascii="Arial" w:cs="Arial" w:eastAsia="Arial" w:hAnsi="Arial"/>
                <w:sz w:val="14"/>
                <w:szCs w:val="14"/>
                <w:b w:val="1"/>
                <w:bCs w:val="1"/>
                <w:color w:val="auto"/>
              </w:rPr>
              <w:t>Ozy Media, Inc.</w:t>
            </w:r>
          </w:p>
        </w:tc>
        <w:tc>
          <w:tcPr>
            <w:tcW w:w="140" w:type="dxa"/>
            <w:vAlign w:val="bottom"/>
          </w:tcPr>
          <w:p>
            <w:pPr>
              <w:spacing w:after="0"/>
              <w:rPr>
                <w:sz w:val="19"/>
                <w:szCs w:val="19"/>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w w:val="98"/>
              </w:rPr>
              <w:t>Convertible Promissory Note 5% Due 12/31/2018</w:t>
            </w:r>
            <w:r>
              <w:rPr>
                <w:rFonts w:ascii="Arial" w:cs="Arial" w:eastAsia="Arial" w:hAnsi="Arial"/>
                <w:sz w:val="8"/>
                <w:szCs w:val="8"/>
                <w:color w:val="auto"/>
                <w:w w:val="98"/>
              </w:rPr>
              <w:t>(11)</w:t>
            </w:r>
          </w:p>
        </w:tc>
        <w:tc>
          <w:tcPr>
            <w:tcW w:w="14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Digital Media Platform</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8/31/2016</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2,102,384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2,102,384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3,153,575</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64"/>
        </w:trPr>
        <w:tc>
          <w:tcPr>
            <w:tcW w:w="3200" w:type="dxa"/>
            <w:vAlign w:val="bottom"/>
            <w:gridSpan w:val="9"/>
          </w:tcPr>
          <w:p>
            <w:pPr>
              <w:ind w:left="40"/>
              <w:spacing w:after="0"/>
              <w:rPr>
                <w:sz w:val="20"/>
                <w:szCs w:val="20"/>
                <w:color w:val="auto"/>
              </w:rPr>
            </w:pPr>
            <w:r>
              <w:rPr>
                <w:rFonts w:ascii="Arial" w:cs="Arial" w:eastAsia="Arial" w:hAnsi="Arial"/>
                <w:sz w:val="14"/>
                <w:szCs w:val="14"/>
                <w:color w:val="auto"/>
              </w:rPr>
              <w:t>Preferred shares, Series B 6%</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10/3/2014</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922,509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4,999,999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Preferred shares, Series A 6%</w:t>
            </w:r>
          </w:p>
        </w:tc>
        <w:tc>
          <w:tcPr>
            <w:tcW w:w="1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12/11/2013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1,090,909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3,000,200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200" w:type="dxa"/>
            <w:vAlign w:val="bottom"/>
            <w:gridSpan w:val="9"/>
          </w:tcPr>
          <w:p>
            <w:pPr>
              <w:ind w:left="40"/>
              <w:spacing w:after="0"/>
              <w:rPr>
                <w:sz w:val="20"/>
                <w:szCs w:val="20"/>
                <w:color w:val="auto"/>
              </w:rPr>
            </w:pPr>
            <w:r>
              <w:rPr>
                <w:rFonts w:ascii="Arial" w:cs="Arial" w:eastAsia="Arial" w:hAnsi="Arial"/>
                <w:sz w:val="14"/>
                <w:szCs w:val="14"/>
                <w:color w:val="auto"/>
              </w:rPr>
              <w:t>Preferred shares, Series Seed 6%</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11/2/2012</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Common Warrants, Strike Price $0.01, Expiration</w:t>
            </w:r>
          </w:p>
        </w:tc>
        <w:tc>
          <w:tcPr>
            <w:tcW w:w="1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Date 4/9/2028</w:t>
            </w:r>
            <w:r>
              <w:rPr>
                <w:rFonts w:ascii="Arial" w:cs="Arial" w:eastAsia="Arial" w:hAnsi="Arial"/>
                <w:sz w:val="8"/>
                <w:szCs w:val="8"/>
                <w:color w:val="auto"/>
              </w:rPr>
              <w:t>(11)</w:t>
            </w:r>
          </w:p>
        </w:tc>
        <w:tc>
          <w:tcPr>
            <w:tcW w:w="1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4/9/2018</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295,565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gridSpan w:val="8"/>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10,633,230</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3,153,575</w:t>
            </w:r>
          </w:p>
        </w:tc>
        <w:tc>
          <w:tcPr>
            <w:tcW w:w="10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29"/>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CUX, Inc. (d/b/a CorpU)</w:t>
            </w:r>
          </w:p>
        </w:tc>
        <w:tc>
          <w:tcPr>
            <w:tcW w:w="14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Philadelphia, PA</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0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Senior Subordinated Convertible Promissory Note</w:t>
            </w: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gridSpan w:val="9"/>
          </w:tcPr>
          <w:p>
            <w:pPr>
              <w:ind w:left="40"/>
              <w:spacing w:after="0"/>
              <w:rPr>
                <w:sz w:val="20"/>
                <w:szCs w:val="20"/>
                <w:color w:val="auto"/>
              </w:rPr>
            </w:pPr>
            <w:r>
              <w:rPr>
                <w:rFonts w:ascii="Arial" w:cs="Arial" w:eastAsia="Arial" w:hAnsi="Arial"/>
                <w:sz w:val="14"/>
                <w:szCs w:val="14"/>
                <w:color w:val="auto"/>
              </w:rPr>
              <w:t>10% Due 2/14/2020***</w:t>
            </w:r>
            <w:r>
              <w:rPr>
                <w:rFonts w:ascii="Arial" w:cs="Arial" w:eastAsia="Arial" w:hAnsi="Arial"/>
                <w:sz w:val="8"/>
                <w:szCs w:val="8"/>
                <w:color w:val="auto"/>
              </w:rPr>
              <w:t>(6)</w:t>
            </w:r>
          </w:p>
        </w:tc>
        <w:tc>
          <w:tcPr>
            <w:tcW w:w="14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Corporate Education</w:t>
            </w: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11/26/2014</w:t>
            </w:r>
          </w:p>
        </w:tc>
        <w:tc>
          <w:tcPr>
            <w:tcW w:w="10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1,360,489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1,361,969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1,360,489</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276"/>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Convertible preferred shares, Series D 6%</w:t>
            </w:r>
          </w:p>
        </w:tc>
        <w:tc>
          <w:tcPr>
            <w:tcW w:w="1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778,607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878,005</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264"/>
        </w:trPr>
        <w:tc>
          <w:tcPr>
            <w:tcW w:w="3200" w:type="dxa"/>
            <w:vAlign w:val="bottom"/>
            <w:gridSpan w:val="9"/>
          </w:tcPr>
          <w:p>
            <w:pPr>
              <w:ind w:left="40"/>
              <w:spacing w:after="0"/>
              <w:rPr>
                <w:sz w:val="20"/>
                <w:szCs w:val="20"/>
                <w:color w:val="auto"/>
              </w:rPr>
            </w:pPr>
            <w:r>
              <w:rPr>
                <w:rFonts w:ascii="Arial" w:cs="Arial" w:eastAsia="Arial" w:hAnsi="Arial"/>
                <w:sz w:val="14"/>
                <w:szCs w:val="14"/>
                <w:color w:val="auto"/>
              </w:rPr>
              <w:t>Convertible preferred shares, Series C 8%</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3/29/2012</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615,763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2,006,077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Preferred Warrants Series D, Strike Price $4.59,</w:t>
            </w:r>
          </w:p>
        </w:tc>
        <w:tc>
          <w:tcPr>
            <w:tcW w:w="1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Expiration Date 2/14/2020</w:t>
            </w:r>
            <w:r>
              <w:rPr>
                <w:rFonts w:ascii="Arial" w:cs="Arial" w:eastAsia="Arial" w:hAnsi="Arial"/>
                <w:sz w:val="8"/>
                <w:szCs w:val="8"/>
                <w:color w:val="auto"/>
              </w:rPr>
              <w:t>(9)</w:t>
            </w:r>
          </w:p>
        </w:tc>
        <w:tc>
          <w:tcPr>
            <w:tcW w:w="1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5/31/2013</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19,946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gridSpan w:val="8"/>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4,146,653</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2,258,440</w:t>
            </w:r>
          </w:p>
        </w:tc>
        <w:tc>
          <w:tcPr>
            <w:tcW w:w="10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29"/>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EdSurge, Inc.</w:t>
            </w:r>
          </w:p>
        </w:tc>
        <w:tc>
          <w:tcPr>
            <w:tcW w:w="14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Burlingame, CA</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0" w:type="dxa"/>
            <w:vAlign w:val="bottom"/>
            <w:gridSpan w:val="9"/>
          </w:tcPr>
          <w:p>
            <w:pPr>
              <w:ind w:left="40"/>
              <w:spacing w:after="0"/>
              <w:rPr>
                <w:sz w:val="20"/>
                <w:szCs w:val="20"/>
                <w:color w:val="auto"/>
              </w:rPr>
            </w:pPr>
            <w:r>
              <w:rPr>
                <w:rFonts w:ascii="Arial" w:cs="Arial" w:eastAsia="Arial" w:hAnsi="Arial"/>
                <w:sz w:val="14"/>
                <w:szCs w:val="14"/>
                <w:color w:val="auto"/>
              </w:rPr>
              <w:t>Preferred shares, Series A-1</w:t>
            </w:r>
          </w:p>
        </w:tc>
        <w:tc>
          <w:tcPr>
            <w:tcW w:w="140" w:type="dxa"/>
            <w:vAlign w:val="bottom"/>
          </w:tcPr>
          <w:p>
            <w:pPr>
              <w:spacing w:after="0"/>
              <w:rPr>
                <w:sz w:val="22"/>
                <w:szCs w:val="22"/>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Education Media Platform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11/12/2015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378,788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501,360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70"/>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2/28/2014</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494,365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500,801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269,848</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gridSpan w:val="8"/>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1,002,161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519,848</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29"/>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Maven Research, Inc.</w:t>
            </w:r>
          </w:p>
        </w:tc>
        <w:tc>
          <w:tcPr>
            <w:tcW w:w="14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0" w:type="dxa"/>
            <w:vAlign w:val="bottom"/>
            <w:gridSpan w:val="9"/>
          </w:tcPr>
          <w:p>
            <w:pPr>
              <w:ind w:left="40"/>
              <w:spacing w:after="0"/>
              <w:rPr>
                <w:sz w:val="20"/>
                <w:szCs w:val="20"/>
                <w:color w:val="auto"/>
              </w:rPr>
            </w:pPr>
            <w:r>
              <w:rPr>
                <w:rFonts w:ascii="Arial" w:cs="Arial" w:eastAsia="Arial" w:hAnsi="Arial"/>
                <w:sz w:val="14"/>
                <w:szCs w:val="14"/>
                <w:color w:val="auto"/>
              </w:rPr>
              <w:t>Preferred shares, Series C</w:t>
            </w:r>
          </w:p>
        </w:tc>
        <w:tc>
          <w:tcPr>
            <w:tcW w:w="140" w:type="dxa"/>
            <w:vAlign w:val="bottom"/>
          </w:tcPr>
          <w:p>
            <w:pPr>
              <w:spacing w:after="0"/>
              <w:rPr>
                <w:sz w:val="22"/>
                <w:szCs w:val="22"/>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Knowledge Networks</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7/2/2012</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318,979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2,000,447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gridSpan w:val="9"/>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40" w:type="dxa"/>
            <w:vAlign w:val="bottom"/>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2/28/2012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217,206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160" w:type="dxa"/>
            <w:vAlign w:val="bottom"/>
            <w:gridSpan w:val="8"/>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2,217,653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200" w:type="dxa"/>
            <w:vAlign w:val="bottom"/>
            <w:tcBorders>
              <w:top w:val="single" w:sz="8" w:color="CCEEFF"/>
            </w:tcBorders>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Curious.com, Inc.</w:t>
            </w:r>
          </w:p>
        </w:tc>
        <w:tc>
          <w:tcPr>
            <w:tcW w:w="14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Menlo Park, CA</w:t>
            </w:r>
          </w:p>
        </w:tc>
        <w:tc>
          <w:tcPr>
            <w:tcW w:w="1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0" w:type="dxa"/>
            <w:vAlign w:val="bottom"/>
            <w:gridSpan w:val="9"/>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(15)</w:t>
            </w:r>
          </w:p>
        </w:tc>
        <w:tc>
          <w:tcPr>
            <w:tcW w:w="140" w:type="dxa"/>
            <w:vAlign w:val="bottom"/>
          </w:tcPr>
          <w:p>
            <w:pPr>
              <w:spacing w:after="0"/>
              <w:rPr>
                <w:sz w:val="22"/>
                <w:szCs w:val="22"/>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11/22/2013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1,135,944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12,000,006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Declara, Inc.</w:t>
            </w:r>
          </w:p>
        </w:tc>
        <w:tc>
          <w:tcPr>
            <w:tcW w:w="14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Palo Alto, CA</w:t>
            </w: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00" w:type="dxa"/>
            <w:vAlign w:val="bottom"/>
            <w:gridSpan w:val="9"/>
          </w:tcPr>
          <w:p>
            <w:pPr>
              <w:ind w:left="40"/>
              <w:spacing w:after="0"/>
              <w:rPr>
                <w:sz w:val="20"/>
                <w:szCs w:val="20"/>
                <w:color w:val="auto"/>
              </w:rPr>
            </w:pPr>
            <w:r>
              <w:rPr>
                <w:rFonts w:ascii="Arial" w:cs="Arial" w:eastAsia="Arial" w:hAnsi="Arial"/>
                <w:sz w:val="14"/>
                <w:szCs w:val="14"/>
                <w:color w:val="auto"/>
                <w:w w:val="95"/>
              </w:rPr>
              <w:t>Convertible Promissory Note 12% Due 4/30/2018</w:t>
            </w:r>
            <w:r>
              <w:rPr>
                <w:rFonts w:ascii="Arial" w:cs="Arial" w:eastAsia="Arial" w:hAnsi="Arial"/>
                <w:sz w:val="8"/>
                <w:szCs w:val="8"/>
                <w:color w:val="auto"/>
                <w:w w:val="95"/>
              </w:rPr>
              <w:t>(4)(10)</w:t>
            </w:r>
          </w:p>
        </w:tc>
        <w:tc>
          <w:tcPr>
            <w:tcW w:w="140" w:type="dxa"/>
            <w:vAlign w:val="bottom"/>
          </w:tcPr>
          <w:p>
            <w:pPr>
              <w:spacing w:after="0"/>
              <w:rPr>
                <w:sz w:val="21"/>
                <w:szCs w:val="21"/>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Social Cognitive Learning</w:t>
            </w: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12/30/2015</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2,327,727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2,334,152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Preferred shares, Series A 8%</w:t>
            </w:r>
          </w:p>
        </w:tc>
        <w:tc>
          <w:tcPr>
            <w:tcW w:w="1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4/17/2014</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10,716,390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9,999,999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160" w:type="dxa"/>
            <w:vAlign w:val="bottom"/>
            <w:gridSpan w:val="8"/>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12,334,151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64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9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4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160" w:type="dxa"/>
            <w:vAlign w:val="bottom"/>
            <w:gridSpan w:val="8"/>
          </w:tcPr>
          <w:p>
            <w:pPr>
              <w:ind w:left="140"/>
              <w:spacing w:after="0"/>
              <w:rPr>
                <w:sz w:val="20"/>
                <w:szCs w:val="20"/>
                <w:color w:val="auto"/>
              </w:rPr>
            </w:pPr>
            <w:r>
              <w:rPr>
                <w:rFonts w:ascii="Arial" w:cs="Arial" w:eastAsia="Arial" w:hAnsi="Arial"/>
                <w:sz w:val="14"/>
                <w:szCs w:val="14"/>
                <w:b w:val="1"/>
                <w:bCs w:val="1"/>
                <w:color w:val="auto"/>
              </w:rPr>
              <w:t>Total Non-controlled/Affiliate</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42,333,854</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5,931,863</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3.04%</w:t>
            </w:r>
          </w:p>
        </w:tc>
        <w:tc>
          <w:tcPr>
            <w:tcW w:w="0" w:type="dxa"/>
            <w:vAlign w:val="bottom"/>
          </w:tcPr>
          <w:p>
            <w:pPr>
              <w:spacing w:after="0"/>
              <w:rPr>
                <w:sz w:val="1"/>
                <w:szCs w:val="1"/>
                <w:color w:val="auto"/>
              </w:rPr>
            </w:pPr>
          </w:p>
        </w:tc>
      </w:tr>
      <w:tr>
        <w:trPr>
          <w:trHeight w:val="303"/>
        </w:trPr>
        <w:tc>
          <w:tcPr>
            <w:tcW w:w="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00" w:type="dxa"/>
            <w:vAlign w:val="bottom"/>
            <w:gridSpan w:val="9"/>
          </w:tcPr>
          <w:p>
            <w:pPr>
              <w:ind w:left="40"/>
              <w:spacing w:after="0"/>
              <w:rPr>
                <w:sz w:val="20"/>
                <w:szCs w:val="20"/>
                <w:color w:val="auto"/>
              </w:rPr>
            </w:pPr>
            <w:r>
              <w:rPr>
                <w:rFonts w:ascii="Arial" w:cs="Arial" w:eastAsia="Arial" w:hAnsi="Arial"/>
                <w:sz w:val="14"/>
                <w:szCs w:val="14"/>
                <w:b w:val="1"/>
                <w:bCs w:val="1"/>
                <w:color w:val="auto"/>
              </w:rPr>
              <w:t>CONTROLLED</w:t>
            </w:r>
            <w:r>
              <w:rPr>
                <w:rFonts w:ascii="Arial" w:cs="Arial" w:eastAsia="Arial" w:hAnsi="Arial"/>
                <w:sz w:val="8"/>
                <w:szCs w:val="8"/>
                <w:color w:val="auto"/>
              </w:rPr>
              <w:t>(2)</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StormWind, LLC</w:t>
            </w:r>
            <w:r>
              <w:rPr>
                <w:rFonts w:ascii="Arial" w:cs="Arial" w:eastAsia="Arial" w:hAnsi="Arial"/>
                <w:sz w:val="8"/>
                <w:szCs w:val="8"/>
                <w:color w:val="auto"/>
              </w:rPr>
              <w:t>(5)</w:t>
            </w:r>
          </w:p>
        </w:tc>
        <w:tc>
          <w:tcPr>
            <w:tcW w:w="14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Scottsdale, AZ</w:t>
            </w: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00" w:type="dxa"/>
            <w:vAlign w:val="bottom"/>
            <w:gridSpan w:val="9"/>
          </w:tcPr>
          <w:p>
            <w:pPr>
              <w:ind w:left="40"/>
              <w:spacing w:after="0"/>
              <w:rPr>
                <w:sz w:val="20"/>
                <w:szCs w:val="20"/>
                <w:color w:val="auto"/>
              </w:rPr>
            </w:pPr>
            <w:r>
              <w:rPr>
                <w:rFonts w:ascii="Arial" w:cs="Arial" w:eastAsia="Arial" w:hAnsi="Arial"/>
                <w:sz w:val="14"/>
                <w:szCs w:val="14"/>
                <w:color w:val="auto"/>
              </w:rPr>
              <w:t>Preferred shares, Series C 8%</w:t>
            </w:r>
          </w:p>
        </w:tc>
        <w:tc>
          <w:tcPr>
            <w:tcW w:w="140" w:type="dxa"/>
            <w:vAlign w:val="bottom"/>
          </w:tcPr>
          <w:p>
            <w:pPr>
              <w:spacing w:after="0"/>
              <w:rPr>
                <w:sz w:val="21"/>
                <w:szCs w:val="21"/>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Interactive Learning</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1/7/2014</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2,779,134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4,000,787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7,194,971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290"/>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Preferred shares, Series B 8%</w:t>
            </w:r>
          </w:p>
        </w:tc>
        <w:tc>
          <w:tcPr>
            <w:tcW w:w="1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3,279,629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2,019,687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5,770,328</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51"/>
        </w:trPr>
        <w:tc>
          <w:tcPr>
            <w:tcW w:w="3200" w:type="dxa"/>
            <w:vAlign w:val="bottom"/>
            <w:tcBorders>
              <w:bottom w:val="single" w:sz="8" w:color="CCEEFF"/>
            </w:tcBorders>
            <w:gridSpan w:val="9"/>
          </w:tcPr>
          <w:p>
            <w:pPr>
              <w:ind w:left="40"/>
              <w:spacing w:after="0"/>
              <w:rPr>
                <w:sz w:val="20"/>
                <w:szCs w:val="20"/>
                <w:color w:val="auto"/>
              </w:rPr>
            </w:pPr>
            <w:r>
              <w:rPr>
                <w:rFonts w:ascii="Arial" w:cs="Arial" w:eastAsia="Arial" w:hAnsi="Arial"/>
                <w:sz w:val="14"/>
                <w:szCs w:val="14"/>
                <w:color w:val="auto"/>
              </w:rPr>
              <w:t>Preferred shares, Series A 8%</w:t>
            </w:r>
          </w:p>
        </w:tc>
        <w:tc>
          <w:tcPr>
            <w:tcW w:w="140" w:type="dxa"/>
            <w:vAlign w:val="bottom"/>
            <w:tcBorders>
              <w:bottom w:val="single" w:sz="8" w:color="CCEEFF"/>
            </w:tcBorders>
          </w:tcPr>
          <w:p>
            <w:pPr>
              <w:spacing w:after="0"/>
              <w:rPr>
                <w:sz w:val="21"/>
                <w:szCs w:val="21"/>
                <w:color w:val="auto"/>
              </w:rPr>
            </w:pPr>
          </w:p>
        </w:tc>
        <w:tc>
          <w:tcPr>
            <w:tcW w:w="1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2/25/2014</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366,666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110,000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421,525</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8"/>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6,130,474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13,386,824</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42024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02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41338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33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-2675255</wp:posOffset>
            </wp:positionV>
            <wp:extent cx="49225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225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-5641975</wp:posOffset>
            </wp:positionV>
            <wp:extent cx="33445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Headquarters/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Date of Initial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gridSpan w:val="6"/>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9"/>
        </w:trPr>
        <w:tc>
          <w:tcPr>
            <w:tcW w:w="3340" w:type="dxa"/>
            <w:vAlign w:val="bottom"/>
            <w:gridSpan w:val="6"/>
            <w:shd w:val="clear" w:color="auto" w:fill="CCEEFF"/>
          </w:tcPr>
          <w:p>
            <w:pPr>
              <w:ind w:left="40"/>
              <w:spacing w:after="0"/>
              <w:rPr>
                <w:sz w:val="20"/>
                <w:szCs w:val="20"/>
                <w:color w:val="auto"/>
              </w:rPr>
            </w:pPr>
            <w:r>
              <w:rPr>
                <w:rFonts w:ascii="Arial" w:cs="Arial" w:eastAsia="Arial" w:hAnsi="Arial"/>
                <w:sz w:val="14"/>
                <w:szCs w:val="14"/>
                <w:b w:val="1"/>
                <w:bCs w:val="1"/>
                <w:color w:val="auto"/>
              </w:rPr>
              <w:t>NestGSV, Inc. (d/b/a GSV Labs, Inc.)</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San Mateo, CA</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340" w:type="dxa"/>
            <w:vAlign w:val="bottom"/>
            <w:gridSpan w:val="6"/>
          </w:tcPr>
          <w:p>
            <w:pPr>
              <w:ind w:left="40"/>
              <w:spacing w:after="0"/>
              <w:rPr>
                <w:sz w:val="20"/>
                <w:szCs w:val="20"/>
                <w:color w:val="auto"/>
              </w:rPr>
            </w:pPr>
            <w:r>
              <w:rPr>
                <w:rFonts w:ascii="Arial" w:cs="Arial" w:eastAsia="Arial" w:hAnsi="Arial"/>
                <w:sz w:val="14"/>
                <w:szCs w:val="14"/>
                <w:color w:val="auto"/>
                <w:w w:val="99"/>
              </w:rPr>
              <w:t>Convertible Promissory Note 12% Due 12/31/2019***</w:t>
            </w: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Global Innovation</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6"/>
              </w:rPr>
              <w:t>2/17/2016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936,525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951,436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936,525</w:t>
            </w:r>
          </w:p>
        </w:tc>
        <w:tc>
          <w:tcPr>
            <w:tcW w:w="1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0.48 %</w:t>
            </w:r>
          </w:p>
        </w:tc>
        <w:tc>
          <w:tcPr>
            <w:tcW w:w="0" w:type="dxa"/>
            <w:vAlign w:val="bottom"/>
          </w:tcPr>
          <w:p>
            <w:pPr>
              <w:spacing w:after="0"/>
              <w:rPr>
                <w:sz w:val="1"/>
                <w:szCs w:val="1"/>
                <w:color w:val="auto"/>
              </w:rPr>
            </w:pPr>
          </w:p>
        </w:tc>
      </w:tr>
      <w:tr>
        <w:trPr>
          <w:trHeight w:val="162"/>
        </w:trPr>
        <w:tc>
          <w:tcPr>
            <w:tcW w:w="320" w:type="dxa"/>
            <w:vAlign w:val="bottom"/>
            <w:gridSpan w:val="2"/>
          </w:tcPr>
          <w:p>
            <w:pPr>
              <w:ind w:left="40"/>
              <w:spacing w:after="0"/>
              <w:rPr>
                <w:sz w:val="20"/>
                <w:szCs w:val="20"/>
                <w:color w:val="auto"/>
              </w:rPr>
            </w:pPr>
            <w:r>
              <w:rPr>
                <w:rFonts w:ascii="Arial" w:cs="Arial" w:eastAsia="Arial" w:hAnsi="Arial"/>
                <w:sz w:val="9"/>
                <w:szCs w:val="9"/>
                <w:color w:val="auto"/>
              </w:rPr>
              <w:t>(14)</w:t>
            </w: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Platform</w:t>
            </w: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33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Preferred shares, Series A-4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10/6/2014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3,720,424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4,904,498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4,960,553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2.54 %</w:t>
            </w:r>
          </w:p>
        </w:tc>
        <w:tc>
          <w:tcPr>
            <w:tcW w:w="0" w:type="dxa"/>
            <w:vAlign w:val="bottom"/>
          </w:tcPr>
          <w:p>
            <w:pPr>
              <w:spacing w:after="0"/>
              <w:rPr>
                <w:sz w:val="1"/>
                <w:szCs w:val="1"/>
                <w:color w:val="auto"/>
              </w:rPr>
            </w:pPr>
          </w:p>
        </w:tc>
      </w:tr>
      <w:tr>
        <w:trPr>
          <w:trHeight w:val="251"/>
        </w:trPr>
        <w:tc>
          <w:tcPr>
            <w:tcW w:w="3340" w:type="dxa"/>
            <w:vAlign w:val="bottom"/>
            <w:gridSpan w:val="6"/>
          </w:tcPr>
          <w:p>
            <w:pPr>
              <w:ind w:left="40"/>
              <w:spacing w:after="0"/>
              <w:rPr>
                <w:sz w:val="20"/>
                <w:szCs w:val="20"/>
                <w:color w:val="auto"/>
              </w:rPr>
            </w:pPr>
            <w:r>
              <w:rPr>
                <w:rFonts w:ascii="Arial" w:cs="Arial" w:eastAsia="Arial" w:hAnsi="Arial"/>
                <w:sz w:val="14"/>
                <w:szCs w:val="14"/>
                <w:color w:val="auto"/>
              </w:rPr>
              <w:t>Preferred shares, Series A-3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4/4/2014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1,561,625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2,005,730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1,735,134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0.89 %</w:t>
            </w:r>
          </w:p>
        </w:tc>
        <w:tc>
          <w:tcPr>
            <w:tcW w:w="0" w:type="dxa"/>
            <w:vAlign w:val="bottom"/>
          </w:tcPr>
          <w:p>
            <w:pPr>
              <w:spacing w:after="0"/>
              <w:rPr>
                <w:sz w:val="1"/>
                <w:szCs w:val="1"/>
                <w:color w:val="auto"/>
              </w:rPr>
            </w:pPr>
          </w:p>
        </w:tc>
      </w:tr>
      <w:tr>
        <w:trPr>
          <w:trHeight w:val="264"/>
        </w:trPr>
        <w:tc>
          <w:tcPr>
            <w:tcW w:w="33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Preferred shares, Series A-2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7/15/2013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450,001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605,500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0.15 %</w:t>
            </w:r>
          </w:p>
        </w:tc>
        <w:tc>
          <w:tcPr>
            <w:tcW w:w="0" w:type="dxa"/>
            <w:vAlign w:val="bottom"/>
          </w:tcPr>
          <w:p>
            <w:pPr>
              <w:spacing w:after="0"/>
              <w:rPr>
                <w:sz w:val="1"/>
                <w:szCs w:val="1"/>
                <w:color w:val="auto"/>
              </w:rPr>
            </w:pPr>
          </w:p>
        </w:tc>
      </w:tr>
      <w:tr>
        <w:trPr>
          <w:trHeight w:val="282"/>
        </w:trPr>
        <w:tc>
          <w:tcPr>
            <w:tcW w:w="33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Preferred shares, Series A-1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5/25/2012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1,021,778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499,999</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0.26 %</w:t>
            </w:r>
          </w:p>
        </w:tc>
        <w:tc>
          <w:tcPr>
            <w:tcW w:w="0" w:type="dxa"/>
            <w:vAlign w:val="bottom"/>
          </w:tcPr>
          <w:p>
            <w:pPr>
              <w:spacing w:after="0"/>
              <w:rPr>
                <w:sz w:val="1"/>
                <w:szCs w:val="1"/>
                <w:color w:val="auto"/>
              </w:rPr>
            </w:pPr>
          </w:p>
        </w:tc>
      </w:tr>
      <w:tr>
        <w:trPr>
          <w:trHeight w:val="264"/>
        </w:trPr>
        <w:tc>
          <w:tcPr>
            <w:tcW w:w="3340" w:type="dxa"/>
            <w:vAlign w:val="bottom"/>
            <w:gridSpan w:val="6"/>
          </w:tcPr>
          <w:p>
            <w:pPr>
              <w:ind w:left="40"/>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7/1/2014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3"/>
        </w:trPr>
        <w:tc>
          <w:tcPr>
            <w:tcW w:w="33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Preferred Warrants Series A-3, Strike Price $1.33,</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Expiration Date 4/4/2021</w:t>
            </w:r>
            <w:r>
              <w:rPr>
                <w:rFonts w:ascii="Arial" w:cs="Arial" w:eastAsia="Arial" w:hAnsi="Arial"/>
                <w:sz w:val="8"/>
                <w:szCs w:val="8"/>
                <w:color w:val="auto"/>
              </w:rPr>
              <w:t>(14)</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4/4/2014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187,500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26,250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0.01 %</w:t>
            </w:r>
          </w:p>
        </w:tc>
        <w:tc>
          <w:tcPr>
            <w:tcW w:w="0" w:type="dxa"/>
            <w:vAlign w:val="bottom"/>
          </w:tcPr>
          <w:p>
            <w:pPr>
              <w:spacing w:after="0"/>
              <w:rPr>
                <w:sz w:val="1"/>
                <w:szCs w:val="1"/>
                <w:color w:val="auto"/>
              </w:rPr>
            </w:pPr>
          </w:p>
        </w:tc>
      </w:tr>
      <w:tr>
        <w:trPr>
          <w:trHeight w:val="157"/>
        </w:trPr>
        <w:tc>
          <w:tcPr>
            <w:tcW w:w="334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Preferred Warrants Series A-4, Strike Price $1.33,</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40" w:type="dxa"/>
            <w:vAlign w:val="bottom"/>
            <w:gridSpan w:val="6"/>
          </w:tcPr>
          <w:p>
            <w:pPr>
              <w:ind w:left="40"/>
              <w:spacing w:after="0"/>
              <w:rPr>
                <w:sz w:val="20"/>
                <w:szCs w:val="20"/>
                <w:color w:val="auto"/>
              </w:rPr>
            </w:pPr>
            <w:r>
              <w:rPr>
                <w:rFonts w:ascii="Arial" w:cs="Arial" w:eastAsia="Arial" w:hAnsi="Arial"/>
                <w:sz w:val="14"/>
                <w:szCs w:val="14"/>
                <w:color w:val="auto"/>
              </w:rPr>
              <w:t>Expiration Date 10/6/2021</w:t>
            </w:r>
            <w:r>
              <w:rPr>
                <w:rFonts w:ascii="Arial" w:cs="Arial" w:eastAsia="Arial" w:hAnsi="Arial"/>
                <w:sz w:val="8"/>
                <w:szCs w:val="8"/>
                <w:color w:val="auto"/>
              </w:rPr>
              <w:t>(14)</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10/6/2014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145,000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0.07 %</w:t>
            </w:r>
          </w:p>
        </w:tc>
        <w:tc>
          <w:tcPr>
            <w:tcW w:w="0" w:type="dxa"/>
            <w:vAlign w:val="bottom"/>
          </w:tcPr>
          <w:p>
            <w:pPr>
              <w:spacing w:after="0"/>
              <w:rPr>
                <w:sz w:val="1"/>
                <w:szCs w:val="1"/>
                <w:color w:val="auto"/>
              </w:rPr>
            </w:pPr>
          </w:p>
        </w:tc>
      </w:tr>
      <w:tr>
        <w:trPr>
          <w:trHeight w:val="163"/>
        </w:trPr>
        <w:tc>
          <w:tcPr>
            <w:tcW w:w="33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Preferred Warrants Series A-4, Strike Price $1.33,</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Expiration Date 7/18/2021</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7/8/2016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74,380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70,000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0.04 %</w:t>
            </w:r>
          </w:p>
        </w:tc>
        <w:tc>
          <w:tcPr>
            <w:tcW w:w="0" w:type="dxa"/>
            <w:vAlign w:val="bottom"/>
          </w:tcPr>
          <w:p>
            <w:pPr>
              <w:spacing w:after="0"/>
              <w:rPr>
                <w:sz w:val="1"/>
                <w:szCs w:val="1"/>
                <w:color w:val="auto"/>
              </w:rPr>
            </w:pPr>
          </w:p>
        </w:tc>
      </w:tr>
      <w:tr>
        <w:trPr>
          <w:trHeight w:val="157"/>
        </w:trPr>
        <w:tc>
          <w:tcPr>
            <w:tcW w:w="334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Preferred Warrants Series B, Strike Price $2.31,</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40" w:type="dxa"/>
            <w:vAlign w:val="bottom"/>
            <w:gridSpan w:val="6"/>
          </w:tcPr>
          <w:p>
            <w:pPr>
              <w:ind w:left="40"/>
              <w:spacing w:after="0"/>
              <w:rPr>
                <w:sz w:val="20"/>
                <w:szCs w:val="20"/>
                <w:color w:val="auto"/>
              </w:rPr>
            </w:pPr>
            <w:r>
              <w:rPr>
                <w:rFonts w:ascii="Arial" w:cs="Arial" w:eastAsia="Arial" w:hAnsi="Arial"/>
                <w:sz w:val="14"/>
                <w:szCs w:val="14"/>
                <w:color w:val="auto"/>
              </w:rPr>
              <w:t>Expiration Date 11/29/2021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1"/>
              </w:rPr>
              <w:t>11/29/2016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29,275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0.00 %</w:t>
            </w:r>
          </w:p>
        </w:tc>
        <w:tc>
          <w:tcPr>
            <w:tcW w:w="0" w:type="dxa"/>
            <w:vAlign w:val="bottom"/>
          </w:tcPr>
          <w:p>
            <w:pPr>
              <w:spacing w:after="0"/>
              <w:rPr>
                <w:sz w:val="1"/>
                <w:szCs w:val="1"/>
                <w:color w:val="auto"/>
              </w:rPr>
            </w:pPr>
          </w:p>
        </w:tc>
      </w:tr>
      <w:tr>
        <w:trPr>
          <w:trHeight w:val="163"/>
        </w:trPr>
        <w:tc>
          <w:tcPr>
            <w:tcW w:w="33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Preferred Warrant Series B, Strike Price $2.31,</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Expiration Date 5/29/2022</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5/29/2017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70,379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0.00 %</w:t>
            </w:r>
          </w:p>
        </w:tc>
        <w:tc>
          <w:tcPr>
            <w:tcW w:w="0" w:type="dxa"/>
            <w:vAlign w:val="bottom"/>
          </w:tcPr>
          <w:p>
            <w:pPr>
              <w:spacing w:after="0"/>
              <w:rPr>
                <w:sz w:val="1"/>
                <w:szCs w:val="1"/>
                <w:color w:val="auto"/>
              </w:rPr>
            </w:pPr>
          </w:p>
        </w:tc>
      </w:tr>
      <w:tr>
        <w:trPr>
          <w:trHeight w:val="157"/>
        </w:trPr>
        <w:tc>
          <w:tcPr>
            <w:tcW w:w="334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Preferred Warrant Series B–Strike Price $2.31,</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40" w:type="dxa"/>
            <w:vAlign w:val="bottom"/>
            <w:tcBorders>
              <w:bottom w:val="single" w:sz="8" w:color="CCEEFF"/>
            </w:tcBorders>
            <w:gridSpan w:val="6"/>
          </w:tcPr>
          <w:p>
            <w:pPr>
              <w:ind w:left="40"/>
              <w:spacing w:after="0"/>
              <w:rPr>
                <w:sz w:val="20"/>
                <w:szCs w:val="20"/>
                <w:color w:val="auto"/>
              </w:rPr>
            </w:pPr>
            <w:r>
              <w:rPr>
                <w:rFonts w:ascii="Arial" w:cs="Arial" w:eastAsia="Arial" w:hAnsi="Arial"/>
                <w:sz w:val="14"/>
                <w:szCs w:val="14"/>
                <w:color w:val="auto"/>
              </w:rPr>
              <w:t>Expiration Date 12/31/2023</w:t>
            </w:r>
            <w:r>
              <w:rPr>
                <w:rFonts w:ascii="Arial" w:cs="Arial" w:eastAsia="Arial" w:hAnsi="Arial"/>
                <w:sz w:val="8"/>
                <w:szCs w:val="8"/>
                <w:color w:val="auto"/>
              </w:rPr>
              <w:t>(14)</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1"/>
              </w:rPr>
              <w:t>12/31/2018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250,000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5,080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0.00 %</w:t>
            </w:r>
          </w:p>
        </w:tc>
        <w:tc>
          <w:tcPr>
            <w:tcW w:w="0" w:type="dxa"/>
            <w:vAlign w:val="bottom"/>
          </w:tcPr>
          <w:p>
            <w:pPr>
              <w:spacing w:after="0"/>
              <w:rPr>
                <w:sz w:val="1"/>
                <w:szCs w:val="1"/>
                <w:color w:val="auto"/>
              </w:rPr>
            </w:pPr>
          </w:p>
        </w:tc>
      </w:tr>
      <w:tr>
        <w:trPr>
          <w:trHeight w:val="256"/>
        </w:trPr>
        <w:tc>
          <w:tcPr>
            <w:tcW w:w="40" w:type="dxa"/>
            <w:vAlign w:val="bottom"/>
            <w:shd w:val="clear" w:color="auto" w:fill="CCEEFF"/>
          </w:tcPr>
          <w:p>
            <w:pPr>
              <w:spacing w:after="0"/>
              <w:rPr>
                <w:sz w:val="22"/>
                <w:szCs w:val="22"/>
                <w:color w:val="auto"/>
              </w:rPr>
            </w:pPr>
          </w:p>
        </w:tc>
        <w:tc>
          <w:tcPr>
            <w:tcW w:w="3300" w:type="dxa"/>
            <w:vAlign w:val="bottom"/>
            <w:gridSpan w:val="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9,669,056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8,679,711</w:t>
            </w:r>
          </w:p>
        </w:tc>
        <w:tc>
          <w:tcPr>
            <w:tcW w:w="10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4.44 %</w:t>
            </w:r>
          </w:p>
        </w:tc>
        <w:tc>
          <w:tcPr>
            <w:tcW w:w="0" w:type="dxa"/>
            <w:vAlign w:val="bottom"/>
          </w:tcPr>
          <w:p>
            <w:pPr>
              <w:spacing w:after="0"/>
              <w:rPr>
                <w:sz w:val="1"/>
                <w:szCs w:val="1"/>
                <w:color w:val="auto"/>
              </w:rPr>
            </w:pPr>
          </w:p>
        </w:tc>
      </w:tr>
      <w:tr>
        <w:trPr>
          <w:trHeight w:val="142"/>
        </w:trPr>
        <w:tc>
          <w:tcPr>
            <w:tcW w:w="3340" w:type="dxa"/>
            <w:vAlign w:val="bottom"/>
            <w:gridSpan w:val="6"/>
          </w:tcPr>
          <w:p>
            <w:pPr>
              <w:ind w:left="40"/>
              <w:spacing w:after="0" w:line="142" w:lineRule="exact"/>
              <w:rPr>
                <w:sz w:val="20"/>
                <w:szCs w:val="20"/>
                <w:color w:val="auto"/>
              </w:rPr>
            </w:pPr>
            <w:r>
              <w:rPr>
                <w:rFonts w:ascii="Arial" w:cs="Arial" w:eastAsia="Arial" w:hAnsi="Arial"/>
                <w:sz w:val="14"/>
                <w:szCs w:val="14"/>
                <w:b w:val="1"/>
                <w:bCs w:val="1"/>
                <w:color w:val="auto"/>
              </w:rPr>
              <w:t>SPBRX, INC. (f/k/a GSV Sustainability Partners,</w:t>
            </w:r>
          </w:p>
        </w:tc>
        <w:tc>
          <w:tcPr>
            <w:tcW w:w="10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3"/>
              </w:rPr>
              <w:t>Woodside, CA</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0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Inc.)</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Preferred shares, Class A***</w:t>
            </w:r>
            <w:r>
              <w:rPr>
                <w:rFonts w:ascii="Arial" w:cs="Arial" w:eastAsia="Arial" w:hAnsi="Arial"/>
                <w:sz w:val="8"/>
                <w:szCs w:val="8"/>
                <w:color w:val="auto"/>
              </w:rPr>
              <w:t>(16)</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Clean Technology</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4/15/2014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14,300,000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7,151,412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750,198</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0.38 %</w:t>
            </w:r>
          </w:p>
        </w:tc>
        <w:tc>
          <w:tcPr>
            <w:tcW w:w="0" w:type="dxa"/>
            <w:vAlign w:val="bottom"/>
          </w:tcPr>
          <w:p>
            <w:pPr>
              <w:spacing w:after="0"/>
              <w:rPr>
                <w:sz w:val="1"/>
                <w:szCs w:val="1"/>
                <w:color w:val="auto"/>
              </w:rPr>
            </w:pPr>
          </w:p>
        </w:tc>
      </w:tr>
      <w:tr>
        <w:trPr>
          <w:trHeight w:val="264"/>
        </w:trPr>
        <w:tc>
          <w:tcPr>
            <w:tcW w:w="3340" w:type="dxa"/>
            <w:vAlign w:val="bottom"/>
            <w:gridSpan w:val="6"/>
          </w:tcPr>
          <w:p>
            <w:pPr>
              <w:ind w:left="40"/>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4/15/2014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3300" w:type="dxa"/>
            <w:vAlign w:val="bottom"/>
            <w:tcBorders>
              <w:top w:val="single" w:sz="8" w:color="CCEEFF"/>
              <w:bottom w:val="single" w:sz="8" w:color="CCEEFF"/>
            </w:tcBorders>
            <w:gridSpan w:val="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7,161,412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750,198</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0.38 %</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300" w:type="dxa"/>
            <w:vAlign w:val="bottom"/>
            <w:gridSpan w:val="5"/>
            <w:shd w:val="clear" w:color="auto" w:fill="CCEEFF"/>
          </w:tcPr>
          <w:p>
            <w:pPr>
              <w:ind w:left="140"/>
              <w:spacing w:after="0"/>
              <w:rPr>
                <w:sz w:val="20"/>
                <w:szCs w:val="20"/>
                <w:color w:val="auto"/>
              </w:rPr>
            </w:pPr>
            <w:r>
              <w:rPr>
                <w:rFonts w:ascii="Arial" w:cs="Arial" w:eastAsia="Arial" w:hAnsi="Arial"/>
                <w:sz w:val="14"/>
                <w:szCs w:val="14"/>
                <w:b w:val="1"/>
                <w:bCs w:val="1"/>
                <w:color w:val="auto"/>
              </w:rPr>
              <w:t>Total Controlled</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22,960,942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22,816,733</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11.68 %</w:t>
            </w:r>
          </w:p>
        </w:tc>
        <w:tc>
          <w:tcPr>
            <w:tcW w:w="0" w:type="dxa"/>
            <w:vAlign w:val="bottom"/>
          </w:tcPr>
          <w:p>
            <w:pPr>
              <w:spacing w:after="0"/>
              <w:rPr>
                <w:sz w:val="1"/>
                <w:szCs w:val="1"/>
                <w:color w:val="auto"/>
              </w:rPr>
            </w:pPr>
          </w:p>
        </w:tc>
      </w:tr>
      <w:tr>
        <w:trPr>
          <w:trHeight w:val="338"/>
        </w:trPr>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300" w:type="dxa"/>
            <w:vAlign w:val="bottom"/>
            <w:gridSpan w:val="5"/>
            <w:shd w:val="clear" w:color="auto" w:fill="CCEEFF"/>
          </w:tcPr>
          <w:p>
            <w:pPr>
              <w:ind w:left="140"/>
              <w:spacing w:after="0"/>
              <w:rPr>
                <w:sz w:val="20"/>
                <w:szCs w:val="20"/>
                <w:color w:val="auto"/>
              </w:rPr>
            </w:pPr>
            <w:r>
              <w:rPr>
                <w:rFonts w:ascii="Arial" w:cs="Arial" w:eastAsia="Arial" w:hAnsi="Arial"/>
                <w:sz w:val="14"/>
                <w:szCs w:val="14"/>
                <w:b w:val="1"/>
                <w:bCs w:val="1"/>
                <w:color w:val="auto"/>
              </w:rPr>
              <w:t>Total Portfolio Investments</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171,164,403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198,815,829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101.76 %</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gridSpan w:val="6"/>
            <w:shd w:val="clear" w:color="auto" w:fill="CCEEFF"/>
          </w:tcPr>
          <w:p>
            <w:pPr>
              <w:ind w:left="40"/>
              <w:spacing w:after="0"/>
              <w:rPr>
                <w:sz w:val="20"/>
                <w:szCs w:val="20"/>
                <w:color w:val="auto"/>
              </w:rPr>
            </w:pPr>
            <w:r>
              <w:rPr>
                <w:rFonts w:ascii="Arial" w:cs="Arial" w:eastAsia="Arial" w:hAnsi="Arial"/>
                <w:sz w:val="14"/>
                <w:szCs w:val="14"/>
                <w:b w:val="1"/>
                <w:bCs w:val="1"/>
                <w:color w:val="auto"/>
              </w:rPr>
              <w:t>U.S. Treasury</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340" w:type="dxa"/>
            <w:vAlign w:val="bottom"/>
            <w:gridSpan w:val="6"/>
          </w:tcPr>
          <w:p>
            <w:pPr>
              <w:ind w:left="40"/>
              <w:spacing w:after="0"/>
              <w:rPr>
                <w:sz w:val="20"/>
                <w:szCs w:val="20"/>
                <w:color w:val="auto"/>
              </w:rPr>
            </w:pPr>
            <w:r>
              <w:rPr>
                <w:rFonts w:ascii="Arial" w:cs="Arial" w:eastAsia="Arial" w:hAnsi="Arial"/>
                <w:sz w:val="14"/>
                <w:szCs w:val="14"/>
                <w:color w:val="auto"/>
              </w:rPr>
              <w:t>U.S. Treasury bills, 0%, due 1/3/2019***</w:t>
            </w:r>
            <w:r>
              <w:rPr>
                <w:rFonts w:ascii="Arial" w:cs="Arial" w:eastAsia="Arial" w:hAnsi="Arial"/>
                <w:sz w:val="8"/>
                <w:szCs w:val="8"/>
                <w:color w:val="auto"/>
              </w:rPr>
              <w:t>(3)</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1"/>
              </w:rPr>
              <w:t>12/27/2018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100,000,000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99,982,067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99,994,000</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51.18 %</w:t>
            </w:r>
          </w:p>
        </w:tc>
        <w:tc>
          <w:tcPr>
            <w:tcW w:w="0" w:type="dxa"/>
            <w:vAlign w:val="bottom"/>
          </w:tcPr>
          <w:p>
            <w:pPr>
              <w:spacing w:after="0"/>
              <w:rPr>
                <w:sz w:val="1"/>
                <w:szCs w:val="1"/>
                <w:color w:val="auto"/>
              </w:rPr>
            </w:pPr>
          </w:p>
        </w:tc>
      </w:tr>
      <w:tr>
        <w:trPr>
          <w:trHeight w:val="344"/>
        </w:trPr>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gridSpan w:val="6"/>
          </w:tcPr>
          <w:p>
            <w:pPr>
              <w:ind w:left="40"/>
              <w:spacing w:after="0"/>
              <w:rPr>
                <w:sz w:val="20"/>
                <w:szCs w:val="20"/>
                <w:color w:val="auto"/>
              </w:rPr>
            </w:pPr>
            <w:r>
              <w:rPr>
                <w:rFonts w:ascii="Arial" w:cs="Arial" w:eastAsia="Arial" w:hAnsi="Arial"/>
                <w:sz w:val="14"/>
                <w:szCs w:val="14"/>
                <w:b w:val="1"/>
                <w:bCs w:val="1"/>
                <w:color w:val="auto"/>
              </w:rPr>
              <w:t>TOTAL INVESTMENTS</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271,146,470</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298,809,829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152.94 %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-410845</wp:posOffset>
            </wp:positionV>
            <wp:extent cx="7886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-1911985</wp:posOffset>
            </wp:positionV>
            <wp:extent cx="4751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7" w:lineRule="exact"/>
        <w:rPr>
          <w:sz w:val="20"/>
          <w:szCs w:val="20"/>
          <w:color w:val="auto"/>
        </w:rPr>
      </w:pPr>
    </w:p>
    <w:p>
      <w:pPr>
        <w:jc w:val="both"/>
        <w:ind w:left="500" w:hanging="492"/>
        <w:spacing w:after="0" w:line="313"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4"/>
          <w:szCs w:val="14"/>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determined in good faith by the Company’s Board of Directors.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w:t>
      </w:r>
    </w:p>
    <w:p>
      <w:pPr>
        <w:spacing w:after="0" w:line="22" w:lineRule="exact"/>
        <w:rPr>
          <w:sz w:val="20"/>
          <w:szCs w:val="20"/>
          <w:color w:val="auto"/>
        </w:rPr>
      </w:pPr>
    </w:p>
    <w:p>
      <w:pPr>
        <w:ind w:left="500" w:right="20" w:hanging="492"/>
        <w:spacing w:after="0" w:line="253"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Indicates assets that GSV Capital Corp. believes do not represent “qualifying assets” under Section 55(a) of the Investment Company Act of 1940, as amended (the “1940 Act”). Of GSV Capital Corp.’s total investments as of December 31, 2018, 14.92% of its total investments are non-qualifying assets.</w:t>
      </w:r>
    </w:p>
    <w:p>
      <w:pPr>
        <w:ind w:left="500" w:hanging="492"/>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Investment is income-producing.</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5" w:lineRule="exact"/>
        <w:rPr>
          <w:sz w:val="20"/>
          <w:szCs w:val="20"/>
          <w:color w:val="auto"/>
        </w:rPr>
      </w:pPr>
    </w:p>
    <w:p>
      <w:pPr>
        <w:jc w:val="both"/>
        <w:ind w:left="500" w:hanging="492"/>
        <w:spacing w:after="0" w:line="25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160"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60" w:lineRule="exact"/>
        <w:rPr>
          <w:rFonts w:ascii="Arial" w:cs="Arial" w:eastAsia="Arial" w:hAnsi="Arial"/>
          <w:sz w:val="16"/>
          <w:szCs w:val="16"/>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Denotes an investment considered Level 1 or Level 2 and valued using observable inputs.</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December 31, 2018, the investments noted had been placed on non-accrual status.</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GSV Capital Corp.’s investments in StormWind, LLC are held through GSV Capital Corp.'s wholly owned subsidiary, GSVC SW Holdings, Inc.</w:t>
      </w:r>
    </w:p>
    <w:p>
      <w:pPr>
        <w:spacing w:after="0" w:line="194" w:lineRule="exact"/>
        <w:rPr>
          <w:rFonts w:ascii="Arial" w:cs="Arial" w:eastAsia="Arial" w:hAnsi="Arial"/>
          <w:sz w:val="16"/>
          <w:szCs w:val="16"/>
          <w:color w:val="auto"/>
        </w:rPr>
      </w:pPr>
    </w:p>
    <w:p>
      <w:pPr>
        <w:jc w:val="both"/>
        <w:ind w:left="500" w:hanging="492"/>
        <w:spacing w:after="0" w:line="278" w:lineRule="auto"/>
        <w:tabs>
          <w:tab w:leader="none" w:pos="5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On October 31, 2018, GSV Capital Corp. agreed to extend the maturity of the Senior Subordinated Convertible Promissory Note to CUX, Inc. (d/b/a CorpU) until February 14, 2020, with a new interest rate of 10%. Accrued interest will continue to be compounded annually on November 26 of the current and each subsequent year until repaid.</w:t>
      </w:r>
    </w:p>
    <w:p>
      <w:pPr>
        <w:spacing w:after="0" w:line="146" w:lineRule="exact"/>
        <w:rPr>
          <w:rFonts w:ascii="Arial" w:cs="Arial" w:eastAsia="Arial" w:hAnsi="Arial"/>
          <w:sz w:val="15"/>
          <w:szCs w:val="15"/>
          <w:color w:val="auto"/>
        </w:rPr>
      </w:pPr>
    </w:p>
    <w:p>
      <w:pPr>
        <w:jc w:val="both"/>
        <w:ind w:left="500" w:hanging="492"/>
        <w:spacing w:after="0" w:line="253"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March 14, 2018, as disclosed in its Amendment No. 1 to its Form F-1 Registration Statement filed in connection with its direct listing, Spotify Technology S.A. effectuated a 40:1 stock split of its ordinary shares, beneficiary certificates and any other of its outstanding securities. On April 3, 2018, Spotify Technology S.A., registered for resale up to 55,731,480 ordinary shares by the registered shareholders in a direct listing. GSV Capital Corp.'s common shares of Spotify Technology S.A. are considered unrestricted as they are not subject to restriction upon sale. At December 31, 2018, GSV Capital Corp. valued its common shares of Spotify Technology S.A. based on its December 31, 2018 closing price.</w:t>
      </w:r>
    </w:p>
    <w:p>
      <w:pPr>
        <w:spacing w:after="0" w:line="164" w:lineRule="exact"/>
        <w:rPr>
          <w:rFonts w:ascii="Arial" w:cs="Arial" w:eastAsia="Arial" w:hAnsi="Arial"/>
          <w:sz w:val="16"/>
          <w:szCs w:val="16"/>
          <w:color w:val="auto"/>
        </w:rPr>
      </w:pPr>
    </w:p>
    <w:p>
      <w:pPr>
        <w:jc w:val="both"/>
        <w:ind w:left="500" w:hanging="492"/>
        <w:spacing w:after="0" w:line="253"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March 7, 2018, as disclosed in its Amendment No. 1 to its Form S-1 Registration Statement filed in connection with its initial public offering, Dropbox, Inc. effectuated a 1:1.5 reverse stock split of its capital stock. On March 23, 2018, Dropbox, Inc. priced its initial public offering for 26,822,409 Class A common shares at a price of $21.00 per share. Dropbox, Inc., also registered for resale up to 9,177,591 Class A common shares by the registered shareholders. As of August 23, 2018 GSV Capital Corp.'s shares of common stock in Dropbox, Inc. were no longer restricted. At December 31, 2018, GSV Capital Corp. valued its common shares of Dropbox, Inc. based on its December 31, 2018 closing price.</w:t>
      </w:r>
    </w:p>
    <w:p>
      <w:pPr>
        <w:spacing w:after="0" w:line="164"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February 23, 2018, CUX, Inc. (d/b/a CorpU) agreed to extend the maturity of the GSV Capital Corp.'s Series D warrants until August 1, 2018. On July 31, 2018, CUX, Inc. (d/b/a CorpU) agreed to further extend the maturity of GSV Capital Corp.'s Series D warrants until November 26, 2018. On October 31, 2018 and in connection with the extension of the maturity date on the related debt investment, CUX, Inc. (d/b/a CorpU) agreed to further extend the maturity of GSV Capital Corp's Series D warrants until February 14, 2020.</w:t>
      </w:r>
    </w:p>
    <w:p>
      <w:pPr>
        <w:spacing w:after="0" w:line="160"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January 31, 2018, the maturity date of the convertible promissory note to Declara, Inc. was extended an additional three months to April 30, 2018 and the interest rate on the convertible promissory note increased to 12% per annum (including 365 days for the purposes of accrual). On January 31, 2018 the convertible promissory note to Declara Inc. was placed on non-accrual status. On April 30, 2018, the Company deemed this investment to be in default based on Declara Inc.'s financial position.</w:t>
      </w:r>
    </w:p>
    <w:p>
      <w:pPr>
        <w:spacing w:after="0" w:line="155" w:lineRule="exact"/>
        <w:rPr>
          <w:rFonts w:ascii="Arial" w:cs="Arial" w:eastAsia="Arial" w:hAnsi="Arial"/>
          <w:sz w:val="16"/>
          <w:szCs w:val="16"/>
          <w:color w:val="auto"/>
        </w:rPr>
      </w:pPr>
    </w:p>
    <w:p>
      <w:pPr>
        <w:jc w:val="both"/>
        <w:ind w:left="500" w:hanging="492"/>
        <w:spacing w:after="0" w:line="277"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8"/>
          <w:szCs w:val="18"/>
          <w:color w:val="auto"/>
        </w:rPr>
        <w:t>Effe</w:t>
      </w:r>
      <w:r>
        <w:rPr>
          <w:rFonts w:ascii="Arial" w:cs="Arial" w:eastAsia="Arial" w:hAnsi="Arial"/>
          <w:sz w:val="16"/>
          <w:szCs w:val="16"/>
          <w:color w:val="auto"/>
        </w:rPr>
        <w:t>ctive April 9, 2018, the term of Ozy Media Inc.'s notes were extended through the issuance of a new convertible promissory note, which extended the maturity date</w:t>
      </w:r>
      <w:r>
        <w:rPr>
          <w:rFonts w:ascii="Arial" w:cs="Arial" w:eastAsia="Arial" w:hAnsi="Arial"/>
          <w:sz w:val="18"/>
          <w:szCs w:val="18"/>
          <w:color w:val="auto"/>
        </w:rPr>
        <w:t xml:space="preserve"> </w:t>
      </w:r>
      <w:r>
        <w:rPr>
          <w:rFonts w:ascii="Arial" w:cs="Arial" w:eastAsia="Arial" w:hAnsi="Arial"/>
          <w:sz w:val="16"/>
          <w:szCs w:val="16"/>
          <w:color w:val="auto"/>
        </w:rPr>
        <w:t>of the existing notes to October 31, 2018 and then to December 31, 2018 once certain conditions were satisfied. Effective August 17, 2018, Ozy Media Inc. executed an additional debt amendment, which expanded its borrowing limit. In consideration for amending and restating the existing notes, the Company was issued warrants exercisable for 295,565 shares of Ozy Media Inc.'s common stock. Subsequent to December 31, 2018, Ozy Media Inc.'s obligations under its financing arrangements with the Company became past due.</w:t>
      </w:r>
    </w:p>
    <w:p>
      <w:pPr>
        <w:spacing w:after="0" w:line="159"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July 23, 2018, Knewton, Inc. issued an 8% unsecured convertible promissory amount with a principal amount of $134,405 and a maturity date of December 31, 2019 to GSV Capital Corp.</w:t>
      </w:r>
    </w:p>
    <w:p>
      <w:pPr>
        <w:spacing w:after="0" w:line="145" w:lineRule="exact"/>
        <w:rPr>
          <w:rFonts w:ascii="Arial" w:cs="Arial" w:eastAsia="Arial" w:hAnsi="Arial"/>
          <w:sz w:val="16"/>
          <w:szCs w:val="16"/>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June 15, 2018 GSV Capital Corp. exercised its 770,934 warrants to purchase shares of SharesPost, Inc.'s common stock, with a $0.13 strike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SCHEDULE OF INVESTMENTS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188" w:lineRule="exact"/>
        <w:rPr>
          <w:sz w:val="20"/>
          <w:szCs w:val="20"/>
          <w:color w:val="auto"/>
        </w:rPr>
      </w:pPr>
    </w:p>
    <w:p>
      <w:pPr>
        <w:jc w:val="both"/>
        <w:ind w:left="500" w:hanging="492"/>
        <w:spacing w:after="0" w:line="272" w:lineRule="auto"/>
        <w:tabs>
          <w:tab w:leader="none" w:pos="5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Effective July 31, 2018, GSV Capital Corp agreed to extend the Convertible Promissory Note to NestGSV, Inc. (d/b/a GSV Labs, Inc.) until December 31, 2018, with a new interest rate of 12%. Previously accrued interest will be capitalized into the principal of the extended note. On December 31, 2018, GSV Capital Corp extended the maturity of the Convertible Promissory Note to December 31, 2019, compounded the previously accrued and then-outstanding interest and invested an additional $300,000. The Convertible Promissory Note continues to accrue interest at 12%. In consideration for the extension and additional investment, the 500,000 Series A-3 Preferred Warrants due April 4, 2019 and the 187,500 Series A-4 Preferred Warrants due October 6, 2019, were extended to April 4, 2021 and October 6, 2021, respectively. The Company also received an additional 250,000 Series B Preferred Warrants due December 31, 2023.</w:t>
      </w:r>
    </w:p>
    <w:p>
      <w:pPr>
        <w:spacing w:after="0" w:line="150" w:lineRule="exact"/>
        <w:rPr>
          <w:rFonts w:ascii="Arial" w:cs="Arial" w:eastAsia="Arial" w:hAnsi="Arial"/>
          <w:sz w:val="15"/>
          <w:szCs w:val="15"/>
          <w:color w:val="auto"/>
        </w:rPr>
      </w:pPr>
    </w:p>
    <w:p>
      <w:pPr>
        <w:ind w:left="500" w:right="20" w:hanging="492"/>
        <w:spacing w:after="0" w:line="310" w:lineRule="auto"/>
        <w:tabs>
          <w:tab w:leader="none" w:pos="5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On June 8, 2018, Curious.com, Inc. completed a recapitalization and issued new Series C preferred shares. In connection with the offering, GSV Capital Corp.'s 3,407,834 Series B preferred shares were converted into common shares. Additionally, a 1:3 reverse stock split was declared on the now common shares.</w:t>
      </w:r>
    </w:p>
    <w:p>
      <w:pPr>
        <w:spacing w:after="0" w:line="121" w:lineRule="exact"/>
        <w:rPr>
          <w:rFonts w:ascii="Arial" w:cs="Arial" w:eastAsia="Arial" w:hAnsi="Arial"/>
          <w:sz w:val="15"/>
          <w:szCs w:val="15"/>
          <w:color w:val="auto"/>
        </w:rPr>
      </w:pPr>
    </w:p>
    <w:p>
      <w:pPr>
        <w:jc w:val="both"/>
        <w:ind w:left="500" w:hanging="492"/>
        <w:spacing w:after="0" w:line="286" w:lineRule="auto"/>
        <w:tabs>
          <w:tab w:leader="none" w:pos="5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SPBRX, INC. (f/k/a GSV Sustainability Partners, Inc.) preferred shares held by GSV Capital Corp. do not entitle GSV Capital Corp. to a preferred dividend rate. During the year ended December 31, 2018, SPBRX, INC. declared, and GSV Capital Corp. received, an aggregate of $625,000 in cash distributions. GSV Capital Corp. does not anticipate that SPBRX, INC. will pay distributions on a quarterly or regular basis or become a predictable distributor of distributions.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w:t>
      </w:r>
    </w:p>
    <w:p>
      <w:pPr>
        <w:spacing w:after="0" w:line="229"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GSV Capital Corp. (the “Company” or “GSV Capital”), formed in September 2010 as a Maryland corporation, is an internally managed, non-diversified closed-end management investment company. The Company has elected to be regulated as a business development company under the Investment Company Act of 1940, as amended (the “1940 Act”).</w:t>
      </w:r>
    </w:p>
    <w:p>
      <w:pPr>
        <w:spacing w:after="0" w:line="181" w:lineRule="exact"/>
        <w:rPr>
          <w:sz w:val="20"/>
          <w:szCs w:val="20"/>
          <w:color w:val="auto"/>
        </w:rPr>
      </w:pPr>
    </w:p>
    <w:p>
      <w:pPr>
        <w:jc w:val="both"/>
        <w:ind w:firstLine="351"/>
        <w:spacing w:after="0" w:line="273" w:lineRule="auto"/>
        <w:rPr>
          <w:sz w:val="20"/>
          <w:szCs w:val="20"/>
          <w:color w:val="auto"/>
        </w:rPr>
      </w:pPr>
      <w:r>
        <w:rPr>
          <w:rFonts w:ascii="Arial" w:cs="Arial" w:eastAsia="Arial" w:hAnsi="Arial"/>
          <w:sz w:val="17"/>
          <w:szCs w:val="17"/>
          <w:color w:val="auto"/>
        </w:rPr>
        <w:t>On and effective March 12, 2019, our Board of Directors approved internalizing our operating structure (the "Internalization") and we began operating as an internally managed non-diversified closed-end management investment company that has elected to be regulated as a BDC under the 1940 Act. Prior to March 12, 2019,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Refer to "Note 3 — Related-Party Arrangements" for further detail.</w:t>
      </w:r>
    </w:p>
    <w:p>
      <w:pPr>
        <w:spacing w:after="0" w:line="178" w:lineRule="exact"/>
        <w:rPr>
          <w:sz w:val="20"/>
          <w:szCs w:val="20"/>
          <w:color w:val="auto"/>
        </w:rPr>
      </w:pPr>
    </w:p>
    <w:p>
      <w:pPr>
        <w:jc w:val="both"/>
        <w:ind w:firstLine="351"/>
        <w:spacing w:after="0" w:line="342" w:lineRule="auto"/>
        <w:rPr>
          <w:sz w:val="20"/>
          <w:szCs w:val="20"/>
          <w:color w:val="auto"/>
        </w:rPr>
      </w:pPr>
      <w:r>
        <w:rPr>
          <w:rFonts w:ascii="Arial" w:cs="Arial" w:eastAsia="Arial" w:hAnsi="Arial"/>
          <w:sz w:val="16"/>
          <w:szCs w:val="16"/>
          <w:color w:val="auto"/>
        </w:rPr>
        <w:t>The Company’s date of inception was January 6, 2011, which is the date it commenced its development stage activities. The Company’s common stock is currently listed on the Nasdaq Capital Market under the symbol “GSVC”. The Company began its investment operations during the second quarter of 2011.</w:t>
      </w:r>
    </w:p>
    <w:p>
      <w:pPr>
        <w:spacing w:after="0" w:line="124"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7"/>
          <w:szCs w:val="17"/>
          <w:color w:val="auto"/>
        </w:rPr>
        <w:t>The table below displays all the Company’s subsidiaries as of March 31, 2019, which, other than GSV Capital Lending, LLC (“GCL”), are collectively referred to as the “GSVC Holdings.” The GSVC Holdings were formed to hold portfolio investments. The GSVC Holdings,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Arial" w:cs="Arial" w:eastAsia="Arial" w:hAnsi="Arial"/>
          <w:sz w:val="17"/>
          <w:szCs w:val="17"/>
          <w:i w:val="1"/>
          <w:iCs w:val="1"/>
          <w:color w:val="auto"/>
        </w:rPr>
        <w:t>Basis of Consolidation</w:t>
      </w:r>
      <w:r>
        <w:rPr>
          <w:rFonts w:ascii="Arial" w:cs="Arial" w:eastAsia="Arial" w:hAnsi="Arial"/>
          <w:sz w:val="17"/>
          <w:szCs w:val="17"/>
          <w:color w:val="auto"/>
        </w:rPr>
        <w:t>” below for further detail.</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Jurisdiction of</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Formation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Incorporation</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GCL</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April 13,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b w:val="1"/>
                <w:bCs w:val="1"/>
                <w:color w:val="auto"/>
              </w:rPr>
              <w:t>Subsidiaries below are referred to collectively, as the “GSVC Holdings”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GSVC AE Holdings, Inc. (“GAE”)</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GSVC AV Holdings, Inc. (“GAV”)</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GSVC NG Holdings, Inc. (“GNG”)</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GSVC SW Holdings, Inc. (“GSW”)</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GSVC WS Holdings, Inc. (“GWS”)</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GSVC SVDS Holdings, Inc. (“SVDS”)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13, 2013</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51"/>
        <w:spacing w:after="0" w:line="297" w:lineRule="auto"/>
        <w:rPr>
          <w:sz w:val="20"/>
          <w:szCs w:val="20"/>
          <w:color w:val="auto"/>
        </w:rPr>
      </w:pPr>
      <w:r>
        <w:rPr>
          <w:rFonts w:ascii="Arial" w:cs="Arial" w:eastAsia="Arial" w:hAnsi="Arial"/>
          <w:sz w:val="16"/>
          <w:szCs w:val="16"/>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51"/>
        <w:spacing w:after="0" w:line="273" w:lineRule="auto"/>
        <w:rPr>
          <w:sz w:val="20"/>
          <w:szCs w:val="20"/>
          <w:color w:val="auto"/>
        </w:rPr>
      </w:pPr>
      <w:r>
        <w:rPr>
          <w:rFonts w:ascii="Arial" w:cs="Arial" w:eastAsia="Arial" w:hAnsi="Arial"/>
          <w:sz w:val="17"/>
          <w:szCs w:val="17"/>
          <w:color w:val="auto"/>
        </w:rPr>
        <w:t>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Services—Investment Companies. In the opinion of management, all adjustments, all of which were of a normal recurring nature, considered necessary for the fair presentation of consolidated financial statements for the interim period have been included.</w:t>
      </w:r>
    </w:p>
    <w:p>
      <w:pPr>
        <w:spacing w:after="0" w:line="17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The results of operations for the current interim period are not necessarily indicative of results that ultimately may be achieved for any other interim period or for the year ending December 31, 2019. The interim unaudited condensed consolidated financial statements and notes hereto should be read in conjunction with the audited condensed consolidated financial statements and notes thereto contained in the Company’s annual report on Form 10-K for the year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consolidated financial statements include its accounts and the accounts of the GSVC Holdings and GCL, its wholly-owned subsidiaries. All intercompany balances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The preparation of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Uncertainties and Risk Factors</w:t>
      </w:r>
    </w:p>
    <w:p>
      <w:pPr>
        <w:spacing w:after="0" w:line="229"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7"/>
          <w:szCs w:val="17"/>
          <w:color w:val="auto"/>
        </w:rPr>
        <w:t>The Company is subject to a number of risks and uncertainties in the nature of its operations, as well as vulnerability due to certain concentrations. Refer to "Risk Factors” in Part II,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at Fair Value</w:t>
      </w:r>
    </w:p>
    <w:p>
      <w:pPr>
        <w:spacing w:after="0" w:line="229"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70"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34" w:lineRule="exact"/>
        <w:rPr>
          <w:sz w:val="20"/>
          <w:szCs w:val="20"/>
          <w:color w:val="auto"/>
        </w:rPr>
      </w:pPr>
    </w:p>
    <w:p>
      <w:pPr>
        <w:jc w:val="both"/>
        <w:ind w:right="20" w:firstLine="351"/>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—Valuations based on unadjusted quoted prices for identical assets or liabilities in an active market that the Company has the ability to access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measurement date.</w:t>
      </w:r>
    </w:p>
    <w:p>
      <w:pPr>
        <w:spacing w:after="0" w:line="162" w:lineRule="exact"/>
        <w:rPr>
          <w:sz w:val="20"/>
          <w:szCs w:val="20"/>
          <w:color w:val="auto"/>
        </w:rPr>
      </w:pPr>
    </w:p>
    <w:p>
      <w:pPr>
        <w:jc w:val="both"/>
        <w:ind w:firstLine="351"/>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—Valuations based on observable inputs other than Level 1 prices,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at the measurement date for substantially the full term of the assets or liabilities.</w:t>
      </w:r>
    </w:p>
    <w:p>
      <w:pPr>
        <w:spacing w:after="0" w:line="176" w:lineRule="exact"/>
        <w:rPr>
          <w:sz w:val="20"/>
          <w:szCs w:val="20"/>
          <w:color w:val="auto"/>
        </w:rPr>
      </w:pPr>
    </w:p>
    <w:p>
      <w:pPr>
        <w:jc w:val="both"/>
        <w:ind w:firstLine="351"/>
        <w:spacing w:after="0" w:line="314" w:lineRule="auto"/>
        <w:rPr>
          <w:sz w:val="20"/>
          <w:szCs w:val="20"/>
          <w:color w:val="auto"/>
        </w:rPr>
      </w:pPr>
      <w:r>
        <w:rPr>
          <w:rFonts w:ascii="Arial" w:cs="Arial" w:eastAsia="Arial" w:hAnsi="Arial"/>
          <w:sz w:val="16"/>
          <w:szCs w:val="16"/>
          <w:b w:val="1"/>
          <w:bCs w:val="1"/>
          <w:color w:val="auto"/>
        </w:rPr>
        <w:t>Level 3</w:t>
      </w:r>
      <w:r>
        <w:rPr>
          <w:rFonts w:ascii="Arial" w:cs="Arial" w:eastAsia="Arial" w:hAnsi="Arial"/>
          <w:sz w:val="16"/>
          <w:szCs w:val="16"/>
          <w:color w:val="auto"/>
        </w:rPr>
        <w:t>—Valuations based on unobservable inputs that reflect management’s best estimate of what market participants would use in pricing the asset or</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46"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88"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7"/>
          <w:szCs w:val="17"/>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71"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93"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management, our Board of Directors or the valuation committee of the Company’s Board of Directors (the “Valuation Committee”), does not reliably represent fair value, shall each be valued as follows:</w:t>
      </w:r>
    </w:p>
    <w:p>
      <w:pPr>
        <w:spacing w:after="0" w:line="181" w:lineRule="exact"/>
        <w:rPr>
          <w:sz w:val="20"/>
          <w:szCs w:val="20"/>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senior management;</w:t>
      </w:r>
    </w:p>
    <w:p>
      <w:pPr>
        <w:spacing w:after="0" w:line="26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independent third-party valuation firm is engaged by the Valuation Committee to conduct independent appraisals and review management’s preliminary valuations and make its own independent assessment, for all investments for which there are no readily available market quotations;</w:t>
      </w:r>
    </w:p>
    <w:p>
      <w:pPr>
        <w:spacing w:after="0" w:line="16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based on the input of management and the independent third-party valuation firm; and</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00" w:lineRule="exact"/>
        <w:rPr>
          <w:sz w:val="20"/>
          <w:szCs w:val="20"/>
          <w:color w:val="auto"/>
        </w:rPr>
      </w:pPr>
    </w:p>
    <w:p>
      <w:pPr>
        <w:spacing w:after="0" w:line="294"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193"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7"/>
          <w:szCs w:val="17"/>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7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87" w:lineRule="exact"/>
        <w:rPr>
          <w:sz w:val="20"/>
          <w:szCs w:val="20"/>
          <w:color w:val="auto"/>
        </w:rPr>
      </w:pPr>
    </w:p>
    <w:p>
      <w:pPr>
        <w:jc w:val="both"/>
        <w:ind w:right="20" w:firstLine="351"/>
        <w:spacing w:after="0" w:line="342" w:lineRule="auto"/>
        <w:rPr>
          <w:sz w:val="20"/>
          <w:szCs w:val="20"/>
          <w:color w:val="auto"/>
        </w:rPr>
      </w:pPr>
      <w:r>
        <w:rPr>
          <w:rFonts w:ascii="Arial" w:cs="Arial" w:eastAsia="Arial" w:hAnsi="Arial"/>
          <w:sz w:val="16"/>
          <w:szCs w:val="16"/>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225"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65" w:lineRule="exact"/>
        <w:rPr>
          <w:sz w:val="20"/>
          <w:szCs w:val="20"/>
          <w:color w:val="auto"/>
        </w:rPr>
      </w:pPr>
    </w:p>
    <w:p>
      <w:pPr>
        <w:jc w:val="both"/>
        <w:ind w:firstLine="351"/>
        <w:spacing w:after="0" w:line="272" w:lineRule="auto"/>
        <w:rPr>
          <w:sz w:val="20"/>
          <w:szCs w:val="20"/>
          <w:color w:val="auto"/>
        </w:rPr>
      </w:pPr>
      <w:r>
        <w:rPr>
          <w:rFonts w:ascii="Arial" w:cs="Arial" w:eastAsia="Arial" w:hAnsi="Arial"/>
          <w:sz w:val="17"/>
          <w:szCs w:val="17"/>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78" w:lineRule="exact"/>
        <w:rPr>
          <w:sz w:val="20"/>
          <w:szCs w:val="20"/>
          <w:color w:val="auto"/>
        </w:rPr>
      </w:pPr>
    </w:p>
    <w:p>
      <w:pPr>
        <w:jc w:val="both"/>
        <w:ind w:firstLine="351"/>
        <w:spacing w:after="0" w:line="272" w:lineRule="auto"/>
        <w:rPr>
          <w:sz w:val="20"/>
          <w:szCs w:val="20"/>
          <w:color w:val="auto"/>
        </w:rPr>
      </w:pPr>
      <w:r>
        <w:rPr>
          <w:rFonts w:ascii="Arial" w:cs="Arial" w:eastAsia="Arial" w:hAnsi="Arial"/>
          <w:sz w:val="17"/>
          <w:szCs w:val="17"/>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reassigned to the cost basis of the new common or preferred stock. These conversions are noted as non-cash operating items on the Condensed Consolidated Statements of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The Company’s Board of Directors will ascribe value to warrants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warrants are valued at estimated fair value as determined by the Company’s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225"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March 31, 2019 and December 31, 2018, for details regarding the nature and composition of the Company’s investment portfolio.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Levelling Policy</w:t>
      </w:r>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Transactions</w:t>
      </w:r>
    </w:p>
    <w:p>
      <w:pPr>
        <w:spacing w:after="0" w:line="22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Securities transactions are accounted for on the date the transaction for the purchase or sale of the securities is entered into by the Company (</w:t>
      </w:r>
      <w:r>
        <w:rPr>
          <w:rFonts w:ascii="Arial" w:cs="Arial" w:eastAsia="Arial" w:hAnsi="Arial"/>
          <w:sz w:val="18"/>
          <w:szCs w:val="18"/>
          <w:i w:val="1"/>
          <w:iCs w:val="1"/>
          <w:color w:val="auto"/>
        </w:rPr>
        <w:t>i.e.</w:t>
      </w:r>
      <w:r>
        <w:rPr>
          <w:rFonts w:ascii="Arial" w:cs="Arial" w:eastAsia="Arial" w:hAnsi="Arial"/>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Other Financial Instruments</w:t>
      </w:r>
    </w:p>
    <w:p>
      <w:pPr>
        <w:spacing w:after="0" w:line="229"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7"/>
          <w:szCs w:val="17"/>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Western Alliance Bank, and Silicon Valley Bank are high-quality financial institutions and that the risk of loss associated with any uninsured balance is remote.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Proceeds Receivable</w:t>
      </w:r>
    </w:p>
    <w:p>
      <w:pPr>
        <w:spacing w:after="0" w:line="225"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During the year ended December 31, 2018, the Company completed the sale of its investments in General Assembly Space, Inc., Lytro, Inc., SugarCRM, Inc., and DreamBox Learning, Inc. A portion of the proceeds from the sale of these portfolio investments and those sold in prior years are held in escrow as a recourse for indemnity claims that may arise under the sale agreement. Amounts held in escrow are held at estimated realizable value and included in net realized gains (losses) on investments in the Condensed Consolidated Statements of Operations for the period in which they occurred. Any remaining escrow proceeds balances from these transactions reasonably expected to be received are reflected on the Condensed Consolidated Statement of Assets and Liabilities as escrow proceeds receivable. At March 31, 2019 and December 31, 2018, the Company had $2,177,555 and $2,494,582, respectively, in escrow proceeds receivable. During the quarter ended March 31, 2019, the Company received escrow proceeds from the sales of SugarCRM, Inc. and DreamBox Learning, Inc. in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25" w:lineRule="exact"/>
        <w:rPr>
          <w:sz w:val="20"/>
          <w:szCs w:val="20"/>
          <w:color w:val="auto"/>
        </w:rPr>
      </w:pPr>
    </w:p>
    <w:p>
      <w:pPr>
        <w:jc w:val="both"/>
        <w:ind w:firstLine="351"/>
        <w:spacing w:after="0" w:line="272" w:lineRule="auto"/>
        <w:rPr>
          <w:sz w:val="20"/>
          <w:szCs w:val="20"/>
          <w:color w:val="auto"/>
        </w:rPr>
      </w:pPr>
      <w:r>
        <w:rPr>
          <w:rFonts w:ascii="Arial" w:cs="Arial" w:eastAsia="Arial" w:hAnsi="Arial"/>
          <w:sz w:val="17"/>
          <w:szCs w:val="17"/>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the shelf registration statement has expired. For equity capital raised, the offering costs reduce paid-in capital resulting from the offering. For debt capital raised, the associated offering costs are amortized over the life of the debt instrument. As of March 31, 2019 and December 31, 2018, the Company had deferred financing costs of $267,541 and $267,541, respectively, on the Condensed Consolidated Statements of Assets and Liabilities.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credit facility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Deferred offering costs</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267,541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267,541</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Financing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267,541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267,541</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52825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351"/>
        <w:spacing w:after="0" w:line="342" w:lineRule="auto"/>
        <w:rPr>
          <w:sz w:val="20"/>
          <w:szCs w:val="20"/>
          <w:color w:val="auto"/>
        </w:rPr>
      </w:pPr>
      <w:r>
        <w:rPr>
          <w:rFonts w:ascii="Arial" w:cs="Arial" w:eastAsia="Arial" w:hAnsi="Arial"/>
          <w:sz w:val="16"/>
          <w:szCs w:val="16"/>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 Costs and Escrow Deposits</w:t>
      </w:r>
    </w:p>
    <w:p>
      <w:pPr>
        <w:spacing w:after="0" w:line="229" w:lineRule="exact"/>
        <w:rPr>
          <w:sz w:val="20"/>
          <w:szCs w:val="20"/>
          <w:color w:val="auto"/>
        </w:rPr>
      </w:pPr>
    </w:p>
    <w:p>
      <w:pPr>
        <w:jc w:val="both"/>
        <w:ind w:firstLine="351"/>
        <w:spacing w:after="0" w:line="273"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At March 31, 2019 and December 31, 2018, the Company had no escrow deposits.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of Investments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Unrealized appreciation or depreciation is calculated as the difference between the fair value of the investment and the cost basis of such investment.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 &amp; Related Deposits</w:t>
      </w:r>
    </w:p>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The Company accounts for its operating leases as prescribed by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lessees to recognize on the balance sheet a right-of-use asset, representing its right to use the underlying asset for the lease term, and a lease liability for all leases with terms greater than 12 months. As of March 31, 2019, the Company is under a lease of less than 12 months. For the three months ended March 31, 2019, the Company incurred $1,826 of rent expense, as reflected on the Condensed Consolidated Statements of Operations. As of March 31, 2019, the Company recorded a security deposit of $16,980 of rental deposit to Other Assets on the Condensed Consolidated Statements of Assets and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and State Income Taxes</w:t>
      </w:r>
    </w:p>
    <w:p>
      <w:pPr>
        <w:spacing w:after="0" w:line="229"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Company meets the Annual Distribution Requirement, but does not distribute (or is not deemed to have distributed) each calendar year a sum of</w:t>
      </w:r>
    </w:p>
    <w:p>
      <w:pPr>
        <w:spacing w:after="0" w:line="46" w:lineRule="exact"/>
        <w:rPr>
          <w:sz w:val="20"/>
          <w:szCs w:val="20"/>
          <w:color w:val="auto"/>
        </w:rPr>
      </w:pPr>
    </w:p>
    <w:p>
      <w:pPr>
        <w:jc w:val="both"/>
        <w:ind w:firstLine="8"/>
        <w:spacing w:after="0" w:line="290"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64"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color w:val="auto"/>
        </w:rPr>
        <w:t>So long as the Company qualifies and maintains its tax treatment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w:t>
      </w:r>
    </w:p>
    <w:p>
      <w:pPr>
        <w:spacing w:after="0" w:line="165"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Information</w:t>
      </w:r>
    </w:p>
    <w:p>
      <w:pPr>
        <w:spacing w:after="0" w:line="229"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color w:val="auto"/>
        </w:rPr>
        <w:t xml:space="preserve">Basic net increase/(decrease) in net assets resulting from operations per common share is computed using the weighted-average number of shares outstanding for the period presented. Diluted net increase/(decrease)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w:t>
      </w:r>
      <w:r>
        <w:rPr>
          <w:rFonts w:ascii="Arial" w:cs="Arial" w:eastAsia="Arial" w:hAnsi="Arial"/>
          <w:sz w:val="16"/>
          <w:szCs w:val="16"/>
          <w:i w:val="1"/>
          <w:iCs w:val="1"/>
          <w:color w:val="auto"/>
        </w:rPr>
        <w:t>FASB ASC 260, Earnings Per Share</w:t>
      </w:r>
      <w:r>
        <w:rPr>
          <w:rFonts w:ascii="Arial" w:cs="Arial" w:eastAsia="Arial" w:hAnsi="Arial"/>
          <w:sz w:val="16"/>
          <w:szCs w:val="16"/>
          <w:color w:val="auto"/>
        </w:rPr>
        <w:t xml:space="preserve"> (“ASC 260”) to determine the number of potentially dilutive shares outstanding. Refer to “Note 6—Net Increase in Net Assets Resulting from Operations per Common Share—Basic and Diluted” for further detail.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 xml:space="preserve">In July 2017, the FASB issued ASU 2017-13 which addressed the application of ASU 2014-9,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 it relates to adoption period for entities not otherwise required to adopt the new revenue recognition standard, but whose financial statements or financial information are included in another entity’s filing with the Securities and Exchange Commission (the "SEC"). ASU 2014-9, issued by FASB in May 2014, and related amendments, provide comprehensive guidance for recognizing revenue from contracts with customers. Entities will be able to recognize revenue when the entity transfers promised goods or services to customers in an amount that reflects the consideration to which the entity expects to be entitled to in exchange for those goods or services. The guidance in ASU 2014-9, and the related amendments, is effective for the Company on January 1, 2018. The Company adopted the ASU, which did not have a material impact on the Company's condensed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August 2018, the FASB issued ASU 2018-13, which changes the fair value measurement disclosure requirements of </w:t>
      </w:r>
      <w:r>
        <w:rPr>
          <w:rFonts w:ascii="Arial" w:cs="Arial" w:eastAsia="Arial" w:hAnsi="Arial"/>
          <w:sz w:val="17"/>
          <w:szCs w:val="17"/>
          <w:i w:val="1"/>
          <w:iCs w:val="1"/>
          <w:color w:val="auto"/>
        </w:rPr>
        <w:t>FASB ASC 820,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The guidance is effective for all entities for interim and annual periods beginning after December 15, 2019. Early adoption is permitted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or modified disclosure requirements upon issuance of the guidance. The Company did not early adopt the eliminated and modified disclosure requirements during the three months ended March 31, 2019, but plans to adopt the guidance upon its effective date.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3—RELATED-PARTY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Internalization of Company’s Operating Structure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and effective March 12, 2019 (the "Effective Date"), our Board of Directors approved internalizing our operating structure and we began operating as an internally managed non-diversified closed-end management investment company that has elected to be regulated as a BDC under the 1940 Act. Prior to the Effective Date, we were externally managed by our former investment adviser, GSV Asset Management, pursuant to the “Investment Advisory Agreement, and our former administrator, GSV Capital Service Company, provided the administrative services necessary for our operations pursuant to the Administration Agreement.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accounting implications and related controls associated with the Internalization continue to be analyzed and updated for fiscal year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Investment Advisory Agreement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and effective March 12, 2019, the Investment Advisory Agreement was terminated by mutual agreement of GSV Asset Management and us in connection with our Internalization.</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our Internalization, GSV Asset Management served as our external investment adviser pursuant to the Investment Advisory Agreement. Pursuant to the terms of the Investment Advisory Agreement, we paid GSV Asset Management a fee for its services consisting of two components - a base management fee and an incentive fee. The base management fee was calculated at an annual rate of 2.00% of our gross assets (our total assets as reflected on our balance sheet with no deduction for liabilities). The incentive fee was determined and payable in arrears as of the end of each calendar year (or upon termination of the Investment Advisory Agreement, as of the termination date), and equaled the lesser of (i) 20% of our realized capital gains during such calendar year, if any, calculated on an investment-by-investment basis, subject to a non-compounded preferred return, or “hurdle” of 8.00% per year,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 See “—Investment Advisory Agreement” below.</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the Investment Advisory Agreement has been terminated, there will be no base management fees or incentives fees payable to GSV Asset Management going forward, and Mr. Klein no longer has a consulting agreement or any other affiliation with GSV Asset Management. See “—Investment Advisory Agreement”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Administration Agreement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and effective March 12, 2019, the Administration Agreement was terminated by mutual agreement of GSV Capital Service Company and us in connection with our Internalization.</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Prior to our Internalization, GSV Capital Service Company served as our external administrator and provided administrative services necessary for our operations, including but not limited to, furnishing us with office facilities, equipment and clerical, bookkeeping and record keeping services at such facilities, as well as providing us with certain other administrative services, including, but not limited to, assisting us with determining and publishing our net asset value, overseeing the preparation and filing of our tax returns and the printing and dissemination of reports to our stockholders.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Administration Agreement, we did not pay any fees to GSV Capital Service Company but reimbursed GSV Capital Service Company for our allocable portion of overhead and other expenses incurred by GSV Capital Service Company in performing its services under the Administration Agreement, including, but not limited to, fees and expenses associated with performing compliance functions and our allocable portion of rent and compensation of our President, Chief Financial Officer, Chief Compliance Officer and other staff providing administrative services. There were $306,084 and $424,145 in such costs incurred under the Administration Agreement for the three months ended March 31, 2019 and 2018 respectively. See “—Administration Agreement” below.</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the Administration Agreement has been terminated, there will be no costs incurred by GSV Capital Service Company going forward.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Departure of Director and Reduction of Number of Directors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and effective March 12, 2019, Michael T. Moe resigned from our Board of Directors in connection with our Internalization. As a result of Mr. Moe’s resignation, our Board of Directors reduced the number of directors that constitute our full Board of Directors to five directors from six directors in accordance with our bylaws. Mr. Moe will continue to provide services to us pursuant to the Consulting Agreement (as defined below). See “—Consulting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and effective March 12, 2019, we entered into a Consulting Agreement (the “Consulting Agreement”) with Michael T. Moe, the former Chairman of our Board of Directors and the Chief Executive Officer and Chief Investment Officer of GSV Asset Management, for the purpose of assisting us with certain transition services following the termination of the Investment Advisory Agreement and our Internalization. Pursuant to the Consulting Agreement, Mr. Moe will provide certain transition services to us related to our existing portfolio investments for which Mr. Moe previously had oversight in his role as the Chief Executive Officer and Chief Investment Officer of GSV Asset Management. Such transition services will include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19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term of the Consulting Agreement commenced on March 12, 2019 and will continue for eighteen months, unless the parties thereto mutually agree to extend the Consulting Agreement for an additional period. Pursuant to the Consulting Agreement, we will pay Mr. Moe a total amount equal to $1,250,000.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Trademark License Agreement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and effective March 12, 2019, we entered into an Amended and Restated Trademark License Agreement (the “Amended and Restated License Agreement”) with GSV Asset Management in connection with termination of the Investment Advisory Agreement. See “—Termination of Investment Advisory Agreement.”</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term of the Amended and Restated License Agreement commenced on March 12, 2019 and will continue for eighteen months, unless the parties thereto mutually agree to extend the Amended and Restated License Agreement for an additional period. Pursuant to the Amended and Restated License Agreement, we will pay GSV Asset Management a total amount equal to $1,250,000.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12, 2019, in connection with the Company's Internalization, the Investment Advisory Agreement was terminated in accordance with its terms.</w:t>
      </w:r>
    </w:p>
    <w:p>
      <w:pPr>
        <w:spacing w:after="0" w:line="248" w:lineRule="exact"/>
        <w:rPr>
          <w:sz w:val="20"/>
          <w:szCs w:val="20"/>
          <w:color w:val="auto"/>
        </w:rPr>
      </w:pPr>
    </w:p>
    <w:p>
      <w:pPr>
        <w:jc w:val="both"/>
        <w:ind w:firstLine="351"/>
        <w:spacing w:after="0" w:line="273" w:lineRule="auto"/>
        <w:rPr>
          <w:sz w:val="20"/>
          <w:szCs w:val="20"/>
          <w:color w:val="auto"/>
        </w:rPr>
      </w:pPr>
      <w:r>
        <w:rPr>
          <w:rFonts w:ascii="Arial" w:cs="Arial" w:eastAsia="Arial" w:hAnsi="Arial"/>
          <w:sz w:val="17"/>
          <w:szCs w:val="17"/>
          <w:color w:val="auto"/>
        </w:rPr>
        <w:t>Prior to our Internalization on March 12, 2019, the Company had entered into the Investment Advisory Agreement with GSV Asset Management. Under the terms of the Investment Advisory Agreement, GSV Asset Management was paid a quarterly management fee and an annual incentive fee. GSV Asset Management is controlled by Michael T. Moe, the former Chairman of the Company’s Board of Directors. Mr. Moe, through his ownership interest in GSV Asset Management, was entitled to a portion of any profits earned by GSV Asset Management in performing its services under the Investment Advisory Agreement. Mr. Moe serves as the principal of GSV Asset Management and manages the business and internal affairs of GSV Asset Management. Mark Klein, the Company’s Chief Executive Officer, President, and a member of the Company’s Board of Directors, or entities with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which he is affiliated, received consulting fees from GSV Asset Management equal to a percentage of each of the base management fee and the incentive fee paid by the Company to GSV Asset Management pursuant to a consulting agreement with GSV Asset Management. As the Investment Advisory Agreement has been terminated, Mr. Klein no longer has a consulting agreement or any other affiliation with GSV Asset Management.</w:t>
      </w:r>
    </w:p>
    <w:p>
      <w:pPr>
        <w:spacing w:after="0" w:line="166"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Under the Investment Advisory Agreement, there were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had, however, adopted an internal policy whereby any fees or compensation received by a manager, partner, officer or employee of GSV Asset Management in exchange for serving as a director of, or providing consulting services to, any of the Company’s portfolio companies would be transferred to the Company, net of any personal taxes incurred, upon such receipt for the benefit of the Company and its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terms of the Investment Advisory Agreement, GSV Asset Management was paid a base management fee of 2.00% of gross assets, which is the Company’s total assets reflected on its Condensed Consolidated Statements of Assets and Liabilities (with no deduction for liabilities) reduced by any non-portfolio investments. During the month of January 2018, pursuant to a voluntary waiver by GSV Asset Management, the Company paid GSV Asset Management a base management fee of 1.75%, a 0.25% reduction from the 2.00% base management fee payable under the Investment Advisory Agreement. On February 2, 2018 GSV Asset Management voluntarily agreed to reduce fees payable under the Investment Advisory Agreement (the “Waiver Agreement”). Pursuant to the Waiver Agreement, effective February 1, 2018, the base management fee is reduced to 1.75% of the Company’s gross assets, as further described below. The waiver of a portion of the base management fee is not subject to recourse against or reimbursement by the Company.</w:t>
      </w:r>
    </w:p>
    <w:p>
      <w:pPr>
        <w:spacing w:after="0" w:line="167"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7"/>
          <w:szCs w:val="17"/>
          <w:color w:val="auto"/>
        </w:rPr>
        <w:t>GSV Asset Management earned $848,723 and $1,323,576 in management fees for the three months ended March 31, 2019 and 2018, respectively, and waived $0 and $154,944 in management fees for the three months ended March 31, 2019 and 2018, respectively. As the Investment Advisory Agreement has been terminated, there will be no base management fee payable to GSV Asset Management going forward.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firstLine="351"/>
        <w:spacing w:after="0" w:line="273" w:lineRule="auto"/>
        <w:rPr>
          <w:sz w:val="20"/>
          <w:szCs w:val="20"/>
          <w:color w:val="auto"/>
        </w:rPr>
      </w:pPr>
      <w:r>
        <w:rPr>
          <w:rFonts w:ascii="Arial" w:cs="Arial" w:eastAsia="Arial" w:hAnsi="Arial"/>
          <w:sz w:val="17"/>
          <w:szCs w:val="17"/>
          <w:color w:val="auto"/>
        </w:rPr>
        <w:t>Under the terms of the Investment Advisory Agreement, GSV Asset Management was paid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Effective February 1, 2018, the incentive fee paid by the Company to GSV Asset Management under the Investment Advisory Agreement was modified pursuant to the terms of the Waiver Agreement, as further described below.</w:t>
      </w:r>
    </w:p>
    <w:p>
      <w:pPr>
        <w:spacing w:after="0" w:line="178"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7"/>
          <w:szCs w:val="17"/>
          <w:color w:val="auto"/>
        </w:rPr>
        <w:t>The Company was required to accrue incentive fees for all periods as if the Company had fully liquidated its entire investment portfolio at the fair value stated on the Condensed Consolidated Statements of Assets and Liabilities as of March 31, 2019 and December 31, 2018 or prior to the termination of the Investment Advisory Agreement. The accrual considered both the hypothetical liquidation of the Company’s portfolio described previously, as well as the Company’s actual cumulative realized gains and losses since inception, as well any previously paid incentive fees.</w:t>
      </w:r>
    </w:p>
    <w:p>
      <w:pPr>
        <w:spacing w:after="0" w:line="171"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7"/>
          <w:szCs w:val="17"/>
          <w:color w:val="auto"/>
        </w:rPr>
        <w:t>For the three months ended March 31, 2019, the Company reversed previously accrued incentive fees of $4,660,472 due to the termination of the Investment Advisory Agreement. For the three months ended March 31, 2018, the Company accrued incentive fees of $1,471,334. Pursuant to the Waiver Agreement, on February 2, 2018, GSV Asset Management forfeited $5.0 million of the the accrued incentive fees. As the Investment Advisory Agreement has been terminated, there will be no incentive fee payable to GSV Asset Management going forward.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 Waiver Agreement</w:t>
      </w:r>
    </w:p>
    <w:p>
      <w:pPr>
        <w:spacing w:after="0" w:line="225"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On February 2, 2018, GSV Asset Management voluntarily agreed to reduce the fees payable under the Investment Advisory Agreement pursuant to the Waiver Agreement. The Waiver Agreement was effective beginning February 1, 2018 and changed the fee structure set forth in the Investment Advisory Agreement by: (i) reducing the Company’s base management fee from 2.00% to 1.75%; and (ii) creating certain high-water marks that must be reached before any incentive fee is paid to GSV Asset Management. In addition to the changes to the fee structure, GSV Asset Management also agreed to a one-time forfeiture of $5.0 million of previously accrued but unpaid incentive fees.</w:t>
      </w:r>
    </w:p>
    <w:p>
      <w:pPr>
        <w:spacing w:after="0" w:line="188" w:lineRule="exact"/>
        <w:rPr>
          <w:sz w:val="20"/>
          <w:szCs w:val="20"/>
          <w:color w:val="auto"/>
        </w:rPr>
      </w:pPr>
    </w:p>
    <w:p>
      <w:pPr>
        <w:jc w:val="both"/>
        <w:ind w:firstLine="351"/>
        <w:spacing w:after="0" w:line="289" w:lineRule="auto"/>
        <w:rPr>
          <w:sz w:val="20"/>
          <w:szCs w:val="20"/>
          <w:color w:val="auto"/>
        </w:rPr>
      </w:pPr>
      <w:r>
        <w:rPr>
          <w:rFonts w:ascii="Arial" w:cs="Arial" w:eastAsia="Arial" w:hAnsi="Arial"/>
          <w:sz w:val="16"/>
          <w:szCs w:val="16"/>
          <w:color w:val="auto"/>
        </w:rPr>
        <w:t>Pursuant to the Waiver Agreement, effective February 1, 2018, the base management fee was reduced to 1.75% of the Company’s gross assets. The base management fee was calculated based on the average value of the Company’s gross assets at the end of the two most recently completed calendar quarters, and appropriately adjusted for any equity or debt capital raises, repurchases or redemptions during the current calendar quarter. The base management fee for any partial month or quarter will be appropriately prorated. In addition, because the Company's 5.25% Convertible Senior Notes matured on September 15, 2018 (the "5.25% Convertible Senior Notes due 2018"), the Company was previously carrying a larger cash balance than it would in the ordinary course of its business. As a result, under the Waiver Agreement, GSV Asset Management agreed to waive its base management fee on any cash balances effective February 1, 2018 until the 5.25% Convertible Senior Notes due 2018 matured on September 15, 2018, at which time the Company repaid the remaining outstanding aggregate principal amount of the 5.25% Convertible Senior Notes due 2018, including accrued but unpaid interest. As a result, as of and after September 15, 2018, the Company paid GSV Asset Management a 1.75% base management fee on its cash balances.</w:t>
      </w:r>
    </w:p>
    <w:p>
      <w:pPr>
        <w:spacing w:after="0" w:line="167"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Pursuant to the Waiver Agreement, in addition to the “hurdle” feature in the incentive fee, GSV Asset Management had agreed to additional conditions on its ability to receive an incentive fee. Specifically, the Waiver Agreement provided that an incentive fee earned by GSV Asset Management under the Investment Advisory Agreement would be payable to GSV Asset Management only if, at the time that such incentive fee becomes payable under the Investment Advisory Agreement, both the Company’s stock price and its last reported net asset value per share were equal to, or greater than, $12.55 (the “High-Water Mark”). The High-Water Mark was based upon the volume weighted average price (VWAP) of all the Company’s equity offerings since its initial public offering, less the dollar amount of all dividends paid by the Company since inception. Upon such time that the High-Water Mark was achieved, and GSV Asset Management was paid an incentive fee, a new High-Water Mark would have been established. Each new High-Water Mark would have been equal to the most recent High-Water Mark, plus 10%. Any High-Water Mark then in effect would have been adjusted to reflect any dividends paid by the Company or any stock split effected by the Company.</w:t>
      </w:r>
    </w:p>
    <w:p>
      <w:pPr>
        <w:spacing w:after="0" w:line="182"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For the avoidance of doubt, after the effective date of the Waiver Agreement, under no circumstances would the aggregate fees earned by GSV Asset Management in any quarterly period have been higher than those aggregate fees that would have been earned prior to the effectiveness of the Waiver Agreement.</w:t>
      </w:r>
    </w:p>
    <w:p>
      <w:pPr>
        <w:spacing w:after="0" w:line="181" w:lineRule="exact"/>
        <w:rPr>
          <w:sz w:val="20"/>
          <w:szCs w:val="20"/>
          <w:color w:val="auto"/>
        </w:rPr>
      </w:pPr>
    </w:p>
    <w:p>
      <w:pPr>
        <w:jc w:val="both"/>
        <w:ind w:firstLine="351"/>
        <w:spacing w:after="0" w:line="308" w:lineRule="auto"/>
        <w:rPr>
          <w:sz w:val="20"/>
          <w:szCs w:val="20"/>
          <w:color w:val="auto"/>
        </w:rPr>
      </w:pPr>
      <w:r>
        <w:rPr>
          <w:rFonts w:ascii="Arial" w:cs="Arial" w:eastAsia="Arial" w:hAnsi="Arial"/>
          <w:sz w:val="17"/>
          <w:szCs w:val="17"/>
          <w:color w:val="auto"/>
        </w:rPr>
        <w:t>As of each of March 31, 2019 and December 31, 2018, there were no receivables owed to the Company by GSV Asset Management. As the Investment Advisory Agreement has been terminated, there will be no receivables owed to the Company by GSV Asset Management going forward.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March 12, 2019, in connection with the Company's Internalization, the Administration Agreement was terminated in accordance with its terms.</w:t>
      </w:r>
    </w:p>
    <w:p>
      <w:pPr>
        <w:spacing w:after="0" w:line="237"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color w:val="auto"/>
        </w:rPr>
        <w:t>Prior to the Internalization, the Company had entered into the Administration Agreement with GSV Capital Service Company to provide administrative services, including furnishing the Company with office facilities, equipment, clerical, bookkeeping, record keeping services, and other administrative services. The Company reimbursed GSV Capital Service Company an allocable portion of overhead and other expenses in performing its obligations under the Administration Agreement, including a portion of the rent and the compensation of the Company’s President, Chief Financial Officer, Chief Compliance Officer and other staff providing administrative services. While there was no limit on the total amount of expenses the Company may have been required to reimburse to GSV Capital Service Company, GSV Capital Service Company would only charge the Company for the actual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expenses GSV Capital Service Company incurred on the Company’s behalf, or the Company’s allocable portion thereof, without any profit to GSV Capital Service Company. There were $306,084 and $424,145 in such costs incurred under the Administration Agreement for the three months ended March 31, 2019 and 2018, respectively. As the Administration Agreement has been terminated, there will be no costs incurred by GSV Capital Service Company going forward.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GSV Asset Management</w:t>
      </w:r>
    </w:p>
    <w:p>
      <w:pPr>
        <w:spacing w:after="0" w:line="225"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GSV Asset Management wholly owns and controls GSV Capital Service Company, which is a disregarded entity for tax purposes. As of each of March 31, 2019 and December 31, 2018, the Company owed GSV Asset Management, via the Administration Agreement with GSV Capital Service Company, $207,710 and $0, respectively, primarily for the reimbursement of overhead allocation expenses and travel expenses, pursuant to the Administration Agreement. As the Administration Agreement has been terminated, there will be no payments due to GSV Capital Service Company going forward.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12, 2019, in connection with the Company's Internalization, as of the Effective Date, the Company entered into the Amended and Restated Trademark License Agreement to use the trade name “GSV”, and other state or unregistered “GSV” marks, including the trading symbol “GSVC.” for a period of up to eighteen months and a predetermined fee of $1,250,000.</w:t>
      </w:r>
    </w:p>
    <w:p>
      <w:pPr>
        <w:spacing w:after="0" w:line="181"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color w:val="auto"/>
        </w:rPr>
        <w:t>Prior to the Internalization on March 12, 2019, the Company entered into a license agreement with GSV Asset Management pursuant to which GSV Asset Management had agreed to grant the Company a non-exclusive, royalty-free license to use the name “GSV.” Under this agreement, the Company had the right to use the GSV name for so long as the Investment Advisory Agreement with GSV Asset Management is in effect. Other than with respect to this limited license, the Company has no legal right to the “GSV” name. For the three months ended March 31, 2019, the Company incurred $42,563 of licensing expense, as reflected on the Condensed Consolidated Statements of Operations. As of March 31, 2019, the Company recorded $457,437 of prepaid expense related to the Amended and Restated Trademark License Agreement on the Condensed Consolidated Statements of Assets and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Arrangements</w:t>
      </w:r>
    </w:p>
    <w:p>
      <w:pPr>
        <w:spacing w:after="0" w:line="229"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6"/>
          <w:szCs w:val="16"/>
          <w:color w:val="auto"/>
        </w:rPr>
        <w:t>Mark Moe, who is the brother of Michael Moe, the former Chairman of the Company’s Board of Directors, serves as Vice President of Business Development, Global Expansion for NestGSV, Inc. (d/b/a GSV Labs, Inc.), one of the Company’s portfolio companies. Ron Johnson, the Chief Executive Officer of Enjoy Technology, Inc., one of the Company’s portfolio companies, is the brother-in-law of the Company’s former President, Mark Flynn. As of March 31, 2019, the fair values of the Company’s investments in NestGSV, Inc. and Enjoy Technology, Inc. were $4,151,909 and $9,716,388, respectively.</w:t>
      </w:r>
    </w:p>
    <w:p>
      <w:pPr>
        <w:spacing w:after="0" w:line="15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addition, the Company’s executive officers and directors, and the principals of the Company’s former investment adviser, GSV Asset Management,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87"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1940 Act prohibits the Company from participating in certain negotiated co-investments with certain affiliates unless it receives an order from the SEC permitting it to do so.</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GSV Asset Management and certain of their affiliates had submitted an exemptive relief application to the SEC to permit the Company to co-invest with other funds managed by GSV Asset Management or its affiliates in a manner consistent with the Company’s investment objectives and the conditions to the application. As a result of the Internalization, the Company and GSV Asset Management withdrew such exemptive application on April 2, 2019 because the relief sought was no longer necessary.</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a business development company, the Company is prohibited under the 1940 Act from participating in certain transactions with certain of its affiliates without the prior approval of the Board of Directors, including its independent directors, and, in some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cases, the SEC. The affiliates with which the Company may be prohibited from transacting include its officers, directors and employees and any person controlling or under common control with the Company, subject to certain exceptions.</w:t>
      </w:r>
    </w:p>
    <w:p>
      <w:pPr>
        <w:spacing w:after="0" w:line="170"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6"/>
          <w:szCs w:val="16"/>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4—INVESTMENTS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 Composition</w:t>
      </w:r>
    </w:p>
    <w:p>
      <w:pPr>
        <w:spacing w:after="0" w:line="229"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7"/>
          <w:szCs w:val="17"/>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also, from time to time, invest in U.S. Treasury securities. Non-portfolio investments represent investments in U.S. Treasury securities. At March 31, 2019, the Company had 53 positions in 26 portfolio companies. As of December 31, 2018, the Company had 55 positions in 26 portfolio companies.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summarize the composition of the Company’s investment portfolio by security type at cost and fair value as of March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2019</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3"/>
                <w:szCs w:val="13"/>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30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Fair Value</w:t>
            </w:r>
          </w:p>
        </w:tc>
        <w:tc>
          <w:tcPr>
            <w:tcW w:w="156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Net Assets</w:t>
            </w: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60" w:type="dxa"/>
            <w:vAlign w:val="bottom"/>
          </w:tcPr>
          <w:p>
            <w:pPr>
              <w:jc w:val="right"/>
              <w:ind w:right="373"/>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11"/>
        </w:trPr>
        <w:tc>
          <w:tcPr>
            <w:tcW w:w="1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Portfolio</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Companies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48,424,535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44,401,135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48,424,535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48,517,824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85,425,552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104,723,590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89,715,085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99,856,159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Arial" w:cs="Arial" w:eastAsia="Arial" w:hAnsi="Arial"/>
                <w:sz w:val="18"/>
                <w:szCs w:val="18"/>
                <w:color w:val="auto"/>
              </w:rPr>
              <w:t>Debt Investments</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6,823,051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2,418,773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9,156,012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5,584,994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209,761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209,761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267,446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5"/>
        </w:trPr>
        <w:tc>
          <w:tcPr>
            <w:tcW w:w="19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Private Portfolio</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28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140,882,899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151,550,998</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147,505,393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154,226,423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Publicly Traded</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w w:val="95"/>
              </w:rPr>
              <w:t>Portfolio Companies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24,344,120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62,020,466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23,659,010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44,589,406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Portfolio</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Investments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165,227,019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213,571,464</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171,164,403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198,815,829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5"/>
        </w:trPr>
        <w:tc>
          <w:tcPr>
            <w:tcW w:w="19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Non-Portfolio</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tcPr>
          <w:p>
            <w:pPr>
              <w:ind w:left="200"/>
              <w:spacing w:after="0"/>
              <w:rPr>
                <w:sz w:val="20"/>
                <w:szCs w:val="20"/>
                <w:color w:val="auto"/>
              </w:rPr>
            </w:pPr>
            <w:r>
              <w:rPr>
                <w:rFonts w:ascii="Arial" w:cs="Arial" w:eastAsia="Arial" w:hAnsi="Arial"/>
                <w:sz w:val="18"/>
                <w:szCs w:val="18"/>
                <w:b w:val="1"/>
                <w:bCs w:val="1"/>
                <w:color w:val="auto"/>
              </w:rPr>
              <w:t>Investments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bill</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99,961,333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99,980,000</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99,982,067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99,994,000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57"/>
        </w:trPr>
        <w:tc>
          <w:tcPr>
            <w:tcW w:w="1900" w:type="dxa"/>
            <w:vAlign w:val="bottom"/>
          </w:tcPr>
          <w:p>
            <w:pPr>
              <w:ind w:left="40"/>
              <w:spacing w:after="0"/>
              <w:rPr>
                <w:sz w:val="20"/>
                <w:szCs w:val="20"/>
                <w:color w:val="auto"/>
              </w:rPr>
            </w:pPr>
            <w:r>
              <w:rPr>
                <w:rFonts w:ascii="Arial" w:cs="Arial" w:eastAsia="Arial" w:hAnsi="Arial"/>
                <w:sz w:val="18"/>
                <w:szCs w:val="18"/>
                <w:b w:val="1"/>
                <w:bCs w:val="1"/>
                <w:color w:val="auto"/>
              </w:rPr>
              <w:t>Total Investments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265,188,352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313,551,464</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271,146,470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298,809,829</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ind w:right="71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industrial and geographic compositions of the Company’s portfolio at fair value as of March 31, 2019 and December 31, 2018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 March 31, 2019</w:t>
            </w:r>
          </w:p>
        </w:tc>
        <w:tc>
          <w:tcPr>
            <w:tcW w:w="1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As of December 31, 2018</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6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Portfolio</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Net Assets</w:t>
            </w: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Portfolio</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250"/>
        </w:trPr>
        <w:tc>
          <w:tcPr>
            <w:tcW w:w="18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Industry</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Education Technology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72,333,904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64,480,375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Marketplaces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58,535,271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51,929,440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Big Data/Cloud</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49,211,263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39,964,377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Social/Mobile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32,560,829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41,691,439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Sustainability</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930,197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750,198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213,571,464</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198,815,829</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 March 31, 2019</w:t>
            </w:r>
          </w:p>
        </w:tc>
        <w:tc>
          <w:tcPr>
            <w:tcW w:w="1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As of December 31, 2018</w:t>
            </w: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1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60" w:type="dxa"/>
            <w:vAlign w:val="bottom"/>
          </w:tcPr>
          <w:p>
            <w:pPr>
              <w:spacing w:after="0"/>
              <w:rPr>
                <w:sz w:val="13"/>
                <w:szCs w:val="13"/>
                <w:color w:val="auto"/>
              </w:rPr>
            </w:pPr>
          </w:p>
        </w:tc>
        <w:tc>
          <w:tcPr>
            <w:tcW w:w="1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Geographic Region</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191,727,821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167,687,933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4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Mid-west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422,678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Northeast</w:t>
            </w: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550,997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4,414,536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20,869,968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26,713,360</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57"/>
        </w:trPr>
        <w:tc>
          <w:tcPr>
            <w:tcW w:w="18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213,571,464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198,815,829</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ind w:right="69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-2331720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composition of the Company’s industrial themes presented above: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Industry Theme</w:t>
            </w:r>
          </w:p>
        </w:tc>
        <w:tc>
          <w:tcPr>
            <w:tcW w:w="120" w:type="dxa"/>
            <w:vAlign w:val="bottom"/>
          </w:tcPr>
          <w:p>
            <w:pPr>
              <w:spacing w:after="0"/>
              <w:rPr>
                <w:sz w:val="16"/>
                <w:szCs w:val="16"/>
                <w:color w:val="auto"/>
              </w:rPr>
            </w:pPr>
          </w:p>
        </w:tc>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Industry</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Education Technology</w:t>
            </w:r>
          </w:p>
        </w:tc>
        <w:tc>
          <w:tcPr>
            <w:tcW w:w="7640" w:type="dxa"/>
            <w:vAlign w:val="bottom"/>
          </w:tcPr>
          <w:p>
            <w:pPr>
              <w:ind w:left="20"/>
              <w:spacing w:after="0"/>
              <w:rPr>
                <w:sz w:val="20"/>
                <w:szCs w:val="20"/>
                <w:color w:val="auto"/>
              </w:rPr>
            </w:pPr>
            <w:r>
              <w:rPr>
                <w:rFonts w:ascii="Arial" w:cs="Arial" w:eastAsia="Arial" w:hAnsi="Arial"/>
                <w:sz w:val="18"/>
                <w:szCs w:val="18"/>
                <w:color w:val="auto"/>
              </w:rPr>
              <w:t>Business Education</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Computer Software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Corporate Education</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Education Media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Education Software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Education Technology</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E-Transcript Exchange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Interactive Learning</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Online Education</w:t>
            </w:r>
          </w:p>
        </w:tc>
      </w:tr>
      <w:tr>
        <w:trPr>
          <w:trHeight w:val="27"/>
        </w:trPr>
        <w:tc>
          <w:tcPr>
            <w:tcW w:w="3780" w:type="dxa"/>
            <w:vAlign w:val="bottom"/>
            <w:tcBorders>
              <w:bottom w:val="single" w:sz="8" w:color="auto"/>
            </w:tcBorders>
            <w:gridSpan w:val="2"/>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Big Data/Cloud</w:t>
            </w:r>
          </w:p>
        </w:tc>
        <w:tc>
          <w:tcPr>
            <w:tcW w:w="7640" w:type="dxa"/>
            <w:vAlign w:val="bottom"/>
          </w:tcPr>
          <w:p>
            <w:pPr>
              <w:ind w:left="20"/>
              <w:spacing w:after="0"/>
              <w:rPr>
                <w:sz w:val="20"/>
                <w:szCs w:val="20"/>
                <w:color w:val="auto"/>
              </w:rPr>
            </w:pPr>
            <w:r>
              <w:rPr>
                <w:rFonts w:ascii="Arial" w:cs="Arial" w:eastAsia="Arial" w:hAnsi="Arial"/>
                <w:sz w:val="18"/>
                <w:szCs w:val="18"/>
                <w:color w:val="auto"/>
              </w:rPr>
              <w:t>Cloud Computing Services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Data Analysis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Social Cognitive Learning</w:t>
            </w:r>
          </w:p>
        </w:tc>
      </w:tr>
      <w:tr>
        <w:trPr>
          <w:trHeight w:val="27"/>
        </w:trPr>
        <w:tc>
          <w:tcPr>
            <w:tcW w:w="3780" w:type="dxa"/>
            <w:vAlign w:val="bottom"/>
            <w:tcBorders>
              <w:bottom w:val="single" w:sz="8" w:color="auto"/>
            </w:tcBorders>
            <w:gridSpan w:val="2"/>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Marketplaces</w:t>
            </w:r>
          </w:p>
        </w:tc>
        <w:tc>
          <w:tcPr>
            <w:tcW w:w="7640" w:type="dxa"/>
            <w:vAlign w:val="bottom"/>
          </w:tcPr>
          <w:p>
            <w:pPr>
              <w:ind w:left="20"/>
              <w:spacing w:after="0"/>
              <w:rPr>
                <w:sz w:val="20"/>
                <w:szCs w:val="20"/>
                <w:color w:val="auto"/>
              </w:rPr>
            </w:pPr>
            <w:r>
              <w:rPr>
                <w:rFonts w:ascii="Arial" w:cs="Arial" w:eastAsia="Arial" w:hAnsi="Arial"/>
                <w:sz w:val="18"/>
                <w:szCs w:val="18"/>
                <w:color w:val="auto"/>
              </w:rPr>
              <w:t>Financial Services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Global Innovation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Knowledge Networks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On-Demand Commerce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On-Demand Transportation</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Micromobility</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Online Marketplace Finance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Peer-to-Peer Pet Services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Social/Mobile</w:t>
            </w:r>
          </w:p>
        </w:tc>
        <w:tc>
          <w:tcPr>
            <w:tcW w:w="7640" w:type="dxa"/>
            <w:vAlign w:val="bottom"/>
          </w:tcPr>
          <w:p>
            <w:pPr>
              <w:ind w:left="20"/>
              <w:spacing w:after="0"/>
              <w:rPr>
                <w:sz w:val="20"/>
                <w:szCs w:val="20"/>
                <w:color w:val="auto"/>
              </w:rPr>
            </w:pPr>
            <w:r>
              <w:rPr>
                <w:rFonts w:ascii="Arial" w:cs="Arial" w:eastAsia="Arial" w:hAnsi="Arial"/>
                <w:sz w:val="18"/>
                <w:szCs w:val="18"/>
                <w:color w:val="auto"/>
              </w:rPr>
              <w:t>Digital Media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Social Networking</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On-Demand Music Streaming</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Social Data Platform</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Sustainability</w:t>
            </w:r>
          </w:p>
        </w:tc>
        <w:tc>
          <w:tcPr>
            <w:tcW w:w="7640" w:type="dxa"/>
            <w:vAlign w:val="bottom"/>
          </w:tcPr>
          <w:p>
            <w:pPr>
              <w:ind w:left="20"/>
              <w:spacing w:after="0"/>
              <w:rPr>
                <w:sz w:val="20"/>
                <w:szCs w:val="20"/>
                <w:color w:val="auto"/>
              </w:rPr>
            </w:pPr>
            <w:r>
              <w:rPr>
                <w:rFonts w:ascii="Arial" w:cs="Arial" w:eastAsia="Arial" w:hAnsi="Arial"/>
                <w:sz w:val="18"/>
                <w:szCs w:val="18"/>
                <w:color w:val="auto"/>
              </w:rPr>
              <w:t>Clean Technology</w:t>
            </w:r>
          </w:p>
        </w:tc>
      </w:tr>
      <w:tr>
        <w:trPr>
          <w:trHeight w:val="702"/>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tcPr>
          <w:p>
            <w:pPr>
              <w:ind w:left="184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Inputs</w:t>
      </w:r>
    </w:p>
    <w:p>
      <w:pPr>
        <w:spacing w:after="0" w:line="229"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The fair values of the Company’s investments disaggregated into the three levels of the fair value hierarchy based upon the lowest level of significant input used in the valuation as of March 31, 2019 and December 31, 2018 are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5"/>
              </w:rPr>
              <w:t>As of March 31, 2019</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Investments at Fair Value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44,401,135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44,401,135</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104,723,590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104,723,590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2,418,773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2,418,773</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151,550,998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151,550,998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Publicly Traded Portfolio Companies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39,944,750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22,075,716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62,020,466</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Total Portfolio Investments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39,944,750</w:t>
            </w: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22,075,716</w:t>
            </w: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151,550,998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213,571,464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Non-Portfolio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U.S. Treasury bills</w:t>
            </w:r>
          </w:p>
        </w:tc>
        <w:tc>
          <w:tcPr>
            <w:tcW w:w="2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99,980,000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99,980,000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at Fair Value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139,924,750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22,075,716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151,550,998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313,551,464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As of December 31, 2018</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Investments at Fair Value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48,517,824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48,517,824</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99,856,159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99,856,159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5,584,994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5,584,994</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267,446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267,446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154,226,423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154,226,423</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Publicly Traded Portfolio Companies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44,589,406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44,589,406</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Total Portfolio Investments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44,589,406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154,226,423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198,815,829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Non-Portfolio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U.S. Treasury bills</w:t>
            </w:r>
          </w:p>
        </w:tc>
        <w:tc>
          <w:tcPr>
            <w:tcW w:w="2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99,994,000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99,994,000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at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144,583,406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154,226,423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298,809,829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95"/>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-3712845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-3712845</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-4064000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-4064000</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-4775835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-4775835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2019</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for Level 3 Assets and Liabilities</w:t>
      </w:r>
    </w:p>
    <w:p>
      <w:pPr>
        <w:spacing w:after="0" w:line="225" w:lineRule="exact"/>
        <w:rPr>
          <w:sz w:val="20"/>
          <w:szCs w:val="20"/>
          <w:color w:val="auto"/>
        </w:rPr>
      </w:pPr>
    </w:p>
    <w:p>
      <w:pPr>
        <w:jc w:val="both"/>
        <w:ind w:right="20" w:firstLine="351"/>
        <w:spacing w:after="0" w:line="254" w:lineRule="auto"/>
        <w:rPr>
          <w:sz w:val="20"/>
          <w:szCs w:val="20"/>
          <w:color w:val="auto"/>
        </w:rPr>
      </w:pPr>
      <w:r>
        <w:rPr>
          <w:rFonts w:ascii="Arial" w:cs="Arial" w:eastAsia="Arial" w:hAnsi="Arial"/>
          <w:sz w:val="18"/>
          <w:szCs w:val="18"/>
          <w:color w:val="auto"/>
        </w:rPr>
        <w:t xml:space="preserve">In accordance with FASB ASC 820, the tables below provide quantitative information about the Company’s fair value measurements of its Level 3 assets as of March 31, 2019 and December 31, 2018.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March 31, 2019 and December 31, 2018. Significant changes in the inputs in isolation would result in a significant change in the fair value measurement, depending on the input and the materiality of the investment. Refer to “Note 2—Significant Accounting Policies— </w:t>
      </w:r>
      <w:r>
        <w:rPr>
          <w:rFonts w:ascii="Arial" w:cs="Arial" w:eastAsia="Arial" w:hAnsi="Arial"/>
          <w:sz w:val="18"/>
          <w:szCs w:val="18"/>
          <w:i w:val="1"/>
          <w:iCs w:val="1"/>
          <w:color w:val="auto"/>
        </w:rPr>
        <w:t>Investments at Fair Value</w:t>
      </w:r>
      <w:r>
        <w:rPr>
          <w:rFonts w:ascii="Arial" w:cs="Arial" w:eastAsia="Arial" w:hAnsi="Arial"/>
          <w:sz w:val="18"/>
          <w:szCs w:val="18"/>
          <w:color w:val="auto"/>
        </w:rPr>
        <w:t>” for more detail.</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March 31, 2019</w:t>
      </w:r>
    </w:p>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3680" w:type="dxa"/>
            <w:vAlign w:val="bottom"/>
            <w:tcBorders>
              <w:top w:val="single" w:sz="8" w:color="auto"/>
              <w:left w:val="single" w:sz="8" w:color="auto"/>
              <w:right w:val="single" w:sz="8" w:color="auto"/>
            </w:tcBorders>
          </w:tcPr>
          <w:p>
            <w:pPr>
              <w:spacing w:after="0"/>
              <w:rPr>
                <w:sz w:val="14"/>
                <w:szCs w:val="14"/>
                <w:color w:val="auto"/>
              </w:rPr>
            </w:pPr>
          </w:p>
        </w:tc>
        <w:tc>
          <w:tcPr>
            <w:tcW w:w="1960" w:type="dxa"/>
            <w:vAlign w:val="bottom"/>
            <w:tcBorders>
              <w:top w:val="single" w:sz="8" w:color="auto"/>
              <w:right w:val="single" w:sz="8" w:color="auto"/>
            </w:tcBorders>
          </w:tcPr>
          <w:p>
            <w:pPr>
              <w:spacing w:after="0"/>
              <w:rPr>
                <w:sz w:val="14"/>
                <w:szCs w:val="14"/>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1920" w:type="dxa"/>
            <w:vAlign w:val="bottom"/>
            <w:tcBorders>
              <w:top w:val="single" w:sz="8" w:color="auto"/>
              <w:right w:val="single" w:sz="8" w:color="auto"/>
            </w:tcBorders>
          </w:tcPr>
          <w:p>
            <w:pPr>
              <w:spacing w:after="0"/>
              <w:rPr>
                <w:sz w:val="14"/>
                <w:szCs w:val="14"/>
                <w:color w:val="auto"/>
              </w:rPr>
            </w:pPr>
          </w:p>
        </w:tc>
        <w:tc>
          <w:tcPr>
            <w:tcW w:w="1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68"/>
        </w:trPr>
        <w:tc>
          <w:tcPr>
            <w:tcW w:w="368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Asset</w:t>
            </w:r>
          </w:p>
        </w:tc>
        <w:tc>
          <w:tcPr>
            <w:tcW w:w="1960" w:type="dxa"/>
            <w:vAlign w:val="bottom"/>
            <w:tcBorders>
              <w:right w:val="single" w:sz="8" w:color="auto"/>
            </w:tcBorders>
            <w:vMerge w:val="restart"/>
          </w:tcPr>
          <w:p>
            <w:pPr>
              <w:ind w:left="640"/>
              <w:spacing w:after="0" w:line="149" w:lineRule="exact"/>
              <w:rPr>
                <w:sz w:val="20"/>
                <w:szCs w:val="20"/>
                <w:color w:val="auto"/>
              </w:rPr>
            </w:pPr>
            <w:r>
              <w:rPr>
                <w:rFonts w:ascii="Arial" w:cs="Arial" w:eastAsia="Arial" w:hAnsi="Arial"/>
                <w:sz w:val="14"/>
                <w:szCs w:val="14"/>
                <w:b w:val="1"/>
                <w:bCs w:val="1"/>
                <w:color w:val="auto"/>
              </w:rPr>
              <w:t>Fair Value</w:t>
            </w:r>
          </w:p>
        </w:tc>
        <w:tc>
          <w:tcPr>
            <w:tcW w:w="19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Approach/</w:t>
            </w:r>
          </w:p>
        </w:tc>
        <w:tc>
          <w:tcPr>
            <w:tcW w:w="19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Unobservable Inputs</w:t>
            </w:r>
            <w:r>
              <w:rPr>
                <w:rFonts w:ascii="Arial" w:cs="Arial" w:eastAsia="Arial" w:hAnsi="Arial"/>
                <w:sz w:val="8"/>
                <w:szCs w:val="8"/>
                <w:b w:val="1"/>
                <w:bCs w:val="1"/>
                <w:color w:val="auto"/>
                <w:w w:val="93"/>
              </w:rPr>
              <w:t>(2)</w:t>
            </w:r>
          </w:p>
        </w:tc>
        <w:tc>
          <w:tcPr>
            <w:tcW w:w="19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80" w:type="dxa"/>
            <w:vAlign w:val="bottom"/>
            <w:tcBorders>
              <w:left w:val="single" w:sz="8" w:color="auto"/>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05"/>
        </w:trPr>
        <w:tc>
          <w:tcPr>
            <w:tcW w:w="368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Technique</w:t>
            </w:r>
            <w:r>
              <w:rPr>
                <w:rFonts w:ascii="Arial" w:cs="Arial" w:eastAsia="Arial" w:hAnsi="Arial"/>
                <w:sz w:val="8"/>
                <w:szCs w:val="8"/>
                <w:b w:val="1"/>
                <w:bCs w:val="1"/>
                <w:color w:val="auto"/>
                <w:w w:val="92"/>
              </w:rPr>
              <w:t>(1)</w:t>
            </w:r>
          </w:p>
        </w:tc>
        <w:tc>
          <w:tcPr>
            <w:tcW w:w="192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680" w:type="dxa"/>
            <w:vAlign w:val="bottom"/>
            <w:tcBorders>
              <w:left w:val="single" w:sz="8" w:color="auto"/>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Common stock in</w:t>
            </w:r>
          </w:p>
        </w:tc>
        <w:tc>
          <w:tcPr>
            <w:tcW w:w="196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Market approach</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1.49x - 3.92x (3.11x)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vMerge w:val="continue"/>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368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$44,401,135</w:t>
            </w:r>
          </w:p>
        </w:tc>
        <w:tc>
          <w:tcPr>
            <w:tcW w:w="19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96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vMerge w:val="continue"/>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3680" w:type="dxa"/>
            <w:vAlign w:val="bottom"/>
            <w:tcBorders>
              <w:left w:val="single" w:sz="8" w:color="auto"/>
              <w:right w:val="single" w:sz="8" w:color="auto"/>
            </w:tcBorders>
            <w:vMerge w:val="continue"/>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 cash flow</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Discount rate</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12.0% (12.0%)</w:t>
            </w:r>
          </w:p>
        </w:tc>
        <w:tc>
          <w:tcPr>
            <w:tcW w:w="0" w:type="dxa"/>
            <w:vAlign w:val="bottom"/>
          </w:tcPr>
          <w:p>
            <w:pPr>
              <w:spacing w:after="0"/>
              <w:rPr>
                <w:sz w:val="1"/>
                <w:szCs w:val="1"/>
                <w:color w:val="auto"/>
              </w:rPr>
            </w:pPr>
          </w:p>
        </w:tc>
      </w:tr>
      <w:tr>
        <w:trPr>
          <w:trHeight w:val="176"/>
        </w:trPr>
        <w:tc>
          <w:tcPr>
            <w:tcW w:w="368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vMerge w:val="continue"/>
          </w:tcPr>
          <w:p>
            <w:pPr>
              <w:spacing w:after="0"/>
              <w:rPr>
                <w:sz w:val="15"/>
                <w:szCs w:val="15"/>
                <w:color w:val="auto"/>
              </w:rPr>
            </w:pPr>
          </w:p>
        </w:tc>
        <w:tc>
          <w:tcPr>
            <w:tcW w:w="1920" w:type="dxa"/>
            <w:vAlign w:val="bottom"/>
            <w:tcBorders>
              <w:right w:val="single" w:sz="8" w:color="auto"/>
            </w:tcBorders>
            <w:vMerge w:val="continue"/>
          </w:tcPr>
          <w:p>
            <w:pPr>
              <w:spacing w:after="0"/>
              <w:rPr>
                <w:sz w:val="15"/>
                <w:szCs w:val="15"/>
                <w:color w:val="auto"/>
              </w:rPr>
            </w:pPr>
          </w:p>
        </w:tc>
        <w:tc>
          <w:tcPr>
            <w:tcW w:w="19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2.69x - 4.91x (4.00x)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Market approach</w:t>
            </w: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80" w:type="dxa"/>
            <w:vAlign w:val="bottom"/>
            <w:tcBorders>
              <w:left w:val="single" w:sz="8" w:color="auto"/>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vMerge w:val="continue"/>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Precedent</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2.60x</w:t>
            </w:r>
          </w:p>
        </w:tc>
        <w:tc>
          <w:tcPr>
            <w:tcW w:w="0" w:type="dxa"/>
            <w:vAlign w:val="bottom"/>
          </w:tcPr>
          <w:p>
            <w:pPr>
              <w:spacing w:after="0"/>
              <w:rPr>
                <w:sz w:val="1"/>
                <w:szCs w:val="1"/>
                <w:color w:val="auto"/>
              </w:rPr>
            </w:pPr>
          </w:p>
        </w:tc>
      </w:tr>
      <w:tr>
        <w:trPr>
          <w:trHeight w:val="122"/>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Preferred stock in</w:t>
            </w:r>
          </w:p>
        </w:tc>
        <w:tc>
          <w:tcPr>
            <w:tcW w:w="19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transactions</w:t>
            </w: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8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$104,723,590</w:t>
            </w:r>
          </w:p>
        </w:tc>
        <w:tc>
          <w:tcPr>
            <w:tcW w:w="194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vMerge w:val="continue"/>
          </w:tcPr>
          <w:p>
            <w:pPr>
              <w:spacing w:after="0"/>
              <w:rPr>
                <w:sz w:val="2"/>
                <w:szCs w:val="2"/>
                <w:color w:val="auto"/>
              </w:rPr>
            </w:pPr>
          </w:p>
        </w:tc>
        <w:tc>
          <w:tcPr>
            <w:tcW w:w="1960" w:type="dxa"/>
            <w:vAlign w:val="bottom"/>
            <w:tcBorders>
              <w:right w:val="single" w:sz="8" w:color="auto"/>
            </w:tcBorders>
            <w:vMerge w:val="continue"/>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960" w:type="dxa"/>
            <w:vAlign w:val="bottom"/>
            <w:tcBorders>
              <w:right w:val="single" w:sz="8" w:color="auto"/>
            </w:tcBorders>
            <w:vMerge w:val="continue"/>
          </w:tcPr>
          <w:p>
            <w:pPr>
              <w:spacing w:after="0"/>
              <w:rPr>
                <w:sz w:val="11"/>
                <w:szCs w:val="11"/>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 cash flow</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Discount rate</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12.0% (12.0%)</w:t>
            </w:r>
          </w:p>
        </w:tc>
        <w:tc>
          <w:tcPr>
            <w:tcW w:w="0" w:type="dxa"/>
            <w:vAlign w:val="bottom"/>
          </w:tcPr>
          <w:p>
            <w:pPr>
              <w:spacing w:after="0"/>
              <w:rPr>
                <w:sz w:val="1"/>
                <w:szCs w:val="1"/>
                <w:color w:val="auto"/>
              </w:rPr>
            </w:pPr>
          </w:p>
        </w:tc>
      </w:tr>
      <w:tr>
        <w:trPr>
          <w:trHeight w:val="108"/>
        </w:trPr>
        <w:tc>
          <w:tcPr>
            <w:tcW w:w="368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PWERM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1.09x - 2.58x (1.32x)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tcBorders>
              <w:left w:val="single" w:sz="8" w:color="auto"/>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Precedent transactions</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3.07x</w:t>
            </w:r>
          </w:p>
        </w:tc>
        <w:tc>
          <w:tcPr>
            <w:tcW w:w="0" w:type="dxa"/>
            <w:vAlign w:val="bottom"/>
          </w:tcPr>
          <w:p>
            <w:pPr>
              <w:spacing w:after="0"/>
              <w:rPr>
                <w:sz w:val="1"/>
                <w:szCs w:val="1"/>
                <w:color w:val="auto"/>
              </w:rPr>
            </w:pPr>
          </w:p>
        </w:tc>
      </w:tr>
      <w:tr>
        <w:trPr>
          <w:trHeight w:val="149"/>
        </w:trPr>
        <w:tc>
          <w:tcPr>
            <w:tcW w:w="3680" w:type="dxa"/>
            <w:vAlign w:val="bottom"/>
            <w:tcBorders>
              <w:left w:val="single" w:sz="8" w:color="auto"/>
              <w:right w:val="single" w:sz="8" w:color="auto"/>
            </w:tcBorders>
          </w:tcPr>
          <w:p>
            <w:pPr>
              <w:spacing w:after="0"/>
              <w:rPr>
                <w:sz w:val="12"/>
                <w:szCs w:val="12"/>
                <w:color w:val="auto"/>
              </w:rPr>
            </w:pPr>
          </w:p>
        </w:tc>
        <w:tc>
          <w:tcPr>
            <w:tcW w:w="19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Market approach</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1.49x - 1.76x (1.63x)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Debt investments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$2,418,773</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PWERM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1.23x - 2.58x (1.91x)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tcBorders>
              <w:left w:val="single" w:sz="8" w:color="auto"/>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49"/>
        </w:trPr>
        <w:tc>
          <w:tcPr>
            <w:tcW w:w="3680" w:type="dxa"/>
            <w:vAlign w:val="bottom"/>
            <w:tcBorders>
              <w:left w:val="single" w:sz="8" w:color="auto"/>
              <w:right w:val="single" w:sz="8" w:color="auto"/>
            </w:tcBorders>
          </w:tcPr>
          <w:p>
            <w:pPr>
              <w:spacing w:after="0"/>
              <w:rPr>
                <w:sz w:val="12"/>
                <w:szCs w:val="12"/>
                <w:color w:val="auto"/>
              </w:rPr>
            </w:pPr>
          </w:p>
        </w:tc>
        <w:tc>
          <w:tcPr>
            <w:tcW w:w="19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80" w:type="dxa"/>
            <w:vAlign w:val="bottom"/>
            <w:tcBorders>
              <w:left w:val="single" w:sz="8" w:color="auto"/>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Term to expiration</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0.87 - 9.03 (2.44)</w:t>
            </w:r>
          </w:p>
        </w:tc>
        <w:tc>
          <w:tcPr>
            <w:tcW w:w="0" w:type="dxa"/>
            <w:vAlign w:val="bottom"/>
          </w:tcPr>
          <w:p>
            <w:pPr>
              <w:spacing w:after="0"/>
              <w:rPr>
                <w:sz w:val="1"/>
                <w:szCs w:val="1"/>
                <w:color w:val="auto"/>
              </w:rPr>
            </w:pPr>
          </w:p>
        </w:tc>
      </w:tr>
      <w:tr>
        <w:trPr>
          <w:trHeight w:val="122"/>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Warrants</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$7,500</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Option pricing model</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(Years)</w:t>
            </w: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80" w:type="dxa"/>
            <w:vAlign w:val="bottom"/>
            <w:tcBorders>
              <w:left w:val="single" w:sz="8" w:color="auto"/>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40" w:type="dxa"/>
            <w:vAlign w:val="bottom"/>
            <w:tcBorders>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vMerge w:val="continue"/>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Volatility</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28.0%-51.0% (28.2%)</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121" w:lineRule="exact"/>
        <w:rPr>
          <w:sz w:val="20"/>
          <w:szCs w:val="20"/>
          <w:color w:val="auto"/>
        </w:rPr>
      </w:pPr>
    </w:p>
    <w:p>
      <w:pPr>
        <w:jc w:val="both"/>
        <w:ind w:left="660" w:right="20" w:hanging="652"/>
        <w:spacing w:after="0" w:line="253"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of March 31, 2019,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Refer to “Note 2—Significant Accounting Policies—</w:t>
      </w:r>
      <w:r>
        <w:rPr>
          <w:rFonts w:ascii="Arial" w:cs="Arial" w:eastAsia="Arial" w:hAnsi="Arial"/>
          <w:sz w:val="16"/>
          <w:szCs w:val="16"/>
          <w:i w:val="1"/>
          <w:iCs w:val="1"/>
          <w:color w:val="auto"/>
        </w:rPr>
        <w:t>Investments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for more detail.</w:t>
      </w:r>
    </w:p>
    <w:p>
      <w:pPr>
        <w:spacing w:after="0" w:line="83" w:lineRule="exact"/>
        <w:rPr>
          <w:rFonts w:ascii="Arial" w:cs="Arial" w:eastAsia="Arial" w:hAnsi="Arial"/>
          <w:sz w:val="16"/>
          <w:szCs w:val="16"/>
          <w:color w:val="auto"/>
        </w:rPr>
      </w:pPr>
    </w:p>
    <w:p>
      <w:pPr>
        <w:jc w:val="both"/>
        <w:ind w:left="660" w:right="20" w:hanging="652"/>
        <w:spacing w:after="0" w:line="26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40"/>
          </w:cols>
          <w:pgMar w:left="240" w:top="121" w:right="21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2019</w:t>
      </w:r>
    </w:p>
    <w:p>
      <w:pPr>
        <w:spacing w:after="0" w:line="377" w:lineRule="exact"/>
        <w:rPr>
          <w:sz w:val="20"/>
          <w:szCs w:val="20"/>
          <w:color w:val="auto"/>
        </w:rPr>
      </w:pPr>
    </w:p>
    <w:p>
      <w:pPr>
        <w:jc w:val="both"/>
        <w:ind w:left="660" w:right="20"/>
        <w:spacing w:after="0" w:line="339" w:lineRule="auto"/>
        <w:rPr>
          <w:sz w:val="20"/>
          <w:szCs w:val="20"/>
          <w:color w:val="auto"/>
        </w:rPr>
      </w:pPr>
      <w:r>
        <w:rPr>
          <w:rFonts w:ascii="Arial" w:cs="Arial" w:eastAsia="Arial" w:hAnsi="Arial"/>
          <w:sz w:val="16"/>
          <w:szCs w:val="16"/>
          <w:color w:val="auto"/>
        </w:rPr>
        <w:t>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6"/>
          <w:szCs w:val="16"/>
          <w:i w:val="1"/>
          <w:iCs w:val="1"/>
          <w:color w:val="auto"/>
        </w:rPr>
        <w:t>Investments at</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w:t>
      </w:r>
      <w:r>
        <w:rPr>
          <w:rFonts w:ascii="Arial" w:cs="Arial" w:eastAsia="Arial" w:hAnsi="Arial"/>
          <w:sz w:val="16"/>
          <w:szCs w:val="16"/>
          <w:color w:val="auto"/>
        </w:rPr>
        <w:t>” for more detail.</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2018</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 w:type="dxa"/>
            <w:vAlign w:val="bottom"/>
            <w:tcBorders>
              <w:right w:val="single" w:sz="8" w:color="auto"/>
            </w:tcBorders>
          </w:tcPr>
          <w:p>
            <w:pPr>
              <w:spacing w:after="0"/>
              <w:rPr>
                <w:sz w:val="14"/>
                <w:szCs w:val="14"/>
                <w:color w:val="auto"/>
              </w:rPr>
            </w:pPr>
          </w:p>
        </w:tc>
        <w:tc>
          <w:tcPr>
            <w:tcW w:w="2860" w:type="dxa"/>
            <w:vAlign w:val="bottom"/>
            <w:tcBorders>
              <w:top w:val="single" w:sz="8" w:color="auto"/>
              <w:right w:val="single" w:sz="8" w:color="auto"/>
            </w:tcBorders>
          </w:tcPr>
          <w:p>
            <w:pPr>
              <w:spacing w:after="0"/>
              <w:rPr>
                <w:sz w:val="14"/>
                <w:szCs w:val="14"/>
                <w:color w:val="auto"/>
              </w:rPr>
            </w:pPr>
          </w:p>
        </w:tc>
        <w:tc>
          <w:tcPr>
            <w:tcW w:w="1820" w:type="dxa"/>
            <w:vAlign w:val="bottom"/>
            <w:tcBorders>
              <w:top w:val="single" w:sz="8" w:color="auto"/>
              <w:right w:val="single" w:sz="8" w:color="auto"/>
            </w:tcBorders>
          </w:tcPr>
          <w:p>
            <w:pPr>
              <w:spacing w:after="0"/>
              <w:rPr>
                <w:sz w:val="14"/>
                <w:szCs w:val="14"/>
                <w:color w:val="auto"/>
              </w:rPr>
            </w:pP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2500" w:type="dxa"/>
            <w:vAlign w:val="bottom"/>
            <w:tcBorders>
              <w:top w:val="single" w:sz="8" w:color="auto"/>
              <w:right w:val="single" w:sz="8" w:color="auto"/>
            </w:tcBorders>
          </w:tcPr>
          <w:p>
            <w:pPr>
              <w:spacing w:after="0"/>
              <w:rPr>
                <w:sz w:val="14"/>
                <w:szCs w:val="14"/>
                <w:color w:val="auto"/>
              </w:rPr>
            </w:pPr>
          </w:p>
        </w:tc>
        <w:tc>
          <w:tcPr>
            <w:tcW w:w="2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28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Asset</w:t>
            </w:r>
          </w:p>
        </w:tc>
        <w:tc>
          <w:tcPr>
            <w:tcW w:w="1820" w:type="dxa"/>
            <w:vAlign w:val="bottom"/>
            <w:tcBorders>
              <w:right w:val="single" w:sz="8" w:color="auto"/>
            </w:tcBorders>
            <w:vMerge w:val="restart"/>
          </w:tcPr>
          <w:p>
            <w:pPr>
              <w:ind w:left="580"/>
              <w:spacing w:after="0" w:line="149" w:lineRule="exact"/>
              <w:rPr>
                <w:sz w:val="20"/>
                <w:szCs w:val="20"/>
                <w:color w:val="auto"/>
              </w:rPr>
            </w:pPr>
            <w:r>
              <w:rPr>
                <w:rFonts w:ascii="Arial" w:cs="Arial" w:eastAsia="Arial" w:hAnsi="Arial"/>
                <w:sz w:val="14"/>
                <w:szCs w:val="14"/>
                <w:b w:val="1"/>
                <w:bCs w:val="1"/>
                <w:color w:val="auto"/>
              </w:rPr>
              <w:t>Fair Value</w:t>
            </w:r>
          </w:p>
        </w:tc>
        <w:tc>
          <w:tcPr>
            <w:tcW w:w="20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Approach/</w:t>
            </w:r>
          </w:p>
        </w:tc>
        <w:tc>
          <w:tcPr>
            <w:tcW w:w="25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Unobservable Inputs</w:t>
            </w:r>
            <w:r>
              <w:rPr>
                <w:rFonts w:ascii="Arial" w:cs="Arial" w:eastAsia="Arial" w:hAnsi="Arial"/>
                <w:sz w:val="8"/>
                <w:szCs w:val="8"/>
                <w:b w:val="1"/>
                <w:bCs w:val="1"/>
                <w:color w:val="auto"/>
                <w:w w:val="94"/>
              </w:rPr>
              <w:t>(2)</w:t>
            </w:r>
          </w:p>
        </w:tc>
        <w:tc>
          <w:tcPr>
            <w:tcW w:w="2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286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continue"/>
          </w:tcPr>
          <w:p>
            <w:pPr>
              <w:spacing w:after="0"/>
              <w:rPr>
                <w:sz w:val="7"/>
                <w:szCs w:val="7"/>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05"/>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Technique</w:t>
            </w:r>
            <w:r>
              <w:rPr>
                <w:rFonts w:ascii="Arial" w:cs="Arial" w:eastAsia="Arial" w:hAnsi="Arial"/>
                <w:sz w:val="8"/>
                <w:szCs w:val="8"/>
                <w:b w:val="1"/>
                <w:bCs w:val="1"/>
                <w:color w:val="auto"/>
                <w:w w:val="92"/>
              </w:rPr>
              <w:t>(1)</w:t>
            </w: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0" w:type="dxa"/>
            <w:vAlign w:val="bottom"/>
            <w:tcBorders>
              <w:right w:val="single" w:sz="8" w:color="auto"/>
            </w:tcBorders>
          </w:tcPr>
          <w:p>
            <w:pPr>
              <w:spacing w:after="0"/>
              <w:rPr>
                <w:sz w:val="7"/>
                <w:szCs w:val="7"/>
                <w:color w:val="auto"/>
              </w:rPr>
            </w:pPr>
          </w:p>
        </w:tc>
        <w:tc>
          <w:tcPr>
            <w:tcW w:w="286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vMerge w:val="continue"/>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1.26x - 4.95x</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(4.04x)</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Common stock in</w:t>
            </w:r>
          </w:p>
        </w:tc>
        <w:tc>
          <w:tcPr>
            <w:tcW w:w="18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$48,517,824</w:t>
            </w:r>
          </w:p>
        </w:tc>
        <w:tc>
          <w:tcPr>
            <w:tcW w:w="206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82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right w:val="single" w:sz="8" w:color="auto"/>
            </w:tcBorders>
            <w:vMerge w:val="continue"/>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860" w:type="dxa"/>
            <w:vAlign w:val="bottom"/>
            <w:tcBorders>
              <w:right w:val="single" w:sz="8" w:color="auto"/>
            </w:tcBorders>
            <w:vMerge w:val="continue"/>
          </w:tcPr>
          <w:p>
            <w:pPr>
              <w:spacing w:after="0"/>
              <w:rPr>
                <w:sz w:val="5"/>
                <w:szCs w:val="5"/>
                <w:color w:val="auto"/>
              </w:rPr>
            </w:pPr>
          </w:p>
        </w:tc>
        <w:tc>
          <w:tcPr>
            <w:tcW w:w="18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Discount rate</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161"/>
        </w:trPr>
        <w:tc>
          <w:tcPr>
            <w:tcW w:w="40" w:type="dxa"/>
            <w:vAlign w:val="bottom"/>
            <w:tcBorders>
              <w:right w:val="single" w:sz="8" w:color="auto"/>
            </w:tcBorders>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2060" w:type="dxa"/>
            <w:vAlign w:val="bottom"/>
            <w:tcBorders>
              <w:right w:val="single" w:sz="8" w:color="auto"/>
            </w:tcBorders>
            <w:vMerge w:val="continue"/>
          </w:tcPr>
          <w:p>
            <w:pPr>
              <w:spacing w:after="0"/>
              <w:rPr>
                <w:sz w:val="14"/>
                <w:szCs w:val="14"/>
                <w:color w:val="auto"/>
              </w:rPr>
            </w:pPr>
          </w:p>
        </w:tc>
        <w:tc>
          <w:tcPr>
            <w:tcW w:w="2500" w:type="dxa"/>
            <w:vAlign w:val="bottom"/>
            <w:tcBorders>
              <w:right w:val="single" w:sz="8" w:color="auto"/>
            </w:tcBorders>
            <w:vMerge w:val="continue"/>
          </w:tcPr>
          <w:p>
            <w:pPr>
              <w:spacing w:after="0"/>
              <w:rPr>
                <w:sz w:val="14"/>
                <w:szCs w:val="14"/>
                <w:color w:val="auto"/>
              </w:rPr>
            </w:pPr>
          </w:p>
        </w:tc>
        <w:tc>
          <w:tcPr>
            <w:tcW w:w="21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restart"/>
          </w:tcPr>
          <w:p>
            <w:pPr>
              <w:jc w:val="center"/>
              <w:spacing w:after="0" w:line="257" w:lineRule="exact"/>
              <w:rPr>
                <w:sz w:val="20"/>
                <w:szCs w:val="20"/>
                <w:color w:val="auto"/>
              </w:rPr>
            </w:pPr>
            <w:r>
              <w:rPr>
                <w:rFonts w:ascii="Arial" w:cs="Arial" w:eastAsia="Arial" w:hAnsi="Arial"/>
                <w:sz w:val="18"/>
                <w:szCs w:val="18"/>
                <w:color w:val="auto"/>
                <w:w w:val="87"/>
              </w:rPr>
              <w:t>Cash Flow</w:t>
            </w:r>
            <w:r>
              <w:rPr>
                <w:rFonts w:ascii="Arial" w:cs="Arial" w:eastAsia="Arial" w:hAnsi="Arial"/>
                <w:sz w:val="25"/>
                <w:szCs w:val="25"/>
                <w:color w:val="auto"/>
                <w:w w:val="87"/>
                <w:vertAlign w:val="superscript"/>
              </w:rPr>
              <w:t>(2)</w:t>
            </w: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Precedent transactions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2.60x - 3.07x</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(2.69x)</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86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2.20x - 4.15x</w:t>
            </w:r>
          </w:p>
        </w:tc>
        <w:tc>
          <w:tcPr>
            <w:tcW w:w="0" w:type="dxa"/>
            <w:vAlign w:val="bottom"/>
          </w:tcPr>
          <w:p>
            <w:pPr>
              <w:spacing w:after="0"/>
              <w:rPr>
                <w:sz w:val="1"/>
                <w:szCs w:val="1"/>
                <w:color w:val="auto"/>
              </w:rPr>
            </w:pPr>
          </w:p>
        </w:tc>
      </w:tr>
      <w:tr>
        <w:trPr>
          <w:trHeight w:val="134"/>
        </w:trPr>
        <w:tc>
          <w:tcPr>
            <w:tcW w:w="4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vMerge w:val="continue"/>
          </w:tcPr>
          <w:p>
            <w:pPr>
              <w:spacing w:after="0"/>
              <w:rPr>
                <w:sz w:val="11"/>
                <w:szCs w:val="11"/>
                <w:color w:val="auto"/>
              </w:rPr>
            </w:pPr>
          </w:p>
        </w:tc>
        <w:tc>
          <w:tcPr>
            <w:tcW w:w="21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(3.39x)</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Preferred stock in</w:t>
            </w: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right w:val="single" w:sz="8" w:color="auto"/>
            </w:tcBorders>
            <w:vMerge w:val="continue"/>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$99,856,159</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w:t>
            </w: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820" w:type="dxa"/>
            <w:vAlign w:val="bottom"/>
            <w:tcBorders>
              <w:right w:val="single" w:sz="8" w:color="auto"/>
            </w:tcBorders>
            <w:vMerge w:val="continue"/>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Discount rate</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restart"/>
          </w:tcPr>
          <w:p>
            <w:pPr>
              <w:jc w:val="center"/>
              <w:spacing w:after="0" w:line="257" w:lineRule="exact"/>
              <w:rPr>
                <w:sz w:val="20"/>
                <w:szCs w:val="20"/>
                <w:color w:val="auto"/>
              </w:rPr>
            </w:pPr>
            <w:r>
              <w:rPr>
                <w:rFonts w:ascii="Arial" w:cs="Arial" w:eastAsia="Arial" w:hAnsi="Arial"/>
                <w:sz w:val="18"/>
                <w:szCs w:val="18"/>
                <w:color w:val="auto"/>
                <w:w w:val="87"/>
              </w:rPr>
              <w:t>Cash Flow</w:t>
            </w:r>
            <w:r>
              <w:rPr>
                <w:rFonts w:ascii="Arial" w:cs="Arial" w:eastAsia="Arial" w:hAnsi="Arial"/>
                <w:sz w:val="25"/>
                <w:szCs w:val="25"/>
                <w:color w:val="auto"/>
                <w:w w:val="87"/>
                <w:vertAlign w:val="superscript"/>
              </w:rPr>
              <w:t>(2)</w:t>
            </w: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1.09x - 5.40x</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PWERM</w:t>
            </w: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(3.18x)</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1.26x - 2.40x</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(2.30x)</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Debt investments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$5,584,994</w:t>
            </w:r>
          </w:p>
        </w:tc>
        <w:tc>
          <w:tcPr>
            <w:tcW w:w="206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1.31x - 5.40x</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PWERM</w:t>
            </w: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(1.91x)</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Term to expiration (Years)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1.1-9.3 (2.6)</w:t>
            </w: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vMerge w:val="restart"/>
          </w:tcPr>
          <w:p>
            <w:pPr>
              <w:spacing w:after="0"/>
              <w:rPr>
                <w:sz w:val="2"/>
                <w:szCs w:val="2"/>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Warrants</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$267,446</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Option pricing model</w:t>
            </w: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vMerge w:val="continue"/>
          </w:tcPr>
          <w:p>
            <w:pPr>
              <w:spacing w:after="0"/>
              <w:rPr>
                <w:sz w:val="19"/>
                <w:szCs w:val="19"/>
                <w:color w:val="auto"/>
              </w:rPr>
            </w:pPr>
          </w:p>
        </w:tc>
        <w:tc>
          <w:tcPr>
            <w:tcW w:w="2860" w:type="dxa"/>
            <w:vAlign w:val="bottom"/>
            <w:tcBorders>
              <w:right w:val="single" w:sz="8" w:color="auto"/>
            </w:tcBorders>
            <w:vMerge w:val="continue"/>
          </w:tcPr>
          <w:p>
            <w:pPr>
              <w:spacing w:after="0"/>
              <w:rPr>
                <w:sz w:val="19"/>
                <w:szCs w:val="19"/>
                <w:color w:val="auto"/>
              </w:rPr>
            </w:pPr>
          </w:p>
        </w:tc>
        <w:tc>
          <w:tcPr>
            <w:tcW w:w="1820" w:type="dxa"/>
            <w:vAlign w:val="bottom"/>
            <w:tcBorders>
              <w:right w:val="single" w:sz="8" w:color="auto"/>
            </w:tcBorders>
            <w:vMerge w:val="continue"/>
          </w:tcPr>
          <w:p>
            <w:pPr>
              <w:spacing w:after="0"/>
              <w:rPr>
                <w:sz w:val="19"/>
                <w:szCs w:val="19"/>
                <w:color w:val="auto"/>
              </w:rPr>
            </w:pPr>
          </w:p>
        </w:tc>
        <w:tc>
          <w:tcPr>
            <w:tcW w:w="2060" w:type="dxa"/>
            <w:vAlign w:val="bottom"/>
            <w:tcBorders>
              <w:right w:val="single" w:sz="8" w:color="auto"/>
            </w:tcBorders>
            <w:vMerge w:val="continue"/>
          </w:tcPr>
          <w:p>
            <w:pPr>
              <w:spacing w:after="0"/>
              <w:rPr>
                <w:sz w:val="19"/>
                <w:szCs w:val="1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Volatility</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28.1%-37.1%</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(29.0%)</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860" w:type="dxa"/>
            <w:vAlign w:val="bottom"/>
          </w:tcPr>
          <w:p>
            <w:pPr>
              <w:jc w:val="right"/>
              <w:ind w:right="652"/>
              <w:spacing w:after="0"/>
              <w:rPr>
                <w:sz w:val="20"/>
                <w:szCs w:val="20"/>
                <w:color w:val="auto"/>
              </w:rPr>
            </w:pPr>
            <w:r>
              <w:rPr>
                <w:rFonts w:ascii="Arial" w:cs="Arial" w:eastAsia="Arial" w:hAnsi="Arial"/>
                <w:sz w:val="18"/>
                <w:szCs w:val="18"/>
                <w:color w:val="auto"/>
                <w:w w:val="87"/>
              </w:rPr>
              <w:t>________________________</w:t>
            </w:r>
          </w:p>
        </w:tc>
        <w:tc>
          <w:tcPr>
            <w:tcW w:w="18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ind w:left="660" w:right="20" w:hanging="652"/>
        <w:spacing w:after="0" w:line="25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of December 31, 2018,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Refer to “Note 2—Significant Accounting Policies—</w:t>
      </w:r>
      <w:r>
        <w:rPr>
          <w:rFonts w:ascii="Arial" w:cs="Arial" w:eastAsia="Arial" w:hAnsi="Arial"/>
          <w:sz w:val="16"/>
          <w:szCs w:val="16"/>
          <w:i w:val="1"/>
          <w:iCs w:val="1"/>
          <w:color w:val="auto"/>
        </w:rPr>
        <w:t>Investments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for more detail.</w:t>
      </w:r>
    </w:p>
    <w:p>
      <w:pPr>
        <w:spacing w:after="0" w:line="83" w:lineRule="exact"/>
        <w:rPr>
          <w:rFonts w:ascii="Arial" w:cs="Arial" w:eastAsia="Arial" w:hAnsi="Arial"/>
          <w:sz w:val="16"/>
          <w:szCs w:val="16"/>
          <w:color w:val="auto"/>
        </w:rPr>
      </w:pPr>
    </w:p>
    <w:p>
      <w:pPr>
        <w:jc w:val="both"/>
        <w:ind w:left="660" w:right="20" w:hanging="652"/>
        <w:spacing w:after="0" w:line="25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40"/>
          </w:cols>
          <w:pgMar w:left="240" w:top="121" w:right="21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377"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 for more detail.</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values of Level 3 assets and liabilities changed during the three months ended March 31, 2019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2019</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Preferred</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Debt</w:t>
            </w:r>
          </w:p>
        </w:tc>
        <w:tc>
          <w:tcPr>
            <w:tcW w:w="36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Warrants</w:t>
            </w:r>
          </w:p>
        </w:tc>
        <w:tc>
          <w:tcPr>
            <w:tcW w:w="300" w:type="dxa"/>
            <w:vAlign w:val="bottom"/>
          </w:tcPr>
          <w:p>
            <w:pPr>
              <w:spacing w:after="0"/>
              <w:rPr>
                <w:sz w:val="13"/>
                <w:szCs w:val="13"/>
                <w:color w:val="auto"/>
              </w:rPr>
            </w:pPr>
          </w:p>
        </w:tc>
        <w:tc>
          <w:tcPr>
            <w:tcW w:w="11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3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Fair Value as of December 31, 2018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48,517,824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99,856,159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5,584,994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267,446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154,226,423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Transfers out of Level 3</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(21,947,688)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(21,947,688)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Purchases, capitalized fees and interest</w:t>
            </w:r>
          </w:p>
        </w:tc>
        <w:tc>
          <w:tcPr>
            <w:tcW w:w="3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10,007,360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10,008,040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fixed income security</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premiums and discounts</w:t>
            </w:r>
          </w:p>
        </w:tc>
        <w:tc>
          <w:tcPr>
            <w:tcW w:w="3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Realized losses</w:t>
            </w:r>
          </w:p>
        </w:tc>
        <w:tc>
          <w:tcPr>
            <w:tcW w:w="3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(9,999,999)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(2,334,832)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(12,334,831)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unrealized appreciation/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included in earnings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(4,116,689)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26,807,758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(833,260)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21,597,863</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as of March 31, 2019</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44,401,135</w:t>
            </w:r>
          </w:p>
        </w:tc>
        <w:tc>
          <w:tcPr>
            <w:tcW w:w="120" w:type="dxa"/>
            <w:vAlign w:val="bottom"/>
            <w:tcBorders>
              <w:top w:val="single" w:sz="8" w:color="CCEEFF"/>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104,723,590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2,418,773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151,550,998</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change in unrealized appreciation/</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of Level 3 investments still</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(4,116,689)</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10,470,383</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(3,167,412)</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(259,946)</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2,926,336</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held as of March 31, 2019</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1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During the quarter ended March 31, 2019, the Company’s portfolio investments had the following corporate actions which are reflected above: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gridSpan w:val="2"/>
          </w:tcPr>
          <w:p>
            <w:pPr>
              <w:ind w:left="40"/>
              <w:spacing w:after="0"/>
              <w:rPr>
                <w:sz w:val="20"/>
                <w:szCs w:val="20"/>
                <w:color w:val="auto"/>
              </w:rPr>
            </w:pPr>
            <w:r>
              <w:rPr>
                <w:rFonts w:ascii="Arial" w:cs="Arial" w:eastAsia="Arial" w:hAnsi="Arial"/>
                <w:sz w:val="16"/>
                <w:szCs w:val="16"/>
                <w:b w:val="1"/>
                <w:bCs w:val="1"/>
                <w:color w:val="auto"/>
              </w:rPr>
              <w:t>Portfolio Company</w:t>
            </w:r>
          </w:p>
        </w:tc>
        <w:tc>
          <w:tcPr>
            <w:tcW w:w="4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Conversion from</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w w:val="89"/>
              </w:rPr>
              <w:t>Conversion to</w:t>
            </w:r>
          </w:p>
        </w:tc>
        <w:tc>
          <w:tcPr>
            <w:tcW w:w="0" w:type="dxa"/>
            <w:vAlign w:val="bottom"/>
          </w:tcPr>
          <w:p>
            <w:pPr>
              <w:spacing w:after="0"/>
              <w:rPr>
                <w:sz w:val="1"/>
                <w:szCs w:val="1"/>
                <w:color w:val="auto"/>
              </w:rPr>
            </w:pP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00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Lyft, Inc.</w:t>
            </w:r>
          </w:p>
        </w:tc>
        <w:tc>
          <w:tcPr>
            <w:tcW w:w="4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Preferred shares, Series D</w:t>
            </w:r>
          </w:p>
        </w:tc>
        <w:tc>
          <w:tcPr>
            <w:tcW w:w="35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Public Common Shares (Level 2)</w:t>
            </w:r>
          </w:p>
        </w:tc>
        <w:tc>
          <w:tcPr>
            <w:tcW w:w="0" w:type="dxa"/>
            <w:vAlign w:val="bottom"/>
          </w:tcPr>
          <w:p>
            <w:pPr>
              <w:spacing w:after="0"/>
              <w:rPr>
                <w:sz w:val="1"/>
                <w:szCs w:val="1"/>
                <w:color w:val="auto"/>
              </w:rPr>
            </w:pPr>
          </w:p>
        </w:tc>
      </w:tr>
      <w:tr>
        <w:trPr>
          <w:trHeight w:val="98"/>
        </w:trPr>
        <w:tc>
          <w:tcPr>
            <w:tcW w:w="3000" w:type="dxa"/>
            <w:vAlign w:val="bottom"/>
            <w:gridSpan w:val="2"/>
            <w:vMerge w:val="continue"/>
            <w:shd w:val="clear" w:color="auto" w:fill="CCEEFF"/>
          </w:tcPr>
          <w:p>
            <w:pPr>
              <w:spacing w:after="0"/>
              <w:rPr>
                <w:sz w:val="8"/>
                <w:szCs w:val="8"/>
                <w:color w:val="auto"/>
              </w:rPr>
            </w:pPr>
          </w:p>
        </w:tc>
        <w:tc>
          <w:tcPr>
            <w:tcW w:w="49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88"/>
              </w:rPr>
              <w:t>Preferred shares, Series E</w:t>
            </w:r>
          </w:p>
        </w:tc>
        <w:tc>
          <w:tcPr>
            <w:tcW w:w="35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900" w:type="dxa"/>
            <w:vAlign w:val="bottom"/>
            <w:gridSpan w:val="2"/>
            <w:vMerge w:val="continue"/>
            <w:shd w:val="clear" w:color="auto" w:fill="CCEEFF"/>
          </w:tcPr>
          <w:p>
            <w:pPr>
              <w:spacing w:after="0"/>
              <w:rPr>
                <w:sz w:val="9"/>
                <w:szCs w:val="9"/>
                <w:color w:val="auto"/>
              </w:rPr>
            </w:pPr>
          </w:p>
        </w:tc>
        <w:tc>
          <w:tcPr>
            <w:tcW w:w="3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-299720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-299720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values of Level 3 assets and liabilities changed during the year ended December 31, 2018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 2018</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Preferred</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Debt</w:t>
            </w:r>
          </w:p>
        </w:tc>
        <w:tc>
          <w:tcPr>
            <w:tcW w:w="40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Warrants</w:t>
            </w:r>
          </w:p>
        </w:tc>
        <w:tc>
          <w:tcPr>
            <w:tcW w:w="300" w:type="dxa"/>
            <w:vAlign w:val="bottom"/>
          </w:tcPr>
          <w:p>
            <w:pPr>
              <w:spacing w:after="0"/>
              <w:rPr>
                <w:sz w:val="13"/>
                <w:szCs w:val="13"/>
                <w:color w:val="auto"/>
              </w:rPr>
            </w:pPr>
          </w:p>
        </w:tc>
        <w:tc>
          <w:tcPr>
            <w:tcW w:w="11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4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Fair Value as of December 31, 2016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86,824,096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120,253,822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4,916,578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433,997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212,428,493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into Level 3</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(41,707,506)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(7,734,804)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(49,442,310)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Purchases, capitalized fees and interest</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10,108,434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1,044,531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30,647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11,185,789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Sales/Maturity of investments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(6,910,798)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(16,958,428)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(722,776)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(24,592,002)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Realized gains/(losses)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(1,567,122)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(10,458,567)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(12,026,369)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9"/>
              </w:rPr>
              <w:t xml:space="preserve">Exercises, conversions and assignments </w:t>
            </w:r>
            <w:r>
              <w:rPr>
                <w:rFonts w:ascii="Arial" w:cs="Arial" w:eastAsia="Arial" w:hAnsi="Arial"/>
                <w:sz w:val="25"/>
                <w:szCs w:val="25"/>
                <w:color w:val="auto"/>
                <w:w w:val="99"/>
                <w:vertAlign w:val="superscript"/>
              </w:rPr>
              <w:t>(1)</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5,537,205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(5,514,077)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Amortization of fixed income security</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premiums and discounts</w:t>
            </w:r>
          </w:p>
        </w:tc>
        <w:tc>
          <w:tcPr>
            <w:tcW w:w="3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30,660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30,660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change in unrealized depreciation included</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 earnings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(3,766,485)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20,266,036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321,761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16,642,162</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as of December 31, 2017</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48,517,824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99,856,159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5,584,994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267,446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154,226,423</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change in unrealized appreciation/</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of Level 3 investments still</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(12,412,555)</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10,061,576</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317,201</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(156,021)</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(2,189,799)</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held as of December 31, 2017</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12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During year ended December 31, 2018, the Company’s portfolio investments had the following corporate actions which are reflected above: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Portfolio Company</w:t>
            </w: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Transfer from</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0"/>
              </w:rPr>
              <w:t>Transfer to</w:t>
            </w:r>
          </w:p>
        </w:tc>
      </w:tr>
      <w:tr>
        <w:trPr>
          <w:trHeight w:val="33"/>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10"/>
        </w:trPr>
        <w:tc>
          <w:tcPr>
            <w:tcW w:w="6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shd w:val="clear" w:color="auto" w:fill="CCEEFF"/>
              </w:rPr>
              <w:t>Preferred shares, Series A-1 &amp;</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shd w:val="clear" w:color="auto" w:fill="CCEEFF"/>
              </w:rPr>
              <w:t>Public Common Shares (Level</w:t>
            </w:r>
          </w:p>
        </w:tc>
      </w:tr>
      <w:tr>
        <w:trPr>
          <w:trHeight w:val="22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Dropbox, Inc.</w:t>
            </w:r>
          </w:p>
        </w:tc>
        <w:tc>
          <w:tcPr>
            <w:tcW w:w="1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shd w:val="clear" w:color="auto" w:fill="CCEEFF"/>
              </w:rPr>
              <w:t>Common shares</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shd w:val="clear" w:color="auto" w:fill="CCEEFF"/>
              </w:rPr>
              <w:t>2)</w:t>
            </w:r>
          </w:p>
        </w:tc>
      </w:tr>
      <w:tr>
        <w:trPr>
          <w:trHeight w:val="220"/>
        </w:trPr>
        <w:tc>
          <w:tcPr>
            <w:tcW w:w="6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Public Common Shares (Level</w:t>
            </w:r>
          </w:p>
        </w:tc>
      </w:tr>
      <w:tr>
        <w:trPr>
          <w:trHeight w:val="206"/>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Spotify Technology S.A.</w:t>
            </w:r>
          </w:p>
        </w:tc>
        <w:tc>
          <w:tcPr>
            <w:tcW w:w="25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Common shares</w:t>
            </w:r>
          </w:p>
        </w:tc>
        <w:tc>
          <w:tcPr>
            <w:tcW w:w="2160" w:type="dxa"/>
            <w:vAlign w:val="bottom"/>
          </w:tcPr>
          <w:p>
            <w:pPr>
              <w:jc w:val="right"/>
              <w:ind w:right="939"/>
              <w:spacing w:after="0"/>
              <w:rPr>
                <w:sz w:val="20"/>
                <w:szCs w:val="20"/>
                <w:color w:val="auto"/>
              </w:rPr>
            </w:pPr>
            <w:r>
              <w:rPr>
                <w:rFonts w:ascii="Arial" w:cs="Arial" w:eastAsia="Arial" w:hAnsi="Arial"/>
                <w:sz w:val="16"/>
                <w:szCs w:val="16"/>
                <w:color w:val="auto"/>
              </w:rPr>
              <w:t>1)</w:t>
            </w: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Curious.com, Inc.</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shd w:val="clear" w:color="auto" w:fill="CCEEFF"/>
              </w:rPr>
              <w:t>Preferred shares, Series B</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shd w:val="clear" w:color="auto" w:fill="CCEEFF"/>
              </w:rPr>
              <w:t>Common shares</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SharesPost, Inc.</w:t>
            </w:r>
          </w:p>
        </w:tc>
        <w:tc>
          <w:tcPr>
            <w:tcW w:w="25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Common warrants</w:t>
            </w:r>
          </w:p>
        </w:tc>
        <w:tc>
          <w:tcPr>
            <w:tcW w:w="2160" w:type="dxa"/>
            <w:vAlign w:val="bottom"/>
          </w:tcPr>
          <w:p>
            <w:pPr>
              <w:jc w:val="center"/>
              <w:spacing w:after="0"/>
              <w:rPr>
                <w:sz w:val="20"/>
                <w:szCs w:val="20"/>
                <w:color w:val="auto"/>
              </w:rPr>
            </w:pPr>
            <w:r>
              <w:rPr>
                <w:rFonts w:ascii="Arial" w:cs="Arial" w:eastAsia="Arial" w:hAnsi="Arial"/>
                <w:sz w:val="16"/>
                <w:szCs w:val="16"/>
                <w:color w:val="auto"/>
                <w:w w:val="88"/>
              </w:rPr>
              <w:t>Common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-913130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-913130</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11" w:lineRule="exact"/>
        <w:rPr>
          <w:sz w:val="20"/>
          <w:szCs w:val="20"/>
          <w:color w:val="auto"/>
        </w:rPr>
      </w:pPr>
    </w:p>
    <w:p>
      <w:pPr>
        <w:ind w:right="2300" w:firstLine="8"/>
        <w:spacing w:after="0" w:line="275" w:lineRule="auto"/>
        <w:tabs>
          <w:tab w:leader="none" w:pos="3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Sales of investments includes escrow proceeds receivable of approximately $2.5 million from the sale of the Company’s investments in General Assembly Space, Inc., Lytro, Inc., SugarCRM, Inc., and DreamBox Learning, Inc.</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29" w:lineRule="exact"/>
        <w:rPr>
          <w:sz w:val="20"/>
          <w:szCs w:val="20"/>
          <w:color w:val="auto"/>
        </w:rPr>
      </w:pPr>
    </w:p>
    <w:p>
      <w:pPr>
        <w:ind w:right="100" w:firstLine="351"/>
        <w:spacing w:after="0" w:line="277" w:lineRule="auto"/>
        <w:rPr>
          <w:sz w:val="20"/>
          <w:szCs w:val="20"/>
          <w:color w:val="auto"/>
        </w:rPr>
      </w:pPr>
      <w:r>
        <w:rPr>
          <w:rFonts w:ascii="Arial" w:cs="Arial" w:eastAsia="Arial" w:hAnsi="Arial"/>
          <w:sz w:val="18"/>
          <w:szCs w:val="18"/>
          <w:color w:val="auto"/>
        </w:rPr>
        <w:t>Transactions during the quarter ended March 31, 2019 involving the Company’s controlled investments and non-controlled/affiliate investments were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Interest,</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980" w:type="dxa"/>
            <w:vAlign w:val="bottom"/>
            <w:gridSpan w:val="3"/>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Dividends</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00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Type/Industry/Portfolio Company/Investment</w:t>
            </w:r>
          </w:p>
        </w:tc>
        <w:tc>
          <w:tcPr>
            <w:tcW w:w="100" w:type="dxa"/>
            <w:vAlign w:val="bottom"/>
            <w:vMerge w:val="restart"/>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2"/>
                <w:szCs w:val="12"/>
                <w:color w:val="auto"/>
              </w:rPr>
            </w:pPr>
          </w:p>
        </w:tc>
        <w:tc>
          <w:tcPr>
            <w:tcW w:w="7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20" w:type="dxa"/>
            <w:vAlign w:val="bottom"/>
          </w:tcPr>
          <w:p>
            <w:pPr>
              <w:spacing w:after="0"/>
              <w:rPr>
                <w:sz w:val="12"/>
                <w:szCs w:val="12"/>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760" w:type="dxa"/>
            <w:vAlign w:val="bottom"/>
          </w:tcPr>
          <w:p>
            <w:pPr>
              <w:jc w:val="right"/>
              <w:ind w:right="12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Quantity</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2"/>
        </w:trPr>
        <w:tc>
          <w:tcPr>
            <w:tcW w:w="30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6"/>
                <w:szCs w:val="16"/>
                <w:b w:val="1"/>
                <w:bCs w:val="1"/>
                <w:color w:val="auto"/>
              </w:rPr>
              <w:t>CONTROLLED INVESTMENTS*</w:t>
            </w:r>
            <w:r>
              <w:rPr>
                <w:rFonts w:ascii="Arial" w:cs="Arial" w:eastAsia="Arial" w:hAnsi="Arial"/>
                <w:sz w:val="21"/>
                <w:szCs w:val="21"/>
                <w:b w:val="1"/>
                <w:bCs w:val="1"/>
                <w:color w:val="auto"/>
                <w:vertAlign w:val="superscript"/>
              </w:rPr>
              <w:t>(2)</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060" w:type="dxa"/>
            <w:vAlign w:val="bottom"/>
            <w:gridSpan w:val="4"/>
          </w:tcPr>
          <w:p>
            <w:pPr>
              <w:ind w:left="40"/>
              <w:spacing w:after="0"/>
              <w:rPr>
                <w:sz w:val="20"/>
                <w:szCs w:val="20"/>
                <w:color w:val="auto"/>
              </w:rPr>
            </w:pPr>
            <w:r>
              <w:rPr>
                <w:rFonts w:ascii="Arial" w:cs="Arial" w:eastAsia="Arial" w:hAnsi="Arial"/>
                <w:sz w:val="16"/>
                <w:szCs w:val="16"/>
                <w:b w:val="1"/>
                <w:bCs w:val="1"/>
                <w:color w:val="auto"/>
              </w:rPr>
              <w:t>Debt Investments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02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 Inc.)–</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020" w:type="dxa"/>
            <w:vAlign w:val="bottom"/>
            <w:gridSpan w:val="3"/>
          </w:tcPr>
          <w:p>
            <w:pPr>
              <w:ind w:left="400"/>
              <w:spacing w:after="0"/>
              <w:rPr>
                <w:sz w:val="20"/>
                <w:szCs w:val="20"/>
                <w:color w:val="auto"/>
              </w:rPr>
            </w:pPr>
            <w:r>
              <w:rPr>
                <w:rFonts w:ascii="Arial" w:cs="Arial" w:eastAsia="Arial" w:hAnsi="Arial"/>
                <w:sz w:val="16"/>
                <w:szCs w:val="16"/>
                <w:color w:val="auto"/>
              </w:rPr>
              <w:t>Convertible Promissory Note 12%</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020" w:type="dxa"/>
            <w:vAlign w:val="bottom"/>
            <w:gridSpan w:val="3"/>
          </w:tcPr>
          <w:p>
            <w:pPr>
              <w:ind w:left="400"/>
              <w:spacing w:after="0"/>
              <w:rPr>
                <w:sz w:val="20"/>
                <w:szCs w:val="20"/>
                <w:color w:val="auto"/>
              </w:rPr>
            </w:pPr>
            <w:r>
              <w:rPr>
                <w:rFonts w:ascii="Arial" w:cs="Arial" w:eastAsia="Arial" w:hAnsi="Arial"/>
                <w:sz w:val="16"/>
                <w:szCs w:val="16"/>
                <w:color w:val="auto"/>
              </w:rPr>
              <w:t>Due 12/31/2019***</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w w:val="95"/>
              </w:rPr>
              <w:t>$  936,525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936,525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(469,454)</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468,262</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936,525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(469,454)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468,262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37"/>
        </w:trPr>
        <w:tc>
          <w:tcPr>
            <w:tcW w:w="3060" w:type="dxa"/>
            <w:vAlign w:val="bottom"/>
            <w:gridSpan w:val="4"/>
          </w:tcPr>
          <w:p>
            <w:pPr>
              <w:ind w:left="40"/>
              <w:spacing w:after="0"/>
              <w:rPr>
                <w:sz w:val="20"/>
                <w:szCs w:val="20"/>
                <w:color w:val="auto"/>
              </w:rPr>
            </w:pPr>
            <w:r>
              <w:rPr>
                <w:rFonts w:ascii="Arial" w:cs="Arial" w:eastAsia="Arial" w:hAnsi="Arial"/>
                <w:sz w:val="16"/>
                <w:szCs w:val="16"/>
                <w:b w:val="1"/>
                <w:bCs w:val="1"/>
                <w:color w:val="auto"/>
              </w:rPr>
              <w:t>Preferred Stock</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Clean Technology</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020" w:type="dxa"/>
            <w:vAlign w:val="bottom"/>
            <w:gridSpan w:val="3"/>
          </w:tcPr>
          <w:p>
            <w:pPr>
              <w:ind w:left="240"/>
              <w:spacing w:after="0"/>
              <w:rPr>
                <w:sz w:val="20"/>
                <w:szCs w:val="20"/>
                <w:color w:val="auto"/>
              </w:rPr>
            </w:pPr>
            <w:r>
              <w:rPr>
                <w:rFonts w:ascii="Arial" w:cs="Arial" w:eastAsia="Arial" w:hAnsi="Arial"/>
                <w:sz w:val="16"/>
                <w:szCs w:val="16"/>
                <w:color w:val="auto"/>
              </w:rPr>
              <w:t>SPBRX, INC. (f/k/a GSV Sustainability</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020" w:type="dxa"/>
            <w:vAlign w:val="bottom"/>
            <w:gridSpan w:val="3"/>
          </w:tcPr>
          <w:p>
            <w:pPr>
              <w:ind w:left="240"/>
              <w:spacing w:after="0"/>
              <w:rPr>
                <w:sz w:val="20"/>
                <w:szCs w:val="20"/>
                <w:color w:val="auto"/>
              </w:rPr>
            </w:pPr>
            <w:r>
              <w:rPr>
                <w:rFonts w:ascii="Arial" w:cs="Arial" w:eastAsia="Arial" w:hAnsi="Arial"/>
                <w:sz w:val="16"/>
                <w:szCs w:val="16"/>
                <w:color w:val="auto"/>
              </w:rPr>
              <w:t>Partners, Inc.)–Preferred shares,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020" w:type="dxa"/>
            <w:vAlign w:val="bottom"/>
            <w:gridSpan w:val="3"/>
          </w:tcPr>
          <w:p>
            <w:pPr>
              <w:ind w:left="240"/>
              <w:spacing w:after="0" w:line="239" w:lineRule="exact"/>
              <w:rPr>
                <w:sz w:val="20"/>
                <w:szCs w:val="20"/>
                <w:color w:val="auto"/>
              </w:rPr>
            </w:pPr>
            <w:r>
              <w:rPr>
                <w:rFonts w:ascii="Arial" w:cs="Arial" w:eastAsia="Arial" w:hAnsi="Arial"/>
                <w:sz w:val="16"/>
                <w:szCs w:val="16"/>
                <w:color w:val="auto"/>
              </w:rPr>
              <w:t>Class A***</w:t>
            </w:r>
            <w:r>
              <w:rPr>
                <w:rFonts w:ascii="Arial" w:cs="Arial" w:eastAsia="Arial" w:hAnsi="Arial"/>
                <w:sz w:val="21"/>
                <w:szCs w:val="21"/>
                <w:color w:val="auto"/>
                <w:vertAlign w:val="superscript"/>
              </w:rPr>
              <w:t>(7)</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w w:val="92"/>
              </w:rPr>
              <w:t>14,300,000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750,198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180,000</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930,198</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02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 Inc.)–</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020" w:type="dxa"/>
            <w:vAlign w:val="bottom"/>
            <w:gridSpan w:val="3"/>
          </w:tcPr>
          <w:p>
            <w:pPr>
              <w:ind w:left="240"/>
              <w:spacing w:after="0"/>
              <w:rPr>
                <w:sz w:val="20"/>
                <w:szCs w:val="20"/>
                <w:color w:val="auto"/>
              </w:rPr>
            </w:pPr>
            <w:r>
              <w:rPr>
                <w:rFonts w:ascii="Arial" w:cs="Arial" w:eastAsia="Arial" w:hAnsi="Arial"/>
                <w:sz w:val="16"/>
                <w:szCs w:val="16"/>
                <w:color w:val="auto"/>
              </w:rPr>
              <w:t>Preferred stock Series A-4</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3,720,424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4,960,553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0"/>
              </w:rPr>
              <w:t>(2,527,724)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2,432,829</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30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 Inc.)–</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0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Preferred stock Series A-3</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1,561,625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1,735,134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(884,163)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850,971</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02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 Inc.)–</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020" w:type="dxa"/>
            <w:vAlign w:val="bottom"/>
            <w:gridSpan w:val="3"/>
          </w:tcPr>
          <w:p>
            <w:pPr>
              <w:ind w:left="240"/>
              <w:spacing w:after="0"/>
              <w:rPr>
                <w:sz w:val="20"/>
                <w:szCs w:val="20"/>
                <w:color w:val="auto"/>
              </w:rPr>
            </w:pPr>
            <w:r>
              <w:rPr>
                <w:rFonts w:ascii="Arial" w:cs="Arial" w:eastAsia="Arial" w:hAnsi="Arial"/>
                <w:sz w:val="16"/>
                <w:szCs w:val="16"/>
                <w:color w:val="auto"/>
              </w:rPr>
              <w:t>Preferred stock Series A-2</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450,001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(152,870)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147,130</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30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 Inc.)–</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Preferred stock Series A-1</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1,000,000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499,999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(254,782)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245,217</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020" w:type="dxa"/>
            <w:vAlign w:val="bottom"/>
            <w:gridSpan w:val="3"/>
          </w:tcPr>
          <w:p>
            <w:pPr>
              <w:ind w:left="140"/>
              <w:spacing w:after="0"/>
              <w:rPr>
                <w:sz w:val="20"/>
                <w:szCs w:val="20"/>
                <w:color w:val="auto"/>
              </w:rPr>
            </w:pPr>
            <w:r>
              <w:rPr>
                <w:rFonts w:ascii="Arial" w:cs="Arial" w:eastAsia="Arial" w:hAnsi="Arial"/>
                <w:sz w:val="16"/>
                <w:szCs w:val="16"/>
                <w:i w:val="1"/>
                <w:iCs w:val="1"/>
                <w:color w:val="auto"/>
              </w:rPr>
              <w:t>Total Global Innovation Platform</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7,495,686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(3,819,539)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3,676,147</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-3374390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Purchases,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Capitalized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Fair Value at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106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Type/Industry/Portfolio Company/Investment</w:t>
            </w:r>
          </w:p>
        </w:tc>
        <w:tc>
          <w:tcPr>
            <w:tcW w:w="100" w:type="dxa"/>
            <w:vAlign w:val="bottom"/>
            <w:vMerge w:val="restart"/>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Credited</w:t>
            </w:r>
          </w:p>
        </w:tc>
        <w:tc>
          <w:tcPr>
            <w:tcW w:w="10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Interest and</w:t>
            </w:r>
          </w:p>
        </w:tc>
        <w:tc>
          <w:tcPr>
            <w:tcW w:w="100" w:type="dxa"/>
            <w:vAlign w:val="bottom"/>
          </w:tcPr>
          <w:p>
            <w:pPr>
              <w:spacing w:after="0"/>
              <w:rPr>
                <w:sz w:val="12"/>
                <w:szCs w:val="12"/>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31,</w:t>
            </w:r>
          </w:p>
        </w:tc>
        <w:tc>
          <w:tcPr>
            <w:tcW w:w="760" w:type="dxa"/>
            <w:vAlign w:val="bottom"/>
          </w:tcPr>
          <w:p>
            <w:pPr>
              <w:jc w:val="right"/>
              <w:ind w:right="12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Quantity</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Interactive Learning</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20" w:type="dxa"/>
            <w:vAlign w:val="bottom"/>
            <w:gridSpan w:val="2"/>
          </w:tcPr>
          <w:p>
            <w:pPr>
              <w:ind w:left="280"/>
              <w:spacing w:after="0"/>
              <w:rPr>
                <w:sz w:val="20"/>
                <w:szCs w:val="20"/>
                <w:color w:val="auto"/>
              </w:rPr>
            </w:pPr>
            <w:r>
              <w:rPr>
                <w:rFonts w:ascii="Arial" w:cs="Arial" w:eastAsia="Arial" w:hAnsi="Arial"/>
                <w:sz w:val="16"/>
                <w:szCs w:val="16"/>
                <w:color w:val="auto"/>
              </w:rPr>
              <w:t>StormWind, LLC–Preferred shares,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20" w:type="dxa"/>
            <w:vAlign w:val="bottom"/>
            <w:gridSpan w:val="2"/>
          </w:tcPr>
          <w:p>
            <w:pPr>
              <w:ind w:left="280"/>
              <w:spacing w:after="0" w:line="239" w:lineRule="exact"/>
              <w:rPr>
                <w:sz w:val="20"/>
                <w:szCs w:val="20"/>
                <w:color w:val="auto"/>
              </w:rPr>
            </w:pPr>
            <w:r>
              <w:rPr>
                <w:rFonts w:ascii="Arial" w:cs="Arial" w:eastAsia="Arial" w:hAnsi="Arial"/>
                <w:sz w:val="16"/>
                <w:szCs w:val="16"/>
                <w:color w:val="auto"/>
              </w:rPr>
              <w:t>Series C 8%</w:t>
            </w:r>
            <w:r>
              <w:rPr>
                <w:rFonts w:ascii="Arial" w:cs="Arial" w:eastAsia="Arial" w:hAnsi="Arial"/>
                <w:sz w:val="21"/>
                <w:szCs w:val="21"/>
                <w:color w:val="auto"/>
                <w:vertAlign w:val="superscript"/>
              </w:rPr>
              <w:t>(4)</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2,779,134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7,194,971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(433,492)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6,761,479</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20"/>
        </w:trPr>
        <w:tc>
          <w:tcPr>
            <w:tcW w:w="3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StormWind, LLC–Preferred shares,</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2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Series B 8%</w:t>
            </w:r>
            <w:r>
              <w:rPr>
                <w:rFonts w:ascii="Arial" w:cs="Arial" w:eastAsia="Arial" w:hAnsi="Arial"/>
                <w:sz w:val="21"/>
                <w:szCs w:val="21"/>
                <w:color w:val="auto"/>
                <w:vertAlign w:val="superscript"/>
              </w:rPr>
              <w:t>(4)</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2"/>
              </w:rPr>
              <w:t>3,279,629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5,770,328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(511,560)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5,258,768</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20"/>
        </w:trPr>
        <w:tc>
          <w:tcPr>
            <w:tcW w:w="3020" w:type="dxa"/>
            <w:vAlign w:val="bottom"/>
            <w:gridSpan w:val="2"/>
          </w:tcPr>
          <w:p>
            <w:pPr>
              <w:ind w:left="280"/>
              <w:spacing w:after="0"/>
              <w:rPr>
                <w:sz w:val="20"/>
                <w:szCs w:val="20"/>
                <w:color w:val="auto"/>
              </w:rPr>
            </w:pPr>
            <w:r>
              <w:rPr>
                <w:rFonts w:ascii="Arial" w:cs="Arial" w:eastAsia="Arial" w:hAnsi="Arial"/>
                <w:sz w:val="16"/>
                <w:szCs w:val="16"/>
                <w:color w:val="auto"/>
              </w:rPr>
              <w:t>StormWind, LLC–Preferred shares,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20" w:type="dxa"/>
            <w:vAlign w:val="bottom"/>
            <w:tcBorders>
              <w:bottom w:val="single" w:sz="8" w:color="CCEEFF"/>
            </w:tcBorders>
            <w:gridSpan w:val="2"/>
          </w:tcPr>
          <w:p>
            <w:pPr>
              <w:ind w:left="280"/>
              <w:spacing w:after="0" w:line="239" w:lineRule="exact"/>
              <w:rPr>
                <w:sz w:val="20"/>
                <w:szCs w:val="20"/>
                <w:color w:val="auto"/>
              </w:rPr>
            </w:pPr>
            <w:r>
              <w:rPr>
                <w:rFonts w:ascii="Arial" w:cs="Arial" w:eastAsia="Arial" w:hAnsi="Arial"/>
                <w:sz w:val="16"/>
                <w:szCs w:val="16"/>
                <w:color w:val="auto"/>
              </w:rPr>
              <w:t>Series A 8%</w:t>
            </w:r>
            <w:r>
              <w:rPr>
                <w:rFonts w:ascii="Arial" w:cs="Arial" w:eastAsia="Arial" w:hAnsi="Arial"/>
                <w:sz w:val="21"/>
                <w:szCs w:val="21"/>
                <w:color w:val="auto"/>
                <w:vertAlign w:val="superscript"/>
              </w:rPr>
              <w:t>(4)</w:t>
            </w:r>
          </w:p>
        </w:tc>
        <w:tc>
          <w:tcPr>
            <w:tcW w:w="7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366,666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421,525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(57,193)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364,332</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44"/>
        </w:trPr>
        <w:tc>
          <w:tcPr>
            <w:tcW w:w="3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Interactive Learning</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7"/>
              </w:rPr>
              <w:t>13,386,824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(1,002,245)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12,384,579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37"/>
        </w:trPr>
        <w:tc>
          <w:tcPr>
            <w:tcW w:w="30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87"/>
              </w:rPr>
              <w:t>21,632,708</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0"/>
              </w:rPr>
              <w:t>(4,641,784)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w w:val="89"/>
              </w:rPr>
              <w:t>16,990,924</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Warrants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20" w:type="dxa"/>
            <w:vAlign w:val="bottom"/>
            <w:gridSpan w:val="2"/>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9"/>
              </w:rPr>
              <w:t>NestGSV, Inc. (d/b/a GSV Labs, Inc.)–</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Preferred Warrant Series A-3, Strike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Price $1.33, Expiration Date 4/4/2021</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187,500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26,250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(26,250)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020" w:type="dxa"/>
            <w:vAlign w:val="bottom"/>
            <w:gridSpan w:val="2"/>
          </w:tcPr>
          <w:p>
            <w:pPr>
              <w:ind w:left="280"/>
              <w:spacing w:after="0"/>
              <w:rPr>
                <w:sz w:val="20"/>
                <w:szCs w:val="20"/>
                <w:color w:val="auto"/>
              </w:rPr>
            </w:pPr>
            <w:r>
              <w:rPr>
                <w:rFonts w:ascii="Arial" w:cs="Arial" w:eastAsia="Arial" w:hAnsi="Arial"/>
                <w:sz w:val="16"/>
                <w:szCs w:val="16"/>
                <w:color w:val="auto"/>
                <w:w w:val="99"/>
              </w:rPr>
              <w:t>NestGSV, Inc. (d/b/a GSV Labs, Inc.)–</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ind w:left="280"/>
              <w:spacing w:after="0"/>
              <w:rPr>
                <w:sz w:val="20"/>
                <w:szCs w:val="20"/>
                <w:color w:val="auto"/>
              </w:rPr>
            </w:pPr>
            <w:r>
              <w:rPr>
                <w:rFonts w:ascii="Arial" w:cs="Arial" w:eastAsia="Arial" w:hAnsi="Arial"/>
                <w:sz w:val="16"/>
                <w:szCs w:val="16"/>
                <w:color w:val="auto"/>
              </w:rPr>
              <w:t>Preferred Warrant Series A-4, Strike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20" w:type="dxa"/>
            <w:vAlign w:val="bottom"/>
            <w:gridSpan w:val="2"/>
          </w:tcPr>
          <w:p>
            <w:pPr>
              <w:ind w:left="280"/>
              <w:spacing w:after="0"/>
              <w:rPr>
                <w:sz w:val="20"/>
                <w:szCs w:val="20"/>
                <w:color w:val="auto"/>
              </w:rPr>
            </w:pPr>
            <w:r>
              <w:rPr>
                <w:rFonts w:ascii="Arial" w:cs="Arial" w:eastAsia="Arial" w:hAnsi="Arial"/>
                <w:sz w:val="16"/>
                <w:szCs w:val="16"/>
                <w:color w:val="auto"/>
                <w:w w:val="98"/>
              </w:rPr>
              <w:t>Price $1.33, Expiration Date 10/6/2021</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145,000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9"/>
              </w:rPr>
              <w:t>NestGSV, Inc. (d/b/a GSV Labs, Inc.)–</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Preferred Warrant Series A-4, Strike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w w:val="98"/>
              </w:rPr>
              <w:t>Price $1.33, Expiration Date 7/18/2021</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2,500</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20"/>
        </w:trPr>
        <w:tc>
          <w:tcPr>
            <w:tcW w:w="3020" w:type="dxa"/>
            <w:vAlign w:val="bottom"/>
            <w:gridSpan w:val="2"/>
          </w:tcPr>
          <w:p>
            <w:pPr>
              <w:ind w:left="280"/>
              <w:spacing w:after="0"/>
              <w:rPr>
                <w:sz w:val="20"/>
                <w:szCs w:val="20"/>
                <w:color w:val="auto"/>
              </w:rPr>
            </w:pPr>
            <w:r>
              <w:rPr>
                <w:rFonts w:ascii="Arial" w:cs="Arial" w:eastAsia="Arial" w:hAnsi="Arial"/>
                <w:sz w:val="16"/>
                <w:szCs w:val="16"/>
                <w:color w:val="auto"/>
                <w:w w:val="99"/>
              </w:rPr>
              <w:t>NestGSV, Inc. (d/b/a GSV Labs, Inc.)–</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ind w:left="280"/>
              <w:spacing w:after="0"/>
              <w:rPr>
                <w:sz w:val="20"/>
                <w:szCs w:val="20"/>
                <w:color w:val="auto"/>
              </w:rPr>
            </w:pPr>
            <w:r>
              <w:rPr>
                <w:rFonts w:ascii="Arial" w:cs="Arial" w:eastAsia="Arial" w:hAnsi="Arial"/>
                <w:sz w:val="16"/>
                <w:szCs w:val="16"/>
                <w:color w:val="auto"/>
                <w:w w:val="95"/>
              </w:rPr>
              <w:t>Preferred Warrant Series B, Strike Price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20" w:type="dxa"/>
            <w:vAlign w:val="bottom"/>
            <w:gridSpan w:val="2"/>
          </w:tcPr>
          <w:p>
            <w:pPr>
              <w:ind w:left="280"/>
              <w:spacing w:after="0"/>
              <w:rPr>
                <w:sz w:val="20"/>
                <w:szCs w:val="20"/>
                <w:color w:val="auto"/>
              </w:rPr>
            </w:pPr>
            <w:r>
              <w:rPr>
                <w:rFonts w:ascii="Arial" w:cs="Arial" w:eastAsia="Arial" w:hAnsi="Arial"/>
                <w:sz w:val="16"/>
                <w:szCs w:val="16"/>
                <w:color w:val="auto"/>
              </w:rPr>
              <w:t>$2.31, Expiration Date 11/29/2021</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9"/>
              </w:rPr>
              <w:t>NestGSV, Inc. (d/b/a GSV Labs, Inc.)–</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5"/>
              </w:rPr>
              <w:t>Preferred Warrant Series B, Strike Price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$2.31, Expiration Date 5/29/2022</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020" w:type="dxa"/>
            <w:vAlign w:val="bottom"/>
            <w:gridSpan w:val="2"/>
          </w:tcPr>
          <w:p>
            <w:pPr>
              <w:ind w:left="280"/>
              <w:spacing w:after="0"/>
              <w:rPr>
                <w:sz w:val="20"/>
                <w:szCs w:val="20"/>
                <w:color w:val="auto"/>
              </w:rPr>
            </w:pPr>
            <w:r>
              <w:rPr>
                <w:rFonts w:ascii="Arial" w:cs="Arial" w:eastAsia="Arial" w:hAnsi="Arial"/>
                <w:sz w:val="16"/>
                <w:szCs w:val="16"/>
                <w:color w:val="auto"/>
                <w:w w:val="99"/>
              </w:rPr>
              <w:t>NestGSV, Inc. (d/b/a GSV Labs, Inc.)–</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ind w:left="280"/>
              <w:spacing w:after="0"/>
              <w:rPr>
                <w:sz w:val="20"/>
                <w:szCs w:val="20"/>
                <w:color w:val="auto"/>
              </w:rPr>
            </w:pPr>
            <w:r>
              <w:rPr>
                <w:rFonts w:ascii="Arial" w:cs="Arial" w:eastAsia="Arial" w:hAnsi="Arial"/>
                <w:sz w:val="16"/>
                <w:szCs w:val="16"/>
                <w:color w:val="auto"/>
                <w:w w:val="95"/>
              </w:rPr>
              <w:t>Preferred Warrant Series B, Strike Price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20" w:type="dxa"/>
            <w:vAlign w:val="bottom"/>
            <w:gridSpan w:val="2"/>
          </w:tcPr>
          <w:p>
            <w:pPr>
              <w:ind w:left="280"/>
              <w:spacing w:after="0"/>
              <w:rPr>
                <w:sz w:val="20"/>
                <w:szCs w:val="20"/>
                <w:color w:val="auto"/>
              </w:rPr>
            </w:pPr>
            <w:r>
              <w:rPr>
                <w:rFonts w:ascii="Arial" w:cs="Arial" w:eastAsia="Arial" w:hAnsi="Arial"/>
                <w:sz w:val="16"/>
                <w:szCs w:val="16"/>
                <w:color w:val="auto"/>
              </w:rPr>
              <w:t>$2.31, Expiration Date 12/31/2023</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Global Innovation Platform</w:t>
            </w: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247,500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(240,000)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7,500</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37"/>
        </w:trPr>
        <w:tc>
          <w:tcPr>
            <w:tcW w:w="30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Warrants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247,500</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(240,000)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7,500</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20" w:type="dxa"/>
            <w:vAlign w:val="bottom"/>
            <w:gridSpan w:val="2"/>
          </w:tcPr>
          <w:p>
            <w:pPr>
              <w:ind w:left="180"/>
              <w:spacing w:after="0"/>
              <w:rPr>
                <w:sz w:val="20"/>
                <w:szCs w:val="20"/>
                <w:color w:val="auto"/>
              </w:rPr>
            </w:pPr>
            <w:r>
              <w:rPr>
                <w:rFonts w:ascii="Arial" w:cs="Arial" w:eastAsia="Arial" w:hAnsi="Arial"/>
                <w:sz w:val="16"/>
                <w:szCs w:val="16"/>
                <w:i w:val="1"/>
                <w:iCs w:val="1"/>
                <w:color w:val="auto"/>
              </w:rPr>
              <w:t>Clean Technology</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9"/>
              </w:rPr>
              <w:t>SPBRX, INC. (f/k/a GSV Sustainability</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Partners, Inc.)–Common shares</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-5247640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Fair Value at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8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Principal/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06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Credited</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20" w:type="dxa"/>
            <w:vAlign w:val="bottom"/>
          </w:tcPr>
          <w:p>
            <w:pPr>
              <w:spacing w:after="0"/>
              <w:rPr>
                <w:sz w:val="12"/>
                <w:szCs w:val="12"/>
                <w:color w:val="auto"/>
              </w:rPr>
            </w:pP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76"/>
              </w:rPr>
              <w:t>Sales</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March 31,</w:t>
            </w:r>
          </w:p>
        </w:tc>
        <w:tc>
          <w:tcPr>
            <w:tcW w:w="80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840" w:type="dxa"/>
            <w:vAlign w:val="bottom"/>
            <w:gridSpan w:val="4"/>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Quantity</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Income</w:t>
            </w:r>
          </w:p>
        </w:tc>
        <w:tc>
          <w:tcPr>
            <w:tcW w:w="120" w:type="dxa"/>
            <w:vAlign w:val="bottom"/>
          </w:tcPr>
          <w:p>
            <w:pPr>
              <w:spacing w:after="0"/>
              <w:rPr>
                <w:sz w:val="16"/>
                <w:szCs w:val="16"/>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Gains/(Losses)</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Gains/(Losses)</w:t>
            </w:r>
          </w:p>
        </w:tc>
        <w:tc>
          <w:tcPr>
            <w:tcW w:w="120" w:type="dxa"/>
            <w:vAlign w:val="bottom"/>
          </w:tcPr>
          <w:p>
            <w:pPr>
              <w:spacing w:after="0"/>
              <w:rPr>
                <w:sz w:val="16"/>
                <w:szCs w:val="16"/>
                <w:color w:val="auto"/>
              </w:rPr>
            </w:pPr>
          </w:p>
        </w:tc>
        <w:tc>
          <w:tcPr>
            <w:tcW w:w="84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37"/>
        </w:trPr>
        <w:tc>
          <w:tcPr>
            <w:tcW w:w="40" w:type="dxa"/>
            <w:vAlign w:val="bottom"/>
            <w:tcBorders>
              <w:top w:val="single" w:sz="8" w:color="auto"/>
            </w:tcBorders>
          </w:tcPr>
          <w:p>
            <w:pPr>
              <w:spacing w:after="0"/>
              <w:rPr>
                <w:sz w:val="20"/>
                <w:szCs w:val="20"/>
                <w:color w:val="auto"/>
              </w:rPr>
            </w:pPr>
          </w:p>
        </w:tc>
        <w:tc>
          <w:tcPr>
            <w:tcW w:w="2800" w:type="dxa"/>
            <w:vAlign w:val="bottom"/>
            <w:tcBorders>
              <w:top w:val="single" w:sz="8" w:color="auto"/>
            </w:tcBorders>
            <w:gridSpan w:val="3"/>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93"/>
              </w:rPr>
              <w:t>NestGSV, Inc. (d/b/a GSV Labs, Inc.)–</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Common shares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40" w:type="dxa"/>
            <w:vAlign w:val="bottom"/>
            <w:gridSpan w:val="4"/>
          </w:tcPr>
          <w:p>
            <w:pPr>
              <w:ind w:left="40"/>
              <w:spacing w:after="0"/>
              <w:rPr>
                <w:sz w:val="20"/>
                <w:szCs w:val="20"/>
                <w:color w:val="auto"/>
              </w:rPr>
            </w:pPr>
            <w:r>
              <w:rPr>
                <w:rFonts w:ascii="Arial" w:cs="Arial" w:eastAsia="Arial" w:hAnsi="Arial"/>
                <w:sz w:val="16"/>
                <w:szCs w:val="16"/>
                <w:b w:val="1"/>
                <w:bCs w:val="1"/>
                <w:color w:val="auto"/>
              </w:rPr>
              <w:t>Total Common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TOTAL CONTROLLED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7"/>
              </w:rPr>
              <w:t>22,816,733</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7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1,191</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5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(5,351,238)</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7"/>
              </w:rPr>
              <w:t>17,466,686</w:t>
            </w:r>
          </w:p>
        </w:tc>
        <w:tc>
          <w:tcPr>
            <w:tcW w:w="1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8.22%</w:t>
            </w:r>
          </w:p>
        </w:tc>
        <w:tc>
          <w:tcPr>
            <w:tcW w:w="0" w:type="dxa"/>
            <w:vAlign w:val="bottom"/>
          </w:tcPr>
          <w:p>
            <w:pPr>
              <w:spacing w:after="0"/>
              <w:rPr>
                <w:sz w:val="1"/>
                <w:szCs w:val="1"/>
                <w:color w:val="auto"/>
              </w:rPr>
            </w:pPr>
          </w:p>
        </w:tc>
      </w:tr>
      <w:tr>
        <w:trPr>
          <w:trHeight w:val="230"/>
        </w:trPr>
        <w:tc>
          <w:tcPr>
            <w:tcW w:w="2840" w:type="dxa"/>
            <w:vAlign w:val="bottom"/>
            <w:gridSpan w:val="4"/>
            <w:shd w:val="clear" w:color="auto" w:fill="CCEEFF"/>
          </w:tcPr>
          <w:p>
            <w:pPr>
              <w:ind w:left="4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gridSpan w:val="4"/>
            <w:vMerge w:val="restart"/>
          </w:tcPr>
          <w:p>
            <w:pPr>
              <w:ind w:left="40"/>
              <w:spacing w:after="0" w:line="183" w:lineRule="exact"/>
              <w:rPr>
                <w:sz w:val="20"/>
                <w:szCs w:val="20"/>
                <w:color w:val="auto"/>
              </w:rPr>
            </w:pPr>
            <w:r>
              <w:rPr>
                <w:rFonts w:ascii="Arial" w:cs="Arial" w:eastAsia="Arial" w:hAnsi="Arial"/>
                <w:sz w:val="16"/>
                <w:szCs w:val="16"/>
                <w:b w:val="1"/>
                <w:bCs w:val="1"/>
                <w:color w:val="auto"/>
              </w:rPr>
              <w:t>NON-CONTROLLED/AFFILIATE</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gridSpan w:val="4"/>
          </w:tcPr>
          <w:p>
            <w:pPr>
              <w:ind w:left="40"/>
              <w:spacing w:after="0" w:line="183"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00" w:type="dxa"/>
            <w:vAlign w:val="bottom"/>
            <w:gridSpan w:val="3"/>
          </w:tcPr>
          <w:p>
            <w:pPr>
              <w:ind w:left="140"/>
              <w:spacing w:after="0"/>
              <w:rPr>
                <w:sz w:val="20"/>
                <w:szCs w:val="20"/>
                <w:color w:val="auto"/>
              </w:rPr>
            </w:pPr>
            <w:r>
              <w:rPr>
                <w:rFonts w:ascii="Arial" w:cs="Arial" w:eastAsia="Arial" w:hAnsi="Arial"/>
                <w:sz w:val="16"/>
                <w:szCs w:val="16"/>
                <w:i w:val="1"/>
                <w:iCs w:val="1"/>
                <w:color w:val="auto"/>
              </w:rPr>
              <w:t>Corporate Education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CUX, Inc. (d/b/a CorpU)–Senior</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8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95"/>
              </w:rPr>
              <w:t>Subordinated Convertible Promissory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2800" w:type="dxa"/>
            <w:vAlign w:val="bottom"/>
            <w:gridSpan w:val="3"/>
            <w:shd w:val="clear" w:color="auto" w:fill="CCEEFF"/>
          </w:tcPr>
          <w:p>
            <w:pPr>
              <w:ind w:left="240"/>
              <w:spacing w:after="0" w:line="239" w:lineRule="exact"/>
              <w:rPr>
                <w:sz w:val="20"/>
                <w:szCs w:val="20"/>
                <w:color w:val="auto"/>
              </w:rPr>
            </w:pPr>
            <w:r>
              <w:rPr>
                <w:rFonts w:ascii="Arial" w:cs="Arial" w:eastAsia="Arial" w:hAnsi="Arial"/>
                <w:sz w:val="16"/>
                <w:szCs w:val="16"/>
                <w:color w:val="auto"/>
              </w:rPr>
              <w:t>Note 10% Due 2/14/2020***</w:t>
            </w:r>
            <w:r>
              <w:rPr>
                <w:rFonts w:ascii="Arial" w:cs="Arial" w:eastAsia="Arial" w:hAnsi="Arial"/>
                <w:sz w:val="21"/>
                <w:szCs w:val="21"/>
                <w:color w:val="auto"/>
                <w:vertAlign w:val="superscript"/>
              </w:rPr>
              <w:t>(5)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7"/>
              </w:rPr>
              <w:t>1,360,489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1,360,489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(1,020,367)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340,122</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00" w:type="dxa"/>
            <w:vAlign w:val="bottom"/>
            <w:gridSpan w:val="3"/>
          </w:tcPr>
          <w:p>
            <w:pPr>
              <w:ind w:left="140"/>
              <w:spacing w:after="0"/>
              <w:rPr>
                <w:sz w:val="20"/>
                <w:szCs w:val="20"/>
                <w:color w:val="auto"/>
              </w:rPr>
            </w:pPr>
            <w:r>
              <w:rPr>
                <w:rFonts w:ascii="Arial" w:cs="Arial" w:eastAsia="Arial" w:hAnsi="Arial"/>
                <w:sz w:val="16"/>
                <w:szCs w:val="16"/>
                <w:i w:val="1"/>
                <w:iCs w:val="1"/>
                <w:color w:val="auto"/>
              </w:rPr>
              <w:t>Digital Media Platform</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Ozy Media, Inc.–Convertible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8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Promissory Note 5% Due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w w:val="94"/>
              </w:rPr>
              <w:t>12/31/2018</w:t>
            </w:r>
            <w:r>
              <w:rPr>
                <w:rFonts w:ascii="Arial" w:cs="Arial" w:eastAsia="Arial" w:hAnsi="Arial"/>
                <w:sz w:val="21"/>
                <w:szCs w:val="21"/>
                <w:color w:val="auto"/>
                <w:w w:val="94"/>
                <w:vertAlign w:val="superscript"/>
              </w:rPr>
              <w:t>(6)</w:t>
            </w:r>
          </w:p>
        </w:tc>
        <w:tc>
          <w:tcPr>
            <w:tcW w:w="1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7"/>
              </w:rPr>
              <w:t>2,102,384</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3,153,575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(1,576,787)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8"/>
              </w:rPr>
              <w:t>1,576,788</w:t>
            </w:r>
          </w:p>
        </w:tc>
        <w:tc>
          <w:tcPr>
            <w:tcW w:w="10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800" w:type="dxa"/>
            <w:vAlign w:val="bottom"/>
            <w:gridSpan w:val="3"/>
          </w:tcPr>
          <w:p>
            <w:pPr>
              <w:ind w:left="140"/>
              <w:spacing w:after="0"/>
              <w:rPr>
                <w:sz w:val="20"/>
                <w:szCs w:val="20"/>
                <w:color w:val="auto"/>
              </w:rPr>
            </w:pPr>
            <w:r>
              <w:rPr>
                <w:rFonts w:ascii="Arial" w:cs="Arial" w:eastAsia="Arial" w:hAnsi="Arial"/>
                <w:sz w:val="16"/>
                <w:szCs w:val="16"/>
                <w:i w:val="1"/>
                <w:iCs w:val="1"/>
                <w:color w:val="auto"/>
              </w:rPr>
              <w:t>Total Digital Media Platform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3,153,575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0"/>
              </w:rPr>
              <w:t>(1,576,787)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1,576,788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Social Cognitive Learning</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800" w:type="dxa"/>
            <w:vAlign w:val="bottom"/>
            <w:gridSpan w:val="3"/>
          </w:tcPr>
          <w:p>
            <w:pPr>
              <w:ind w:left="240"/>
              <w:spacing w:after="0"/>
              <w:rPr>
                <w:sz w:val="20"/>
                <w:szCs w:val="20"/>
                <w:color w:val="auto"/>
              </w:rPr>
            </w:pPr>
            <w:r>
              <w:rPr>
                <w:rFonts w:ascii="Arial" w:cs="Arial" w:eastAsia="Arial" w:hAnsi="Arial"/>
                <w:sz w:val="16"/>
                <w:szCs w:val="16"/>
                <w:color w:val="auto"/>
                <w:w w:val="96"/>
              </w:rPr>
              <w:t>Declara, Inc.–Convertible Promissory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800" w:type="dxa"/>
            <w:vAlign w:val="bottom"/>
            <w:gridSpan w:val="3"/>
          </w:tcPr>
          <w:p>
            <w:pPr>
              <w:ind w:left="240"/>
              <w:spacing w:after="0"/>
              <w:rPr>
                <w:sz w:val="20"/>
                <w:szCs w:val="20"/>
                <w:color w:val="auto"/>
              </w:rPr>
            </w:pPr>
            <w:r>
              <w:rPr>
                <w:rFonts w:ascii="Arial" w:cs="Arial" w:eastAsia="Arial" w:hAnsi="Arial"/>
                <w:sz w:val="16"/>
                <w:szCs w:val="16"/>
                <w:color w:val="auto"/>
              </w:rPr>
              <w:t>Note 12% Due 4/30/2018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0"/>
              </w:rPr>
              <w:t>(2,334,832)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2,334,152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4,514,064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(2,334,832)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(263,002)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8"/>
              </w:rPr>
              <w:t>1,916,910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37"/>
        </w:trPr>
        <w:tc>
          <w:tcPr>
            <w:tcW w:w="2840" w:type="dxa"/>
            <w:vAlign w:val="bottom"/>
            <w:gridSpan w:val="4"/>
          </w:tcPr>
          <w:p>
            <w:pPr>
              <w:ind w:left="40"/>
              <w:spacing w:after="0"/>
              <w:rPr>
                <w:sz w:val="20"/>
                <w:szCs w:val="20"/>
                <w:color w:val="auto"/>
              </w:rPr>
            </w:pPr>
            <w:r>
              <w:rPr>
                <w:rFonts w:ascii="Arial" w:cs="Arial" w:eastAsia="Arial" w:hAnsi="Arial"/>
                <w:sz w:val="16"/>
                <w:szCs w:val="16"/>
                <w:b w:val="1"/>
                <w:bCs w:val="1"/>
                <w:color w:val="auto"/>
              </w:rPr>
              <w:t>Preferred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Corporate Education</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800" w:type="dxa"/>
            <w:vAlign w:val="bottom"/>
            <w:gridSpan w:val="3"/>
          </w:tcPr>
          <w:p>
            <w:pPr>
              <w:ind w:left="240"/>
              <w:spacing w:after="0"/>
              <w:rPr>
                <w:sz w:val="20"/>
                <w:szCs w:val="20"/>
                <w:color w:val="auto"/>
              </w:rPr>
            </w:pPr>
            <w:r>
              <w:rPr>
                <w:rFonts w:ascii="Arial" w:cs="Arial" w:eastAsia="Arial" w:hAnsi="Arial"/>
                <w:sz w:val="16"/>
                <w:szCs w:val="16"/>
                <w:color w:val="auto"/>
                <w:w w:val="97"/>
              </w:rPr>
              <w:t>CUX, Inc. (d/b/a CorpU)–Convertible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800" w:type="dxa"/>
            <w:vAlign w:val="bottom"/>
            <w:gridSpan w:val="3"/>
          </w:tcPr>
          <w:p>
            <w:pPr>
              <w:ind w:left="240"/>
              <w:spacing w:after="0"/>
              <w:rPr>
                <w:sz w:val="20"/>
                <w:szCs w:val="20"/>
                <w:color w:val="auto"/>
              </w:rPr>
            </w:pPr>
            <w:r>
              <w:rPr>
                <w:rFonts w:ascii="Arial" w:cs="Arial" w:eastAsia="Arial" w:hAnsi="Arial"/>
                <w:sz w:val="16"/>
                <w:szCs w:val="16"/>
                <w:color w:val="auto"/>
              </w:rPr>
              <w:t>preferred shares, Series D 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169,033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878,005</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(700,732)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177,273</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97"/>
              </w:rPr>
              <w:t>CUX, Inc. (d/b/a CorpU) -Convertible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preferred shares, Series C 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615,763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0" w:type="dxa"/>
            <w:vAlign w:val="bottom"/>
            <w:tcBorders>
              <w:top w:val="single" w:sz="8" w:color="CCEEFF"/>
            </w:tcBorders>
          </w:tcPr>
          <w:p>
            <w:pPr>
              <w:spacing w:after="0"/>
              <w:rPr>
                <w:sz w:val="20"/>
                <w:szCs w:val="20"/>
                <w:color w:val="auto"/>
              </w:rPr>
            </w:pPr>
          </w:p>
        </w:tc>
        <w:tc>
          <w:tcPr>
            <w:tcW w:w="2800" w:type="dxa"/>
            <w:vAlign w:val="bottom"/>
            <w:tcBorders>
              <w:top w:val="single" w:sz="8" w:color="CCEEFF"/>
            </w:tcBorders>
            <w:gridSpan w:val="3"/>
          </w:tcPr>
          <w:p>
            <w:pPr>
              <w:ind w:left="140"/>
              <w:spacing w:after="0"/>
              <w:rPr>
                <w:sz w:val="20"/>
                <w:szCs w:val="20"/>
                <w:color w:val="auto"/>
              </w:rPr>
            </w:pPr>
            <w:r>
              <w:rPr>
                <w:rFonts w:ascii="Arial" w:cs="Arial" w:eastAsia="Arial" w:hAnsi="Arial"/>
                <w:sz w:val="16"/>
                <w:szCs w:val="16"/>
                <w:i w:val="1"/>
                <w:iCs w:val="1"/>
                <w:color w:val="auto"/>
              </w:rPr>
              <w:t>Total Corporate Education</w:t>
            </w: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878,005</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(700,732)</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177,273</w:t>
            </w:r>
          </w:p>
        </w:tc>
        <w:tc>
          <w:tcPr>
            <w:tcW w:w="100" w:type="dxa"/>
            <w:vAlign w:val="bottom"/>
            <w:tcBorders>
              <w:top w:val="single" w:sz="8" w:color="CCEEFF"/>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Social Cognitive Learning</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800" w:type="dxa"/>
            <w:vAlign w:val="bottom"/>
            <w:gridSpan w:val="3"/>
          </w:tcPr>
          <w:p>
            <w:pPr>
              <w:ind w:left="240"/>
              <w:spacing w:after="0"/>
              <w:rPr>
                <w:sz w:val="20"/>
                <w:szCs w:val="20"/>
                <w:color w:val="auto"/>
              </w:rPr>
            </w:pPr>
            <w:r>
              <w:rPr>
                <w:rFonts w:ascii="Arial" w:cs="Arial" w:eastAsia="Arial" w:hAnsi="Arial"/>
                <w:sz w:val="16"/>
                <w:szCs w:val="16"/>
                <w:color w:val="auto"/>
              </w:rPr>
              <w:t>Declara, Inc.–Preferred 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800" w:type="dxa"/>
            <w:vAlign w:val="bottom"/>
            <w:gridSpan w:val="3"/>
          </w:tcPr>
          <w:p>
            <w:pPr>
              <w:ind w:left="240"/>
              <w:spacing w:after="0"/>
              <w:rPr>
                <w:sz w:val="20"/>
                <w:szCs w:val="20"/>
                <w:color w:val="auto"/>
              </w:rPr>
            </w:pPr>
            <w:r>
              <w:rPr>
                <w:rFonts w:ascii="Arial" w:cs="Arial" w:eastAsia="Arial" w:hAnsi="Arial"/>
                <w:sz w:val="16"/>
                <w:szCs w:val="16"/>
                <w:color w:val="auto"/>
              </w:rPr>
              <w:t>Series A 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0"/>
              </w:rPr>
              <w:t>(9,999,999)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9,999,999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Purchases,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00" w:type="dxa"/>
            <w:vAlign w:val="bottom"/>
            <w:gridSpan w:val="3"/>
            <w:vMerge w:val="continue"/>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Capitalized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Dividends</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December</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0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Type/Industry/Portfolio Company/Investment</w:t>
            </w:r>
          </w:p>
        </w:tc>
        <w:tc>
          <w:tcPr>
            <w:tcW w:w="12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2"/>
                <w:szCs w:val="12"/>
                <w:color w:val="auto"/>
              </w:rPr>
            </w:pPr>
          </w:p>
        </w:tc>
        <w:tc>
          <w:tcPr>
            <w:tcW w:w="7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Interest and</w:t>
            </w:r>
          </w:p>
        </w:tc>
        <w:tc>
          <w:tcPr>
            <w:tcW w:w="100" w:type="dxa"/>
            <w:vAlign w:val="bottom"/>
          </w:tcPr>
          <w:p>
            <w:pPr>
              <w:spacing w:after="0"/>
              <w:rPr>
                <w:sz w:val="12"/>
                <w:szCs w:val="12"/>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March 31,</w:t>
            </w:r>
          </w:p>
        </w:tc>
        <w:tc>
          <w:tcPr>
            <w:tcW w:w="800" w:type="dxa"/>
            <w:vAlign w:val="bottom"/>
          </w:tcPr>
          <w:p>
            <w:pPr>
              <w:jc w:val="right"/>
              <w:ind w:right="14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Quantity</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Gains/(Losses)</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Gains/(Losses)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Education Media Platform</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40" w:type="dxa"/>
            <w:vAlign w:val="bottom"/>
            <w:gridSpan w:val="2"/>
          </w:tcPr>
          <w:p>
            <w:pPr>
              <w:ind w:left="280"/>
              <w:spacing w:after="0"/>
              <w:rPr>
                <w:sz w:val="20"/>
                <w:szCs w:val="20"/>
                <w:color w:val="auto"/>
              </w:rPr>
            </w:pPr>
            <w:r>
              <w:rPr>
                <w:rFonts w:ascii="Arial" w:cs="Arial" w:eastAsia="Arial" w:hAnsi="Arial"/>
                <w:sz w:val="16"/>
                <w:szCs w:val="16"/>
                <w:color w:val="auto"/>
              </w:rPr>
              <w:t>EdSurge, Inc.–Preferred shares,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40" w:type="dxa"/>
            <w:vAlign w:val="bottom"/>
            <w:gridSpan w:val="2"/>
          </w:tcPr>
          <w:p>
            <w:pPr>
              <w:ind w:left="280"/>
              <w:spacing w:after="0"/>
              <w:rPr>
                <w:sz w:val="20"/>
                <w:szCs w:val="20"/>
                <w:color w:val="auto"/>
              </w:rPr>
            </w:pPr>
            <w:r>
              <w:rPr>
                <w:rFonts w:ascii="Arial" w:cs="Arial" w:eastAsia="Arial" w:hAnsi="Arial"/>
                <w:sz w:val="16"/>
                <w:szCs w:val="16"/>
                <w:color w:val="auto"/>
              </w:rPr>
              <w:t>Series A-1</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378,788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EdSurge, Inc.–Preferred shares,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Series A</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494,365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269,848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276,178</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31"/>
        </w:trPr>
        <w:tc>
          <w:tcPr>
            <w:tcW w:w="2920" w:type="dxa"/>
            <w:vAlign w:val="bottom"/>
            <w:tcBorders>
              <w:top w:val="single" w:sz="8" w:color="CCEEFF"/>
            </w:tcBorders>
          </w:tcPr>
          <w:p>
            <w:pPr>
              <w:ind w:left="180"/>
              <w:spacing w:after="0"/>
              <w:rPr>
                <w:sz w:val="20"/>
                <w:szCs w:val="20"/>
                <w:color w:val="auto"/>
              </w:rPr>
            </w:pPr>
            <w:r>
              <w:rPr>
                <w:rFonts w:ascii="Arial" w:cs="Arial" w:eastAsia="Arial" w:hAnsi="Arial"/>
                <w:sz w:val="16"/>
                <w:szCs w:val="16"/>
                <w:i w:val="1"/>
                <w:iCs w:val="1"/>
                <w:color w:val="auto"/>
              </w:rPr>
              <w:t>Total Education Media Platform</w:t>
            </w:r>
          </w:p>
        </w:tc>
        <w:tc>
          <w:tcPr>
            <w:tcW w:w="120" w:type="dxa"/>
            <w:vAlign w:val="bottom"/>
          </w:tcPr>
          <w:p>
            <w:pPr>
              <w:spacing w:after="0"/>
              <w:rPr>
                <w:sz w:val="20"/>
                <w:szCs w:val="20"/>
                <w:color w:val="auto"/>
              </w:rPr>
            </w:pPr>
          </w:p>
        </w:tc>
        <w:tc>
          <w:tcPr>
            <w:tcW w:w="7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519,848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6,330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526,178</w:t>
            </w:r>
          </w:p>
        </w:tc>
        <w:tc>
          <w:tcPr>
            <w:tcW w:w="100" w:type="dxa"/>
            <w:vAlign w:val="bottom"/>
            <w:tcBorders>
              <w:top w:val="single" w:sz="8" w:color="CCEEFF"/>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Knowledge Networks</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40" w:type="dxa"/>
            <w:vAlign w:val="bottom"/>
            <w:gridSpan w:val="2"/>
          </w:tcPr>
          <w:p>
            <w:pPr>
              <w:ind w:left="280"/>
              <w:spacing w:after="0"/>
              <w:rPr>
                <w:sz w:val="20"/>
                <w:szCs w:val="20"/>
                <w:color w:val="auto"/>
              </w:rPr>
            </w:pPr>
            <w:r>
              <w:rPr>
                <w:rFonts w:ascii="Arial" w:cs="Arial" w:eastAsia="Arial" w:hAnsi="Arial"/>
                <w:sz w:val="16"/>
                <w:szCs w:val="16"/>
                <w:color w:val="auto"/>
                <w:w w:val="95"/>
              </w:rPr>
              <w:t>Maven Research, Inc.–Preferred shares,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40" w:type="dxa"/>
            <w:vAlign w:val="bottom"/>
            <w:gridSpan w:val="2"/>
          </w:tcPr>
          <w:p>
            <w:pPr>
              <w:ind w:left="280"/>
              <w:spacing w:after="0"/>
              <w:rPr>
                <w:sz w:val="20"/>
                <w:szCs w:val="20"/>
                <w:color w:val="auto"/>
              </w:rPr>
            </w:pPr>
            <w:r>
              <w:rPr>
                <w:rFonts w:ascii="Arial" w:cs="Arial" w:eastAsia="Arial" w:hAnsi="Arial"/>
                <w:sz w:val="16"/>
                <w:szCs w:val="16"/>
                <w:color w:val="auto"/>
              </w:rPr>
              <w:t>Series C</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318,979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5"/>
              </w:rPr>
              <w:t>Maven Research, Inc.–Preferred shares,</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Series B</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49,505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304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Knowledge Networks</w:t>
            </w:r>
          </w:p>
        </w:tc>
        <w:tc>
          <w:tcPr>
            <w:tcW w:w="7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40" w:type="dxa"/>
            <w:vAlign w:val="bottom"/>
            <w:gridSpan w:val="2"/>
          </w:tcPr>
          <w:p>
            <w:pPr>
              <w:ind w:left="280"/>
              <w:spacing w:after="0"/>
              <w:rPr>
                <w:sz w:val="20"/>
                <w:szCs w:val="20"/>
                <w:color w:val="auto"/>
              </w:rPr>
            </w:pPr>
            <w:r>
              <w:rPr>
                <w:rFonts w:ascii="Arial" w:cs="Arial" w:eastAsia="Arial" w:hAnsi="Arial"/>
                <w:sz w:val="16"/>
                <w:szCs w:val="16"/>
                <w:color w:val="auto"/>
              </w:rPr>
              <w:t>OzyMedia, Inc.–Preferred shares,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40" w:type="dxa"/>
            <w:vAlign w:val="bottom"/>
            <w:gridSpan w:val="2"/>
          </w:tcPr>
          <w:p>
            <w:pPr>
              <w:ind w:left="280"/>
              <w:spacing w:after="0"/>
              <w:rPr>
                <w:sz w:val="20"/>
                <w:szCs w:val="20"/>
                <w:color w:val="auto"/>
              </w:rPr>
            </w:pPr>
            <w:r>
              <w:rPr>
                <w:rFonts w:ascii="Arial" w:cs="Arial" w:eastAsia="Arial" w:hAnsi="Arial"/>
                <w:sz w:val="16"/>
                <w:szCs w:val="16"/>
                <w:color w:val="auto"/>
              </w:rPr>
              <w:t>Series B 6%</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922,509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Inc.–Preferred shares,</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Series A 6%</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1,090,909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040" w:type="dxa"/>
            <w:vAlign w:val="bottom"/>
            <w:gridSpan w:val="2"/>
          </w:tcPr>
          <w:p>
            <w:pPr>
              <w:ind w:left="280"/>
              <w:spacing w:after="0"/>
              <w:rPr>
                <w:sz w:val="20"/>
                <w:szCs w:val="20"/>
                <w:color w:val="auto"/>
              </w:rPr>
            </w:pPr>
            <w:r>
              <w:rPr>
                <w:rFonts w:ascii="Arial" w:cs="Arial" w:eastAsia="Arial" w:hAnsi="Arial"/>
                <w:sz w:val="16"/>
                <w:szCs w:val="16"/>
                <w:color w:val="auto"/>
              </w:rPr>
              <w:t>OzyMedia, Inc.–Preferred shares,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40" w:type="dxa"/>
            <w:vAlign w:val="bottom"/>
            <w:gridSpan w:val="2"/>
          </w:tcPr>
          <w:p>
            <w:pPr>
              <w:ind w:left="280"/>
              <w:spacing w:after="0"/>
              <w:rPr>
                <w:sz w:val="20"/>
                <w:szCs w:val="20"/>
                <w:color w:val="auto"/>
              </w:rPr>
            </w:pPr>
            <w:r>
              <w:rPr>
                <w:rFonts w:ascii="Arial" w:cs="Arial" w:eastAsia="Arial" w:hAnsi="Arial"/>
                <w:sz w:val="16"/>
                <w:szCs w:val="16"/>
                <w:color w:val="auto"/>
              </w:rPr>
              <w:t>Series Seed 6%</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Digital Media Platform</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0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w w:val="89"/>
              </w:rPr>
              <w:t>1,397,853</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(9,999,999)</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w w:val="95"/>
              </w:rPr>
              <w:t>9,305,597</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703,451</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Warrants</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040" w:type="dxa"/>
            <w:vAlign w:val="bottom"/>
            <w:gridSpan w:val="2"/>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CUX, Inc. (d/b/a CorpU) –Preferred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warrants, Series D, Strike Price $4.59,</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Expiration Date 2/14/2020</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16,903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19,946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(19,946)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040" w:type="dxa"/>
            <w:vAlign w:val="bottom"/>
            <w:gridSpan w:val="2"/>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Inc.–Common Warrants,</w:t>
            </w: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Strike Price $0.01, Expiration Date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4/9/2028</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295,565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0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Warrants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19,946</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(19,946)</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040" w:type="dxa"/>
            <w:vAlign w:val="bottom"/>
            <w:gridSpan w:val="2"/>
          </w:tcPr>
          <w:p>
            <w:pPr>
              <w:ind w:left="180"/>
              <w:spacing w:after="0"/>
              <w:rPr>
                <w:sz w:val="20"/>
                <w:szCs w:val="20"/>
                <w:color w:val="auto"/>
              </w:rPr>
            </w:pPr>
            <w:r>
              <w:rPr>
                <w:rFonts w:ascii="Arial" w:cs="Arial" w:eastAsia="Arial" w:hAnsi="Arial"/>
                <w:sz w:val="16"/>
                <w:szCs w:val="16"/>
                <w:i w:val="1"/>
                <w:iCs w:val="1"/>
                <w:color w:val="auto"/>
              </w:rPr>
              <w:t>Online Education</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Curious.com, Inc.–Common shares</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1,135,944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0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Common Stock</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NON-</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CONTROLLED/AFFILIATE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vMerge w:val="restart"/>
            <w:shd w:val="clear" w:color="auto" w:fill="CCEEFF"/>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7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5,931,863</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680</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440" w:type="dxa"/>
            <w:vAlign w:val="bottom"/>
            <w:vMerge w:val="restart"/>
            <w:shd w:val="clear" w:color="auto" w:fill="CCEEFF"/>
          </w:tcPr>
          <w:p>
            <w:pPr>
              <w:ind w:left="18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(12,334,831)</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95"/>
              </w:rPr>
              <w:t>9,022,649</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2,620,361</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1.23%</w:t>
            </w:r>
          </w:p>
        </w:tc>
        <w:tc>
          <w:tcPr>
            <w:tcW w:w="0" w:type="dxa"/>
            <w:vAlign w:val="bottom"/>
          </w:tcPr>
          <w:p>
            <w:pPr>
              <w:spacing w:after="0"/>
              <w:rPr>
                <w:sz w:val="1"/>
                <w:szCs w:val="1"/>
                <w:color w:val="auto"/>
              </w:rPr>
            </w:pPr>
          </w:p>
        </w:tc>
      </w:tr>
      <w:tr>
        <w:trPr>
          <w:trHeight w:val="270"/>
        </w:trPr>
        <w:tc>
          <w:tcPr>
            <w:tcW w:w="2920" w:type="dxa"/>
            <w:vAlign w:val="bottom"/>
            <w:tcBorders>
              <w:bottom w:val="single" w:sz="8" w:color="CCEEFF"/>
            </w:tcBorders>
            <w:shd w:val="clear" w:color="auto" w:fill="CCEEFF"/>
          </w:tcPr>
          <w:p>
            <w:pPr>
              <w:ind w:left="4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66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vMerge w:val="continue"/>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76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78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44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vMerge w:val="continue"/>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90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82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78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-1748790</wp:posOffset>
            </wp:positionV>
            <wp:extent cx="18522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-3043555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-3043555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-3043555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-3043555</wp:posOffset>
            </wp:positionV>
            <wp:extent cx="5657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-5968365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45" w:lineRule="exact"/>
        <w:rPr>
          <w:sz w:val="20"/>
          <w:szCs w:val="20"/>
          <w:color w:val="auto"/>
        </w:rPr>
      </w:pPr>
    </w:p>
    <w:p>
      <w:pPr>
        <w:jc w:val="both"/>
        <w:ind w:left="340" w:hanging="332"/>
        <w:spacing w:after="0" w:line="301"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Unless otherwise noted, all investments were pledged as collateral under the Credit Facility.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w:t>
      </w:r>
    </w:p>
    <w:p>
      <w:pPr>
        <w:spacing w:after="0" w:line="14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Indicates assets that GSV Capital Corp. believes do not represent “qualifying assets” under Section 55(a) of the 1940 Act.</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194" w:lineRule="exact"/>
        <w:rPr>
          <w:sz w:val="20"/>
          <w:szCs w:val="20"/>
          <w:color w:val="auto"/>
        </w:rPr>
      </w:pPr>
    </w:p>
    <w:p>
      <w:pPr>
        <w:jc w:val="both"/>
        <w:ind w:left="500" w:hanging="492"/>
        <w:spacing w:after="0" w:line="261"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w:t>
      </w:r>
    </w:p>
    <w:p>
      <w:pPr>
        <w:spacing w:after="0" w:line="156"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56" w:lineRule="exact"/>
        <w:rPr>
          <w:rFonts w:ascii="Arial" w:cs="Arial" w:eastAsia="Arial" w:hAnsi="Arial"/>
          <w:sz w:val="16"/>
          <w:szCs w:val="16"/>
          <w:color w:val="auto"/>
        </w:rPr>
      </w:pPr>
    </w:p>
    <w:p>
      <w:pPr>
        <w:ind w:left="500" w:hanging="492"/>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of March 31, 2019, the investments noted had been placed on non-accrual status.</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GSV Capital Corp.’s investments in StormWind, LLC are held through GSV Capital Corp.'s wholly owned subsidiary, GSVC SW Holdings, Inc.</w:t>
      </w:r>
    </w:p>
    <w:p>
      <w:pPr>
        <w:spacing w:after="0" w:line="194" w:lineRule="exact"/>
        <w:rPr>
          <w:rFonts w:ascii="Arial" w:cs="Arial" w:eastAsia="Arial" w:hAnsi="Arial"/>
          <w:sz w:val="16"/>
          <w:szCs w:val="16"/>
          <w:color w:val="auto"/>
        </w:rPr>
      </w:pPr>
    </w:p>
    <w:p>
      <w:pPr>
        <w:jc w:val="both"/>
        <w:ind w:left="500" w:hanging="492"/>
        <w:spacing w:after="0" w:line="278" w:lineRule="auto"/>
        <w:tabs>
          <w:tab w:leader="none" w:pos="5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On October 31, 2018, GSV Capital Corp. agreed to extend the maturity of the Senior Subordinated Convertible Promissory Note to CUX, Inc. (d/b/a CorpU) until February 14, 2020, with a new interest rate of 10%. Accrued interest will continue to be compounded annually on November 26 of the current and each subsequent year until repaid.</w:t>
      </w:r>
    </w:p>
    <w:p>
      <w:pPr>
        <w:spacing w:after="0" w:line="146" w:lineRule="exact"/>
        <w:rPr>
          <w:rFonts w:ascii="Arial" w:cs="Arial" w:eastAsia="Arial" w:hAnsi="Arial"/>
          <w:sz w:val="15"/>
          <w:szCs w:val="15"/>
          <w:color w:val="auto"/>
        </w:rPr>
      </w:pPr>
    </w:p>
    <w:p>
      <w:pPr>
        <w:ind w:left="500" w:hanging="492"/>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Subsequent to December 31, 2018, Ozy Media Inc.'s obligations under its financing arrangements with the Company became past due.</w:t>
      </w:r>
    </w:p>
    <w:p>
      <w:pPr>
        <w:spacing w:after="0" w:line="194" w:lineRule="exact"/>
        <w:rPr>
          <w:rFonts w:ascii="Arial" w:cs="Arial" w:eastAsia="Arial" w:hAnsi="Arial"/>
          <w:sz w:val="16"/>
          <w:szCs w:val="16"/>
          <w:color w:val="auto"/>
        </w:rPr>
      </w:pPr>
    </w:p>
    <w:p>
      <w:pPr>
        <w:jc w:val="both"/>
        <w:ind w:left="500" w:hanging="492"/>
        <w:spacing w:after="0" w:line="286" w:lineRule="auto"/>
        <w:tabs>
          <w:tab w:leader="none" w:pos="5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SPBRX, INC. (f/k/a GSV Sustainability Partners, Inc.) preferred shares held by GSV Capital Corp. do not entitle GSV Capital Corp. to a preferred dividend rate. During the three months ended March 31, 2019, SPBRX, INC. declared, and GSV Capital Corp. received, an aggregate of $0 in cash distributions. GSV Capital Corp. does not anticipate that SPBRX, INC. will pay distributions on a quarterly or regular basis or become a predictable distributor of distributions.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29" w:lineRule="exact"/>
        <w:rPr>
          <w:sz w:val="20"/>
          <w:szCs w:val="20"/>
          <w:color w:val="auto"/>
        </w:rPr>
      </w:pPr>
    </w:p>
    <w:p>
      <w:pPr>
        <w:ind w:right="20" w:firstLine="351"/>
        <w:spacing w:after="0" w:line="277" w:lineRule="auto"/>
        <w:rPr>
          <w:sz w:val="20"/>
          <w:szCs w:val="20"/>
          <w:color w:val="auto"/>
        </w:rPr>
      </w:pPr>
      <w:r>
        <w:rPr>
          <w:rFonts w:ascii="Arial" w:cs="Arial" w:eastAsia="Arial" w:hAnsi="Arial"/>
          <w:sz w:val="18"/>
          <w:szCs w:val="18"/>
          <w:color w:val="auto"/>
        </w:rPr>
        <w:t>Transactions during the year ended December 31, 2018 involving the Company’s controlled investments and non-controlled/affiliate investments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960" w:type="dxa"/>
            <w:vAlign w:val="bottom"/>
            <w:gridSpan w:val="3"/>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8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0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Credited</w:t>
            </w:r>
          </w:p>
        </w:tc>
        <w:tc>
          <w:tcPr>
            <w:tcW w:w="10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20" w:type="dxa"/>
            <w:vAlign w:val="bottom"/>
          </w:tcPr>
          <w:p>
            <w:pPr>
              <w:spacing w:after="0"/>
              <w:rPr>
                <w:sz w:val="12"/>
                <w:szCs w:val="12"/>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2"/>
                <w:szCs w:val="12"/>
                <w:color w:val="auto"/>
              </w:rPr>
            </w:pPr>
          </w:p>
        </w:tc>
        <w:tc>
          <w:tcPr>
            <w:tcW w:w="760" w:type="dxa"/>
            <w:vAlign w:val="bottom"/>
          </w:tcPr>
          <w:p>
            <w:pPr>
              <w:jc w:val="right"/>
              <w:ind w:right="126"/>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8"/>
              </w:rPr>
              <w:t>Quantity</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Gains/(Losses)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2"/>
        </w:trPr>
        <w:tc>
          <w:tcPr>
            <w:tcW w:w="28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6"/>
                <w:szCs w:val="16"/>
                <w:b w:val="1"/>
                <w:bCs w:val="1"/>
                <w:color w:val="auto"/>
              </w:rPr>
              <w:t>CONTROLLED INVESTMENTS*</w:t>
            </w:r>
            <w:r>
              <w:rPr>
                <w:rFonts w:ascii="Arial" w:cs="Arial" w:eastAsia="Arial" w:hAnsi="Arial"/>
                <w:sz w:val="21"/>
                <w:szCs w:val="21"/>
                <w:b w:val="1"/>
                <w:bCs w:val="1"/>
                <w:color w:val="auto"/>
                <w:vertAlign w:val="superscript"/>
              </w:rPr>
              <w:t>(2)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80" w:type="dxa"/>
            <w:vAlign w:val="bottom"/>
            <w:gridSpan w:val="4"/>
          </w:tcPr>
          <w:p>
            <w:pPr>
              <w:ind w:left="40"/>
              <w:spacing w:after="0"/>
              <w:rPr>
                <w:sz w:val="20"/>
                <w:szCs w:val="20"/>
                <w:color w:val="auto"/>
              </w:rPr>
            </w:pPr>
            <w:r>
              <w:rPr>
                <w:rFonts w:ascii="Arial" w:cs="Arial" w:eastAsia="Arial" w:hAnsi="Arial"/>
                <w:sz w:val="16"/>
                <w:szCs w:val="16"/>
                <w:b w:val="1"/>
                <w:bCs w:val="1"/>
                <w:color w:val="auto"/>
              </w:rPr>
              <w:t>Debt Investments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40" w:type="dxa"/>
            <w:vAlign w:val="bottom"/>
            <w:gridSpan w:val="3"/>
          </w:tcPr>
          <w:p>
            <w:pPr>
              <w:ind w:left="400"/>
              <w:spacing w:after="0"/>
              <w:rPr>
                <w:sz w:val="20"/>
                <w:szCs w:val="20"/>
                <w:color w:val="auto"/>
              </w:rPr>
            </w:pPr>
            <w:r>
              <w:rPr>
                <w:rFonts w:ascii="Arial" w:cs="Arial" w:eastAsia="Arial" w:hAnsi="Arial"/>
                <w:sz w:val="16"/>
                <w:szCs w:val="16"/>
                <w:color w:val="auto"/>
                <w:w w:val="99"/>
              </w:rPr>
              <w:t>Inc.)–Convertible Promissory Note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840" w:type="dxa"/>
            <w:vAlign w:val="bottom"/>
            <w:gridSpan w:val="3"/>
          </w:tcPr>
          <w:p>
            <w:pPr>
              <w:ind w:left="400"/>
              <w:spacing w:after="0" w:line="239" w:lineRule="exact"/>
              <w:rPr>
                <w:sz w:val="20"/>
                <w:szCs w:val="20"/>
                <w:color w:val="auto"/>
              </w:rPr>
            </w:pPr>
            <w:r>
              <w:rPr>
                <w:rFonts w:ascii="Arial" w:cs="Arial" w:eastAsia="Arial" w:hAnsi="Arial"/>
                <w:sz w:val="16"/>
                <w:szCs w:val="16"/>
                <w:color w:val="auto"/>
              </w:rPr>
              <w:t>12% Due 12/31/2019***</w:t>
            </w:r>
            <w:r>
              <w:rPr>
                <w:rFonts w:ascii="Arial" w:cs="Arial" w:eastAsia="Arial" w:hAnsi="Arial"/>
                <w:sz w:val="21"/>
                <w:szCs w:val="21"/>
                <w:color w:val="auto"/>
                <w:vertAlign w:val="superscript"/>
              </w:rPr>
              <w:t>(10)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936,525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57,466</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560,199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392,437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(16,111)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936,525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84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Inc.)–Unsecured Promissory Note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2840" w:type="dxa"/>
            <w:vAlign w:val="bottom"/>
            <w:gridSpan w:val="3"/>
            <w:shd w:val="clear" w:color="auto" w:fill="CCEEFF"/>
          </w:tcPr>
          <w:p>
            <w:pPr>
              <w:ind w:left="400"/>
              <w:spacing w:after="0" w:line="239" w:lineRule="exact"/>
              <w:rPr>
                <w:sz w:val="20"/>
                <w:szCs w:val="20"/>
                <w:color w:val="auto"/>
              </w:rPr>
            </w:pPr>
            <w:r>
              <w:rPr>
                <w:rFonts w:ascii="Arial" w:cs="Arial" w:eastAsia="Arial" w:hAnsi="Arial"/>
                <w:sz w:val="16"/>
                <w:szCs w:val="16"/>
                <w:color w:val="auto"/>
              </w:rPr>
              <w:t>12% Due 1/15/2018***</w:t>
            </w:r>
            <w:r>
              <w:rPr>
                <w:rFonts w:ascii="Arial" w:cs="Arial" w:eastAsia="Arial" w:hAnsi="Arial"/>
                <w:sz w:val="21"/>
                <w:szCs w:val="21"/>
                <w:color w:val="auto"/>
                <w:vertAlign w:val="superscript"/>
              </w:rPr>
              <w:t>(8)</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2,369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592,129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(592,129)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i w:val="1"/>
                <w:iCs w:val="1"/>
                <w:color w:val="auto"/>
              </w:rPr>
              <w:t>Total Global Innovation Platform</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59,835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92"/>
              </w:rPr>
              <w:t>1,152,328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392,437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7"/>
              </w:rPr>
              <w:t>(592,129)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(15,431)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936,525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59,835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92"/>
              </w:rPr>
              <w:t>1,152,328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392,437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(592,129)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936,525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37"/>
        </w:trPr>
        <w:tc>
          <w:tcPr>
            <w:tcW w:w="2880" w:type="dxa"/>
            <w:vAlign w:val="bottom"/>
            <w:gridSpan w:val="4"/>
          </w:tcPr>
          <w:p>
            <w:pPr>
              <w:ind w:left="40"/>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Clean Technology</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SPBRX, INC. (f/k/a GSV</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Sustainability Partners, Inc.)–</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840" w:type="dxa"/>
            <w:vAlign w:val="bottom"/>
            <w:gridSpan w:val="3"/>
          </w:tcPr>
          <w:p>
            <w:pPr>
              <w:ind w:left="240"/>
              <w:spacing w:after="0" w:line="239" w:lineRule="exact"/>
              <w:rPr>
                <w:sz w:val="20"/>
                <w:szCs w:val="20"/>
                <w:color w:val="auto"/>
              </w:rPr>
            </w:pPr>
            <w:r>
              <w:rPr>
                <w:rFonts w:ascii="Arial" w:cs="Arial" w:eastAsia="Arial" w:hAnsi="Arial"/>
                <w:sz w:val="16"/>
                <w:szCs w:val="16"/>
                <w:color w:val="auto"/>
              </w:rPr>
              <w:t>Preferred shares, Class A***</w:t>
            </w:r>
            <w:r>
              <w:rPr>
                <w:rFonts w:ascii="Arial" w:cs="Arial" w:eastAsia="Arial" w:hAnsi="Arial"/>
                <w:sz w:val="21"/>
                <w:szCs w:val="21"/>
                <w:color w:val="auto"/>
                <w:vertAlign w:val="superscript"/>
              </w:rPr>
              <w:t>(12)</w:t>
            </w:r>
          </w:p>
        </w:tc>
        <w:tc>
          <w:tcPr>
            <w:tcW w:w="820" w:type="dxa"/>
            <w:vAlign w:val="bottom"/>
            <w:gridSpan w:val="2"/>
          </w:tcPr>
          <w:p>
            <w:pPr>
              <w:ind w:left="20"/>
              <w:spacing w:after="0"/>
              <w:rPr>
                <w:sz w:val="20"/>
                <w:szCs w:val="20"/>
                <w:color w:val="auto"/>
              </w:rPr>
            </w:pPr>
            <w:r>
              <w:rPr>
                <w:rFonts w:ascii="Arial" w:cs="Arial" w:eastAsia="Arial" w:hAnsi="Arial"/>
                <w:sz w:val="16"/>
                <w:szCs w:val="16"/>
                <w:color w:val="auto"/>
                <w:w w:val="97"/>
              </w:rPr>
              <w:t>14,300,000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w w:val="93"/>
              </w:rPr>
              <w:t>625,000</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1,069,862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(319,664)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750,198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Inc.)–Preferred stock Series A-4</w:t>
            </w:r>
          </w:p>
        </w:tc>
        <w:tc>
          <w:tcPr>
            <w:tcW w:w="820" w:type="dxa"/>
            <w:vAlign w:val="bottom"/>
            <w:gridSpan w:val="2"/>
          </w:tcPr>
          <w:p>
            <w:pPr>
              <w:jc w:val="right"/>
              <w:ind w:right="2"/>
              <w:spacing w:after="0"/>
              <w:rPr>
                <w:sz w:val="20"/>
                <w:szCs w:val="20"/>
                <w:color w:val="auto"/>
              </w:rPr>
            </w:pPr>
            <w:r>
              <w:rPr>
                <w:rFonts w:ascii="Arial" w:cs="Arial" w:eastAsia="Arial" w:hAnsi="Arial"/>
                <w:sz w:val="16"/>
                <w:szCs w:val="16"/>
                <w:color w:val="auto"/>
              </w:rPr>
              <w:t>3,720,424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5,390,842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(430,289)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4,960,553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Inc.)–Preferred stock Series A-3</w:t>
            </w:r>
          </w:p>
        </w:tc>
        <w:tc>
          <w:tcPr>
            <w:tcW w:w="82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1,561,625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92"/>
              </w:rPr>
              <w:t>1,885,644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(150,510)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1,735,134</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Inc.)–Preferred stock Series A-2</w:t>
            </w:r>
          </w:p>
        </w:tc>
        <w:tc>
          <w:tcPr>
            <w:tcW w:w="100" w:type="dxa"/>
            <w:vAlign w:val="bottom"/>
          </w:tcPr>
          <w:p>
            <w:pPr>
              <w:spacing w:after="0"/>
              <w:rPr>
                <w:sz w:val="17"/>
                <w:szCs w:val="17"/>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450,001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326,022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300,000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Inc.)–Preferred stock Series A-1</w:t>
            </w:r>
          </w:p>
        </w:tc>
        <w:tc>
          <w:tcPr>
            <w:tcW w:w="82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1,000,000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543,370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499,999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840" w:type="dxa"/>
            <w:vAlign w:val="bottom"/>
            <w:gridSpan w:val="3"/>
          </w:tcPr>
          <w:p>
            <w:pPr>
              <w:ind w:left="140"/>
              <w:spacing w:after="0"/>
              <w:rPr>
                <w:sz w:val="20"/>
                <w:szCs w:val="20"/>
                <w:color w:val="auto"/>
              </w:rPr>
            </w:pPr>
            <w:r>
              <w:rPr>
                <w:rFonts w:ascii="Arial" w:cs="Arial" w:eastAsia="Arial" w:hAnsi="Arial"/>
                <w:sz w:val="16"/>
                <w:szCs w:val="16"/>
                <w:i w:val="1"/>
                <w:iCs w:val="1"/>
                <w:color w:val="auto"/>
              </w:rPr>
              <w:t>Total Global Innovation Platform</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92"/>
              </w:rPr>
              <w:t>8,145,878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(650,192)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7,495,686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Interactive Learning</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StormWind, LLC–Preferred shares,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840" w:type="dxa"/>
            <w:vAlign w:val="bottom"/>
            <w:gridSpan w:val="3"/>
          </w:tcPr>
          <w:p>
            <w:pPr>
              <w:ind w:left="240"/>
              <w:spacing w:after="0" w:line="239" w:lineRule="exact"/>
              <w:rPr>
                <w:sz w:val="20"/>
                <w:szCs w:val="20"/>
                <w:color w:val="auto"/>
              </w:rPr>
            </w:pPr>
            <w:r>
              <w:rPr>
                <w:rFonts w:ascii="Arial" w:cs="Arial" w:eastAsia="Arial" w:hAnsi="Arial"/>
                <w:sz w:val="16"/>
                <w:szCs w:val="16"/>
                <w:color w:val="auto"/>
              </w:rPr>
              <w:t>Series C 8%</w:t>
            </w:r>
            <w:r>
              <w:rPr>
                <w:rFonts w:ascii="Arial" w:cs="Arial" w:eastAsia="Arial" w:hAnsi="Arial"/>
                <w:sz w:val="21"/>
                <w:szCs w:val="21"/>
                <w:color w:val="auto"/>
                <w:vertAlign w:val="superscript"/>
              </w:rPr>
              <w:t>(3)</w:t>
            </w:r>
          </w:p>
        </w:tc>
        <w:tc>
          <w:tcPr>
            <w:tcW w:w="820" w:type="dxa"/>
            <w:vAlign w:val="bottom"/>
            <w:gridSpan w:val="2"/>
          </w:tcPr>
          <w:p>
            <w:pPr>
              <w:jc w:val="right"/>
              <w:ind w:right="2"/>
              <w:spacing w:after="0"/>
              <w:rPr>
                <w:sz w:val="20"/>
                <w:szCs w:val="20"/>
                <w:color w:val="auto"/>
              </w:rPr>
            </w:pPr>
            <w:r>
              <w:rPr>
                <w:rFonts w:ascii="Arial" w:cs="Arial" w:eastAsia="Arial" w:hAnsi="Arial"/>
                <w:sz w:val="16"/>
                <w:szCs w:val="16"/>
                <w:color w:val="auto"/>
              </w:rPr>
              <w:t>2,779,134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7,223,904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(28,933)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7,194,971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StormWind, LLC–Preferred shares,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2840" w:type="dxa"/>
            <w:vAlign w:val="bottom"/>
            <w:gridSpan w:val="3"/>
            <w:shd w:val="clear" w:color="auto" w:fill="CCEEFF"/>
          </w:tcPr>
          <w:p>
            <w:pPr>
              <w:ind w:left="240"/>
              <w:spacing w:after="0" w:line="239" w:lineRule="exact"/>
              <w:rPr>
                <w:sz w:val="20"/>
                <w:szCs w:val="20"/>
                <w:color w:val="auto"/>
              </w:rPr>
            </w:pPr>
            <w:r>
              <w:rPr>
                <w:rFonts w:ascii="Arial" w:cs="Arial" w:eastAsia="Arial" w:hAnsi="Arial"/>
                <w:sz w:val="16"/>
                <w:szCs w:val="16"/>
                <w:color w:val="auto"/>
              </w:rPr>
              <w:t>Series B 8%</w:t>
            </w:r>
            <w:r>
              <w:rPr>
                <w:rFonts w:ascii="Arial" w:cs="Arial" w:eastAsia="Arial" w:hAnsi="Arial"/>
                <w:sz w:val="21"/>
                <w:szCs w:val="21"/>
                <w:color w:val="auto"/>
                <w:vertAlign w:val="superscript"/>
              </w:rPr>
              <w:t>(3)</w:t>
            </w:r>
          </w:p>
        </w:tc>
        <w:tc>
          <w:tcPr>
            <w:tcW w:w="8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3,279,629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2"/>
              </w:rPr>
              <w:t>5,804,472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5,770,328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StormWind, LLC–Preferred shares,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840" w:type="dxa"/>
            <w:vAlign w:val="bottom"/>
            <w:gridSpan w:val="3"/>
          </w:tcPr>
          <w:p>
            <w:pPr>
              <w:ind w:left="240"/>
              <w:spacing w:after="0" w:line="239" w:lineRule="exact"/>
              <w:rPr>
                <w:sz w:val="20"/>
                <w:szCs w:val="20"/>
                <w:color w:val="auto"/>
              </w:rPr>
            </w:pPr>
            <w:r>
              <w:rPr>
                <w:rFonts w:ascii="Arial" w:cs="Arial" w:eastAsia="Arial" w:hAnsi="Arial"/>
                <w:sz w:val="16"/>
                <w:szCs w:val="16"/>
                <w:color w:val="auto"/>
              </w:rPr>
              <w:t>Series A 8%</w:t>
            </w:r>
            <w:r>
              <w:rPr>
                <w:rFonts w:ascii="Arial" w:cs="Arial" w:eastAsia="Arial" w:hAnsi="Arial"/>
                <w:sz w:val="21"/>
                <w:szCs w:val="21"/>
                <w:color w:val="auto"/>
                <w:vertAlign w:val="superscript"/>
              </w:rPr>
              <w:t>(3)</w:t>
            </w:r>
          </w:p>
        </w:tc>
        <w:tc>
          <w:tcPr>
            <w:tcW w:w="10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366,666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425,342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(3,817)</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421,525</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-5041900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Total Interactive Learning</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7"/>
              </w:rPr>
              <w:t>13,453,718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7"/>
              </w:rPr>
              <w:t>13,386,824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10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625,000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87"/>
              </w:rPr>
              <w:t>22,669,458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(1,036,750)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87"/>
              </w:rPr>
              <w:t>21,632,708</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Warrants</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80" w:type="dxa"/>
            <w:vAlign w:val="bottom"/>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NestGSV, Inc. (d/b/a GSV Labs, Inc.)–</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Preferred Warrant Series A-3, Strike Price</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80" w:type="dxa"/>
            <w:vAlign w:val="bottom"/>
            <w:shd w:val="clear" w:color="auto" w:fill="CCEEFF"/>
          </w:tcPr>
          <w:p>
            <w:pPr>
              <w:ind w:left="280"/>
              <w:spacing w:after="0" w:line="239" w:lineRule="exact"/>
              <w:rPr>
                <w:sz w:val="20"/>
                <w:szCs w:val="20"/>
                <w:color w:val="auto"/>
              </w:rPr>
            </w:pPr>
            <w:r>
              <w:rPr>
                <w:rFonts w:ascii="Arial" w:cs="Arial" w:eastAsia="Arial" w:hAnsi="Arial"/>
                <w:sz w:val="16"/>
                <w:szCs w:val="16"/>
                <w:color w:val="auto"/>
              </w:rPr>
              <w:t>$1.33, Expiration Date 4/4/2021</w:t>
            </w:r>
            <w:r>
              <w:rPr>
                <w:rFonts w:ascii="Arial" w:cs="Arial" w:eastAsia="Arial" w:hAnsi="Arial"/>
                <w:sz w:val="21"/>
                <w:szCs w:val="21"/>
                <w:color w:val="auto"/>
                <w:vertAlign w:val="superscript"/>
              </w:rPr>
              <w:t>(10)</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187,500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24,375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26,250</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20"/>
        </w:trPr>
        <w:tc>
          <w:tcPr>
            <w:tcW w:w="3080" w:type="dxa"/>
            <w:vAlign w:val="bottom"/>
          </w:tcPr>
          <w:p>
            <w:pPr>
              <w:ind w:left="280"/>
              <w:spacing w:after="0"/>
              <w:rPr>
                <w:sz w:val="20"/>
                <w:szCs w:val="20"/>
                <w:color w:val="auto"/>
              </w:rPr>
            </w:pPr>
            <w:r>
              <w:rPr>
                <w:rFonts w:ascii="Arial" w:cs="Arial" w:eastAsia="Arial" w:hAnsi="Arial"/>
                <w:sz w:val="16"/>
                <w:szCs w:val="16"/>
                <w:color w:val="auto"/>
              </w:rPr>
              <w:t>NestGSV, Inc. (d/b/a GSV Labs, Inc.)–</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280"/>
              <w:spacing w:after="0"/>
              <w:rPr>
                <w:sz w:val="20"/>
                <w:szCs w:val="20"/>
                <w:color w:val="auto"/>
              </w:rPr>
            </w:pPr>
            <w:r>
              <w:rPr>
                <w:rFonts w:ascii="Arial" w:cs="Arial" w:eastAsia="Arial" w:hAnsi="Arial"/>
                <w:sz w:val="16"/>
                <w:szCs w:val="16"/>
                <w:color w:val="auto"/>
                <w:w w:val="93"/>
              </w:rPr>
              <w:t>Preferred Warrant Series A-4, Strike Price</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80" w:type="dxa"/>
            <w:vAlign w:val="bottom"/>
          </w:tcPr>
          <w:p>
            <w:pPr>
              <w:ind w:left="280"/>
              <w:spacing w:after="0" w:line="239" w:lineRule="exact"/>
              <w:rPr>
                <w:sz w:val="20"/>
                <w:szCs w:val="20"/>
                <w:color w:val="auto"/>
              </w:rPr>
            </w:pPr>
            <w:r>
              <w:rPr>
                <w:rFonts w:ascii="Arial" w:cs="Arial" w:eastAsia="Arial" w:hAnsi="Arial"/>
                <w:sz w:val="16"/>
                <w:szCs w:val="16"/>
                <w:color w:val="auto"/>
              </w:rPr>
              <w:t>$1.33, Expiration Date 10/6/2021</w:t>
            </w:r>
            <w:r>
              <w:rPr>
                <w:rFonts w:ascii="Arial" w:cs="Arial" w:eastAsia="Arial" w:hAnsi="Arial"/>
                <w:sz w:val="21"/>
                <w:szCs w:val="21"/>
                <w:color w:val="auto"/>
                <w:vertAlign w:val="superscript"/>
              </w:rPr>
              <w:t>(10)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145,000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20"/>
        </w:trPr>
        <w:tc>
          <w:tcPr>
            <w:tcW w:w="3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NestGSV, Inc. (d/b/a GSV Labs, Inc.)–</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Preferred Warrant Series A-4, Strike Price</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$1.33, Expiration Date 7/18/2021</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70,000</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20"/>
        </w:trPr>
        <w:tc>
          <w:tcPr>
            <w:tcW w:w="3080" w:type="dxa"/>
            <w:vAlign w:val="bottom"/>
          </w:tcPr>
          <w:p>
            <w:pPr>
              <w:ind w:left="280"/>
              <w:spacing w:after="0"/>
              <w:rPr>
                <w:sz w:val="20"/>
                <w:szCs w:val="20"/>
                <w:color w:val="auto"/>
              </w:rPr>
            </w:pPr>
            <w:r>
              <w:rPr>
                <w:rFonts w:ascii="Arial" w:cs="Arial" w:eastAsia="Arial" w:hAnsi="Arial"/>
                <w:sz w:val="16"/>
                <w:szCs w:val="16"/>
                <w:color w:val="auto"/>
              </w:rPr>
              <w:t>NestGSV, Inc. (d/b/a GSV Labs, Inc.)–</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280"/>
              <w:spacing w:after="0"/>
              <w:rPr>
                <w:sz w:val="20"/>
                <w:szCs w:val="20"/>
                <w:color w:val="auto"/>
              </w:rPr>
            </w:pPr>
            <w:r>
              <w:rPr>
                <w:rFonts w:ascii="Arial" w:cs="Arial" w:eastAsia="Arial" w:hAnsi="Arial"/>
                <w:sz w:val="16"/>
                <w:szCs w:val="16"/>
                <w:color w:val="auto"/>
                <w:w w:val="97"/>
              </w:rPr>
              <w:t>Preferred Warrant Series B, Strike Price</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80" w:type="dxa"/>
            <w:vAlign w:val="bottom"/>
          </w:tcPr>
          <w:p>
            <w:pPr>
              <w:ind w:left="280"/>
              <w:spacing w:after="0"/>
              <w:rPr>
                <w:sz w:val="20"/>
                <w:szCs w:val="20"/>
                <w:color w:val="auto"/>
              </w:rPr>
            </w:pPr>
            <w:r>
              <w:rPr>
                <w:rFonts w:ascii="Arial" w:cs="Arial" w:eastAsia="Arial" w:hAnsi="Arial"/>
                <w:sz w:val="16"/>
                <w:szCs w:val="16"/>
                <w:color w:val="auto"/>
              </w:rPr>
              <w:t>$2.31, Expiration Date 11/29/2021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41,000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(40,444)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NestGSV, Inc. (d/b/a GSV Labs, Inc.)–</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7"/>
              </w:rPr>
              <w:t>Preferred Warrant Series B, Strike Price</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$2.31, Expiration Date 5/29/2022</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(79,306)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20"/>
        </w:trPr>
        <w:tc>
          <w:tcPr>
            <w:tcW w:w="3080" w:type="dxa"/>
            <w:vAlign w:val="bottom"/>
          </w:tcPr>
          <w:p>
            <w:pPr>
              <w:ind w:left="280"/>
              <w:spacing w:after="0"/>
              <w:rPr>
                <w:sz w:val="20"/>
                <w:szCs w:val="20"/>
                <w:color w:val="auto"/>
              </w:rPr>
            </w:pPr>
            <w:r>
              <w:rPr>
                <w:rFonts w:ascii="Arial" w:cs="Arial" w:eastAsia="Arial" w:hAnsi="Arial"/>
                <w:sz w:val="16"/>
                <w:szCs w:val="16"/>
                <w:color w:val="auto"/>
              </w:rPr>
              <w:t>NestGSV, Inc. (d/b/a GSV Labs, Inc.)–</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280"/>
              <w:spacing w:after="0"/>
              <w:rPr>
                <w:sz w:val="20"/>
                <w:szCs w:val="20"/>
                <w:color w:val="auto"/>
              </w:rPr>
            </w:pPr>
            <w:r>
              <w:rPr>
                <w:rFonts w:ascii="Arial" w:cs="Arial" w:eastAsia="Arial" w:hAnsi="Arial"/>
                <w:sz w:val="16"/>
                <w:szCs w:val="16"/>
                <w:color w:val="auto"/>
                <w:w w:val="97"/>
              </w:rPr>
              <w:t>Preferred Warrant Series B, Strike Price</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80" w:type="dxa"/>
            <w:vAlign w:val="bottom"/>
            <w:tcBorders>
              <w:bottom w:val="single" w:sz="8" w:color="CCEEFF"/>
            </w:tcBorders>
          </w:tcPr>
          <w:p>
            <w:pPr>
              <w:ind w:left="280"/>
              <w:spacing w:after="0" w:line="239" w:lineRule="exact"/>
              <w:rPr>
                <w:sz w:val="20"/>
                <w:szCs w:val="20"/>
                <w:color w:val="auto"/>
              </w:rPr>
            </w:pPr>
            <w:r>
              <w:rPr>
                <w:rFonts w:ascii="Arial" w:cs="Arial" w:eastAsia="Arial" w:hAnsi="Arial"/>
                <w:sz w:val="16"/>
                <w:szCs w:val="16"/>
                <w:color w:val="auto"/>
              </w:rPr>
              <w:t>$2.31, Expiration Date 12/31/2023</w:t>
            </w:r>
            <w:r>
              <w:rPr>
                <w:rFonts w:ascii="Arial" w:cs="Arial" w:eastAsia="Arial" w:hAnsi="Arial"/>
                <w:sz w:val="21"/>
                <w:szCs w:val="21"/>
                <w:color w:val="auto"/>
                <w:vertAlign w:val="superscript"/>
              </w:rPr>
              <w:t>(10)</w:t>
            </w:r>
          </w:p>
        </w:tc>
        <w:tc>
          <w:tcPr>
            <w:tcW w:w="100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5,080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Total Global Innovation Platform</w:t>
            </w: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385,375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(142,955)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247,500</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Total Warrants</w:t>
            </w:r>
          </w:p>
        </w:tc>
        <w:tc>
          <w:tcPr>
            <w:tcW w:w="10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385,375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5,080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(142,955)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247,500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80" w:type="dxa"/>
            <w:vAlign w:val="bottom"/>
          </w:tcPr>
          <w:p>
            <w:pPr>
              <w:ind w:left="180"/>
              <w:spacing w:after="0"/>
              <w:rPr>
                <w:sz w:val="20"/>
                <w:szCs w:val="20"/>
                <w:color w:val="auto"/>
              </w:rPr>
            </w:pPr>
            <w:r>
              <w:rPr>
                <w:rFonts w:ascii="Arial" w:cs="Arial" w:eastAsia="Arial" w:hAnsi="Arial"/>
                <w:sz w:val="16"/>
                <w:szCs w:val="16"/>
                <w:i w:val="1"/>
                <w:iCs w:val="1"/>
                <w:color w:val="auto"/>
              </w:rPr>
              <w:t>Clean Technology</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SPBRX, INC. (f/k/a GSV Sustainability</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Partners, Inc.)–Common shares</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080" w:type="dxa"/>
            <w:vAlign w:val="bottom"/>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NestGSV, Inc. (d/b/a GSV Labs, Inc.)–</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Common shares</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Total Common Stock</w:t>
            </w:r>
          </w:p>
        </w:tc>
        <w:tc>
          <w:tcPr>
            <w:tcW w:w="10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CONTROLLED</w:t>
            </w:r>
          </w:p>
        </w:tc>
        <w:tc>
          <w:tcPr>
            <w:tcW w:w="10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684,835</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7"/>
              </w:rPr>
              <w:t>24,207,161</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397,517</w:t>
            </w: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(592,129)</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(680)</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(1,195,135)</w:t>
            </w: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7"/>
              </w:rPr>
              <w:t>22,816,733</w:t>
            </w:r>
          </w:p>
        </w:tc>
        <w:tc>
          <w:tcPr>
            <w:tcW w:w="10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11.68%</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shd w:val="clear" w:color="auto" w:fill="CCEEFF"/>
          </w:tcPr>
          <w:p>
            <w:pPr>
              <w:ind w:left="4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(2)</w:t>
            </w: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6"/>
          <w:szCs w:val="16"/>
          <w:b w:val="1"/>
          <w:bCs w:val="1"/>
          <w:u w:val="single" w:color="auto"/>
          <w:color w:val="auto"/>
        </w:rPr>
        <w:t>NON-CONTROLLED/AFFILIATE</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INVESTMENTS</w:t>
      </w:r>
      <w:r>
        <w:rPr>
          <w:rFonts w:ascii="Arial" w:cs="Arial" w:eastAsia="Arial" w:hAnsi="Arial"/>
          <w:sz w:val="16"/>
          <w:szCs w:val="16"/>
          <w:b w:val="1"/>
          <w:bCs w:val="1"/>
          <w:color w:val="auto"/>
        </w:rPr>
        <w:t>*</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Debt Investments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Corporate Education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CUX, Inc. (d/b/a CorpU)–Senior</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3"/>
        </w:trPr>
        <w:tc>
          <w:tcPr>
            <w:tcW w:w="32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7"/>
              </w:rPr>
              <w:t>Subordinated Convertible Promissory Note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9"/>
        </w:trPr>
        <w:tc>
          <w:tcPr>
            <w:tcW w:w="3260" w:type="dxa"/>
            <w:vAlign w:val="bottom"/>
            <w:shd w:val="clear" w:color="auto" w:fill="CCEEFF"/>
          </w:tcPr>
          <w:p>
            <w:pPr>
              <w:ind w:left="280"/>
              <w:spacing w:after="0" w:line="239" w:lineRule="exact"/>
              <w:rPr>
                <w:sz w:val="20"/>
                <w:szCs w:val="20"/>
                <w:color w:val="auto"/>
              </w:rPr>
            </w:pPr>
            <w:r>
              <w:rPr>
                <w:rFonts w:ascii="Arial" w:cs="Arial" w:eastAsia="Arial" w:hAnsi="Arial"/>
                <w:sz w:val="16"/>
                <w:szCs w:val="16"/>
                <w:color w:val="auto"/>
              </w:rPr>
              <w:t>10% Due 2/14/2020***</w:t>
            </w:r>
            <w:r>
              <w:rPr>
                <w:rFonts w:ascii="Arial" w:cs="Arial" w:eastAsia="Arial" w:hAnsi="Arial"/>
                <w:sz w:val="21"/>
                <w:szCs w:val="21"/>
                <w:color w:val="auto"/>
                <w:vertAlign w:val="superscript"/>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7"/>
              </w:rPr>
              <w:t>1,360,489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3"/>
              </w:rPr>
              <w:t>104,256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1,259,712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102,257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1,360,489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r>
      <w:tr>
        <w:trPr>
          <w:trHeight w:val="237"/>
        </w:trPr>
        <w:tc>
          <w:tcPr>
            <w:tcW w:w="3260" w:type="dxa"/>
            <w:vAlign w:val="bottom"/>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Ozy Media, Inc.–Convertible Promissory</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9"/>
        </w:trPr>
        <w:tc>
          <w:tcPr>
            <w:tcW w:w="3260" w:type="dxa"/>
            <w:vAlign w:val="bottom"/>
            <w:shd w:val="clear" w:color="auto" w:fill="CCEEFF"/>
          </w:tcPr>
          <w:p>
            <w:pPr>
              <w:ind w:left="280"/>
              <w:spacing w:after="0" w:line="239" w:lineRule="exact"/>
              <w:rPr>
                <w:sz w:val="20"/>
                <w:szCs w:val="20"/>
                <w:color w:val="auto"/>
              </w:rPr>
            </w:pPr>
            <w:r>
              <w:rPr>
                <w:rFonts w:ascii="Arial" w:cs="Arial" w:eastAsia="Arial" w:hAnsi="Arial"/>
                <w:sz w:val="16"/>
                <w:szCs w:val="16"/>
                <w:color w:val="auto"/>
              </w:rPr>
              <w:t>Note 5% Due 12/31/2018</w:t>
            </w:r>
            <w:r>
              <w:rPr>
                <w:rFonts w:ascii="Arial" w:cs="Arial" w:eastAsia="Arial" w:hAnsi="Arial"/>
                <w:sz w:val="21"/>
                <w:szCs w:val="21"/>
                <w:color w:val="auto"/>
                <w:vertAlign w:val="superscript"/>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7"/>
              </w:rPr>
              <w:t>2,102,384</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3"/>
              </w:rPr>
              <w:t>268,104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1,067,639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133,031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1,983,552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3,153,575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20"/>
        </w:trPr>
        <w:tc>
          <w:tcPr>
            <w:tcW w:w="3260" w:type="dxa"/>
            <w:vAlign w:val="bottom"/>
          </w:tcPr>
          <w:p>
            <w:pPr>
              <w:ind w:left="280"/>
              <w:spacing w:after="0"/>
              <w:rPr>
                <w:sz w:val="20"/>
                <w:szCs w:val="20"/>
                <w:color w:val="auto"/>
              </w:rPr>
            </w:pPr>
            <w:r>
              <w:rPr>
                <w:rFonts w:ascii="Arial" w:cs="Arial" w:eastAsia="Arial" w:hAnsi="Arial"/>
                <w:sz w:val="16"/>
                <w:szCs w:val="16"/>
                <w:color w:val="auto"/>
              </w:rPr>
              <w:t>Ozy Media, Inc.–Promissory Note 10%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9"/>
        </w:trPr>
        <w:tc>
          <w:tcPr>
            <w:tcW w:w="3260" w:type="dxa"/>
            <w:vAlign w:val="bottom"/>
            <w:tcBorders>
              <w:bottom w:val="single" w:sz="8" w:color="CCEEFF"/>
            </w:tcBorders>
          </w:tcPr>
          <w:p>
            <w:pPr>
              <w:ind w:left="280"/>
              <w:spacing w:after="0" w:line="239" w:lineRule="exact"/>
              <w:rPr>
                <w:sz w:val="20"/>
                <w:szCs w:val="20"/>
                <w:color w:val="auto"/>
              </w:rPr>
            </w:pPr>
            <w:r>
              <w:rPr>
                <w:rFonts w:ascii="Arial" w:cs="Arial" w:eastAsia="Arial" w:hAnsi="Arial"/>
                <w:sz w:val="16"/>
                <w:szCs w:val="16"/>
                <w:color w:val="auto"/>
              </w:rPr>
              <w:t>Due 2/12/2018***</w:t>
            </w:r>
            <w:r>
              <w:rPr>
                <w:rFonts w:ascii="Arial" w:cs="Arial" w:eastAsia="Arial" w:hAnsi="Arial"/>
                <w:sz w:val="21"/>
                <w:szCs w:val="21"/>
                <w:color w:val="auto"/>
                <w:vertAlign w:val="superscript"/>
              </w:rPr>
              <w:t>(7)</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(100,000)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Total Digital Media Platform</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270,488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1,067,639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233,031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(130,647)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1,983,552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3,153,575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37"/>
        </w:trPr>
        <w:tc>
          <w:tcPr>
            <w:tcW w:w="3260" w:type="dxa"/>
            <w:vAlign w:val="bottom"/>
          </w:tcPr>
          <w:p>
            <w:pPr>
              <w:ind w:left="180"/>
              <w:spacing w:after="0"/>
              <w:rPr>
                <w:sz w:val="20"/>
                <w:szCs w:val="20"/>
                <w:color w:val="auto"/>
              </w:rPr>
            </w:pPr>
            <w:r>
              <w:rPr>
                <w:rFonts w:ascii="Arial" w:cs="Arial" w:eastAsia="Arial" w:hAnsi="Arial"/>
                <w:sz w:val="16"/>
                <w:szCs w:val="16"/>
                <w:i w:val="1"/>
                <w:iCs w:val="1"/>
                <w:color w:val="auto"/>
              </w:rPr>
              <w:t>Social Cognitive Learning</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2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7"/>
              </w:rPr>
              <w:t>Declara, Inc.–Convertible Promissory Note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9"/>
        </w:trPr>
        <w:tc>
          <w:tcPr>
            <w:tcW w:w="3260" w:type="dxa"/>
            <w:vAlign w:val="bottom"/>
            <w:shd w:val="clear" w:color="auto" w:fill="CCEEFF"/>
          </w:tcPr>
          <w:p>
            <w:pPr>
              <w:ind w:left="280"/>
              <w:spacing w:after="0" w:line="239" w:lineRule="exact"/>
              <w:rPr>
                <w:sz w:val="20"/>
                <w:szCs w:val="20"/>
                <w:color w:val="auto"/>
              </w:rPr>
            </w:pPr>
            <w:r>
              <w:rPr>
                <w:rFonts w:ascii="Arial" w:cs="Arial" w:eastAsia="Arial" w:hAnsi="Arial"/>
                <w:sz w:val="16"/>
                <w:szCs w:val="16"/>
                <w:color w:val="auto"/>
              </w:rPr>
              <w:t>12% Due 4/30/2018</w:t>
            </w:r>
            <w:r>
              <w:rPr>
                <w:rFonts w:ascii="Arial" w:cs="Arial" w:eastAsia="Arial" w:hAnsi="Arial"/>
                <w:sz w:val="21"/>
                <w:szCs w:val="21"/>
                <w:color w:val="auto"/>
                <w:vertAlign w:val="superscript"/>
              </w:rPr>
              <w:t>(6)(9)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7"/>
              </w:rPr>
              <w:t>2,327,727</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3"/>
              </w:rPr>
              <w:t>207,069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1,120,329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212,254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7"/>
              </w:rPr>
              <w:t>(1,332,583)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581,813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w w:val="89"/>
              </w:rPr>
              <w:t>3,447,680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547,542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7"/>
              </w:rPr>
              <w:t>(130,647)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649,489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w w:val="89"/>
              </w:rPr>
              <w:t>4,514,064</w:t>
            </w:r>
          </w:p>
        </w:tc>
        <w:tc>
          <w:tcPr>
            <w:tcW w:w="8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33"/>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3260" w:type="dxa"/>
            <w:vAlign w:val="bottom"/>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CUX, Inc. (d/b/a CorpU)–Convertible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shares, Series D 6%</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169,033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989,489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(111,484)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878,005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0.45%</w:t>
            </w:r>
          </w:p>
        </w:tc>
      </w:tr>
      <w:tr>
        <w:trPr>
          <w:trHeight w:val="220"/>
        </w:trPr>
        <w:tc>
          <w:tcPr>
            <w:tcW w:w="3260" w:type="dxa"/>
            <w:vAlign w:val="bottom"/>
          </w:tcPr>
          <w:p>
            <w:pPr>
              <w:ind w:left="280"/>
              <w:spacing w:after="0"/>
              <w:rPr>
                <w:sz w:val="20"/>
                <w:szCs w:val="20"/>
                <w:color w:val="auto"/>
              </w:rPr>
            </w:pPr>
            <w:r>
              <w:rPr>
                <w:rFonts w:ascii="Arial" w:cs="Arial" w:eastAsia="Arial" w:hAnsi="Arial"/>
                <w:sz w:val="16"/>
                <w:szCs w:val="16"/>
                <w:color w:val="auto"/>
              </w:rPr>
              <w:t>CUX, Inc. (d/b/a CorpU) -Convertible</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260" w:type="dxa"/>
            <w:vAlign w:val="bottom"/>
          </w:tcPr>
          <w:p>
            <w:pPr>
              <w:ind w:left="280"/>
              <w:spacing w:after="0"/>
              <w:rPr>
                <w:sz w:val="20"/>
                <w:szCs w:val="20"/>
                <w:color w:val="auto"/>
              </w:rPr>
            </w:pPr>
            <w:r>
              <w:rPr>
                <w:rFonts w:ascii="Arial" w:cs="Arial" w:eastAsia="Arial" w:hAnsi="Arial"/>
                <w:sz w:val="16"/>
                <w:szCs w:val="16"/>
                <w:color w:val="auto"/>
              </w:rPr>
              <w:t>preferred shares, Series C 8%</w:t>
            </w:r>
          </w:p>
        </w:tc>
        <w:tc>
          <w:tcPr>
            <w:tcW w:w="120" w:type="dxa"/>
            <w:vAlign w:val="bottom"/>
          </w:tcPr>
          <w:p>
            <w:pPr>
              <w:spacing w:after="0"/>
              <w:rPr>
                <w:sz w:val="17"/>
                <w:szCs w:val="17"/>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615,763</w:t>
            </w:r>
          </w:p>
        </w:tc>
        <w:tc>
          <w:tcPr>
            <w:tcW w:w="1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480,184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(480,184)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Total Corporate Education</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1,469,673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(591,668)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878,005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0.45%</w:t>
            </w:r>
          </w:p>
        </w:tc>
      </w:tr>
      <w:tr>
        <w:trPr>
          <w:trHeight w:val="237"/>
        </w:trPr>
        <w:tc>
          <w:tcPr>
            <w:tcW w:w="3260" w:type="dxa"/>
            <w:vAlign w:val="bottom"/>
          </w:tcPr>
          <w:p>
            <w:pPr>
              <w:ind w:left="180"/>
              <w:spacing w:after="0"/>
              <w:rPr>
                <w:sz w:val="20"/>
                <w:szCs w:val="20"/>
                <w:color w:val="auto"/>
              </w:rPr>
            </w:pPr>
            <w:r>
              <w:rPr>
                <w:rFonts w:ascii="Arial" w:cs="Arial" w:eastAsia="Arial" w:hAnsi="Arial"/>
                <w:sz w:val="16"/>
                <w:szCs w:val="16"/>
                <w:i w:val="1"/>
                <w:iCs w:val="1"/>
                <w:color w:val="auto"/>
              </w:rPr>
              <w:t>Social Cognitive Learning</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4"/>
              </w:rPr>
              <w:t>Declara, Inc.–Preferred shares, Series A 8%</w:t>
            </w:r>
          </w:p>
        </w:tc>
        <w:tc>
          <w:tcPr>
            <w:tcW w:w="98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w w:val="92"/>
              </w:rPr>
              <w:t>10,716,390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382,678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(382,678)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260" w:type="dxa"/>
            <w:vAlign w:val="bottom"/>
          </w:tcPr>
          <w:p>
            <w:pPr>
              <w:ind w:left="180"/>
              <w:spacing w:after="0"/>
              <w:rPr>
                <w:sz w:val="20"/>
                <w:szCs w:val="20"/>
                <w:color w:val="auto"/>
              </w:rPr>
            </w:pPr>
            <w:r>
              <w:rPr>
                <w:rFonts w:ascii="Arial" w:cs="Arial" w:eastAsia="Arial" w:hAnsi="Arial"/>
                <w:sz w:val="16"/>
                <w:szCs w:val="16"/>
                <w:i w:val="1"/>
                <w:iCs w:val="1"/>
                <w:color w:val="auto"/>
              </w:rPr>
              <w:t>Education Media Platform</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5"/>
              </w:rPr>
              <w:t>EdSurge, Inc.–Preferred shares, Series A-1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378,788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r>
      <w:tr>
        <w:trPr>
          <w:trHeight w:val="237"/>
        </w:trPr>
        <w:tc>
          <w:tcPr>
            <w:tcW w:w="3260" w:type="dxa"/>
            <w:vAlign w:val="bottom"/>
          </w:tcPr>
          <w:p>
            <w:pPr>
              <w:ind w:left="280"/>
              <w:spacing w:after="0"/>
              <w:rPr>
                <w:sz w:val="20"/>
                <w:szCs w:val="20"/>
                <w:color w:val="auto"/>
              </w:rPr>
            </w:pPr>
            <w:r>
              <w:rPr>
                <w:rFonts w:ascii="Arial" w:cs="Arial" w:eastAsia="Arial" w:hAnsi="Arial"/>
                <w:sz w:val="16"/>
                <w:szCs w:val="16"/>
                <w:color w:val="auto"/>
              </w:rPr>
              <w:t>EdSurge, Inc.–Preferred shares, Series A</w:t>
            </w:r>
          </w:p>
        </w:tc>
        <w:tc>
          <w:tcPr>
            <w:tcW w:w="1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494,365</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581,917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(312,069)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269,848</w:t>
            </w:r>
          </w:p>
        </w:tc>
        <w:tc>
          <w:tcPr>
            <w:tcW w:w="840" w:type="dxa"/>
            <w:vAlign w:val="bottom"/>
          </w:tcPr>
          <w:p>
            <w:pPr>
              <w:jc w:val="right"/>
              <w:spacing w:after="0"/>
              <w:rPr>
                <w:sz w:val="20"/>
                <w:szCs w:val="20"/>
                <w:color w:val="auto"/>
              </w:rPr>
            </w:pPr>
            <w:r>
              <w:rPr>
                <w:rFonts w:ascii="Arial" w:cs="Arial" w:eastAsia="Arial" w:hAnsi="Arial"/>
                <w:sz w:val="16"/>
                <w:szCs w:val="16"/>
                <w:color w:val="auto"/>
              </w:rPr>
              <w:t>0.14%</w:t>
            </w:r>
          </w:p>
        </w:tc>
      </w:tr>
      <w:tr>
        <w:trPr>
          <w:trHeight w:val="33"/>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Total Education Media Platform</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1,081,917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(562,069)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519,848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r>
      <w:tr>
        <w:trPr>
          <w:trHeight w:val="237"/>
        </w:trPr>
        <w:tc>
          <w:tcPr>
            <w:tcW w:w="3260" w:type="dxa"/>
            <w:vAlign w:val="bottom"/>
          </w:tcPr>
          <w:p>
            <w:pPr>
              <w:ind w:left="180"/>
              <w:spacing w:after="0"/>
              <w:rPr>
                <w:sz w:val="20"/>
                <w:szCs w:val="20"/>
                <w:color w:val="auto"/>
              </w:rPr>
            </w:pPr>
            <w:r>
              <w:rPr>
                <w:rFonts w:ascii="Arial" w:cs="Arial" w:eastAsia="Arial" w:hAnsi="Arial"/>
                <w:sz w:val="16"/>
                <w:szCs w:val="16"/>
                <w:i w:val="1"/>
                <w:iCs w:val="1"/>
                <w:color w:val="auto"/>
              </w:rPr>
              <w:t>Knowledge Networks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Maven Research, Inc.–Preferred shares,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Series C</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318,979</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501,240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(501,240)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3260" w:type="dxa"/>
            <w:vAlign w:val="bottom"/>
          </w:tcPr>
          <w:p>
            <w:pPr>
              <w:ind w:left="280"/>
              <w:spacing w:after="0"/>
              <w:rPr>
                <w:sz w:val="20"/>
                <w:szCs w:val="20"/>
                <w:color w:val="auto"/>
              </w:rPr>
            </w:pPr>
            <w:r>
              <w:rPr>
                <w:rFonts w:ascii="Arial" w:cs="Arial" w:eastAsia="Arial" w:hAnsi="Arial"/>
                <w:sz w:val="16"/>
                <w:szCs w:val="16"/>
                <w:color w:val="auto"/>
              </w:rPr>
              <w:t>Maven Research, Inc.–Preferred shares,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260" w:type="dxa"/>
            <w:vAlign w:val="bottom"/>
          </w:tcPr>
          <w:p>
            <w:pPr>
              <w:ind w:left="280"/>
              <w:spacing w:after="0"/>
              <w:rPr>
                <w:sz w:val="20"/>
                <w:szCs w:val="20"/>
                <w:color w:val="auto"/>
              </w:rPr>
            </w:pPr>
            <w:r>
              <w:rPr>
                <w:rFonts w:ascii="Arial" w:cs="Arial" w:eastAsia="Arial" w:hAnsi="Arial"/>
                <w:sz w:val="16"/>
                <w:szCs w:val="16"/>
                <w:color w:val="auto"/>
              </w:rPr>
              <w:t>Series B</w:t>
            </w:r>
          </w:p>
        </w:tc>
        <w:tc>
          <w:tcPr>
            <w:tcW w:w="120" w:type="dxa"/>
            <w:vAlign w:val="bottom"/>
          </w:tcPr>
          <w:p>
            <w:pPr>
              <w:spacing w:after="0"/>
              <w:rPr>
                <w:sz w:val="17"/>
                <w:szCs w:val="17"/>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49,505</w:t>
            </w:r>
          </w:p>
        </w:tc>
        <w:tc>
          <w:tcPr>
            <w:tcW w:w="1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Total Knowledge Networks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(551,240)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260" w:type="dxa"/>
            <w:vAlign w:val="bottom"/>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2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7"/>
              </w:rPr>
              <w:t>OzyMedia, Inc.–Preferred shares, Series B</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922,509</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2,367,022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7"/>
              </w:rPr>
              <w:t>(2,367,022)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3260" w:type="dxa"/>
            <w:vAlign w:val="bottom"/>
          </w:tcPr>
          <w:p>
            <w:pPr>
              <w:ind w:left="280"/>
              <w:spacing w:after="0"/>
              <w:rPr>
                <w:sz w:val="20"/>
                <w:szCs w:val="20"/>
                <w:color w:val="auto"/>
              </w:rPr>
            </w:pPr>
            <w:r>
              <w:rPr>
                <w:rFonts w:ascii="Arial" w:cs="Arial" w:eastAsia="Arial" w:hAnsi="Arial"/>
                <w:sz w:val="16"/>
                <w:szCs w:val="16"/>
                <w:color w:val="auto"/>
                <w:w w:val="97"/>
              </w:rPr>
              <w:t>OzyMedia, Inc.–Preferred shares, Series A</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260" w:type="dxa"/>
            <w:vAlign w:val="bottom"/>
          </w:tcPr>
          <w:p>
            <w:pPr>
              <w:ind w:left="28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w w:val="87"/>
              </w:rPr>
              <w:t>1,090,909</w:t>
            </w:r>
          </w:p>
        </w:tc>
        <w:tc>
          <w:tcPr>
            <w:tcW w:w="1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w w:val="89"/>
              </w:rPr>
              <w:t>1,419,810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7"/>
              </w:rPr>
              <w:t>(1,419,810)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OzyMedia, Inc.–Preferred shares,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9"/>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Series Seed 6%</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236,635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(236,635)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3260" w:type="dxa"/>
            <w:vAlign w:val="bottom"/>
          </w:tcPr>
          <w:p>
            <w:pPr>
              <w:ind w:left="180"/>
              <w:spacing w:after="0"/>
              <w:rPr>
                <w:sz w:val="20"/>
                <w:szCs w:val="20"/>
                <w:color w:val="auto"/>
              </w:rPr>
            </w:pPr>
            <w:r>
              <w:rPr>
                <w:rFonts w:ascii="Arial" w:cs="Arial" w:eastAsia="Arial" w:hAnsi="Arial"/>
                <w:sz w:val="16"/>
                <w:szCs w:val="16"/>
                <w:i w:val="1"/>
                <w:iCs w:val="1"/>
                <w:color w:val="auto"/>
              </w:rPr>
              <w:t>Total Digital Media Platform</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4,023,467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97"/>
              </w:rPr>
              <w:t>(4,023,467)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7,508,975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(6,111,122)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1,397,854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237"/>
        </w:trPr>
        <w:tc>
          <w:tcPr>
            <w:tcW w:w="3160" w:type="dxa"/>
            <w:vAlign w:val="bottom"/>
            <w:gridSpan w:val="2"/>
          </w:tcPr>
          <w:p>
            <w:pPr>
              <w:ind w:left="40"/>
              <w:spacing w:after="0"/>
              <w:rPr>
                <w:sz w:val="20"/>
                <w:szCs w:val="20"/>
                <w:color w:val="auto"/>
              </w:rPr>
            </w:pPr>
            <w:r>
              <w:rPr>
                <w:rFonts w:ascii="Arial" w:cs="Arial" w:eastAsia="Arial" w:hAnsi="Arial"/>
                <w:sz w:val="16"/>
                <w:szCs w:val="16"/>
                <w:b w:val="1"/>
                <w:bCs w:val="1"/>
                <w:color w:val="auto"/>
              </w:rPr>
              <w:t>Warrants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60" w:type="dxa"/>
            <w:vAlign w:val="bottom"/>
            <w:gridSpan w:val="2"/>
          </w:tcPr>
          <w:p>
            <w:pPr>
              <w:ind w:left="280"/>
              <w:spacing w:after="0"/>
              <w:rPr>
                <w:sz w:val="20"/>
                <w:szCs w:val="20"/>
                <w:color w:val="auto"/>
              </w:rPr>
            </w:pPr>
            <w:r>
              <w:rPr>
                <w:rFonts w:ascii="Arial" w:cs="Arial" w:eastAsia="Arial" w:hAnsi="Arial"/>
                <w:sz w:val="16"/>
                <w:szCs w:val="16"/>
                <w:color w:val="auto"/>
              </w:rPr>
              <w:t>CUX, Inc. (d/b/a CorpU) –Preferred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280"/>
              <w:spacing w:after="0"/>
              <w:rPr>
                <w:sz w:val="20"/>
                <w:szCs w:val="20"/>
                <w:color w:val="auto"/>
              </w:rPr>
            </w:pPr>
            <w:r>
              <w:rPr>
                <w:rFonts w:ascii="Arial" w:cs="Arial" w:eastAsia="Arial" w:hAnsi="Arial"/>
                <w:sz w:val="16"/>
                <w:szCs w:val="16"/>
                <w:color w:val="auto"/>
              </w:rPr>
              <w:t>warrants, Series D, Strike Price $4.59,</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60" w:type="dxa"/>
            <w:vAlign w:val="bottom"/>
            <w:gridSpan w:val="2"/>
          </w:tcPr>
          <w:p>
            <w:pPr>
              <w:ind w:left="280"/>
              <w:spacing w:after="0" w:line="239" w:lineRule="exact"/>
              <w:rPr>
                <w:sz w:val="20"/>
                <w:szCs w:val="20"/>
                <w:color w:val="auto"/>
              </w:rPr>
            </w:pPr>
            <w:r>
              <w:rPr>
                <w:rFonts w:ascii="Arial" w:cs="Arial" w:eastAsia="Arial" w:hAnsi="Arial"/>
                <w:sz w:val="16"/>
                <w:szCs w:val="16"/>
                <w:color w:val="auto"/>
              </w:rPr>
              <w:t>Expiration Date 2/14/2020</w:t>
            </w:r>
            <w:r>
              <w:rPr>
                <w:rFonts w:ascii="Arial" w:cs="Arial" w:eastAsia="Arial" w:hAnsi="Arial"/>
                <w:sz w:val="21"/>
                <w:szCs w:val="21"/>
                <w:color w:val="auto"/>
                <w:vertAlign w:val="superscript"/>
              </w:rPr>
              <w:t>(5)</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16,903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2,366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17,580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19,946</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70"/>
        </w:trPr>
        <w:tc>
          <w:tcPr>
            <w:tcW w:w="3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160" w:type="dxa"/>
            <w:vAlign w:val="bottom"/>
            <w:gridSpan w:val="2"/>
          </w:tcPr>
          <w:p>
            <w:pPr>
              <w:ind w:left="280"/>
              <w:spacing w:after="0"/>
              <w:rPr>
                <w:sz w:val="20"/>
                <w:szCs w:val="20"/>
                <w:color w:val="auto"/>
              </w:rPr>
            </w:pPr>
            <w:r>
              <w:rPr>
                <w:rFonts w:ascii="Arial" w:cs="Arial" w:eastAsia="Arial" w:hAnsi="Arial"/>
                <w:sz w:val="16"/>
                <w:szCs w:val="16"/>
                <w:color w:val="auto"/>
              </w:rPr>
              <w:t>OzyMedia, Inc.–Common Warrants,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280"/>
              <w:spacing w:after="0"/>
              <w:rPr>
                <w:sz w:val="20"/>
                <w:szCs w:val="20"/>
                <w:color w:val="auto"/>
              </w:rPr>
            </w:pPr>
            <w:r>
              <w:rPr>
                <w:rFonts w:ascii="Arial" w:cs="Arial" w:eastAsia="Arial" w:hAnsi="Arial"/>
                <w:sz w:val="16"/>
                <w:szCs w:val="16"/>
                <w:color w:val="auto"/>
              </w:rPr>
              <w:t>Strike Price $0.01, Expiration Date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60" w:type="dxa"/>
            <w:vAlign w:val="bottom"/>
          </w:tcPr>
          <w:p>
            <w:pPr>
              <w:ind w:left="280"/>
              <w:spacing w:after="0" w:line="239" w:lineRule="exact"/>
              <w:rPr>
                <w:sz w:val="20"/>
                <w:szCs w:val="20"/>
                <w:color w:val="auto"/>
              </w:rPr>
            </w:pPr>
            <w:r>
              <w:rPr>
                <w:rFonts w:ascii="Arial" w:cs="Arial" w:eastAsia="Arial" w:hAnsi="Arial"/>
                <w:sz w:val="16"/>
                <w:szCs w:val="16"/>
                <w:color w:val="auto"/>
              </w:rPr>
              <w:t>4/9/2028</w:t>
            </w:r>
            <w:r>
              <w:rPr>
                <w:rFonts w:ascii="Arial" w:cs="Arial" w:eastAsia="Arial" w:hAnsi="Arial"/>
                <w:sz w:val="21"/>
                <w:szCs w:val="21"/>
                <w:color w:val="auto"/>
                <w:vertAlign w:val="superscript"/>
              </w:rPr>
              <w:t>(7)</w:t>
            </w:r>
          </w:p>
        </w:tc>
        <w:tc>
          <w:tcPr>
            <w:tcW w:w="1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295,565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30,647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(30,647)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Warrants</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19,946</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316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Common Stock</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Online Education</w:t>
            </w: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60" w:type="dxa"/>
            <w:vAlign w:val="bottom"/>
            <w:gridSpan w:val="2"/>
          </w:tcPr>
          <w:p>
            <w:pPr>
              <w:ind w:left="280"/>
              <w:spacing w:after="0"/>
              <w:rPr>
                <w:sz w:val="20"/>
                <w:szCs w:val="20"/>
                <w:color w:val="auto"/>
              </w:rPr>
            </w:pPr>
            <w:r>
              <w:rPr>
                <w:rFonts w:ascii="Arial" w:cs="Arial" w:eastAsia="Arial" w:hAnsi="Arial"/>
                <w:sz w:val="16"/>
                <w:szCs w:val="16"/>
                <w:color w:val="auto"/>
              </w:rPr>
              <w:t>Curious.com, Inc.–Common shares</w:t>
            </w:r>
            <w:r>
              <w:rPr>
                <w:rFonts w:ascii="Arial" w:cs="Arial" w:eastAsia="Arial" w:hAnsi="Arial"/>
                <w:sz w:val="21"/>
                <w:szCs w:val="21"/>
                <w:color w:val="auto"/>
                <w:vertAlign w:val="superscript"/>
              </w:rPr>
              <w:t>(11)</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w w:val="92"/>
              </w:rPr>
              <w:t>1,135,944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5,514,077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(5,514,077)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Common Stock</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5,514,077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(5,514,077)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TOTAL NON-</w:t>
            </w:r>
          </w:p>
        </w:tc>
        <w:tc>
          <w:tcPr>
            <w:tcW w:w="10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CONTROLLED/AFFILIATE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3"/>
              </w:rPr>
              <w:t>581,813</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7"/>
              </w:rPr>
              <w:t>16,473,098</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578,189</w:t>
            </w: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7"/>
              </w:rPr>
              <w:t>(130,647)</w:t>
            </w:r>
          </w:p>
        </w:tc>
        <w:tc>
          <w:tcPr>
            <w:tcW w:w="1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0"/>
              </w:rPr>
              <w:t>(10,988,777)</w:t>
            </w:r>
          </w:p>
        </w:tc>
        <w:tc>
          <w:tcPr>
            <w:tcW w:w="12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9"/>
              </w:rPr>
              <w:t>5,931,863</w:t>
            </w:r>
          </w:p>
        </w:tc>
        <w:tc>
          <w:tcPr>
            <w:tcW w:w="1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3.04%</w:t>
            </w:r>
          </w:p>
        </w:tc>
        <w:tc>
          <w:tcPr>
            <w:tcW w:w="0" w:type="dxa"/>
            <w:vAlign w:val="bottom"/>
          </w:tcPr>
          <w:p>
            <w:pPr>
              <w:spacing w:after="0"/>
              <w:rPr>
                <w:sz w:val="1"/>
                <w:szCs w:val="1"/>
                <w:color w:val="auto"/>
              </w:rPr>
            </w:pPr>
          </w:p>
        </w:tc>
      </w:tr>
      <w:tr>
        <w:trPr>
          <w:trHeight w:val="270"/>
        </w:trPr>
        <w:tc>
          <w:tcPr>
            <w:tcW w:w="3060" w:type="dxa"/>
            <w:vAlign w:val="bottom"/>
            <w:tcBorders>
              <w:bottom w:val="single" w:sz="8" w:color="CCEEFF"/>
            </w:tcBorders>
          </w:tcPr>
          <w:p>
            <w:pPr>
              <w:ind w:left="4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100" w:type="dxa"/>
            <w:vAlign w:val="bottom"/>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66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84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vMerge w:val="continue"/>
          </w:tcPr>
          <w:p>
            <w:pPr>
              <w:spacing w:after="0"/>
              <w:rPr>
                <w:sz w:val="23"/>
                <w:szCs w:val="23"/>
                <w:color w:val="auto"/>
              </w:rPr>
            </w:pPr>
          </w:p>
        </w:tc>
        <w:tc>
          <w:tcPr>
            <w:tcW w:w="72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68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vMerge w:val="continue"/>
          </w:tcPr>
          <w:p>
            <w:pPr>
              <w:spacing w:after="0"/>
              <w:rPr>
                <w:sz w:val="23"/>
                <w:szCs w:val="23"/>
                <w:color w:val="auto"/>
              </w:rPr>
            </w:pPr>
          </w:p>
        </w:tc>
        <w:tc>
          <w:tcPr>
            <w:tcW w:w="360" w:type="dxa"/>
            <w:vAlign w:val="bottom"/>
            <w:tcBorders>
              <w:bottom w:val="single" w:sz="8" w:color="auto"/>
            </w:tcBorders>
            <w:vMerge w:val="continue"/>
          </w:tcPr>
          <w:p>
            <w:pPr>
              <w:spacing w:after="0"/>
              <w:rPr>
                <w:sz w:val="23"/>
                <w:szCs w:val="23"/>
                <w:color w:val="auto"/>
              </w:rPr>
            </w:pPr>
          </w:p>
        </w:tc>
        <w:tc>
          <w:tcPr>
            <w:tcW w:w="120" w:type="dxa"/>
            <w:vAlign w:val="bottom"/>
            <w:vMerge w:val="continue"/>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88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76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19380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-1320165</wp:posOffset>
            </wp:positionV>
            <wp:extent cx="19380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45" w:lineRule="exact"/>
        <w:rPr>
          <w:sz w:val="20"/>
          <w:szCs w:val="20"/>
          <w:color w:val="auto"/>
        </w:rPr>
      </w:pPr>
    </w:p>
    <w:p>
      <w:pPr>
        <w:jc w:val="both"/>
        <w:ind w:left="340" w:hanging="332"/>
        <w:spacing w:after="0" w:line="301"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Unless otherwise noted, all investments were pledged as collateral under the Credit Facility.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w:t>
      </w:r>
    </w:p>
    <w:p>
      <w:pPr>
        <w:spacing w:after="0" w:line="14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Indicates assets that GSV Capital Corp. believes do not represent “qualifying assets” under Section 55(a) of the 1940 Act.</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194" w:lineRule="exact"/>
        <w:rPr>
          <w:sz w:val="20"/>
          <w:szCs w:val="20"/>
          <w:color w:val="auto"/>
        </w:rPr>
      </w:pPr>
    </w:p>
    <w:p>
      <w:pPr>
        <w:jc w:val="both"/>
        <w:ind w:left="500" w:hanging="492"/>
        <w:spacing w:after="0" w:line="261"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w:t>
      </w:r>
    </w:p>
    <w:p>
      <w:pPr>
        <w:spacing w:after="0" w:line="156"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56" w:lineRule="exact"/>
        <w:rPr>
          <w:rFonts w:ascii="Arial" w:cs="Arial" w:eastAsia="Arial" w:hAnsi="Arial"/>
          <w:sz w:val="16"/>
          <w:szCs w:val="16"/>
          <w:color w:val="auto"/>
        </w:rPr>
      </w:pPr>
    </w:p>
    <w:p>
      <w:pPr>
        <w:ind w:left="500" w:hanging="492"/>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GSV Capital Corp.’s investments in StormWind, LLC are held through GSV Capital Corp.'s wholly owned subsidiary, GSVC SW Holdings, Inc.</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42" w:lineRule="exact"/>
        <w:rPr>
          <w:sz w:val="20"/>
          <w:szCs w:val="20"/>
          <w:color w:val="auto"/>
        </w:rPr>
      </w:pPr>
    </w:p>
    <w:p>
      <w:pPr>
        <w:jc w:val="both"/>
        <w:ind w:left="500" w:hanging="492"/>
        <w:spacing w:after="0" w:line="278" w:lineRule="auto"/>
        <w:tabs>
          <w:tab w:leader="none" w:pos="5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On October 31, 2018, GSV Capital Corp. agreed to extend the maturity of the Senior Subordinated Convertible Promissory Note to CUX, Inc. (d/b/a CorpU) until February 14, 2020, with a new interest rate of 10%. Accrued interest will continue to be compounded annually on November 26 of the current and each subsequent year until repaid.</w:t>
      </w:r>
    </w:p>
    <w:p>
      <w:pPr>
        <w:spacing w:after="0" w:line="146" w:lineRule="exact"/>
        <w:rPr>
          <w:rFonts w:ascii="Arial" w:cs="Arial" w:eastAsia="Arial" w:hAnsi="Arial"/>
          <w:sz w:val="15"/>
          <w:szCs w:val="15"/>
          <w:color w:val="auto"/>
        </w:rPr>
      </w:pPr>
    </w:p>
    <w:p>
      <w:pPr>
        <w:jc w:val="both"/>
        <w:ind w:left="500" w:hanging="492"/>
        <w:spacing w:after="0" w:line="256"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February 23, 2018, CUX, Inc. (d/b/a CorpU) agreed to extend the maturity of the GSV Capital Corp.'s Series D warrants until August 1, 2018. On July 31, 2018, CUX, Inc. (d/b/a CorpU) agreed to further extend the maturity of GSV Capital Corp.'s Series D warrants until November 26, 2018. On October 31, 2018, and in connection with the extension of the maturity date on the related debt investment, CUX, Inc. (d/b/a CorpU) agreed to further extend the maturity of GSV Capital Corp's Series D warrants until February 14, 2020.</w:t>
      </w:r>
    </w:p>
    <w:p>
      <w:pPr>
        <w:spacing w:after="0" w:line="160"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January 31, 2018, the maturity date of the convertible promissory note to Declara, Inc. was extended an additional three months to April 30, 2018 and the interest rate on the convertible promissory note increased to 12% per annum (including 365 days for the purposes of accrual). On January 31, 2018 the convertible promissory note to Declara Inc. was placed on non-accrual status. On April 30, 2018, the Company deemed this investment to be in default based on Declara Inc.'s financial position.</w:t>
      </w:r>
    </w:p>
    <w:p>
      <w:pPr>
        <w:spacing w:after="0" w:line="155" w:lineRule="exact"/>
        <w:rPr>
          <w:rFonts w:ascii="Arial" w:cs="Arial" w:eastAsia="Arial" w:hAnsi="Arial"/>
          <w:sz w:val="16"/>
          <w:szCs w:val="16"/>
          <w:color w:val="auto"/>
        </w:rPr>
      </w:pPr>
    </w:p>
    <w:p>
      <w:pPr>
        <w:jc w:val="both"/>
        <w:ind w:left="500" w:hanging="492"/>
        <w:spacing w:after="0" w:line="277"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8"/>
          <w:szCs w:val="18"/>
          <w:color w:val="auto"/>
        </w:rPr>
        <w:t>Effe</w:t>
      </w:r>
      <w:r>
        <w:rPr>
          <w:rFonts w:ascii="Arial" w:cs="Arial" w:eastAsia="Arial" w:hAnsi="Arial"/>
          <w:sz w:val="16"/>
          <w:szCs w:val="16"/>
          <w:color w:val="auto"/>
        </w:rPr>
        <w:t>ctive April 9, 2018, the term of Ozy Media Inc.'s notes were extended through the issuance of a new convertible promissory note, which extended the maturity date</w:t>
      </w:r>
      <w:r>
        <w:rPr>
          <w:rFonts w:ascii="Arial" w:cs="Arial" w:eastAsia="Arial" w:hAnsi="Arial"/>
          <w:sz w:val="18"/>
          <w:szCs w:val="18"/>
          <w:color w:val="auto"/>
        </w:rPr>
        <w:t xml:space="preserve"> </w:t>
      </w:r>
      <w:r>
        <w:rPr>
          <w:rFonts w:ascii="Arial" w:cs="Arial" w:eastAsia="Arial" w:hAnsi="Arial"/>
          <w:sz w:val="16"/>
          <w:szCs w:val="16"/>
          <w:color w:val="auto"/>
        </w:rPr>
        <w:t>of the existing notes to October 31, 2018 and then to December 31, 2018 once certain conditions were satisfied. Effective August 17, 2018, Ozy Media Inc. executed an additional debt amendment, which expanded its borrowing limit. In consideration for amending and restating the existing notes, the Company was issued warrants exercisable for 295,565 shares of Ozy Media Inc.'s common stock. Subsequent to the year-ended December 31, 2018, Ozy Media Inc.'s obligations under its financing arrangements with the Company became past due.</w:t>
      </w:r>
    </w:p>
    <w:p>
      <w:pPr>
        <w:spacing w:after="0" w:line="159" w:lineRule="exact"/>
        <w:rPr>
          <w:rFonts w:ascii="Arial" w:cs="Arial" w:eastAsia="Arial" w:hAnsi="Arial"/>
          <w:sz w:val="16"/>
          <w:szCs w:val="16"/>
          <w:color w:val="auto"/>
        </w:rPr>
      </w:pPr>
    </w:p>
    <w:p>
      <w:pPr>
        <w:ind w:left="500" w:hanging="492"/>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January 12, 2018, the unsecured promissory note to NestGSV, Inc. (d/b/a GSV Labs, Inc.) was repaid, with interest.</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of December 31, 2018, the investments noted had been placed on non-accrual status.</w:t>
      </w:r>
    </w:p>
    <w:p>
      <w:pPr>
        <w:spacing w:after="0" w:line="194" w:lineRule="exact"/>
        <w:rPr>
          <w:rFonts w:ascii="Arial" w:cs="Arial" w:eastAsia="Arial" w:hAnsi="Arial"/>
          <w:sz w:val="16"/>
          <w:szCs w:val="16"/>
          <w:color w:val="auto"/>
        </w:rPr>
      </w:pPr>
    </w:p>
    <w:p>
      <w:pPr>
        <w:jc w:val="both"/>
        <w:ind w:left="500" w:hanging="492"/>
        <w:spacing w:after="0" w:line="272" w:lineRule="auto"/>
        <w:tabs>
          <w:tab w:leader="none" w:pos="5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Effective July 31, 2018, GSV Capital Corp agreed to extend the Convertible Promissory Note to NestGSV, Inc. (d/b/a GSV Labs, Inc.) until December 31, 2018, with a new interest rate of 12%. Previously accrued interest will be capitalized into the principal of the extended note. On December 31, 2018, GSV Capital Corp extended the maturity of the Convertible Promissory Note to December 31, 2019, compounded the previously accrued and then-outstanding interest and invested an additional $300,000. The Convertible Promissory Note continues to accrue interest at 12%. In consideration for the extension and additional investment, the 500,000 Series A-3 Preferred Warrants due April 4, 2019 and the 187,500 Series A-4 Preferred Warrants due October 6, 2019, were extended to April 4, 2021 and October 6, 2021, respectively. The Company also received an additional 250,000 Series B Preferred Warrants due December 31, 2023.</w:t>
      </w:r>
    </w:p>
    <w:p>
      <w:pPr>
        <w:spacing w:after="0" w:line="150" w:lineRule="exact"/>
        <w:rPr>
          <w:rFonts w:ascii="Arial" w:cs="Arial" w:eastAsia="Arial" w:hAnsi="Arial"/>
          <w:sz w:val="15"/>
          <w:szCs w:val="15"/>
          <w:color w:val="auto"/>
        </w:rPr>
      </w:pPr>
    </w:p>
    <w:p>
      <w:pPr>
        <w:ind w:left="500" w:right="20" w:hanging="492"/>
        <w:spacing w:after="0" w:line="310" w:lineRule="auto"/>
        <w:tabs>
          <w:tab w:leader="none" w:pos="5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On June 8, 2018, Curious.com, Inc. completed a recapitalization and issued new Series C preferred shares. In connection with the offering, GSV Capital Corp.'s 3,407,834 Series B preferred shares were converted into common shares. Additionally, a 1:3 reverse stock split was declared on the now common shares.</w:t>
      </w:r>
    </w:p>
    <w:p>
      <w:pPr>
        <w:spacing w:after="0" w:line="121" w:lineRule="exact"/>
        <w:rPr>
          <w:rFonts w:ascii="Arial" w:cs="Arial" w:eastAsia="Arial" w:hAnsi="Arial"/>
          <w:sz w:val="15"/>
          <w:szCs w:val="15"/>
          <w:color w:val="auto"/>
        </w:rPr>
      </w:pPr>
    </w:p>
    <w:p>
      <w:pPr>
        <w:jc w:val="both"/>
        <w:ind w:left="500" w:hanging="492"/>
        <w:spacing w:after="0" w:line="286" w:lineRule="auto"/>
        <w:tabs>
          <w:tab w:leader="none" w:pos="5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SPBRX, INC. (f/k/a GSV Sustainability Partners, Inc.) preferred shares held by GSV Capital Corp. do not entitle GSV Capital Corp. to a preferred dividend rate. During the year ended December 31, 2018, SPBRX, INC. declared, and GSV Capital Corp. received, an aggregate of $625,000 in cash distributions. GSV Capital Corp. does not anticipate that SPBRX, INC. will pay distributions on a quarterly or regular basis or become a predictable distributor of distributions.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 REPURCHASE PROGRAM, EQUITY OFFERINGS AND RELATED EXPENSES</w:t>
      </w:r>
    </w:p>
    <w:p>
      <w:pPr>
        <w:spacing w:after="0" w:line="229"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w:t>
      </w:r>
    </w:p>
    <w:p>
      <w:pPr>
        <w:spacing w:after="0" w:line="178"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188"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During the three months ended March 31, 2019, the Company did not repurchase any shares of the Company’s common stock pursuant to the Share Repurchase Program. As of March 31, 2019, the dollar value of shares that remained available to be purchased by the Company under the Share Repurchase Program was approximately $4.8 million.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new shares of the Company’s common stock were issued during the three months ended March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CHANGE IN NET ASSETS RESULTING FROM OPERATIONS PER COMMON SHARE—BASIC AND DILUTED</w:t>
      </w:r>
    </w:p>
    <w:p>
      <w:pPr>
        <w:spacing w:after="0" w:line="229"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in net assets resulting from operations per common share, pursuant to ASC 260, for the three months ended March 31, 2019 and 2018.</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3"/>
        </w:trPr>
        <w:tc>
          <w:tcPr>
            <w:tcW w:w="7440" w:type="dxa"/>
            <w:vAlign w:val="bottom"/>
            <w:gridSpan w:val="4"/>
          </w:tcPr>
          <w:p>
            <w:pPr>
              <w:ind w:left="40"/>
              <w:spacing w:after="0"/>
              <w:rPr>
                <w:sz w:val="20"/>
                <w:szCs w:val="20"/>
                <w:color w:val="auto"/>
              </w:rPr>
            </w:pPr>
            <w:r>
              <w:rPr>
                <w:rFonts w:ascii="Arial" w:cs="Arial" w:eastAsia="Arial" w:hAnsi="Arial"/>
                <w:sz w:val="16"/>
                <w:szCs w:val="16"/>
                <w:b w:val="1"/>
                <w:bCs w:val="1"/>
                <w:color w:val="auto"/>
              </w:rPr>
              <w:t>Earnings per common share–basic:</w:t>
            </w: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increase in net assets resulting from operations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17,159,613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6,966,296</w:t>
            </w:r>
          </w:p>
        </w:tc>
        <w:tc>
          <w:tcPr>
            <w:tcW w:w="0" w:type="dxa"/>
            <w:vAlign w:val="bottom"/>
          </w:tcPr>
          <w:p>
            <w:pPr>
              <w:spacing w:after="0"/>
              <w:rPr>
                <w:sz w:val="1"/>
                <w:szCs w:val="1"/>
                <w:color w:val="auto"/>
              </w:rPr>
            </w:pPr>
          </w:p>
        </w:tc>
      </w:tr>
      <w:tr>
        <w:trPr>
          <w:trHeight w:val="237"/>
        </w:trPr>
        <w:tc>
          <w:tcPr>
            <w:tcW w:w="7440" w:type="dxa"/>
            <w:vAlign w:val="bottom"/>
            <w:gridSpan w:val="4"/>
          </w:tcPr>
          <w:p>
            <w:pPr>
              <w:ind w:left="40"/>
              <w:spacing w:after="0"/>
              <w:rPr>
                <w:sz w:val="20"/>
                <w:szCs w:val="20"/>
                <w:color w:val="auto"/>
              </w:rPr>
            </w:pPr>
            <w:r>
              <w:rPr>
                <w:rFonts w:ascii="Arial" w:cs="Arial" w:eastAsia="Arial" w:hAnsi="Arial"/>
                <w:sz w:val="16"/>
                <w:szCs w:val="16"/>
                <w:color w:val="auto"/>
              </w:rPr>
              <w:t>Weighted-average common shares–basic</w:t>
            </w:r>
          </w:p>
        </w:tc>
        <w:tc>
          <w:tcPr>
            <w:tcW w:w="46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19,762,647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21,150,662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common share–basic</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0"/>
        </w:trPr>
        <w:tc>
          <w:tcPr>
            <w:tcW w:w="744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Earnings per common share–diluted:</w:t>
            </w: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40" w:type="dxa"/>
            <w:vAlign w:val="bottom"/>
            <w:gridSpan w:val="4"/>
            <w:vMerge w:val="continue"/>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increase in net assets resulting from operations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17,159,613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6,966,296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400" w:type="dxa"/>
            <w:vAlign w:val="bottom"/>
            <w:gridSpan w:val="3"/>
          </w:tcPr>
          <w:p>
            <w:pPr>
              <w:ind w:left="140"/>
              <w:spacing w:after="0"/>
              <w:rPr>
                <w:sz w:val="20"/>
                <w:szCs w:val="20"/>
                <w:color w:val="auto"/>
              </w:rPr>
            </w:pPr>
            <w:r>
              <w:rPr>
                <w:rFonts w:ascii="Arial" w:cs="Arial" w:eastAsia="Arial" w:hAnsi="Arial"/>
                <w:sz w:val="16"/>
                <w:szCs w:val="16"/>
                <w:color w:val="auto"/>
              </w:rPr>
              <w:t>Adjustment for interest and amortization on 5.25% Convertible Senior Notes due 2018</w:t>
            </w:r>
            <w:r>
              <w:rPr>
                <w:rFonts w:ascii="Arial" w:cs="Arial" w:eastAsia="Arial" w:hAnsi="Arial"/>
                <w:sz w:val="21"/>
                <w:szCs w:val="21"/>
                <w:color w:val="auto"/>
                <w:vertAlign w:val="superscript"/>
              </w:rPr>
              <w:t>(1)</w:t>
            </w:r>
          </w:p>
        </w:tc>
        <w:tc>
          <w:tcPr>
            <w:tcW w:w="46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1,050,668</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Adjustment for interest and amortization on 4.75% Convertible Senior Notes due 2023</w:t>
            </w:r>
            <w:r>
              <w:rPr>
                <w:rFonts w:ascii="Arial" w:cs="Arial" w:eastAsia="Arial" w:hAnsi="Arial"/>
                <w:sz w:val="21"/>
                <w:szCs w:val="21"/>
                <w:color w:val="auto"/>
                <w:vertAlign w:val="superscript"/>
              </w:rPr>
              <w:t>(1)</w:t>
            </w:r>
          </w:p>
        </w:tc>
        <w:tc>
          <w:tcPr>
            <w:tcW w:w="4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566,017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18,738</w:t>
            </w:r>
          </w:p>
        </w:tc>
        <w:tc>
          <w:tcPr>
            <w:tcW w:w="0" w:type="dxa"/>
            <w:vAlign w:val="bottom"/>
          </w:tcPr>
          <w:p>
            <w:pPr>
              <w:spacing w:after="0"/>
              <w:rPr>
                <w:sz w:val="1"/>
                <w:szCs w:val="1"/>
                <w:color w:val="auto"/>
              </w:rPr>
            </w:pPr>
          </w:p>
        </w:tc>
      </w:tr>
      <w:tr>
        <w:trPr>
          <w:trHeight w:val="217"/>
        </w:trPr>
        <w:tc>
          <w:tcPr>
            <w:tcW w:w="7440" w:type="dxa"/>
            <w:vAlign w:val="bottom"/>
            <w:gridSpan w:val="4"/>
          </w:tcPr>
          <w:p>
            <w:pPr>
              <w:ind w:left="40"/>
              <w:spacing w:after="0"/>
              <w:rPr>
                <w:sz w:val="20"/>
                <w:szCs w:val="20"/>
                <w:color w:val="auto"/>
              </w:rPr>
            </w:pPr>
            <w:r>
              <w:rPr>
                <w:rFonts w:ascii="Arial" w:cs="Arial" w:eastAsia="Arial" w:hAnsi="Arial"/>
                <w:sz w:val="16"/>
                <w:szCs w:val="16"/>
                <w:color w:val="auto"/>
              </w:rPr>
              <w:t>Net increase in net assets resulting from operations, as adjusted</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17,725,630</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8,035,702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7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Adjustment for dilutive effect of 5.25% Convertible Senior Notes due 2018</w:t>
            </w:r>
            <w:r>
              <w:rPr>
                <w:rFonts w:ascii="Arial" w:cs="Arial" w:eastAsia="Arial" w:hAnsi="Arial"/>
                <w:sz w:val="21"/>
                <w:szCs w:val="21"/>
                <w:color w:val="auto"/>
                <w:vertAlign w:val="superscript"/>
              </w:rPr>
              <w:t>(1)</w:t>
            </w:r>
          </w:p>
        </w:tc>
        <w:tc>
          <w:tcPr>
            <w:tcW w:w="46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5,355,697</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740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Adjustment for dilutive effect of 4.75% Convertible Senior Notes due 2023</w:t>
            </w:r>
            <w:r>
              <w:rPr>
                <w:rFonts w:ascii="Arial" w:cs="Arial" w:eastAsia="Arial" w:hAnsi="Arial"/>
                <w:sz w:val="21"/>
                <w:szCs w:val="21"/>
                <w:color w:val="auto"/>
                <w:vertAlign w:val="superscript"/>
              </w:rPr>
              <w:t>(1)</w:t>
            </w: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3,731,344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207,297</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outstanding–diluted</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23,493,991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26,713,656</w:t>
            </w:r>
          </w:p>
        </w:tc>
        <w:tc>
          <w:tcPr>
            <w:tcW w:w="0" w:type="dxa"/>
            <w:vAlign w:val="bottom"/>
          </w:tcPr>
          <w:p>
            <w:pPr>
              <w:spacing w:after="0"/>
              <w:rPr>
                <w:sz w:val="1"/>
                <w:szCs w:val="1"/>
                <w:color w:val="auto"/>
              </w:rPr>
            </w:pPr>
          </w:p>
        </w:tc>
      </w:tr>
      <w:tr>
        <w:trPr>
          <w:trHeight w:val="244"/>
        </w:trPr>
        <w:tc>
          <w:tcPr>
            <w:tcW w:w="7440" w:type="dxa"/>
            <w:vAlign w:val="bottom"/>
            <w:tcBorders>
              <w:top w:val="single" w:sz="8" w:color="CCEEFF"/>
            </w:tcBorders>
            <w:gridSpan w:val="4"/>
          </w:tcPr>
          <w:p>
            <w:pPr>
              <w:ind w:left="40"/>
              <w:spacing w:after="0"/>
              <w:rPr>
                <w:sz w:val="20"/>
                <w:szCs w:val="20"/>
                <w:color w:val="auto"/>
              </w:rPr>
            </w:pPr>
            <w:r>
              <w:rPr>
                <w:rFonts w:ascii="Arial" w:cs="Arial" w:eastAsia="Arial" w:hAnsi="Arial"/>
                <w:sz w:val="16"/>
                <w:szCs w:val="16"/>
                <w:b w:val="1"/>
                <w:bCs w:val="1"/>
                <w:color w:val="auto"/>
              </w:rPr>
              <w:t>Earnings per common share–diluted</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_</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229"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 At March 31, 2019 and December 31, 2018, the Company had not entered into any investment agreements that required it to make a future investment in a portfolio company.</w:t>
      </w:r>
    </w:p>
    <w:p>
      <w:pPr>
        <w:spacing w:after="0" w:line="181"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7"/>
          <w:szCs w:val="17"/>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8—FINANCIAL HIGHLIGHTS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20" w:type="dxa"/>
            <w:vAlign w:val="bottom"/>
          </w:tcPr>
          <w:p>
            <w:pPr>
              <w:spacing w:after="0"/>
              <w:rPr>
                <w:sz w:val="22"/>
                <w:szCs w:val="22"/>
                <w:color w:val="auto"/>
              </w:rPr>
            </w:pPr>
          </w:p>
        </w:tc>
        <w:tc>
          <w:tcPr>
            <w:tcW w:w="79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2018</w:t>
            </w:r>
          </w:p>
        </w:tc>
      </w:tr>
      <w:tr>
        <w:trPr>
          <w:trHeight w:val="250"/>
        </w:trPr>
        <w:tc>
          <w:tcPr>
            <w:tcW w:w="20" w:type="dxa"/>
            <w:vAlign w:val="bottom"/>
          </w:tcPr>
          <w:p>
            <w:pPr>
              <w:spacing w:after="0"/>
              <w:rPr>
                <w:sz w:val="21"/>
                <w:szCs w:val="21"/>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Per Basic Share Data</w:t>
            </w:r>
          </w:p>
        </w:tc>
        <w:tc>
          <w:tcPr>
            <w:tcW w:w="2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(Unaudited)</w:t>
            </w:r>
          </w:p>
        </w:tc>
        <w:tc>
          <w:tcPr>
            <w:tcW w:w="2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400"/>
              <w:spacing w:after="0"/>
              <w:rPr>
                <w:sz w:val="20"/>
                <w:szCs w:val="20"/>
                <w:color w:val="auto"/>
              </w:rPr>
            </w:pPr>
            <w:r>
              <w:rPr>
                <w:rFonts w:ascii="Arial" w:cs="Arial" w:eastAsia="Arial" w:hAnsi="Arial"/>
                <w:sz w:val="14"/>
                <w:szCs w:val="14"/>
                <w:b w:val="1"/>
                <w:bCs w:val="1"/>
                <w:color w:val="auto"/>
              </w:rPr>
              <w:t>(Unaudited)</w:t>
            </w:r>
          </w:p>
        </w:tc>
      </w:tr>
      <w:tr>
        <w:trPr>
          <w:trHeight w:val="223"/>
        </w:trPr>
        <w:tc>
          <w:tcPr>
            <w:tcW w:w="20" w:type="dxa"/>
            <w:vAlign w:val="bottom"/>
          </w:tcPr>
          <w:p>
            <w:pPr>
              <w:spacing w:after="0"/>
              <w:rPr>
                <w:sz w:val="19"/>
                <w:szCs w:val="19"/>
                <w:color w:val="auto"/>
              </w:rPr>
            </w:pPr>
          </w:p>
        </w:tc>
        <w:tc>
          <w:tcPr>
            <w:tcW w:w="7960" w:type="dxa"/>
            <w:vAlign w:val="bottom"/>
          </w:tcPr>
          <w:p>
            <w:pPr>
              <w:ind w:left="20"/>
              <w:spacing w:after="0"/>
              <w:rPr>
                <w:sz w:val="20"/>
                <w:szCs w:val="20"/>
                <w:color w:val="auto"/>
              </w:rPr>
            </w:pPr>
            <w:r>
              <w:rPr>
                <w:rFonts w:ascii="Arial" w:cs="Arial" w:eastAsia="Arial" w:hAnsi="Arial"/>
                <w:sz w:val="16"/>
                <w:szCs w:val="16"/>
                <w:color w:val="auto"/>
              </w:rPr>
              <w:t>Net asset value at beginning of the year</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9.89</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9.64</w:t>
            </w:r>
          </w:p>
        </w:tc>
      </w:tr>
      <w:tr>
        <w:trPr>
          <w:trHeight w:val="33"/>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investment income</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70"/>
        </w:trPr>
        <w:tc>
          <w:tcPr>
            <w:tcW w:w="20" w:type="dxa"/>
            <w:vAlign w:val="bottom"/>
          </w:tcPr>
          <w:p>
            <w:pPr>
              <w:spacing w:after="0"/>
              <w:rPr>
                <w:sz w:val="23"/>
                <w:szCs w:val="23"/>
                <w:color w:val="auto"/>
              </w:rPr>
            </w:pPr>
          </w:p>
        </w:tc>
        <w:tc>
          <w:tcPr>
            <w:tcW w:w="7960" w:type="dxa"/>
            <w:vAlign w:val="bottom"/>
          </w:tcPr>
          <w:p>
            <w:pPr>
              <w:ind w:left="160"/>
              <w:spacing w:after="0"/>
              <w:rPr>
                <w:sz w:val="20"/>
                <w:szCs w:val="20"/>
                <w:color w:val="auto"/>
              </w:rPr>
            </w:pPr>
            <w:r>
              <w:rPr>
                <w:rFonts w:ascii="Arial" w:cs="Arial" w:eastAsia="Arial" w:hAnsi="Arial"/>
                <w:sz w:val="16"/>
                <w:szCs w:val="16"/>
                <w:color w:val="auto"/>
              </w:rPr>
              <w:t>Net realized loss on investments</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(0.04)</w:t>
            </w:r>
          </w:p>
        </w:tc>
      </w:tr>
      <w:tr>
        <w:trPr>
          <w:trHeight w:val="270"/>
        </w:trPr>
        <w:tc>
          <w:tcPr>
            <w:tcW w:w="20" w:type="dxa"/>
            <w:vAlign w:val="bottom"/>
          </w:tcPr>
          <w:p>
            <w:pPr>
              <w:spacing w:after="0"/>
              <w:rPr>
                <w:sz w:val="23"/>
                <w:szCs w:val="23"/>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Realized loss on partial repurchase of 5.25% Convertible Senior Notes due 2018</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(0.02)</w:t>
            </w:r>
          </w:p>
        </w:tc>
      </w:tr>
      <w:tr>
        <w:trPr>
          <w:trHeight w:val="270"/>
        </w:trPr>
        <w:tc>
          <w:tcPr>
            <w:tcW w:w="20" w:type="dxa"/>
            <w:vAlign w:val="bottom"/>
          </w:tcPr>
          <w:p>
            <w:pPr>
              <w:spacing w:after="0"/>
              <w:rPr>
                <w:sz w:val="23"/>
                <w:szCs w:val="23"/>
                <w:color w:val="auto"/>
              </w:rPr>
            </w:pPr>
          </w:p>
        </w:tc>
        <w:tc>
          <w:tcPr>
            <w:tcW w:w="7960" w:type="dxa"/>
            <w:vAlign w:val="bottom"/>
          </w:tcPr>
          <w:p>
            <w:pPr>
              <w:ind w:left="160"/>
              <w:spacing w:after="0"/>
              <w:rPr>
                <w:sz w:val="20"/>
                <w:szCs w:val="20"/>
                <w:color w:val="auto"/>
              </w:rPr>
            </w:pPr>
            <w:r>
              <w:rPr>
                <w:rFonts w:ascii="Arial" w:cs="Arial" w:eastAsia="Arial" w:hAnsi="Arial"/>
                <w:sz w:val="16"/>
                <w:szCs w:val="16"/>
                <w:color w:val="auto"/>
              </w:rPr>
              <w:t>Net change in unrealized appreciation/(depreciation) of investments</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0.38</w:t>
            </w:r>
          </w:p>
        </w:tc>
      </w:tr>
      <w:tr>
        <w:trPr>
          <w:trHeight w:val="270"/>
        </w:trPr>
        <w:tc>
          <w:tcPr>
            <w:tcW w:w="20" w:type="dxa"/>
            <w:vAlign w:val="bottom"/>
          </w:tcPr>
          <w:p>
            <w:pPr>
              <w:spacing w:after="0"/>
              <w:rPr>
                <w:sz w:val="23"/>
                <w:szCs w:val="23"/>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Provision for taxes on unrealized appreciation of investments</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70"/>
        </w:trPr>
        <w:tc>
          <w:tcPr>
            <w:tcW w:w="20" w:type="dxa"/>
            <w:vAlign w:val="bottom"/>
          </w:tcPr>
          <w:p>
            <w:pPr>
              <w:spacing w:after="0"/>
              <w:rPr>
                <w:sz w:val="23"/>
                <w:szCs w:val="23"/>
                <w:color w:val="auto"/>
              </w:rPr>
            </w:pPr>
          </w:p>
        </w:tc>
        <w:tc>
          <w:tcPr>
            <w:tcW w:w="7960" w:type="dxa"/>
            <w:vAlign w:val="bottom"/>
          </w:tcPr>
          <w:p>
            <w:pPr>
              <w:ind w:left="160"/>
              <w:spacing w:after="0"/>
              <w:rPr>
                <w:sz w:val="20"/>
                <w:szCs w:val="20"/>
                <w:color w:val="auto"/>
              </w:rPr>
            </w:pPr>
            <w:r>
              <w:rPr>
                <w:rFonts w:ascii="Arial" w:cs="Arial" w:eastAsia="Arial" w:hAnsi="Arial"/>
                <w:sz w:val="16"/>
                <w:szCs w:val="16"/>
                <w:color w:val="auto"/>
              </w:rPr>
              <w:t>Repurchase of common stock</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0.03</w:t>
            </w:r>
          </w:p>
        </w:tc>
      </w:tr>
      <w:tr>
        <w:trPr>
          <w:trHeight w:val="244"/>
        </w:trPr>
        <w:tc>
          <w:tcPr>
            <w:tcW w:w="20" w:type="dxa"/>
            <w:vAlign w:val="bottom"/>
          </w:tcPr>
          <w:p>
            <w:pPr>
              <w:spacing w:after="0"/>
              <w:rPr>
                <w:sz w:val="21"/>
                <w:szCs w:val="21"/>
                <w:color w:val="auto"/>
              </w:rPr>
            </w:pPr>
          </w:p>
        </w:tc>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asset value at end of period</w:t>
            </w: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10.75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9.99</w:t>
            </w: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tcPr>
          <w:p>
            <w:pPr>
              <w:ind w:left="20"/>
              <w:spacing w:after="0"/>
              <w:rPr>
                <w:sz w:val="20"/>
                <w:szCs w:val="20"/>
                <w:color w:val="auto"/>
              </w:rPr>
            </w:pPr>
            <w:r>
              <w:rPr>
                <w:rFonts w:ascii="Arial" w:cs="Arial" w:eastAsia="Arial" w:hAnsi="Arial"/>
                <w:sz w:val="16"/>
                <w:szCs w:val="16"/>
                <w:color w:val="auto"/>
              </w:rPr>
              <w:t>Per share market value at end of period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7.54</w:t>
            </w:r>
          </w:p>
        </w:tc>
      </w:tr>
      <w:tr>
        <w:trPr>
          <w:trHeight w:val="33"/>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return based on market value</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38.35 %</w:t>
            </w:r>
          </w:p>
        </w:tc>
      </w:tr>
      <w:tr>
        <w:trPr>
          <w:trHeight w:val="270"/>
        </w:trPr>
        <w:tc>
          <w:tcPr>
            <w:tcW w:w="20" w:type="dxa"/>
            <w:vAlign w:val="bottom"/>
          </w:tcPr>
          <w:p>
            <w:pPr>
              <w:spacing w:after="0"/>
              <w:rPr>
                <w:sz w:val="23"/>
                <w:szCs w:val="23"/>
                <w:color w:val="auto"/>
              </w:rPr>
            </w:pPr>
          </w:p>
        </w:tc>
        <w:tc>
          <w:tcPr>
            <w:tcW w:w="7960" w:type="dxa"/>
            <w:vAlign w:val="bottom"/>
          </w:tcPr>
          <w:p>
            <w:pPr>
              <w:ind w:left="20"/>
              <w:spacing w:after="0"/>
              <w:rPr>
                <w:sz w:val="20"/>
                <w:szCs w:val="20"/>
                <w:color w:val="auto"/>
              </w:rPr>
            </w:pPr>
            <w:r>
              <w:rPr>
                <w:rFonts w:ascii="Arial" w:cs="Arial" w:eastAsia="Arial" w:hAnsi="Arial"/>
                <w:sz w:val="16"/>
                <w:szCs w:val="16"/>
                <w:color w:val="auto"/>
              </w:rPr>
              <w:t>Total return based on net asset value</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3.62 %</w:t>
            </w: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outstanding at end of period</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19,762,647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21,066,538</w:t>
            </w:r>
          </w:p>
        </w:tc>
      </w:tr>
      <w:tr>
        <w:trPr>
          <w:trHeight w:val="237"/>
        </w:trPr>
        <w:tc>
          <w:tcPr>
            <w:tcW w:w="2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Ratios/Supplemental Data:</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assets at end of period</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212,537,772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210,487,734</w:t>
            </w:r>
          </w:p>
        </w:tc>
      </w:tr>
      <w:tr>
        <w:trPr>
          <w:trHeight w:val="237"/>
        </w:trPr>
        <w:tc>
          <w:tcPr>
            <w:tcW w:w="2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Arial" w:cs="Arial" w:eastAsia="Arial" w:hAnsi="Arial"/>
                <w:sz w:val="16"/>
                <w:szCs w:val="16"/>
                <w:color w:val="auto"/>
              </w:rPr>
              <w:t>Average net assets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194,819,568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204,070,345</w:t>
            </w:r>
          </w:p>
        </w:tc>
      </w:tr>
      <w:tr>
        <w:trPr>
          <w:trHeight w:val="33"/>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gross operating expenses to average net assets</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10.14 %</w:t>
            </w:r>
          </w:p>
        </w:tc>
      </w:tr>
      <w:tr>
        <w:trPr>
          <w:trHeight w:val="237"/>
        </w:trPr>
        <w:tc>
          <w:tcPr>
            <w:tcW w:w="2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Arial" w:cs="Arial" w:eastAsia="Arial" w:hAnsi="Arial"/>
                <w:sz w:val="16"/>
                <w:szCs w:val="16"/>
                <w:color w:val="auto"/>
              </w:rPr>
              <w:t>Ratio of incentive fee waiver to average net assets</w:t>
            </w:r>
          </w:p>
        </w:tc>
        <w:tc>
          <w:tcPr>
            <w:tcW w:w="280" w:type="dxa"/>
            <w:vAlign w:val="bottom"/>
          </w:tcPr>
          <w:p>
            <w:pPr>
              <w:spacing w:after="0"/>
              <w:rPr>
                <w:sz w:val="20"/>
                <w:szCs w:val="20"/>
                <w:color w:val="auto"/>
              </w:rPr>
            </w:pPr>
          </w:p>
        </w:tc>
        <w:tc>
          <w:tcPr>
            <w:tcW w:w="148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33"/>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Ratio of management fee waiver to average net assets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(0.31)%</w:t>
            </w:r>
          </w:p>
        </w:tc>
      </w:tr>
      <w:tr>
        <w:trPr>
          <w:trHeight w:val="251"/>
        </w:trPr>
        <w:tc>
          <w:tcPr>
            <w:tcW w:w="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Arial" w:cs="Arial" w:eastAsia="Arial" w:hAnsi="Arial"/>
                <w:sz w:val="16"/>
                <w:szCs w:val="16"/>
                <w:color w:val="auto"/>
              </w:rPr>
              <w:t>Ratio of income tax provision to average net assets</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2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Ratio of net operating expenses to average net assets</w:t>
            </w:r>
            <w:r>
              <w:rPr>
                <w:rFonts w:ascii="Arial" w:cs="Arial" w:eastAsia="Arial" w:hAnsi="Arial"/>
                <w:sz w:val="21"/>
                <w:szCs w:val="21"/>
                <w:color w:val="auto"/>
                <w:vertAlign w:val="superscript"/>
              </w:rPr>
              <w:t>(3)</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7.38 %</w:t>
            </w: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tcPr>
          <w:p>
            <w:pPr>
              <w:ind w:left="20"/>
              <w:spacing w:after="0" w:line="237" w:lineRule="exact"/>
              <w:rPr>
                <w:sz w:val="20"/>
                <w:szCs w:val="20"/>
                <w:color w:val="auto"/>
              </w:rPr>
            </w:pPr>
            <w:r>
              <w:rPr>
                <w:rFonts w:ascii="Arial" w:cs="Arial" w:eastAsia="Arial" w:hAnsi="Arial"/>
                <w:sz w:val="16"/>
                <w:szCs w:val="16"/>
                <w:color w:val="auto"/>
              </w:rPr>
              <w:t>Ratio of net investment loss to average net assets</w:t>
            </w:r>
            <w:r>
              <w:rPr>
                <w:rFonts w:ascii="Arial" w:cs="Arial" w:eastAsia="Arial" w:hAnsi="Arial"/>
                <w:sz w:val="21"/>
                <w:szCs w:val="21"/>
                <w:color w:val="auto"/>
                <w:vertAlign w:val="superscript"/>
              </w:rPr>
              <w:t>(3)</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0.02 %</w:t>
            </w: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Portfolio Turnover Ratio</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0.11 %</w:t>
            </w:r>
          </w:p>
        </w:tc>
      </w:tr>
      <w:tr>
        <w:trPr>
          <w:trHeight w:val="207"/>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b w:val="1"/>
                <w:bCs w:val="1"/>
                <w:color w:val="auto"/>
              </w:rPr>
              <w:t>__________________</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r>
    </w:tbl>
    <w:p>
      <w:pPr>
        <w:ind w:left="500" w:hanging="492"/>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weighted-average number of shares outstanding for the relevant period.</w:t>
      </w:r>
    </w:p>
    <w:p>
      <w:pPr>
        <w:spacing w:after="0" w:line="5" w:lineRule="exact"/>
        <w:rPr>
          <w:rFonts w:ascii="Arial" w:cs="Arial" w:eastAsia="Arial" w:hAnsi="Arial"/>
          <w:sz w:val="16"/>
          <w:szCs w:val="16"/>
          <w:color w:val="auto"/>
        </w:rPr>
      </w:pPr>
    </w:p>
    <w:p>
      <w:pPr>
        <w:ind w:left="500" w:right="20" w:hanging="492"/>
        <w:spacing w:after="0" w:line="263" w:lineRule="auto"/>
        <w:tabs>
          <w:tab w:leader="none" w:pos="5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Total return based on market value is based on the change in market price per share between the opening and ending market values per share in the year. Total return based on net asset value is based upon the change in net asset value per share between the opening and ending net asset values per share.</w:t>
      </w:r>
    </w:p>
    <w:p>
      <w:pPr>
        <w:jc w:val="both"/>
        <w:ind w:left="500" w:hanging="492"/>
        <w:spacing w:after="0" w:line="250"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Financial Highlights for periods of less than one year are annualized and the ratios of operating expenses to average net assets and net investment loss to average net assets are adjusted accordingly. Non-recurring expenses, including the $5.0 million accrued incentive fee forfeiture pursuant to the Waiver Agreement, are not annualized. For the three months ended March 31, 2019, the Company excluded $2,387,356 of non-recurring expenses and did not annualize the income tax provision. For the three months ended March 31, 2018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69" w:lineRule="exact"/>
        <w:rPr>
          <w:sz w:val="20"/>
          <w:szCs w:val="20"/>
          <w:color w:val="auto"/>
        </w:rPr>
      </w:pPr>
    </w:p>
    <w:p>
      <w:pPr>
        <w:ind w:left="500"/>
        <w:spacing w:after="0" w:line="363" w:lineRule="auto"/>
        <w:rPr>
          <w:sz w:val="20"/>
          <w:szCs w:val="20"/>
          <w:color w:val="auto"/>
        </w:rPr>
      </w:pPr>
      <w:r>
        <w:rPr>
          <w:rFonts w:ascii="Arial" w:cs="Arial" w:eastAsia="Arial" w:hAnsi="Arial"/>
          <w:sz w:val="16"/>
          <w:szCs w:val="16"/>
          <w:color w:val="auto"/>
        </w:rPr>
        <w:t>Company excluded $352,667 of non-recurring expenses and did not annualize the incentive fee waiver. Because the ratios are calculated for the Company’s common stock taken as a whole, an individual investor’s ratios may vary from these ratios.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29" w:lineRule="exact"/>
        <w:rPr>
          <w:sz w:val="20"/>
          <w:szCs w:val="20"/>
          <w:color w:val="auto"/>
        </w:rPr>
      </w:pPr>
    </w:p>
    <w:p>
      <w:pPr>
        <w:jc w:val="both"/>
        <w:ind w:firstLine="351"/>
        <w:spacing w:after="0" w:line="342" w:lineRule="auto"/>
        <w:rPr>
          <w:sz w:val="20"/>
          <w:szCs w:val="20"/>
          <w:color w:val="auto"/>
        </w:rPr>
      </w:pPr>
      <w:r>
        <w:rPr>
          <w:rFonts w:ascii="Arial" w:cs="Arial" w:eastAsia="Arial" w:hAnsi="Arial"/>
          <w:sz w:val="16"/>
          <w:szCs w:val="16"/>
          <w:color w:val="auto"/>
        </w:rPr>
        <w:t>The Company elected to be treated as a RIC under Subchapter M of the Code beginning with its taxable year ended December 31, 2014, has qualified to be treated as a RIC for subsequent taxable years and expects to continue to operate in a manner so as to qualify for the tax treatment applicable to RICs.</w:t>
      </w:r>
    </w:p>
    <w:p>
      <w:pPr>
        <w:spacing w:after="0" w:line="124"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Due to the Company’s election to be treated as RIC, the associated previously accrued benefits from, and provisions for, taxes from prior periods were reversed for the year ended December 31, 2015. Typically for a taxable entity, a net investment loss would generate a benefit from taxes; however, as a result of our election to be treated as a RIC, we reversed the previously accrued benefits from taxes on net investment loss from prior periods. Typically for a taxable entity, net realized capital gains would generate a provision for taxes; however, as a result of our election to be treated as a RIC, we reversed the previously accrued provisions for taxes on net realized capital gains from prior periods. As a result of our election to be treated as a RIC, we reversed the previously accrued provisions for taxes on unrealized appreciation of investments from prior periods. This reversal resulted in a larger benefit for taxes on unrealized depreciation of investments than would have been accrued solely based on the unrealized depreciation of investments for the year ended December 31, 2015.</w:t>
      </w:r>
    </w:p>
    <w:p>
      <w:pPr>
        <w:spacing w:after="0" w:line="192"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7"/>
          <w:szCs w:val="17"/>
          <w:color w:val="auto"/>
        </w:rPr>
        <w:t>As a result of the Company electing to be treated as a RIC for the taxable year ended December 31, 2014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to a RIC (</w:t>
      </w:r>
      <w:r>
        <w:rPr>
          <w:rFonts w:ascii="Arial" w:cs="Arial" w:eastAsia="Arial" w:hAnsi="Arial"/>
          <w:sz w:val="17"/>
          <w:szCs w:val="17"/>
          <w:i w:val="1"/>
          <w:iCs w:val="1"/>
          <w:color w:val="auto"/>
        </w:rPr>
        <w:t>i.e.</w:t>
      </w:r>
      <w:r>
        <w:rPr>
          <w:rFonts w:ascii="Arial" w:cs="Arial" w:eastAsia="Arial" w:hAnsi="Arial"/>
          <w:sz w:val="17"/>
          <w:szCs w:val="17"/>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173" w:lineRule="exact"/>
        <w:rPr>
          <w:sz w:val="20"/>
          <w:szCs w:val="20"/>
          <w:color w:val="auto"/>
        </w:rPr>
      </w:pPr>
    </w:p>
    <w:p>
      <w:pPr>
        <w:jc w:val="both"/>
        <w:ind w:firstLine="351"/>
        <w:spacing w:after="0" w:line="271" w:lineRule="auto"/>
        <w:rPr>
          <w:sz w:val="20"/>
          <w:szCs w:val="20"/>
          <w:color w:val="auto"/>
        </w:rPr>
      </w:pPr>
      <w:r>
        <w:rPr>
          <w:rFonts w:ascii="Arial" w:cs="Arial" w:eastAsia="Arial" w:hAnsi="Arial"/>
          <w:sz w:val="17"/>
          <w:szCs w:val="17"/>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five-year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 As of January 1, 2014, the Company had net unrealized built-in gains. It did not incur a built-in-gains tax for the 2014 tax year due to the fact that there were sufficient net capital loss carryforwards to completely offset recognized built-in gains as well as available net operating losses.</w:t>
      </w:r>
    </w:p>
    <w:p>
      <w:pPr>
        <w:spacing w:after="0" w:line="17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6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As of March 31, 2019 and December 31, 2018, the Company recorded a deferred tax liability of approximately $1.0 million and $0.9 million, respectively, of which approximately $0.0 million and $6.1 million have been recorded in the event that such gains are recognized by December 31, 2018, and approximately $1.0 million and $5.2 million relate to the difference in the book and tax basis of certain equity investments and net tax operating losses held by the GSVC Holdings.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3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For U.S. federal and state income tax purposes, a portion of the GSVC Holdings’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87" w:lineRule="exact"/>
        <w:rPr>
          <w:sz w:val="20"/>
          <w:szCs w:val="20"/>
          <w:color w:val="auto"/>
        </w:rPr>
      </w:pPr>
    </w:p>
    <w:p>
      <w:pPr>
        <w:jc w:val="both"/>
        <w:ind w:firstLine="351"/>
        <w:spacing w:after="0" w:line="312" w:lineRule="auto"/>
        <w:rPr>
          <w:sz w:val="20"/>
          <w:szCs w:val="20"/>
          <w:color w:val="auto"/>
        </w:rPr>
      </w:pPr>
      <w:r>
        <w:rPr>
          <w:rFonts w:ascii="Arial" w:cs="Arial" w:eastAsia="Arial" w:hAnsi="Arial"/>
          <w:sz w:val="16"/>
          <w:szCs w:val="16"/>
          <w:color w:val="auto"/>
        </w:rPr>
        <w:t>The Company and the GSVC Holdings identified their major tax jurisdictions as U.S. federal and California and may be subject to the taxing authorities’ examination for the tax years 2015–2018 and 2014–2018, respectively. Further, the Company and the GSVC Holdings accrue all interest and penalties related to uncertain tax positions as incurred. As of March 31, 2019, there were no material interest or penalties incurred related to uncertain tax positions.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CAPITAL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5.25% Convertible Senior Notes due 2018</w:t>
      </w:r>
    </w:p>
    <w:p>
      <w:pPr>
        <w:spacing w:after="0" w:line="229"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color w:val="auto"/>
        </w:rPr>
        <w:t>On September 17, 2013, the Company issued $69.0 million aggregate principal amount of convertible senior notes, which bear interest at a fixed rate of 5.25% per year, payable semi-annually in arrears on March 15 and September 15 of each year. The 5.25% Convertible Senior Notes mature on September 15, 2018 (the "5.25% Convertible Senior Notes due 2018"), unless previously repurchased or converted in accordance with their terms. The Company does not have the right to redeem the 5.25% Convertible Senior Notes due 2018 prior to maturity. The 5.25% Convertible Senior Notes due 2018 are convertible into shares of the Company’s common stock based on a conversion rate of 83.3596 shares of the Company’s common stock per $1,000 of principal amount of the 5.25% Convertible Senior Notes due 2018, which is equivalent to a conversion price of approximately $12.00 per share of common stock.</w:t>
      </w:r>
    </w:p>
    <w:p>
      <w:pPr>
        <w:spacing w:after="0" w:line="165"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color w:val="auto"/>
        </w:rPr>
        <w:t>On December 15, 2017, the Company announced the commencement of a cash tender offer (the “Tender Offer”) to purchase any and all of its $69.0 million aggregate principal amount of outstanding 5.25% Convertible Senior Notes due 2018. As of the expiration of the Tender Offer on January 17, 2018, approximately $4.8 million aggregate principal amount of the 5.25% Convertible Senior Notes due 2018 were validly tendered and not validly withdrawn pursuant to the Tender Offer. On March 27, 2018, the Company repurchased an additional $14.2 million aggregate principal amount of the outstanding 5.25% Convertible Senior Notes due 2018. On on September 15, 2018, we repaid the remaining outstanding aggregate principal amount of the 5.25% Convertible Senior Notes due 2018, including accrued but unpaid interest, and the 5.25% Convertible Senior Notes were no longer outstanding as of such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Convertible Senior Notes due 2023</w:t>
      </w:r>
    </w:p>
    <w:p>
      <w:pPr>
        <w:spacing w:after="0" w:line="229"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On March 28, 2018, the Company issued $40.0 million aggregate principal amount of convertible senior notes, which bear interest at a fixed rate of 4.75% per year, payable semi-annually in arrears on March 31 and September 30 of each year, commencing on September 30, 2018. The 4.75% Convertible Senior Notes mature on March 28, 2023 (the "4.75% Convertible Senior Notes due 2023"), unless previously repurchased or converted in accordance with their terms. The Company does not have the right to redeem the 4.75% Convertible Senior Notes due 2023 prior to March 27, 2021. On or after March 27, 2021, the Company may redeem the 4.75% Convertible Senior Notes due 2023 for cash, in whole or from time to time in part, at the Company’s option if (i) the closing sale price of the Company’s common stock for at least 15 trading days (whether or not consecutive) during the period of any 20 consecutive trading days is greater than or equal to 150% of the conversion price on each applicable trading day, (ii) no public announcement of a pending, proposed or intended fundamental change has occurred which has not been abandoned, terminated or consummated, and (iii) no event of default under the indenture governing the 4.75% Convertible Senior Notes due 2023, and no event that with the passage of time or giving of notice would constitute an event of default under such indenture, has occurred or exists.</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initial conversion rate for the 4.75% Convertible Senior Notes due 2023 is 93.2836 shares of the Company’s common stock for each $1,000 principal amount of 4.75% Convertible Senior Notes due 2023, which represents an initial conversion price of approximately $10.72 per share. Following certain corporate transactions that occur on or prior to the stated maturity date, the Company will, in certain circumstances, increase the conversion rate for a holder that elects to convert its 4.75% Convertible Senior Notes due 2023 in connection with such a corporate transaction. If a fundamental change, as defined in the indenture governing the 4.75% Convertible Senior Notes due 2023, occurs prior to the stated maturity date, holders may require the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 purchase for cash all or any portion of their 4.75% Convertible Senior Notes due 2023 at a fundamental change purchase price equal to 100% of the principal amount of the Notes to be purchased, plus accrued and unpaid interest to, but excluding, the fundamental change purchase date</w:t>
      </w:r>
    </w:p>
    <w:p>
      <w:pPr>
        <w:spacing w:after="0" w:line="147" w:lineRule="exact"/>
        <w:rPr>
          <w:sz w:val="20"/>
          <w:szCs w:val="20"/>
          <w:color w:val="auto"/>
        </w:rPr>
      </w:pPr>
    </w:p>
    <w:p>
      <w:pPr>
        <w:jc w:val="both"/>
        <w:ind w:right="20" w:firstLine="351"/>
        <w:spacing w:after="0" w:line="264" w:lineRule="auto"/>
        <w:rPr>
          <w:sz w:val="20"/>
          <w:szCs w:val="20"/>
          <w:color w:val="auto"/>
        </w:rPr>
      </w:pPr>
      <w:r>
        <w:rPr>
          <w:rFonts w:ascii="Arial" w:cs="Arial" w:eastAsia="Arial" w:hAnsi="Arial"/>
          <w:sz w:val="18"/>
          <w:szCs w:val="18"/>
          <w:color w:val="auto"/>
        </w:rPr>
        <w:t>The indenture governing the 4.75% Convertible Senior Notes due 2023 contains customary financial reporting requirements and contains certain restrictions on mergers, consolidations, and asset sales. The indenture also contains certain events of default, the occurrence of which may lead to the 4.75% Convertible Senior Notes due 2023 being due and payable before their maturity or immediately.</w:t>
      </w:r>
    </w:p>
    <w:p>
      <w:pPr>
        <w:spacing w:after="0" w:line="181"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table below shows a reconciliation from the aggregate principal amount of 4.75% Convertible Senior Notes due 2023 to the balance shown on the Condensed Consolidated Statements of Assets and Liabilities.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principal amount of 4.75% Convertible Senior Notes due 2023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40,000,000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40,000,000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Direct deduction of deferred debt issuance costs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(1,474,472)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(1,565,489)</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4.75% Convertible Senior Notes due 2023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38,525,528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38,434,511</w:t>
            </w:r>
          </w:p>
        </w:tc>
      </w:tr>
      <w:tr>
        <w:trPr>
          <w:trHeight w:val="20"/>
        </w:trPr>
        <w:tc>
          <w:tcPr>
            <w:tcW w:w="8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52825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82"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As of March 31, 2019 the principal amount of the 4.75% Convertible Senior Notes due 2023 exceeded the value of the underlying shares multiplied by the per share closing price of the Company’s common stock.</w:t>
      </w:r>
    </w:p>
    <w:p>
      <w:pPr>
        <w:spacing w:after="0" w:line="170" w:lineRule="exact"/>
        <w:rPr>
          <w:sz w:val="20"/>
          <w:szCs w:val="20"/>
          <w:color w:val="auto"/>
        </w:rPr>
      </w:pPr>
    </w:p>
    <w:p>
      <w:pPr>
        <w:jc w:val="both"/>
        <w:ind w:firstLine="351"/>
        <w:spacing w:after="0" w:line="271" w:lineRule="auto"/>
        <w:rPr>
          <w:sz w:val="20"/>
          <w:szCs w:val="20"/>
          <w:color w:val="auto"/>
        </w:rPr>
      </w:pPr>
      <w:r>
        <w:rPr>
          <w:rFonts w:ascii="Arial" w:cs="Arial" w:eastAsia="Arial" w:hAnsi="Arial"/>
          <w:sz w:val="17"/>
          <w:szCs w:val="17"/>
          <w:color w:val="auto"/>
        </w:rPr>
        <w:t>The 4.75% Convertible Senior Notes due 2023 are the Company’s general, unsecured, senior obligations and rank senior in right of payment to any future indebtedness that is expressly subordinated in right of payment to the 4.75% Convertible Senior Notes due 2023, equal in right of payment to any existing and future unsecured indebtedness that is not so subordinated to the 4.75% Convertible Senior Notes due 2023, including, without limitation, the 5.25% Convertible Senior Notes due 2018, effectively junior to any future secured indebtedness to the extent of the value of the assets securing such indebtedness, including, without limitation, any borrowings under the Credit Facility (defined below), and structurally junior to all future indebtedness (including trade payables) incurred by the Company’s subsidiaries. For the period from the initial issuance of the 4.75% Convertible Senior Notes due 2023 to, and including, March 27, 2019, in accordance to the agreement, the Company did not to incur any indebtedness other than certain permitted debt, including, without limitation, up to $12.0 million in borrowings under the Credit Facility.</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issuance of the 4.75% Convertible Senior Notes due 2023, the Company is required under the terms of the Credit Facility to deposit any proceeds from the 4.75% Convertible Senior Notes due 2023 offering into an account at Western Alliance Bank and is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are repaid in full.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 Alliance Bank Credit Facility</w:t>
      </w:r>
    </w:p>
    <w:p>
      <w:pPr>
        <w:spacing w:after="0" w:line="229"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The Company entered into a Loan and Security Agreement, effective May 31, 2017 and as amended on March 22, 2018 (the “Loan Agreement”), with Western Alliance Bank, pursuant to which Western Alliance Bank agreed to provide the Company with a $12.0 million senior secured revolving credit facility (the “Credit Facility”).</w:t>
      </w:r>
    </w:p>
    <w:p>
      <w:pPr>
        <w:spacing w:after="0" w:line="181" w:lineRule="exact"/>
        <w:rPr>
          <w:sz w:val="20"/>
          <w:szCs w:val="20"/>
          <w:color w:val="auto"/>
        </w:rPr>
      </w:pPr>
    </w:p>
    <w:p>
      <w:pPr>
        <w:jc w:val="both"/>
        <w:ind w:firstLine="351"/>
        <w:spacing w:after="0" w:line="312" w:lineRule="auto"/>
        <w:rPr>
          <w:sz w:val="20"/>
          <w:szCs w:val="20"/>
          <w:color w:val="auto"/>
        </w:rPr>
      </w:pPr>
      <w:r>
        <w:rPr>
          <w:rFonts w:ascii="Arial" w:cs="Arial" w:eastAsia="Arial" w:hAnsi="Arial"/>
          <w:sz w:val="16"/>
          <w:szCs w:val="16"/>
          <w:color w:val="auto"/>
        </w:rPr>
        <w:t>The Credit Facility, among other things, matures on May 31, 2019 and bears interest at a per annum rate equal to the prime rate plus 3.50%. In addition, a facility fee of $60,000 was charged upon closing of the Credit Facility, and the Loan Agreement requires payment of a fee for unused amounts during the revolving period in an amount equal to 0.50% per annum of the average unused portion of the Credit Facility payable quarterly in arrears.</w:t>
      </w:r>
    </w:p>
    <w:p>
      <w:pPr>
        <w:spacing w:after="0" w:line="14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Under the Loan Agreement, the Company has made certain customary representations and warranties and is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$111.0 million in the aggregate through maturity of the 5.25% Convertible Senior Notes due 2018 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September 15, 2018, and $70.0 million in the aggregate thereafter), compliance with the asset coverage requirements under the 1940 Act, a minimum net asset value requirement of at least the greater of $60.0 million or five times the amount of the Credit Facility, a limitation on the Company’s net asset value being reduced by more than 15% of its net asset value at December 31, 2016, and maintenance of RIC and business development company status.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 As of March 31, 2019, the Company was in compliance with all covenants of the Credit Facility.</w:t>
      </w:r>
    </w:p>
    <w:p>
      <w:pPr>
        <w:spacing w:after="0" w:line="189"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Credit Facility is secured by substantially all of the Company’s property and assets. As of March 31, 2019, the Company had no borrowings outstanding under the Credit Facility.</w:t>
      </w:r>
    </w:p>
    <w:p>
      <w:pPr>
        <w:spacing w:after="0" w:line="170" w:lineRule="exact"/>
        <w:rPr>
          <w:sz w:val="20"/>
          <w:szCs w:val="20"/>
          <w:color w:val="auto"/>
        </w:rPr>
      </w:pPr>
    </w:p>
    <w:p>
      <w:pPr>
        <w:jc w:val="both"/>
        <w:ind w:right="20" w:firstLine="351"/>
        <w:spacing w:after="0" w:line="277" w:lineRule="auto"/>
        <w:rPr>
          <w:sz w:val="20"/>
          <w:szCs w:val="20"/>
          <w:color w:val="auto"/>
        </w:rPr>
      </w:pPr>
      <w:r>
        <w:rPr>
          <w:rFonts w:ascii="Arial" w:cs="Arial" w:eastAsia="Arial" w:hAnsi="Arial"/>
          <w:sz w:val="18"/>
          <w:szCs w:val="18"/>
          <w:color w:val="auto"/>
        </w:rPr>
        <w:t>For the three months ended March 31, 2019, the Company had average borrowings outstanding under the Credit Facility of $0. For the year ended December 31, 2018 the Company had average borrowings outstanding of $0.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Activity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From April 1, 2019 through May 8, 2019, the Company sold investments of $22,948,292, net of transaction costs, as shown in the following table: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Portfolio Company</w:t>
            </w:r>
          </w:p>
        </w:tc>
        <w:tc>
          <w:tcPr>
            <w:tcW w:w="1960" w:type="dxa"/>
            <w:vAlign w:val="bottom"/>
            <w:vMerge w:val="restart"/>
          </w:tcPr>
          <w:p>
            <w:pPr>
              <w:jc w:val="center"/>
              <w:ind w:left="742"/>
              <w:spacing w:after="0"/>
              <w:rPr>
                <w:sz w:val="20"/>
                <w:szCs w:val="20"/>
                <w:color w:val="auto"/>
              </w:rPr>
            </w:pPr>
            <w:r>
              <w:rPr>
                <w:rFonts w:ascii="Arial" w:cs="Arial" w:eastAsia="Arial" w:hAnsi="Arial"/>
                <w:sz w:val="14"/>
                <w:szCs w:val="14"/>
                <w:b w:val="1"/>
                <w:bCs w:val="1"/>
                <w:color w:val="auto"/>
                <w:w w:val="93"/>
              </w:rPr>
              <w:t>Transaction Date</w:t>
            </w:r>
          </w:p>
        </w:tc>
        <w:tc>
          <w:tcPr>
            <w:tcW w:w="120" w:type="dxa"/>
            <w:vAlign w:val="bottom"/>
            <w:vMerge w:val="restart"/>
          </w:tcPr>
          <w:p>
            <w:pPr>
              <w:spacing w:after="0"/>
              <w:rPr>
                <w:sz w:val="14"/>
                <w:szCs w:val="14"/>
                <w:color w:val="auto"/>
              </w:rPr>
            </w:pPr>
          </w:p>
        </w:tc>
        <w:tc>
          <w:tcPr>
            <w:tcW w:w="160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Shares Sold</w:t>
            </w:r>
          </w:p>
        </w:tc>
        <w:tc>
          <w:tcPr>
            <w:tcW w:w="140" w:type="dxa"/>
            <w:vAlign w:val="bottom"/>
            <w:vMerge w:val="restart"/>
          </w:tcPr>
          <w:p>
            <w:pPr>
              <w:spacing w:after="0"/>
              <w:rPr>
                <w:sz w:val="14"/>
                <w:szCs w:val="14"/>
                <w:color w:val="auto"/>
              </w:rPr>
            </w:pP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Net Share Price</w:t>
            </w:r>
          </w:p>
        </w:tc>
        <w:tc>
          <w:tcPr>
            <w:tcW w:w="240" w:type="dxa"/>
            <w:vAlign w:val="bottom"/>
          </w:tcPr>
          <w:p>
            <w:pPr>
              <w:spacing w:after="0"/>
              <w:rPr>
                <w:sz w:val="14"/>
                <w:szCs w:val="14"/>
                <w:color w:val="auto"/>
              </w:rPr>
            </w:pPr>
          </w:p>
        </w:tc>
        <w:tc>
          <w:tcPr>
            <w:tcW w:w="134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Net Proceeds</w:t>
            </w:r>
          </w:p>
        </w:tc>
        <w:tc>
          <w:tcPr>
            <w:tcW w:w="100" w:type="dxa"/>
            <w:vAlign w:val="bottom"/>
            <w:vMerge w:val="restart"/>
          </w:tcPr>
          <w:p>
            <w:pPr>
              <w:spacing w:after="0"/>
              <w:rPr>
                <w:sz w:val="14"/>
                <w:szCs w:val="14"/>
                <w:color w:val="auto"/>
              </w:rPr>
            </w:pPr>
          </w:p>
        </w:tc>
        <w:tc>
          <w:tcPr>
            <w:tcW w:w="158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8"/>
              </w:rPr>
              <w:t>Realized Gain/(Loss)</w:t>
            </w:r>
            <w:r>
              <w:rPr>
                <w:rFonts w:ascii="Arial" w:cs="Arial" w:eastAsia="Arial" w:hAnsi="Arial"/>
                <w:sz w:val="8"/>
                <w:szCs w:val="8"/>
                <w:b w:val="1"/>
                <w:bCs w:val="1"/>
                <w:color w:val="auto"/>
                <w:w w:val="98"/>
              </w:rPr>
              <w:t>(2)</w:t>
            </w:r>
          </w:p>
        </w:tc>
        <w:tc>
          <w:tcPr>
            <w:tcW w:w="0" w:type="dxa"/>
            <w:vAlign w:val="bottom"/>
          </w:tcPr>
          <w:p>
            <w:pPr>
              <w:spacing w:after="0"/>
              <w:rPr>
                <w:sz w:val="1"/>
                <w:szCs w:val="1"/>
                <w:color w:val="auto"/>
              </w:rPr>
            </w:pPr>
          </w:p>
        </w:tc>
      </w:tr>
      <w:tr>
        <w:trPr>
          <w:trHeight w:val="138"/>
        </w:trPr>
        <w:tc>
          <w:tcPr>
            <w:tcW w:w="2640" w:type="dxa"/>
            <w:vAlign w:val="bottom"/>
            <w:tcBorders>
              <w:bottom w:val="single" w:sz="8" w:color="auto"/>
            </w:tcBorders>
            <w:vMerge w:val="continue"/>
          </w:tcPr>
          <w:p>
            <w:pPr>
              <w:spacing w:after="0"/>
              <w:rPr>
                <w:sz w:val="12"/>
                <w:szCs w:val="12"/>
                <w:color w:val="auto"/>
              </w:rPr>
            </w:pPr>
          </w:p>
        </w:tc>
        <w:tc>
          <w:tcPr>
            <w:tcW w:w="19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71"/>
              <w:spacing w:after="0"/>
              <w:rPr>
                <w:sz w:val="20"/>
                <w:szCs w:val="20"/>
                <w:color w:val="auto"/>
              </w:rPr>
            </w:pP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58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Spotify Technology S.A.</w:t>
            </w:r>
            <w:r>
              <w:rPr>
                <w:rFonts w:ascii="Arial" w:cs="Arial" w:eastAsia="Arial" w:hAnsi="Arial"/>
                <w:sz w:val="21"/>
                <w:szCs w:val="21"/>
                <w:color w:val="auto"/>
                <w:vertAlign w:val="superscript"/>
              </w:rPr>
              <w:t>(3)</w:t>
            </w:r>
          </w:p>
        </w:tc>
        <w:tc>
          <w:tcPr>
            <w:tcW w:w="2080" w:type="dxa"/>
            <w:vAlign w:val="bottom"/>
            <w:gridSpan w:val="2"/>
            <w:shd w:val="clear" w:color="auto" w:fill="CCEEFF"/>
          </w:tcPr>
          <w:p>
            <w:pPr>
              <w:jc w:val="center"/>
              <w:ind w:left="622"/>
              <w:spacing w:after="0"/>
              <w:rPr>
                <w:sz w:val="20"/>
                <w:szCs w:val="20"/>
                <w:color w:val="auto"/>
              </w:rPr>
            </w:pPr>
            <w:r>
              <w:rPr>
                <w:rFonts w:ascii="Arial" w:cs="Arial" w:eastAsia="Arial" w:hAnsi="Arial"/>
                <w:sz w:val="16"/>
                <w:szCs w:val="16"/>
                <w:color w:val="auto"/>
                <w:w w:val="92"/>
              </w:rPr>
              <w:t>Various</w:t>
            </w:r>
          </w:p>
        </w:tc>
        <w:tc>
          <w:tcPr>
            <w:tcW w:w="16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150,360</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137.51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20,676,287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14,285,987</w:t>
            </w:r>
          </w:p>
        </w:tc>
        <w:tc>
          <w:tcPr>
            <w:tcW w:w="0" w:type="dxa"/>
            <w:vAlign w:val="bottom"/>
          </w:tcPr>
          <w:p>
            <w:pPr>
              <w:spacing w:after="0"/>
              <w:rPr>
                <w:sz w:val="1"/>
                <w:szCs w:val="1"/>
                <w:color w:val="auto"/>
              </w:rPr>
            </w:pPr>
          </w:p>
        </w:tc>
      </w:tr>
      <w:tr>
        <w:trPr>
          <w:trHeight w:val="270"/>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Dropbox, Inc.</w:t>
            </w:r>
            <w:r>
              <w:rPr>
                <w:rFonts w:ascii="Arial" w:cs="Arial" w:eastAsia="Arial" w:hAnsi="Arial"/>
                <w:sz w:val="21"/>
                <w:szCs w:val="21"/>
                <w:color w:val="auto"/>
                <w:vertAlign w:val="superscript"/>
              </w:rPr>
              <w:t>(3)</w:t>
            </w:r>
          </w:p>
        </w:tc>
        <w:tc>
          <w:tcPr>
            <w:tcW w:w="2080" w:type="dxa"/>
            <w:vAlign w:val="bottom"/>
            <w:tcBorders>
              <w:bottom w:val="single" w:sz="8" w:color="CCEEFF"/>
            </w:tcBorders>
            <w:gridSpan w:val="2"/>
          </w:tcPr>
          <w:p>
            <w:pPr>
              <w:jc w:val="center"/>
              <w:ind w:left="622"/>
              <w:spacing w:after="0"/>
              <w:rPr>
                <w:sz w:val="20"/>
                <w:szCs w:val="20"/>
                <w:color w:val="auto"/>
              </w:rPr>
            </w:pPr>
            <w:r>
              <w:rPr>
                <w:rFonts w:ascii="Arial" w:cs="Arial" w:eastAsia="Arial" w:hAnsi="Arial"/>
                <w:sz w:val="16"/>
                <w:szCs w:val="16"/>
                <w:color w:val="auto"/>
                <w:w w:val="92"/>
              </w:rPr>
              <w:t>Various</w:t>
            </w:r>
          </w:p>
        </w:tc>
        <w:tc>
          <w:tcPr>
            <w:tcW w:w="160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95,800</w:t>
            </w:r>
          </w:p>
        </w:tc>
        <w:tc>
          <w:tcPr>
            <w:tcW w:w="14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31"/>
              <w:spacing w:after="0"/>
              <w:rPr>
                <w:sz w:val="20"/>
                <w:szCs w:val="20"/>
                <w:color w:val="auto"/>
              </w:rPr>
            </w:pPr>
            <w:r>
              <w:rPr>
                <w:rFonts w:ascii="Arial" w:cs="Arial" w:eastAsia="Arial" w:hAnsi="Arial"/>
                <w:sz w:val="16"/>
                <w:szCs w:val="16"/>
                <w:color w:val="auto"/>
              </w:rPr>
              <w:t>23.72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2,272,005</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776,749</w:t>
            </w: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22,948,292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15,062,736</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jc w:val="right"/>
              <w:ind w:right="1101"/>
              <w:spacing w:after="0"/>
              <w:rPr>
                <w:sz w:val="20"/>
                <w:szCs w:val="20"/>
                <w:color w:val="auto"/>
              </w:rPr>
            </w:pPr>
            <w:r>
              <w:rPr>
                <w:rFonts w:ascii="Arial" w:cs="Arial" w:eastAsia="Arial" w:hAnsi="Arial"/>
                <w:sz w:val="16"/>
                <w:szCs w:val="16"/>
                <w:b w:val="1"/>
                <w:bCs w:val="1"/>
                <w:color w:val="auto"/>
                <w:w w:val="89"/>
              </w:rPr>
              <w:t>__________________</w:t>
            </w:r>
          </w:p>
        </w:tc>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64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average net share price is the net share price realized after deducting all commissions and fees on the sale(s), if applicable.</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Realized gain/(loss) does not include amounts held in escrow or any realized gain/(loss) incurred on the maturity of our U.S. Treasury investments.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May 8, 2019, we held 0 remaining shares of Spotify Technology S.A. and 779,190 remaining shares of Dropbox, Inc..</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April 1, 2019 through May 8, 2019, the Company did not purchase any investments.</w:t>
      </w:r>
    </w:p>
    <w:p>
      <w:pPr>
        <w:spacing w:after="0" w:line="225"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7"/>
          <w:szCs w:val="17"/>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Chief Financial Officer</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April 17, 2019, our Board of Directors appointed Allison Green to serve as our Chief Financial Officer, effective as of such date. Ms. Green currently serves, and will continue to serve, as our Treasurer, Controller, and Secretary, and will no longer serve as our Senior Vice President of Finance as of such date. For more information regarding Ms. Green, please refer to our current report on Form 8-K filed with the SEC on April 23,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April 23, 2019, we entered into an employment agreement with each of Mark D. Klein, our Chief Executive Officer and President (the “Klein Agreement”), and Allison Green, our Chief Financial Officer, Controller, Treasurer and Secretary (the “Green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Agreement”). For more information, including descriptions of such agreements, please refer to our current report on Form 8-K filed with the SEC on April 23, 2019. Such descriptions of the Klein Agreement and the Green Agreement are qualified in their entirety by reference to the text of such agreements filed as exhibits to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ind w:firstLine="351"/>
        <w:spacing w:after="0" w:line="308" w:lineRule="auto"/>
        <w:rPr>
          <w:sz w:val="20"/>
          <w:szCs w:val="20"/>
          <w:color w:val="auto"/>
        </w:rPr>
      </w:pPr>
      <w:r>
        <w:rPr>
          <w:rFonts w:ascii="Arial" w:cs="Arial" w:eastAsia="Arial" w:hAnsi="Arial"/>
          <w:sz w:val="17"/>
          <w:szCs w:val="17"/>
          <w:color w:val="auto"/>
        </w:rPr>
        <w:t>From April 1, 2019 through May 8, 2019, the Company did not repurchase any additional shares under the Share Repurchase Program. Please refer to "Note 5—Share Repurchase Program, Equity Offerings and Related Expenses” for additional information on the Share Repurchase Program.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12—SUPPLEMENTAL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 of Unconsolidated Subsidiaries</w:t>
      </w:r>
    </w:p>
    <w:p>
      <w:pPr>
        <w:spacing w:after="0" w:line="229"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 As of March 31, 2019, the Company had investments in at least one portfolio company considered to be a significant subsidiary under SEC Regulation S-X Rule 10-01(b)(1) and Regulation S-X Rule 4-08(g). Below is summarized, unaudited, comparative financial information for the Company’s unconsolidated significant subsidiaries.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Income Statement Data for the Three Months Ended:</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March 31, 2018</w:t>
            </w:r>
          </w:p>
        </w:tc>
      </w:tr>
      <w:tr>
        <w:trPr>
          <w:trHeight w:val="236"/>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5,646,112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5,279,160</w:t>
            </w: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20"/>
                <w:szCs w:val="20"/>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3,662,432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4,277,717</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(1,759,289)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(1,788,903)</w:t>
            </w: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Total net loss including net loss attributable to non-controlling interest</w:t>
            </w: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(1,759,289)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(1,788,903)</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3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8"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without limitation, statements as to:</w:t>
      </w:r>
    </w:p>
    <w:p>
      <w:pPr>
        <w:spacing w:after="0" w:line="17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66"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investment activities;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26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sections entitled “Risk Factors” in our quarterly reports on Form 10-Q, our annual report on Form 10-K, and in our other filings with the SEC.</w:t>
      </w:r>
    </w:p>
    <w:p>
      <w:pPr>
        <w:spacing w:after="0" w:line="211" w:lineRule="exact"/>
        <w:rPr>
          <w:sz w:val="20"/>
          <w:szCs w:val="20"/>
          <w:color w:val="auto"/>
        </w:rPr>
      </w:pPr>
    </w:p>
    <w:p>
      <w:pPr>
        <w:jc w:val="both"/>
        <w:ind w:firstLine="351"/>
        <w:spacing w:after="0" w:line="297"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consolidated financial statements and the related notes thereto contained elsewhere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51"/>
        <w:spacing w:after="0" w:line="269" w:lineRule="auto"/>
        <w:rPr>
          <w:sz w:val="20"/>
          <w:szCs w:val="20"/>
          <w:color w:val="auto"/>
        </w:rPr>
      </w:pPr>
      <w:r>
        <w:rPr>
          <w:rFonts w:ascii="Arial" w:cs="Arial" w:eastAsia="Arial" w:hAnsi="Arial"/>
          <w:sz w:val="17"/>
          <w:szCs w:val="17"/>
          <w:color w:val="auto"/>
        </w:rPr>
        <w:t>We are an internally managed, non-diversified closed-end management investment company that has elected to be regulated as a business development company (or "BDC") under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80" w:lineRule="exact"/>
        <w:rPr>
          <w:sz w:val="20"/>
          <w:szCs w:val="20"/>
          <w:color w:val="auto"/>
        </w:rPr>
      </w:pPr>
    </w:p>
    <w:p>
      <w:pPr>
        <w:jc w:val="both"/>
        <w:ind w:right="20" w:firstLine="351"/>
        <w:spacing w:after="0" w:line="277" w:lineRule="auto"/>
        <w:rPr>
          <w:sz w:val="20"/>
          <w:szCs w:val="20"/>
          <w:color w:val="auto"/>
        </w:rPr>
      </w:pPr>
      <w:r>
        <w:rPr>
          <w:rFonts w:ascii="Arial" w:cs="Arial" w:eastAsia="Arial" w:hAnsi="Arial"/>
          <w:sz w:val="18"/>
          <w:szCs w:val="18"/>
          <w:color w:val="auto"/>
        </w:rPr>
        <w:t>We acquire our investments in portfolio companies through offerings of the prospective portfolio companies, transactions on secondary marketplaces for private companies and negotiations with selling stockholders.</w:t>
      </w:r>
    </w:p>
    <w:p>
      <w:pPr>
        <w:spacing w:after="0" w:line="170" w:lineRule="exact"/>
        <w:rPr>
          <w:sz w:val="20"/>
          <w:szCs w:val="20"/>
          <w:color w:val="auto"/>
        </w:rPr>
      </w:pPr>
    </w:p>
    <w:p>
      <w:pPr>
        <w:jc w:val="both"/>
        <w:ind w:firstLine="351"/>
        <w:spacing w:after="0" w:line="297" w:lineRule="auto"/>
        <w:rPr>
          <w:sz w:val="20"/>
          <w:szCs w:val="20"/>
          <w:color w:val="auto"/>
        </w:rPr>
      </w:pPr>
      <w:r>
        <w:rPr>
          <w:rFonts w:ascii="Arial" w:cs="Arial" w:eastAsia="Arial" w:hAnsi="Arial"/>
          <w:sz w:val="16"/>
          <w:szCs w:val="16"/>
          <w:color w:val="auto"/>
        </w:rPr>
        <w:t>Our investment philosophy is premised on a disciplined approach of identifying high-growth emerging companies across several key industry themes that may include, among others, social mobile, cloud computing and big data, internet commerce, sustainability and education technology. Our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we evaluate have financial backing from top-tier venture capital funds or other financial or strategic sponsors.</w:t>
      </w:r>
    </w:p>
    <w:p>
      <w:pPr>
        <w:spacing w:after="0" w:line="158"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7"/>
          <w:szCs w:val="17"/>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173"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7"/>
          <w:szCs w:val="17"/>
          <w:color w:val="auto"/>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us to focus our investments in companies and industries that are more likely to result in beneficial returns to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Internalization of Operating Structure</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and effective March 12, 2019, our Board of Directors approved internalizing our operating structure and we began operating as an internally managed non-diversified closed-end management investment company that has elected to be regulated as a BDC under the 1940 Act. Prior to the Effective Date,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w:t>
      </w:r>
    </w:p>
    <w:p>
      <w:pPr>
        <w:spacing w:after="0" w:line="15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connection with our Internalization, the Investment Advisory Agreement and the Administration Agreement were terminated as of the Effective Date, and as a result no fees or expenses will be due or payable under the Investment Advisory Agreement and the Administration Agreement going forward. As of such date, we entered into a Consulting Agreement with Michael T. Moe (the former Chairman of our Board of Directors and the Chief Executive Officer and Chief Investment Officer of GSV Asset Management), pursuant to which Mr. Moe provides certain services to us in connection with our transition to an internally managed operating structure. We also entered into an Amended and Restated Trademark License Agreement (the "Amended and Restated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Trademark License Agreement") with GSV Asset Management to continue to use the trade name “GSV”, and other state or unregistered “GSV” marks, including the trading symbol “GSVC.”</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Mr. Moe also resigned from our Board of Directors, and our Board of Directors reduced the number of directors that constitute our full Board of Directors to five directors from six directors in accordance with our bylaws.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otherwise disclosed herein, this Form 10-Q discusses our business and operations as an externally-managed BDC during the period covered by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March 31, 2019, of all of our portfolio investments, excluding U.S. Treasury bills, was $213,571,464.</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March 31, 2019, we funded investments in an aggregate amount of $10,000,000 (not including capitalized transaction costs) as shown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Borders>
              <w:bottom w:val="single" w:sz="8" w:color="CCEEFF"/>
            </w:tcBorders>
          </w:tcPr>
          <w:p>
            <w:pPr>
              <w:spacing w:after="0"/>
              <w:rPr>
                <w:sz w:val="16"/>
                <w:szCs w:val="16"/>
                <w:color w:val="auto"/>
              </w:rPr>
            </w:pP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86"/>
              </w:rPr>
              <w:t>Gross Payments</w:t>
            </w:r>
          </w:p>
        </w:tc>
      </w:tr>
      <w:tr>
        <w:trPr>
          <w:trHeight w:val="256"/>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Neutron Holdings, Inc. (d/b/a/ Lime)</w:t>
            </w:r>
          </w:p>
        </w:tc>
        <w:tc>
          <w:tcPr>
            <w:tcW w:w="5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8"/>
              </w:rPr>
              <w:t>Preferred shares, Series D</w:t>
            </w:r>
          </w:p>
        </w:tc>
        <w:tc>
          <w:tcPr>
            <w:tcW w:w="11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1/25/2019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10,000,000</w:t>
            </w:r>
          </w:p>
        </w:tc>
      </w:tr>
      <w:tr>
        <w:trPr>
          <w:trHeight w:val="244"/>
        </w:trPr>
        <w:tc>
          <w:tcPr>
            <w:tcW w:w="356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5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10,000,000</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2019, we capitalized fees of $8,040.</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March 31, 2019, we sold investments in an amount of $11,871,346, net of transaction costs, and realized a net loss on investments of approximately $4,065,693 (including U.S. Treasury investments) as shown in following table: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Investment</w:t>
            </w:r>
          </w:p>
        </w:tc>
        <w:tc>
          <w:tcPr>
            <w:tcW w:w="120" w:type="dxa"/>
            <w:vAlign w:val="bottom"/>
            <w:vMerge w:val="restart"/>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Transaction</w:t>
            </w:r>
          </w:p>
        </w:tc>
        <w:tc>
          <w:tcPr>
            <w:tcW w:w="128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Shares Sold</w:t>
            </w:r>
          </w:p>
        </w:tc>
        <w:tc>
          <w:tcPr>
            <w:tcW w:w="120" w:type="dxa"/>
            <w:vAlign w:val="bottom"/>
            <w:vMerge w:val="restart"/>
          </w:tcPr>
          <w:p>
            <w:pPr>
              <w:spacing w:after="0"/>
              <w:rPr>
                <w:sz w:val="13"/>
                <w:szCs w:val="13"/>
                <w:color w:val="auto"/>
              </w:rPr>
            </w:pPr>
          </w:p>
        </w:tc>
        <w:tc>
          <w:tcPr>
            <w:tcW w:w="152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w w:val="94"/>
              </w:rPr>
              <w:t>Average Net Share</w:t>
            </w:r>
          </w:p>
        </w:tc>
        <w:tc>
          <w:tcPr>
            <w:tcW w:w="10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3"/>
              </w:rPr>
              <w:t>Net Proceeds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283"/>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9"/>
              </w:rPr>
              <w:t>Gain/(Loss)</w:t>
            </w:r>
            <w:r>
              <w:rPr>
                <w:rFonts w:ascii="Arial" w:cs="Arial" w:eastAsia="Arial" w:hAnsi="Arial"/>
                <w:sz w:val="8"/>
                <w:szCs w:val="8"/>
                <w:b w:val="1"/>
                <w:bCs w:val="1"/>
                <w:color w:val="auto"/>
                <w:w w:val="99"/>
              </w:rPr>
              <w:t>(2)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Declara, Inc.</w:t>
            </w:r>
            <w:r>
              <w:rPr>
                <w:rFonts w:ascii="Arial" w:cs="Arial" w:eastAsia="Arial" w:hAnsi="Arial"/>
                <w:sz w:val="21"/>
                <w:szCs w:val="21"/>
                <w:color w:val="auto"/>
                <w:vertAlign w:val="superscript"/>
              </w:rPr>
              <w:t>(3)</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3/11/2019</w:t>
            </w:r>
          </w:p>
        </w:tc>
        <w:tc>
          <w:tcPr>
            <w:tcW w:w="1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(12,334,151)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Spotify Technology S.A.</w:t>
            </w:r>
            <w:r>
              <w:rPr>
                <w:rFonts w:ascii="Arial" w:cs="Arial" w:eastAsia="Arial" w:hAnsi="Arial"/>
                <w:sz w:val="21"/>
                <w:szCs w:val="21"/>
                <w:color w:val="auto"/>
                <w:vertAlign w:val="superscript"/>
              </w:rPr>
              <w:t>(4)</w:t>
            </w:r>
          </w:p>
        </w:tc>
        <w:tc>
          <w:tcPr>
            <w:tcW w:w="13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280" w:type="dxa"/>
            <w:vAlign w:val="bottom"/>
            <w:tcBorders>
              <w:bottom w:val="single" w:sz="8" w:color="CCEEFF"/>
            </w:tcBorders>
          </w:tcPr>
          <w:p>
            <w:pPr>
              <w:jc w:val="right"/>
              <w:ind w:right="62"/>
              <w:spacing w:after="0"/>
              <w:rPr>
                <w:sz w:val="20"/>
                <w:szCs w:val="20"/>
                <w:color w:val="auto"/>
              </w:rPr>
            </w:pPr>
            <w:r>
              <w:rPr>
                <w:rFonts w:ascii="Arial" w:cs="Arial" w:eastAsia="Arial" w:hAnsi="Arial"/>
                <w:sz w:val="16"/>
                <w:szCs w:val="16"/>
                <w:color w:val="auto"/>
              </w:rPr>
              <w:t>85,000</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139.66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11,871,346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8,259,563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11,871,346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(4,074,588)</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jc w:val="right"/>
              <w:ind w:right="3041"/>
              <w:spacing w:after="0"/>
              <w:rPr>
                <w:sz w:val="20"/>
                <w:szCs w:val="20"/>
                <w:color w:val="auto"/>
              </w:rPr>
            </w:pPr>
            <w:r>
              <w:rPr>
                <w:rFonts w:ascii="Arial" w:cs="Arial" w:eastAsia="Arial" w:hAnsi="Arial"/>
                <w:sz w:val="16"/>
                <w:szCs w:val="16"/>
                <w:b w:val="1"/>
                <w:bCs w:val="1"/>
                <w:color w:val="auto"/>
                <w:w w:val="89"/>
              </w:rPr>
              <w:t>__________________</w:t>
            </w: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average net share price is the net share price realized after deducting all commissions and fees on the sale(s), if applicable.</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Realized gain/(loss) does not include amounts held in escrow or any realized gain/(loss) incurred on the maturity of our U.S. Treasury investments.</w:t>
      </w:r>
    </w:p>
    <w:p>
      <w:pPr>
        <w:spacing w:after="0" w:line="5" w:lineRule="exact"/>
        <w:rPr>
          <w:rFonts w:ascii="Arial" w:cs="Arial" w:eastAsia="Arial" w:hAnsi="Arial"/>
          <w:sz w:val="16"/>
          <w:szCs w:val="16"/>
          <w:color w:val="auto"/>
        </w:rPr>
      </w:pPr>
    </w:p>
    <w:p>
      <w:pPr>
        <w:jc w:val="both"/>
        <w:ind w:left="500" w:hanging="492"/>
        <w:spacing w:after="0" w:line="246"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March 11, 2019, Declara, Inc. entered into a definitive agreement to be acquired by Declara Holdings, Inc., a subsidiary of Futuryng, Inc. Despite the existence of an earn-out provision, as a result of the transaction, the Company does not expect to receive any proceeds. The exit of Declara, Inc. included a 12% Convertible Promissory Note with a principal value of $2,334,152.</w:t>
      </w:r>
    </w:p>
    <w:p>
      <w:pPr>
        <w:spacing w:after="0" w:line="1" w:lineRule="exact"/>
        <w:rPr>
          <w:rFonts w:ascii="Arial" w:cs="Arial" w:eastAsia="Arial" w:hAnsi="Arial"/>
          <w:sz w:val="16"/>
          <w:szCs w:val="16"/>
          <w:color w:val="auto"/>
        </w:rPr>
      </w:pPr>
    </w:p>
    <w:p>
      <w:pPr>
        <w:ind w:left="500" w:hanging="492"/>
        <w:spacing w:after="0" w:line="257"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6"/>
          <w:szCs w:val="16"/>
          <w:color w:val="auto"/>
        </w:rPr>
        <w:t>The sale of Spotify Technology on March 28, 2019 settled subsequent to quarter end. As of March 31, 2019, we held 150,360 remaining shares of Spotify Technology S.A..</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March 31, 2019, we did not write-off any investments.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During the three months ended March 31, 2018, the Company funded investments in an aggregate amount of $100,000 (not including capitalized transaction costs) as shown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Borders>
              <w:bottom w:val="single" w:sz="8" w:color="CCEEFF"/>
            </w:tcBorders>
          </w:tcPr>
          <w:p>
            <w:pPr>
              <w:spacing w:after="0"/>
              <w:rPr>
                <w:sz w:val="16"/>
                <w:szCs w:val="16"/>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Transaction Date</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4"/>
              </w:rPr>
              <w:t>Gross Payments</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Ozy Media, Inc.</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3"/>
                <w:szCs w:val="23"/>
                <w:color w:val="auto"/>
              </w:rPr>
            </w:pPr>
          </w:p>
        </w:tc>
        <w:tc>
          <w:tcPr>
            <w:tcW w:w="4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Promissory Note 10% Due 2/12/2018</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6"/>
                <w:szCs w:val="16"/>
                <w:color w:val="auto"/>
              </w:rPr>
              <w:t>1/12/2018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44"/>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4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0"/>
        </w:trPr>
        <w:tc>
          <w:tcPr>
            <w:tcW w:w="4000" w:type="dxa"/>
            <w:vAlign w:val="bottom"/>
            <w:vMerge w:val="restart"/>
          </w:tcPr>
          <w:p>
            <w:pPr>
              <w:jc w:val="right"/>
              <w:ind w:right="2461"/>
              <w:spacing w:after="0"/>
              <w:rPr>
                <w:sz w:val="20"/>
                <w:szCs w:val="20"/>
                <w:color w:val="auto"/>
              </w:rPr>
            </w:pPr>
            <w:r>
              <w:rPr>
                <w:rFonts w:ascii="Arial" w:cs="Arial" w:eastAsia="Arial" w:hAnsi="Arial"/>
                <w:sz w:val="16"/>
                <w:szCs w:val="16"/>
                <w:b w:val="1"/>
                <w:bCs w:val="1"/>
                <w:color w:val="auto"/>
                <w:w w:val="89"/>
              </w:rPr>
              <w:t>__________________</w:t>
            </w:r>
          </w:p>
        </w:tc>
        <w:tc>
          <w:tcPr>
            <w:tcW w:w="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right="20" w:hanging="492"/>
        <w:spacing w:after="0" w:line="250"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During the period, Ozy Media, Inc.’s obligations under its financing arrangements with the Company became past due. Effective April 9, 2018, the term of Ozy Media Inc.'s notes were extended through the issuance of a new convertible promissory note, which extended the maturity date of the existing notes to October 31, 2018, or December 31, 2018 if certain conditions are satisfied. In consideration for amending and restating the existing notes, the Company was issued warrants exercisable for a certain number of shares of Ozy Media Inc.'s common stock.</w:t>
      </w:r>
    </w:p>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2018, we capitalized fees of $5,568.</w:t>
      </w:r>
    </w:p>
    <w:p>
      <w:pPr>
        <w:spacing w:after="0" w:line="2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March 31, 2018, the Company sold investments or received repayments from portfolio companies in an amount of $15,962,239, net of transaction costs, and realized a net investment loss of approximately $776,725 (including U.S. Treasury investments) as shown in following table: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Portfolio Investment</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Transaction</w:t>
            </w: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Shares Sold</w:t>
            </w: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Average Net Share</w:t>
            </w:r>
          </w:p>
        </w:tc>
        <w:tc>
          <w:tcPr>
            <w:tcW w:w="22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 Proceeds</w:t>
            </w: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Realized Gain/(Loss)</w:t>
            </w:r>
            <w:r>
              <w:rPr>
                <w:rFonts w:ascii="Arial" w:cs="Arial" w:eastAsia="Arial" w:hAnsi="Arial"/>
                <w:sz w:val="8"/>
                <w:szCs w:val="8"/>
                <w:b w:val="1"/>
                <w:bCs w:val="1"/>
                <w:color w:val="auto"/>
                <w:w w:val="94"/>
              </w:rPr>
              <w:t>(4)</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 xml:space="preserve">Price </w:t>
            </w:r>
            <w:r>
              <w:rPr>
                <w:rFonts w:ascii="Arial" w:cs="Arial" w:eastAsia="Arial" w:hAnsi="Arial"/>
                <w:sz w:val="8"/>
                <w:szCs w:val="8"/>
                <w:b w:val="1"/>
                <w:bCs w:val="1"/>
                <w:color w:val="auto"/>
                <w:w w:val="95"/>
              </w:rPr>
              <w:t>(1)</w:t>
            </w:r>
          </w:p>
        </w:tc>
        <w:tc>
          <w:tcPr>
            <w:tcW w:w="2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Chegg, Inc.</w:t>
            </w:r>
          </w:p>
        </w:tc>
        <w:tc>
          <w:tcPr>
            <w:tcW w:w="15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1/3/2018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Chegg, Inc.</w:t>
            </w: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1/4/2018</w:t>
            </w:r>
          </w:p>
        </w:tc>
        <w:tc>
          <w:tcPr>
            <w:tcW w:w="12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9,103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16.79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152,799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43,327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Chegg, Inc.</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1/5/2018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607,623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172,139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Chegg, Inc.</w:t>
            </w: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1/8/2018</w:t>
            </w:r>
          </w:p>
        </w:tc>
        <w:tc>
          <w:tcPr>
            <w:tcW w:w="12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15,888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267,905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76,837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Chegg, Inc.</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1/9/2018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619,356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175,598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Chegg, Inc.</w:t>
            </w: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2/13/2018</w:t>
            </w:r>
          </w:p>
        </w:tc>
        <w:tc>
          <w:tcPr>
            <w:tcW w:w="12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19.31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3,861,271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1,457,883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Chegg, Inc. </w:t>
            </w:r>
            <w:r>
              <w:rPr>
                <w:rFonts w:ascii="Arial" w:cs="Arial" w:eastAsia="Arial" w:hAnsi="Arial"/>
                <w:sz w:val="21"/>
                <w:szCs w:val="21"/>
                <w:color w:val="auto"/>
                <w:vertAlign w:val="superscript"/>
              </w:rPr>
              <w:t>(2)</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2/20/2018</w:t>
            </w:r>
          </w:p>
        </w:tc>
        <w:tc>
          <w:tcPr>
            <w:tcW w:w="1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200,000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19.53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3,905,530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1,503,045</w:t>
            </w: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18.89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9,446,315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3,437,847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NestGSV, Inc. (d/b/a GSV Labs, Inc.)</w:t>
            </w:r>
            <w:r>
              <w:rPr>
                <w:rFonts w:ascii="Arial" w:cs="Arial" w:eastAsia="Arial" w:hAnsi="Arial"/>
                <w:sz w:val="21"/>
                <w:szCs w:val="21"/>
                <w:color w:val="auto"/>
                <w:vertAlign w:val="superscript"/>
              </w:rPr>
              <w:t>(3)</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1/12/2018</w:t>
            </w:r>
          </w:p>
        </w:tc>
        <w:tc>
          <w:tcPr>
            <w:tcW w:w="12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592,129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Avenues Global Holdings, LLC</w:t>
            </w: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1/22/2018</w:t>
            </w:r>
          </w:p>
        </w:tc>
        <w:tc>
          <w:tcPr>
            <w:tcW w:w="12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10,014,270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5,923,795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(4,228,059)</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15,962,239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(790,892)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b w:val="1"/>
                <w:bCs w:val="1"/>
                <w:color w:val="auto"/>
              </w:rPr>
              <w:t>__________________</w:t>
            </w: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52482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ind w:left="500" w:hanging="492"/>
        <w:spacing w:after="0"/>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average net share price is the net share price realized after deducting all commissions and fees on the sale(s), if applicable.</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of February 22, 2018, all remaining shares of Chegg, Inc. held by the Company had been sold.</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repayment of the 12% Unsecured Promissory Note Due 1/15/2018</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Realized gains/(losses) exclude any realized gains/(losses) incurred on the maturity of our U.S. Treasury investments.</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three months ended March 31, 2018, we did not write-off any investments.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 </w:t>
      </w:r>
      <w:r>
        <w:rPr>
          <w:rFonts w:ascii="Arial" w:cs="Arial" w:eastAsia="Arial" w:hAnsi="Arial"/>
          <w:sz w:val="18"/>
          <w:szCs w:val="18"/>
          <w:b w:val="1"/>
          <w:bCs w:val="1"/>
          <w:i w:val="1"/>
          <w:iCs w:val="1"/>
          <w:color w:val="auto"/>
        </w:rPr>
        <w:t>Comparison of the three months ended March 31, 2019 and 2018</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results for the three months ended March 31, 2019 and 2018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4220" w:type="dxa"/>
            <w:vAlign w:val="bottom"/>
            <w:gridSpan w:val="5"/>
          </w:tcPr>
          <w:p>
            <w:pPr>
              <w:jc w:val="right"/>
              <w:ind w:right="619"/>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33"/>
        </w:trPr>
        <w:tc>
          <w:tcPr>
            <w:tcW w:w="7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2018</w:t>
            </w:r>
          </w:p>
        </w:tc>
      </w:tr>
      <w:tr>
        <w:trPr>
          <w:trHeight w:val="33"/>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Investment Income</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227,250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249,335</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12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227,250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249,335</w:t>
            </w:r>
          </w:p>
        </w:tc>
      </w:tr>
      <w:tr>
        <w:trPr>
          <w:trHeight w:val="33"/>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 income</w:t>
            </w:r>
          </w:p>
        </w:tc>
        <w:tc>
          <w:tcPr>
            <w:tcW w:w="1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12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Operating Expenses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(392,452)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5,396,806</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Incentive fee waiver</w:t>
            </w:r>
          </w:p>
        </w:tc>
        <w:tc>
          <w:tcPr>
            <w:tcW w:w="12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(5,000,000)</w:t>
            </w:r>
          </w:p>
        </w:tc>
      </w:tr>
      <w:tr>
        <w:trPr>
          <w:trHeight w:val="33"/>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Management fee waiver</w:t>
            </w:r>
          </w:p>
        </w:tc>
        <w:tc>
          <w:tcPr>
            <w:tcW w:w="1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(154,944)</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b w:val="1"/>
                <w:bCs w:val="1"/>
                <w:color w:val="auto"/>
              </w:rPr>
              <w:t>Net Operating Expenses</w:t>
            </w:r>
          </w:p>
        </w:tc>
        <w:tc>
          <w:tcPr>
            <w:tcW w:w="1220" w:type="dxa"/>
            <w:vAlign w:val="bottom"/>
          </w:tcPr>
          <w:p>
            <w:pPr>
              <w:jc w:val="right"/>
              <w:ind w:right="10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(392,452)</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241,862</w:t>
            </w:r>
          </w:p>
        </w:tc>
      </w:tr>
      <w:tr>
        <w:trPr>
          <w:trHeight w:val="33"/>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Management fees</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848,723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1,323,576</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Incentive fees</w:t>
            </w:r>
          </w:p>
        </w:tc>
        <w:tc>
          <w:tcPr>
            <w:tcW w:w="1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5"/>
              </w:rPr>
              <w:t>(4,660,472)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1,471,334</w:t>
            </w:r>
          </w:p>
        </w:tc>
      </w:tr>
      <w:tr>
        <w:trPr>
          <w:trHeight w:val="33"/>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Costs incurred under Administration Agreement</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306,084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424,145</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Directors’ fees</w:t>
            </w:r>
          </w:p>
        </w:tc>
        <w:tc>
          <w:tcPr>
            <w:tcW w:w="12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86,250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86,250</w:t>
            </w:r>
          </w:p>
        </w:tc>
      </w:tr>
      <w:tr>
        <w:trPr>
          <w:trHeight w:val="33"/>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Professional fees</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2,061,922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339,898</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2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604,168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1,140,063</w:t>
            </w:r>
          </w:p>
        </w:tc>
      </w:tr>
      <w:tr>
        <w:trPr>
          <w:trHeight w:val="33"/>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expense</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122,270</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Other expenses</w:t>
            </w:r>
          </w:p>
        </w:tc>
        <w:tc>
          <w:tcPr>
            <w:tcW w:w="12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357,110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489,270</w:t>
            </w:r>
          </w:p>
        </w:tc>
      </w:tr>
      <w:tr>
        <w:trPr>
          <w:trHeight w:val="33"/>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Investment Income/(Loss)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619,702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7,473</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Net realized gain/(loss) on investments</w:t>
            </w:r>
          </w:p>
        </w:tc>
        <w:tc>
          <w:tcPr>
            <w:tcW w:w="1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5"/>
              </w:rPr>
              <w:t>(4,065,693)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(776,725)</w:t>
            </w:r>
          </w:p>
        </w:tc>
      </w:tr>
      <w:tr>
        <w:trPr>
          <w:trHeight w:val="33"/>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Realized loss on partial repurchase of 5.25% Convertible Senior Notes due 2018</w:t>
            </w:r>
          </w:p>
        </w:tc>
        <w:tc>
          <w:tcPr>
            <w:tcW w:w="1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Net change in unrealized appreciation/(depreciation) of investments</w:t>
            </w:r>
          </w:p>
        </w:tc>
        <w:tc>
          <w:tcPr>
            <w:tcW w:w="12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w w:val="89"/>
              </w:rPr>
              <w:t>20,699,751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8,133,394</w:t>
            </w:r>
          </w:p>
        </w:tc>
      </w:tr>
      <w:tr>
        <w:trPr>
          <w:trHeight w:val="33"/>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Benefit from taxes on unrealized depreciation of investments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b w:val="1"/>
                <w:bCs w:val="1"/>
                <w:color w:val="auto"/>
              </w:rPr>
              <w:t>Net Increase in Net Assets Resulting from Operations</w:t>
            </w:r>
          </w:p>
        </w:tc>
        <w:tc>
          <w:tcPr>
            <w:tcW w:w="1220" w:type="dxa"/>
            <w:vAlign w:val="bottom"/>
          </w:tcPr>
          <w:p>
            <w:pPr>
              <w:jc w:val="right"/>
              <w:ind w:right="10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17,159,613</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6,966,296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-3751580</wp:posOffset>
            </wp:positionV>
            <wp:extent cx="45707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right="20" w:firstLine="351"/>
        <w:spacing w:after="0" w:line="286" w:lineRule="auto"/>
        <w:rPr>
          <w:sz w:val="20"/>
          <w:szCs w:val="20"/>
          <w:color w:val="auto"/>
        </w:rPr>
      </w:pPr>
      <w:r>
        <w:rPr>
          <w:rFonts w:ascii="Arial" w:cs="Arial" w:eastAsia="Arial" w:hAnsi="Arial"/>
          <w:sz w:val="17"/>
          <w:szCs w:val="17"/>
          <w:color w:val="auto"/>
        </w:rPr>
        <w:t>Investment income decreased to $227,250 for the three months ended March 31, 2019 from $249,335 for the three months ended March 31, 2018. The decrease was due to decreased interest income. The decrease in interest income resulted from a reduction in our debt investments, notably the sale of Declara, Inc., during the three months ended March 31, 2019, relative to the three months ended March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Total operating expenses, net of waiver of management and incentive fees, decreased to gain of $392,452 for the three months ended March 31, 2019, from $241,862 for the three months ended March 31, 2018. The decrease was primarily due to the reversal of approximately $4.6 million of previously accrued incentive fees for the three months ended March 31, 2019 in relation to our Internalization and the term of the Investment Advisory Agreement, as compared to the three months ended March 31, 2018. Additionally, we incurred lower management fees due to lower average gross assets outstanding during the period prior to our Internalization. Our interest and credit facility expense for the three months ended March 31, 2019 declined as a result of the extinguishment of the Convertible Senior Notes due September 15, 2018 in the third quarter of 2018. These decreases were partially offset by an increase in legal fees incurred in relation to our Internalization.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For the three months ended March 31, 2019, we recognized net investment income of $619,702, compared to net investment income of $7,473 for the three months ended March 31, 2018. The increase in net investment income resulted primarily from the reversal of incentive fees during the three months ended March 31, 2019, and to a lesser extent lower management fees and interest expense partially offset by the increase in professional fees related to our Internalization, as discussed above.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2" w:right="239" w:bottom="1440" w:gutter="0" w:footer="0" w:header="0"/>
          <w:type w:val="continuous"/>
        </w:sectPr>
      </w:pPr>
    </w:p>
    <w:bookmarkStart w:id="58" w:name="page59"/>
    <w:bookmarkEnd w:id="5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Gain/(Loss) on Investments</w:t>
      </w:r>
    </w:p>
    <w:p>
      <w:pPr>
        <w:spacing w:after="0" w:line="225" w:lineRule="exact"/>
        <w:rPr>
          <w:sz w:val="20"/>
          <w:szCs w:val="20"/>
          <w:color w:val="auto"/>
        </w:rPr>
      </w:pPr>
    </w:p>
    <w:p>
      <w:pPr>
        <w:jc w:val="both"/>
        <w:ind w:right="20" w:firstLine="351"/>
        <w:spacing w:after="0" w:line="286" w:lineRule="auto"/>
        <w:rPr>
          <w:sz w:val="20"/>
          <w:szCs w:val="20"/>
          <w:color w:val="auto"/>
        </w:rPr>
      </w:pPr>
      <w:r>
        <w:rPr>
          <w:rFonts w:ascii="Arial" w:cs="Arial" w:eastAsia="Arial" w:hAnsi="Arial"/>
          <w:sz w:val="17"/>
          <w:szCs w:val="17"/>
          <w:color w:val="auto"/>
        </w:rPr>
        <w:t>For the three months ended March 31, 2019, we recognized net realized losses on our investments of $4,065,693, compared to net realized loss of $776,725 for the three months ended March 31, 2018. The components of our net realized losses on portfolio investments for the three months ended March 31, 2019 and 2018, excluding U.S. Treasury investments, are reflected in the tables above, under “—Portfolio and Investment Activity.”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three months ended March 31, 2019, we had a net change in unrealized appreciation of $20,699,751. For the three months ended March 31, 2018, we had a net change in unrealized appreciation of $8,133,394. The following tables summarize, by portfolio company, the significant changes in unrealized appreciation and/or depreciation of our investment portfolio for the three months ended March 31, 2019 and 2018.</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jc w:val="right"/>
              <w:ind w:right="320"/>
              <w:spacing w:after="0"/>
              <w:rPr>
                <w:sz w:val="20"/>
                <w:szCs w:val="20"/>
                <w:color w:val="auto"/>
              </w:rPr>
            </w:pPr>
            <w:r>
              <w:rPr>
                <w:rFonts w:ascii="Arial" w:cs="Arial" w:eastAsia="Arial" w:hAnsi="Arial"/>
                <w:sz w:val="14"/>
                <w:szCs w:val="14"/>
                <w:b w:val="1"/>
                <w:bCs w:val="1"/>
                <w:color w:val="auto"/>
              </w:rPr>
              <w:t>Net Change in Unrealized</w:t>
            </w:r>
          </w:p>
        </w:tc>
        <w:tc>
          <w:tcPr>
            <w:tcW w:w="0" w:type="dxa"/>
            <w:vAlign w:val="bottom"/>
          </w:tcPr>
          <w:p>
            <w:pPr>
              <w:spacing w:after="0"/>
              <w:rPr>
                <w:sz w:val="1"/>
                <w:szCs w:val="1"/>
                <w:color w:val="auto"/>
              </w:rPr>
            </w:pPr>
          </w:p>
        </w:tc>
      </w:tr>
      <w:tr>
        <w:trPr>
          <w:trHeight w:val="149"/>
        </w:trPr>
        <w:tc>
          <w:tcPr>
            <w:tcW w:w="8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2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Appreciation/(Depreciation) For the</w:t>
            </w:r>
          </w:p>
        </w:tc>
        <w:tc>
          <w:tcPr>
            <w:tcW w:w="0" w:type="dxa"/>
            <w:vAlign w:val="bottom"/>
          </w:tcPr>
          <w:p>
            <w:pPr>
              <w:spacing w:after="0"/>
              <w:rPr>
                <w:sz w:val="1"/>
                <w:szCs w:val="1"/>
                <w:color w:val="auto"/>
              </w:rPr>
            </w:pPr>
          </w:p>
        </w:tc>
      </w:tr>
      <w:tr>
        <w:trPr>
          <w:trHeight w:val="192"/>
        </w:trPr>
        <w:tc>
          <w:tcPr>
            <w:tcW w:w="8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Three Months Ended March 31, 2019</w:t>
            </w:r>
          </w:p>
        </w:tc>
        <w:tc>
          <w:tcPr>
            <w:tcW w:w="0" w:type="dxa"/>
            <w:vAlign w:val="bottom"/>
          </w:tcPr>
          <w:p>
            <w:pPr>
              <w:spacing w:after="0"/>
              <w:rPr>
                <w:sz w:val="1"/>
                <w:szCs w:val="1"/>
                <w:color w:val="auto"/>
              </w:rPr>
            </w:pPr>
          </w:p>
        </w:tc>
      </w:tr>
      <w:tr>
        <w:trPr>
          <w:trHeight w:val="256"/>
        </w:trPr>
        <w:tc>
          <w:tcPr>
            <w:tcW w:w="9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Declara, Inc.</w:t>
            </w:r>
            <w:r>
              <w:rPr>
                <w:rFonts w:ascii="Arial" w:cs="Arial" w:eastAsia="Arial" w:hAnsi="Arial"/>
                <w:sz w:val="21"/>
                <w:szCs w:val="21"/>
                <w:color w:val="auto"/>
                <w:vertAlign w:val="superscript"/>
              </w:rPr>
              <w:t>(1)</w:t>
            </w: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12,334,151</w:t>
            </w:r>
          </w:p>
        </w:tc>
        <w:tc>
          <w:tcPr>
            <w:tcW w:w="0" w:type="dxa"/>
            <w:vAlign w:val="bottom"/>
          </w:tcPr>
          <w:p>
            <w:pPr>
              <w:spacing w:after="0"/>
              <w:rPr>
                <w:sz w:val="1"/>
                <w:szCs w:val="1"/>
                <w:color w:val="auto"/>
              </w:rPr>
            </w:pPr>
          </w:p>
        </w:tc>
      </w:tr>
      <w:tr>
        <w:trPr>
          <w:trHeight w:val="23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Course Hero, Inc.</w:t>
            </w:r>
          </w:p>
        </w:tc>
        <w:tc>
          <w:tcPr>
            <w:tcW w:w="260" w:type="dxa"/>
            <w:vAlign w:val="bottom"/>
          </w:tcPr>
          <w:p>
            <w:pPr>
              <w:spacing w:after="0"/>
              <w:rPr>
                <w:sz w:val="20"/>
                <w:szCs w:val="20"/>
                <w:color w:val="auto"/>
              </w:rPr>
            </w:pPr>
          </w:p>
        </w:tc>
        <w:tc>
          <w:tcPr>
            <w:tcW w:w="2120" w:type="dxa"/>
            <w:vAlign w:val="bottom"/>
          </w:tcPr>
          <w:p>
            <w:pPr>
              <w:jc w:val="right"/>
              <w:ind w:right="20"/>
              <w:spacing w:after="0"/>
              <w:rPr>
                <w:sz w:val="20"/>
                <w:szCs w:val="20"/>
                <w:color w:val="auto"/>
              </w:rPr>
            </w:pPr>
            <w:r>
              <w:rPr>
                <w:rFonts w:ascii="Arial" w:cs="Arial" w:eastAsia="Arial" w:hAnsi="Arial"/>
                <w:sz w:val="16"/>
                <w:szCs w:val="16"/>
                <w:color w:val="auto"/>
              </w:rPr>
              <w:t>6,465,582</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Lyft, Inc.</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6,465,404</w:t>
            </w:r>
          </w:p>
        </w:tc>
        <w:tc>
          <w:tcPr>
            <w:tcW w:w="0" w:type="dxa"/>
            <w:vAlign w:val="bottom"/>
          </w:tcPr>
          <w:p>
            <w:pPr>
              <w:spacing w:after="0"/>
              <w:rPr>
                <w:sz w:val="1"/>
                <w:szCs w:val="1"/>
                <w:color w:val="auto"/>
              </w:rPr>
            </w:pPr>
          </w:p>
        </w:tc>
      </w:tr>
      <w:tr>
        <w:trPr>
          <w:trHeight w:val="23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Coursera, Inc.</w:t>
            </w:r>
          </w:p>
        </w:tc>
        <w:tc>
          <w:tcPr>
            <w:tcW w:w="260" w:type="dxa"/>
            <w:vAlign w:val="bottom"/>
          </w:tcPr>
          <w:p>
            <w:pPr>
              <w:spacing w:after="0"/>
              <w:rPr>
                <w:sz w:val="20"/>
                <w:szCs w:val="20"/>
                <w:color w:val="auto"/>
              </w:rPr>
            </w:pPr>
          </w:p>
        </w:tc>
        <w:tc>
          <w:tcPr>
            <w:tcW w:w="2120" w:type="dxa"/>
            <w:vAlign w:val="bottom"/>
          </w:tcPr>
          <w:p>
            <w:pPr>
              <w:jc w:val="right"/>
              <w:ind w:right="20"/>
              <w:spacing w:after="0"/>
              <w:rPr>
                <w:sz w:val="20"/>
                <w:szCs w:val="20"/>
                <w:color w:val="auto"/>
              </w:rPr>
            </w:pPr>
            <w:r>
              <w:rPr>
                <w:rFonts w:ascii="Arial" w:cs="Arial" w:eastAsia="Arial" w:hAnsi="Arial"/>
                <w:sz w:val="16"/>
                <w:szCs w:val="16"/>
                <w:color w:val="auto"/>
              </w:rPr>
              <w:t>5,573,492</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Enjoy Technology, Inc.</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3,624,952</w:t>
            </w:r>
          </w:p>
        </w:tc>
        <w:tc>
          <w:tcPr>
            <w:tcW w:w="0" w:type="dxa"/>
            <w:vAlign w:val="bottom"/>
          </w:tcPr>
          <w:p>
            <w:pPr>
              <w:spacing w:after="0"/>
              <w:rPr>
                <w:sz w:val="1"/>
                <w:szCs w:val="1"/>
                <w:color w:val="auto"/>
              </w:rPr>
            </w:pPr>
          </w:p>
        </w:tc>
      </w:tr>
      <w:tr>
        <w:trPr>
          <w:trHeight w:val="23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Dropbox, Inc.</w:t>
            </w:r>
          </w:p>
        </w:tc>
        <w:tc>
          <w:tcPr>
            <w:tcW w:w="260" w:type="dxa"/>
            <w:vAlign w:val="bottom"/>
          </w:tcPr>
          <w:p>
            <w:pPr>
              <w:spacing w:after="0"/>
              <w:rPr>
                <w:sz w:val="20"/>
                <w:szCs w:val="20"/>
                <w:color w:val="auto"/>
              </w:rPr>
            </w:pPr>
          </w:p>
        </w:tc>
        <w:tc>
          <w:tcPr>
            <w:tcW w:w="2120" w:type="dxa"/>
            <w:vAlign w:val="bottom"/>
          </w:tcPr>
          <w:p>
            <w:pPr>
              <w:jc w:val="right"/>
              <w:ind w:right="20"/>
              <w:spacing w:after="0"/>
              <w:rPr>
                <w:sz w:val="20"/>
                <w:szCs w:val="20"/>
                <w:color w:val="auto"/>
              </w:rPr>
            </w:pPr>
            <w:r>
              <w:rPr>
                <w:rFonts w:ascii="Arial" w:cs="Arial" w:eastAsia="Arial" w:hAnsi="Arial"/>
                <w:sz w:val="16"/>
                <w:szCs w:val="16"/>
                <w:color w:val="auto"/>
              </w:rPr>
              <w:t>1,198,736</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Stormwind, LLC</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(1,002,245)</w:t>
            </w:r>
          </w:p>
        </w:tc>
        <w:tc>
          <w:tcPr>
            <w:tcW w:w="0" w:type="dxa"/>
            <w:vAlign w:val="bottom"/>
          </w:tcPr>
          <w:p>
            <w:pPr>
              <w:spacing w:after="0"/>
              <w:rPr>
                <w:sz w:val="1"/>
                <w:szCs w:val="1"/>
                <w:color w:val="auto"/>
              </w:rPr>
            </w:pPr>
          </w:p>
        </w:tc>
      </w:tr>
      <w:tr>
        <w:trPr>
          <w:trHeight w:val="23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Ozy Media, Inc.</w:t>
            </w:r>
          </w:p>
        </w:tc>
        <w:tc>
          <w:tcPr>
            <w:tcW w:w="26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(1,576,788)</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CUX, Inc. (d/b/a CorpU)</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(1,741,045)</w:t>
            </w:r>
          </w:p>
        </w:tc>
        <w:tc>
          <w:tcPr>
            <w:tcW w:w="0" w:type="dxa"/>
            <w:vAlign w:val="bottom"/>
          </w:tcPr>
          <w:p>
            <w:pPr>
              <w:spacing w:after="0"/>
              <w:rPr>
                <w:sz w:val="1"/>
                <w:szCs w:val="1"/>
                <w:color w:val="auto"/>
              </w:rPr>
            </w:pPr>
          </w:p>
        </w:tc>
      </w:tr>
      <w:tr>
        <w:trPr>
          <w:trHeight w:val="23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Knewton, Inc.</w:t>
            </w:r>
          </w:p>
        </w:tc>
        <w:tc>
          <w:tcPr>
            <w:tcW w:w="26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(2,122,494)</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Spotify Technology S.A.</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(2,231,608)</w:t>
            </w:r>
          </w:p>
        </w:tc>
        <w:tc>
          <w:tcPr>
            <w:tcW w:w="0" w:type="dxa"/>
            <w:vAlign w:val="bottom"/>
          </w:tcPr>
          <w:p>
            <w:pPr>
              <w:spacing w:after="0"/>
              <w:rPr>
                <w:sz w:val="1"/>
                <w:szCs w:val="1"/>
                <w:color w:val="auto"/>
              </w:rPr>
            </w:pPr>
          </w:p>
        </w:tc>
      </w:tr>
      <w:tr>
        <w:trPr>
          <w:trHeight w:val="23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NestGSV, Inc. (d/b/a GSV Labs, Inc.)</w:t>
            </w:r>
          </w:p>
        </w:tc>
        <w:tc>
          <w:tcPr>
            <w:tcW w:w="26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(4,528,993)</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Palantir Technologies, Inc.</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(3,916,913)</w:t>
            </w:r>
          </w:p>
        </w:tc>
        <w:tc>
          <w:tcPr>
            <w:tcW w:w="0" w:type="dxa"/>
            <w:vAlign w:val="bottom"/>
          </w:tcPr>
          <w:p>
            <w:pPr>
              <w:spacing w:after="0"/>
              <w:rPr>
                <w:sz w:val="1"/>
                <w:szCs w:val="1"/>
                <w:color w:val="auto"/>
              </w:rPr>
            </w:pPr>
          </w:p>
        </w:tc>
      </w:tr>
      <w:tr>
        <w:trPr>
          <w:trHeight w:val="270"/>
        </w:trPr>
        <w:tc>
          <w:tcPr>
            <w:tcW w:w="90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2,157,520</w:t>
            </w: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20,699,751</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change in unrealized appreciation for these investments resulted from writing off an investment that was previously reduced in value to zero.</w:t>
      </w:r>
    </w:p>
    <w:p>
      <w:pPr>
        <w:spacing w:after="0" w:line="9" w:lineRule="exact"/>
        <w:rPr>
          <w:rFonts w:ascii="Arial" w:cs="Arial" w:eastAsia="Arial" w:hAnsi="Arial"/>
          <w:sz w:val="16"/>
          <w:szCs w:val="16"/>
          <w:color w:val="auto"/>
        </w:rPr>
      </w:pPr>
    </w:p>
    <w:p>
      <w:pPr>
        <w:ind w:left="500" w:hanging="492"/>
        <w:spacing w:after="0" w:line="246"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change in unrealized appreciation/(depreciation) reflected for these investments resulted from the full or partial sale of the relevant investment, which resulted in the reversal of previously accrued unrealized appreciation/(depreciation), as applicable.</w:t>
      </w:r>
    </w:p>
    <w:p>
      <w:pPr>
        <w:ind w:left="500" w:hanging="492"/>
        <w:spacing w:after="0" w:line="257"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“Other” represents investments (including U.S. Treasury bills) for which individual change in unrealized appreciation/(depreciation) was less than $1.0 million for the three months ended March 31, 2019.</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2"/>
        </w:trPr>
        <w:tc>
          <w:tcPr>
            <w:tcW w:w="90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2"/>
        </w:trPr>
        <w:tc>
          <w:tcPr>
            <w:tcW w:w="34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Net Change in Unrealized</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 (Depreciation) For the</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8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8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Dropbox, Inc.</w:t>
            </w:r>
          </w:p>
        </w:tc>
        <w:tc>
          <w:tcPr>
            <w:tcW w:w="1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6,186,547</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8660" w:type="dxa"/>
            <w:vAlign w:val="bottom"/>
            <w:gridSpan w:val="2"/>
          </w:tcPr>
          <w:p>
            <w:pPr>
              <w:ind w:left="20"/>
              <w:spacing w:after="0"/>
              <w:rPr>
                <w:sz w:val="20"/>
                <w:szCs w:val="20"/>
                <w:color w:val="auto"/>
              </w:rPr>
            </w:pPr>
            <w:r>
              <w:rPr>
                <w:rFonts w:ascii="Arial" w:cs="Arial" w:eastAsia="Arial" w:hAnsi="Arial"/>
                <w:sz w:val="16"/>
                <w:szCs w:val="16"/>
                <w:color w:val="auto"/>
              </w:rPr>
              <w:t>NestGSV, Inc. (d/b/a GSV Labs, Inc.)</w:t>
            </w:r>
          </w:p>
        </w:tc>
        <w:tc>
          <w:tcPr>
            <w:tcW w:w="140" w:type="dxa"/>
            <w:vAlign w:val="bottom"/>
          </w:tcPr>
          <w:p>
            <w:pPr>
              <w:spacing w:after="0"/>
              <w:rPr>
                <w:sz w:val="20"/>
                <w:szCs w:val="20"/>
                <w:color w:val="auto"/>
              </w:rPr>
            </w:pPr>
          </w:p>
        </w:tc>
        <w:tc>
          <w:tcPr>
            <w:tcW w:w="2180" w:type="dxa"/>
            <w:vAlign w:val="bottom"/>
          </w:tcPr>
          <w:p>
            <w:pPr>
              <w:jc w:val="right"/>
              <w:ind w:right="41"/>
              <w:spacing w:after="0"/>
              <w:rPr>
                <w:sz w:val="20"/>
                <w:szCs w:val="20"/>
                <w:color w:val="auto"/>
              </w:rPr>
            </w:pPr>
            <w:r>
              <w:rPr>
                <w:rFonts w:ascii="Arial" w:cs="Arial" w:eastAsia="Arial" w:hAnsi="Arial"/>
                <w:sz w:val="16"/>
                <w:szCs w:val="16"/>
                <w:color w:val="auto"/>
              </w:rPr>
              <w:t>5,749,829</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Avenues Global Holdings, LLC</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23"/>
                <w:szCs w:val="23"/>
                <w:color w:val="auto"/>
              </w:rPr>
            </w:pPr>
          </w:p>
        </w:tc>
        <w:tc>
          <w:tcPr>
            <w:tcW w:w="2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4,243,435</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8660" w:type="dxa"/>
            <w:vAlign w:val="bottom"/>
            <w:gridSpan w:val="2"/>
          </w:tcPr>
          <w:p>
            <w:pPr>
              <w:ind w:left="20"/>
              <w:spacing w:after="0"/>
              <w:rPr>
                <w:sz w:val="20"/>
                <w:szCs w:val="20"/>
                <w:color w:val="auto"/>
              </w:rPr>
            </w:pPr>
            <w:r>
              <w:rPr>
                <w:rFonts w:ascii="Arial" w:cs="Arial" w:eastAsia="Arial" w:hAnsi="Arial"/>
                <w:sz w:val="16"/>
                <w:szCs w:val="16"/>
                <w:color w:val="auto"/>
              </w:rPr>
              <w:t>Lyft, Inc.</w:t>
            </w:r>
          </w:p>
        </w:tc>
        <w:tc>
          <w:tcPr>
            <w:tcW w:w="140" w:type="dxa"/>
            <w:vAlign w:val="bottom"/>
          </w:tcPr>
          <w:p>
            <w:pPr>
              <w:spacing w:after="0"/>
              <w:rPr>
                <w:sz w:val="20"/>
                <w:szCs w:val="20"/>
                <w:color w:val="auto"/>
              </w:rPr>
            </w:pPr>
          </w:p>
        </w:tc>
        <w:tc>
          <w:tcPr>
            <w:tcW w:w="2180" w:type="dxa"/>
            <w:vAlign w:val="bottom"/>
          </w:tcPr>
          <w:p>
            <w:pPr>
              <w:jc w:val="right"/>
              <w:ind w:right="41"/>
              <w:spacing w:after="0"/>
              <w:rPr>
                <w:sz w:val="20"/>
                <w:szCs w:val="20"/>
                <w:color w:val="auto"/>
              </w:rPr>
            </w:pPr>
            <w:r>
              <w:rPr>
                <w:rFonts w:ascii="Arial" w:cs="Arial" w:eastAsia="Arial" w:hAnsi="Arial"/>
                <w:sz w:val="16"/>
                <w:szCs w:val="16"/>
                <w:color w:val="auto"/>
              </w:rPr>
              <w:t>2,113,462</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Course Hero, Inc.</w:t>
            </w: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1,111,915</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8660" w:type="dxa"/>
            <w:vAlign w:val="bottom"/>
            <w:gridSpan w:val="2"/>
          </w:tcPr>
          <w:p>
            <w:pPr>
              <w:ind w:left="20"/>
              <w:spacing w:after="0"/>
              <w:rPr>
                <w:sz w:val="20"/>
                <w:szCs w:val="20"/>
                <w:color w:val="auto"/>
              </w:rPr>
            </w:pPr>
            <w:r>
              <w:rPr>
                <w:rFonts w:ascii="Arial" w:cs="Arial" w:eastAsia="Arial" w:hAnsi="Arial"/>
                <w:sz w:val="16"/>
                <w:szCs w:val="16"/>
                <w:color w:val="auto"/>
              </w:rPr>
              <w:t>Declara, Inc.</w:t>
            </w:r>
          </w:p>
        </w:tc>
        <w:tc>
          <w:tcPr>
            <w:tcW w:w="1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(1,027,830)</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Lytro, Inc.</w:t>
            </w: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(1,100,464)</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8660" w:type="dxa"/>
            <w:vAlign w:val="bottom"/>
            <w:gridSpan w:val="2"/>
          </w:tcPr>
          <w:p>
            <w:pPr>
              <w:ind w:left="20"/>
              <w:spacing w:after="0"/>
              <w:rPr>
                <w:sz w:val="20"/>
                <w:szCs w:val="20"/>
                <w:color w:val="auto"/>
              </w:rPr>
            </w:pPr>
            <w:r>
              <w:rPr>
                <w:rFonts w:ascii="Arial" w:cs="Arial" w:eastAsia="Arial" w:hAnsi="Arial"/>
                <w:sz w:val="16"/>
                <w:szCs w:val="16"/>
                <w:color w:val="auto"/>
              </w:rPr>
              <w:t>General Assembly Space, Inc.</w:t>
            </w:r>
          </w:p>
        </w:tc>
        <w:tc>
          <w:tcPr>
            <w:tcW w:w="1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(1,252,940)</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Chegg, Inc.</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23"/>
                <w:szCs w:val="23"/>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(2,151,532)</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8660" w:type="dxa"/>
            <w:vAlign w:val="bottom"/>
            <w:gridSpan w:val="2"/>
          </w:tcPr>
          <w:p>
            <w:pPr>
              <w:ind w:left="20"/>
              <w:spacing w:after="0"/>
              <w:rPr>
                <w:sz w:val="20"/>
                <w:szCs w:val="20"/>
                <w:color w:val="auto"/>
              </w:rPr>
            </w:pPr>
            <w:r>
              <w:rPr>
                <w:rFonts w:ascii="Arial" w:cs="Arial" w:eastAsia="Arial" w:hAnsi="Arial"/>
                <w:sz w:val="16"/>
                <w:szCs w:val="16"/>
                <w:color w:val="auto"/>
              </w:rPr>
              <w:t>Curious.com, Inc.</w:t>
            </w:r>
          </w:p>
        </w:tc>
        <w:tc>
          <w:tcPr>
            <w:tcW w:w="1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(5,514,077)</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40" w:type="dxa"/>
            <w:vAlign w:val="bottom"/>
            <w:tcBorders>
              <w:bottom w:val="single" w:sz="8" w:color="auto"/>
            </w:tcBorders>
            <w:shd w:val="clear" w:color="auto" w:fill="CCEEFF"/>
          </w:tcPr>
          <w:p>
            <w:pPr>
              <w:spacing w:after="0"/>
              <w:rPr>
                <w:sz w:val="23"/>
                <w:szCs w:val="23"/>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(224,951)</w:t>
            </w:r>
          </w:p>
        </w:tc>
        <w:tc>
          <w:tcPr>
            <w:tcW w:w="0" w:type="dxa"/>
            <w:vAlign w:val="bottom"/>
          </w:tcPr>
          <w:p>
            <w:pPr>
              <w:spacing w:after="0"/>
              <w:rPr>
                <w:sz w:val="1"/>
                <w:szCs w:val="1"/>
                <w:color w:val="auto"/>
              </w:rPr>
            </w:pPr>
          </w:p>
        </w:tc>
      </w:tr>
      <w:tr>
        <w:trPr>
          <w:trHeight w:val="284"/>
        </w:trPr>
        <w:tc>
          <w:tcPr>
            <w:tcW w:w="340" w:type="dxa"/>
            <w:vAlign w:val="bottom"/>
          </w:tcPr>
          <w:p>
            <w:pPr>
              <w:spacing w:after="0"/>
              <w:rPr>
                <w:sz w:val="24"/>
                <w:szCs w:val="24"/>
                <w:color w:val="auto"/>
              </w:rPr>
            </w:pPr>
          </w:p>
        </w:tc>
        <w:tc>
          <w:tcPr>
            <w:tcW w:w="86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8,133,394</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8540" w:type="dxa"/>
            <w:vAlign w:val="bottom"/>
            <w:tcBorders>
              <w:top w:val="single" w:sz="8" w:color="CCEEFF"/>
            </w:tcBorders>
          </w:tcPr>
          <w:p>
            <w:pPr>
              <w:spacing w:after="0" w:line="204" w:lineRule="exact"/>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change in unrealized appreciation for these investments resulted from writing off an investment that was previously reduced in value to zero.</w:t>
      </w:r>
    </w:p>
    <w:p>
      <w:pPr>
        <w:spacing w:after="0" w:line="8" w:lineRule="exact"/>
        <w:rPr>
          <w:rFonts w:ascii="Arial" w:cs="Arial" w:eastAsia="Arial" w:hAnsi="Arial"/>
          <w:sz w:val="16"/>
          <w:szCs w:val="16"/>
          <w:color w:val="auto"/>
        </w:rPr>
      </w:pPr>
    </w:p>
    <w:p>
      <w:pPr>
        <w:ind w:left="500" w:right="200" w:hanging="492"/>
        <w:spacing w:after="0" w:line="246"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change in unrealized appreciation/(depreciation) reflected for these investments resulted from the full or partial sale of the relevant investment, which resulted in the reversal of previously accrued unrealized appreciation/(depreciation), as applicable.</w:t>
      </w:r>
    </w:p>
    <w:p>
      <w:pPr>
        <w:ind w:left="500" w:right="140" w:hanging="492"/>
        <w:spacing w:after="0" w:line="257"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represents investments (including U.S. Treasury bills) for which individual change in unrealized appreciation/(depreciation) was less than $1.0 million for the three months ended March 31, 2018.</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Please refer to “Note 11—Subsequent Events” to our condensed consolidated financial statements as of March 31, 2019 for details regarding activity in our investment portfolio from April 1, 2019 through May 8, 2019.</w:t>
      </w:r>
    </w:p>
    <w:p>
      <w:pPr>
        <w:spacing w:after="0" w:line="170"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7"/>
          <w:szCs w:val="17"/>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April 1, 2019 through May 8, 2019, we did not repurchase any additional shares under the Share Repurchase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Chief Financial Officer</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April 17, 2019, our Board of Directors appointed Allison Green to serve as our Chief Financial Officer, effective as of such date. Ms. Green currently serves, and will continue to serve, as our Treasurer, Controller and Secretary, and will no longer serve as our Senior Vice President of Finance as of such date. For more information regarding Ms. Green, please refer to our current report on Form 8-K filed with the SEC on April 23,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23, 2019, we entered into an employment agreement with each of Mark D. Klein, our Chief Executive Officer and President (the “Klein Agreement”), and Allison Green, our Chief Financial Officer, Controller, Treasurer and Secretary (the “Green Agreement”). For more information, including descriptions of such agreements, please refer to our current report on Form 8-K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filed with the SEC on April 23, 2019. Such descriptions of the Klein Agreement and the Green Agreement are qualified in their entirety by reference to the text of such agreements filed as exhibits to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Our liquidity and capital resources are generated primarily from the sales of our investments and advances from our $12.0 million Credit Facility. In addition, on March 28, 2018, we issued $40.0 million aggregate principal amount of 4.75% Convertible Senior Notes due 2023, as discussed further below and in “Note 10—Debt Capital Activities” to our condensed consolidated financial statements as of March 31, 2019.</w:t>
      </w:r>
    </w:p>
    <w:p>
      <w:pPr>
        <w:spacing w:after="0" w:line="181" w:lineRule="exact"/>
        <w:rPr>
          <w:sz w:val="20"/>
          <w:szCs w:val="20"/>
          <w:color w:val="auto"/>
        </w:rPr>
      </w:pPr>
    </w:p>
    <w:p>
      <w:pPr>
        <w:jc w:val="both"/>
        <w:ind w:firstLine="351"/>
        <w:spacing w:after="0" w:line="342" w:lineRule="auto"/>
        <w:rPr>
          <w:sz w:val="20"/>
          <w:szCs w:val="20"/>
          <w:color w:val="auto"/>
        </w:rPr>
      </w:pPr>
      <w:r>
        <w:rPr>
          <w:rFonts w:ascii="Arial" w:cs="Arial" w:eastAsia="Arial" w:hAnsi="Arial"/>
          <w:sz w:val="16"/>
          <w:szCs w:val="16"/>
          <w:color w:val="auto"/>
        </w:rPr>
        <w:t>Our primary uses of cash are to make investments, pay our operating expenses, and make distributions to our stockholders. For the three months ended March 31, 2019, our operating income was $392,452. For the months ended March 31, 2018, our operating expenses, net of any fee waivers, were $241,862.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Cash Reserves and Liquid Securities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24,997,482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28,184,163</w:t>
            </w:r>
          </w:p>
        </w:tc>
        <w:tc>
          <w:tcPr>
            <w:tcW w:w="0" w:type="dxa"/>
            <w:vAlign w:val="bottom"/>
          </w:tcPr>
          <w:p>
            <w:pPr>
              <w:spacing w:after="0"/>
              <w:rPr>
                <w:sz w:val="1"/>
                <w:szCs w:val="1"/>
                <w:color w:val="auto"/>
              </w:rPr>
            </w:pP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Borrowing availability under the Credit Facility</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12,000,000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12,000,000</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Securities of publicly traded portfolio companies: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gridSpan w:val="2"/>
          </w:tcPr>
          <w:p>
            <w:pPr>
              <w:ind w:left="220"/>
              <w:spacing w:after="0"/>
              <w:rPr>
                <w:sz w:val="20"/>
                <w:szCs w:val="20"/>
                <w:color w:val="auto"/>
              </w:rPr>
            </w:pPr>
            <w:r>
              <w:rPr>
                <w:rFonts w:ascii="Arial" w:cs="Arial" w:eastAsia="Arial" w:hAnsi="Arial"/>
                <w:sz w:val="16"/>
                <w:szCs w:val="16"/>
                <w:color w:val="auto"/>
              </w:rPr>
              <w:t>Unrestricted securities</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39,944,750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44,589,406</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Subject to other sales restrictions</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22,075,716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Total securities of publicly traded portfolio companies</w:t>
            </w:r>
          </w:p>
        </w:tc>
        <w:tc>
          <w:tcPr>
            <w:tcW w:w="300" w:type="dxa"/>
            <w:vAlign w:val="bottom"/>
          </w:tcPr>
          <w:p>
            <w:pPr>
              <w:spacing w:after="0"/>
              <w:rPr>
                <w:sz w:val="18"/>
                <w:szCs w:val="18"/>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62,020,466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44,589,406</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Cash Reserves and Liquid Securities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99,017,948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84,773,569</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6"/>
                <w:szCs w:val="16"/>
                <w:color w:val="auto"/>
              </w:rPr>
              <w:t>_______________________</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46393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ind w:left="500" w:hanging="492"/>
        <w:spacing w:after="0" w:line="246"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Subject to leverage and borrowing base restrictions and other requirements under the Credit Facility as of March 31, 2019 and December 31, 2018. Refer to “Note 10— Debt Capital Activities” to our condensed consolidated financial statements as of March 31, 2019 for details.</w:t>
      </w:r>
    </w:p>
    <w:p>
      <w:pPr>
        <w:jc w:val="both"/>
        <w:ind w:left="500" w:hanging="492"/>
        <w:spacing w:after="0" w:line="246"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“Unrestricted securities” represents common stock of our publicly traded companies that are not subject to any restrictions upon sale. We may incur losses if we liquidate these positions to pay operating expenses or fund new investments. As of March 31, 2019, this balance represents our shares of common stock in Spotify Technology S.A. and Dropbox, Inc.</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 of March 31, 2019, this balance represents our shares of common stock of Lyft, Inc.</w:t>
      </w:r>
    </w:p>
    <w:p>
      <w:pPr>
        <w:spacing w:after="0" w:line="203"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7"/>
          <w:szCs w:val="17"/>
          <w:color w:val="auto"/>
        </w:rPr>
        <w:t>During the three months ended March 31, 2019, cash decreased to $24,997,482 from $28,184,163 at the beginning of the year. The decrease in cash was primarily due to our investment in Neutron Holdings, Inc. (d/b/a Lime) offset by proceeds from the sale of a portion of our Spotify Technology S.A. shares, payments of management fees and costs incurred under the Administration Agreement prior to Internalization, interest payment related to our 4.75% Convertible Senior Notes due 2023, and the first payment related to the Amended and Restated Trademark License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Payments Due By Period (dollars in millions)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3"/>
                <w:szCs w:val="13"/>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1–3 years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Payable for securities purchased</w:t>
            </w:r>
            <w:r>
              <w:rPr>
                <w:rFonts w:ascii="Arial" w:cs="Arial" w:eastAsia="Arial" w:hAnsi="Arial"/>
                <w:sz w:val="21"/>
                <w:szCs w:val="21"/>
                <w:color w:val="auto"/>
                <w:vertAlign w:val="superscript"/>
              </w:rPr>
              <w:t>(1)</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89.5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Credit Facility payable</w:t>
            </w:r>
            <w:r>
              <w:rPr>
                <w:rFonts w:ascii="Arial" w:cs="Arial" w:eastAsia="Arial" w:hAnsi="Arial"/>
                <w:sz w:val="21"/>
                <w:szCs w:val="21"/>
                <w:color w:val="auto"/>
                <w:vertAlign w:val="superscript"/>
              </w:rPr>
              <w:t>(2)(3)</w:t>
            </w:r>
          </w:p>
        </w:tc>
        <w:tc>
          <w:tcPr>
            <w:tcW w:w="9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32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Senior Notes</w:t>
            </w:r>
            <w:r>
              <w:rPr>
                <w:rFonts w:ascii="Arial" w:cs="Arial" w:eastAsia="Arial" w:hAnsi="Arial"/>
                <w:sz w:val="21"/>
                <w:szCs w:val="21"/>
                <w:color w:val="auto"/>
                <w:vertAlign w:val="superscript"/>
              </w:rPr>
              <w:t>(4)</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129.5</w:t>
            </w:r>
          </w:p>
        </w:tc>
        <w:tc>
          <w:tcPr>
            <w:tcW w:w="12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_______________________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line="246"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“Payable for securities purchased” relates to the purchase of the U.S. Treasury bill on margin. This balance was subsequently repaid on April 4, 2019, when the $100.0 million United States Treasury bill matured and the $10.5 million margin deposit that we posted as collateral was returned.</w:t>
      </w: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total unused amount available under the Credit Facility as of March 31, 2019 was $12.0 million.</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weighted-average interest rate incurred under the Credit Facility was 0.00% for the three months ended March 31, 2019 and the year ended December 31, 2018.</w:t>
      </w:r>
    </w:p>
    <w:p>
      <w:pPr>
        <w:spacing w:after="0" w:line="28" w:lineRule="exact"/>
        <w:rPr>
          <w:rFonts w:ascii="Arial" w:cs="Arial" w:eastAsia="Arial" w:hAnsi="Arial"/>
          <w:sz w:val="14"/>
          <w:szCs w:val="14"/>
          <w:color w:val="auto"/>
        </w:rPr>
      </w:pPr>
    </w:p>
    <w:p>
      <w:pPr>
        <w:ind w:left="500" w:right="20" w:hanging="492"/>
        <w:spacing w:after="0" w:line="290" w:lineRule="auto"/>
        <w:tabs>
          <w:tab w:leader="none" w:pos="5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balance shown for the "Convertible Senior Notes" reflects the principal balance payable to investors for the 4.75% Convertible Senior Notes due 2023 as of March 31, 2019. Refer to “Note 10—Debt Capital Activities” to our condensed consolidated financial statements as of March 31, 2019 for more information.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351"/>
        <w:spacing w:after="0" w:line="312" w:lineRule="auto"/>
        <w:rPr>
          <w:sz w:val="20"/>
          <w:szCs w:val="20"/>
          <w:color w:val="auto"/>
        </w:rPr>
      </w:pPr>
      <w:r>
        <w:rPr>
          <w:rFonts w:ascii="Arial" w:cs="Arial" w:eastAsia="Arial" w:hAnsi="Arial"/>
          <w:sz w:val="16"/>
          <w:szCs w:val="16"/>
          <w:color w:val="auto"/>
        </w:rPr>
        <w:t>During the three months ended March 31, 2019, we did not repurchase any additional shares of our common stock pursuant to the Share Repurchase Program. As of March 31, 2019, the dollar value of shares that remained available to be purchased under the Share Repurchase Program was approximately $4.8 million. For more information on the Share Repurchase Program, see "Part II. Item 2. Unregistered Sales of Equity Securities and Use of Proceeds".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of March 31, 2019, we had no off-balance sheet arrangements, including any risk management of commodity pricing or other hedging practices.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employ hedging and other risk management techniques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Loan Agreement, Western Alliance Bank has agreed to provide us with the $12.0 million Credit Facility, which, among other things, matures on May 31, 2019 and bears interest at a per annum rate equal to the prime rate plus 3.50%. In addition, the Loan Agreement requires payment of a fee for unused amounts during the revolving period. Refer to “Note 10—Debt Capital Activities” to our condensed consolidated financial statements as of March 31, 2019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made no sales of our equity securities during the three months ended March 31, 2019 or the year ended December 31, 2018.</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5.25% Convertible Senior Notes due 2018 - Tender Offer, Repurchase, and Repayment</w:t>
      </w:r>
    </w:p>
    <w:p>
      <w:pPr>
        <w:spacing w:after="0" w:line="229"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7"/>
          <w:szCs w:val="17"/>
          <w:color w:val="auto"/>
        </w:rPr>
        <w:t>On December 15, 2017, we announced the commencement of a cash tender offer (the "Tender Offer") to purchase any and all of the $69.0 million aggregate principal amount of outstanding 5.25% Convertible Senior Notes due 2018. As of the expiration of the Tender Offer on January 17, 2018, approximately $4.8 million aggregate principal amount of the 5.25% Convertible Senior Notes due 2018 representing approximately 7.0% of the outstanding 5.25% Convertible Senior Notes due 2018, were validly tendered and not validly withdrawn pursuant to the Tender Offer. On March 27, 2018, we repurchased an additional $14.2 million aggregate principal amount of the outstanding 5.25% Convertible Senior Notes due 2018.</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5.25% Convertible Senior Notes due 2018 matured on September 15, 2018 (the “Maturity Date”). Pursuant to the terms of the 5.25% Convertible Senior Notes due 2018 and the indenture related thereto, we repaid the remaining outstanding aggregate principal amount of the 5.25% Convertible Senior Notes due 2018, including accrued but unpaid interest, on the Maturity Date and the 5.25% Convertible Senior Notes were no longer outstanding as of such date. Refer to “Note 10—Debt Capital Activities” to our condensed consolidated financial statements as of March 31, 2019 for more information regarding the 5.25% Convertible Senior Notes due 2018.</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4.75% Convertible Senior Notes due 2023</w:t>
      </w:r>
    </w:p>
    <w:p>
      <w:pPr>
        <w:spacing w:after="0" w:line="229"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On March 28, 2018, we issued $40.0 million aggregate principal amount of 4.75% Convertible Senior Notes due 2023, which bear interest at a fixed rate of 4.75% per year, payable semi-annually in arrears on March 31 and September 30 of each year, commencing on September 30, 2018. We received $38.5 million in proceeds from the offering, net of underwriting discounts and commissions and other offering expenses. The 4.75% Convertible Senior Notes due 2023 mature on March 28, 2023, unless previously repurchased or converted in accordance with their terms. We do not have the right to redeem the 4.75% Convertible Senior Notes due 2023 prior to March 27, 2021.</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issuance of the 4.75% Convertible Senior Notes due 2023, we are required under the terms of the Credit Facility to deposit the proceeds from the 4.75% Convertible Senior Notes due 2023 offering into an account at Western Alliance Bank and are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are repaid in full. Refer to “Note 10—Debt Capital Activities” to our condensed consolidated financial statements as of March 31, 2019 for more information regarding the 4.75% Convertible Senior Notes due 2023.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March 31, 2019. The table is divided by fiscal year according to record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 Declared</w:t>
            </w:r>
          </w:p>
        </w:tc>
        <w:tc>
          <w:tcPr>
            <w:tcW w:w="22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2"/>
              </w:rPr>
              <w:t>Payment Date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Amount per Share</w:t>
            </w: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2015:</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473"/>
        </w:trPr>
        <w:tc>
          <w:tcPr>
            <w:tcW w:w="5840" w:type="dxa"/>
            <w:vAlign w:val="bottom"/>
            <w:gridSpan w:val="2"/>
          </w:tcPr>
          <w:p>
            <w:pPr>
              <w:ind w:left="200"/>
              <w:spacing w:after="0"/>
              <w:rPr>
                <w:sz w:val="20"/>
                <w:szCs w:val="20"/>
                <w:color w:val="auto"/>
              </w:rPr>
            </w:pPr>
            <w:r>
              <w:rPr>
                <w:rFonts w:ascii="Arial" w:cs="Arial" w:eastAsia="Arial" w:hAnsi="Arial"/>
                <w:sz w:val="16"/>
                <w:szCs w:val="16"/>
                <w:color w:val="auto"/>
              </w:rPr>
              <w:t>November 4, 2015</w:t>
            </w:r>
            <w:r>
              <w:rPr>
                <w:rFonts w:ascii="Arial" w:cs="Arial" w:eastAsia="Arial" w:hAnsi="Arial"/>
                <w:sz w:val="21"/>
                <w:szCs w:val="21"/>
                <w:color w:val="auto"/>
                <w:vertAlign w:val="superscript"/>
              </w:rPr>
              <w:t>(1)</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November 16, 2015</w:t>
            </w:r>
          </w:p>
        </w:tc>
        <w:tc>
          <w:tcPr>
            <w:tcW w:w="2040" w:type="dxa"/>
            <w:vAlign w:val="bottom"/>
            <w:gridSpan w:val="2"/>
          </w:tcPr>
          <w:p>
            <w:pPr>
              <w:jc w:val="center"/>
              <w:spacing w:after="0"/>
              <w:rPr>
                <w:sz w:val="20"/>
                <w:szCs w:val="20"/>
                <w:color w:val="auto"/>
              </w:rPr>
            </w:pPr>
            <w:r>
              <w:rPr>
                <w:rFonts w:ascii="Arial" w:cs="Arial" w:eastAsia="Arial" w:hAnsi="Arial"/>
                <w:sz w:val="16"/>
                <w:szCs w:val="16"/>
                <w:color w:val="auto"/>
                <w:w w:val="91"/>
              </w:rPr>
              <w:t>December 31, 2015</w:t>
            </w:r>
          </w:p>
        </w:tc>
        <w:tc>
          <w:tcPr>
            <w:tcW w:w="68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2016:</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473"/>
        </w:trPr>
        <w:tc>
          <w:tcPr>
            <w:tcW w:w="58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August 3, 2016</w:t>
            </w:r>
            <w:r>
              <w:rPr>
                <w:rFonts w:ascii="Arial" w:cs="Arial" w:eastAsia="Arial" w:hAnsi="Arial"/>
                <w:sz w:val="21"/>
                <w:szCs w:val="21"/>
                <w:color w:val="auto"/>
                <w:vertAlign w:val="superscript"/>
              </w:rPr>
              <w:t>(2)</w:t>
            </w:r>
          </w:p>
        </w:tc>
        <w:tc>
          <w:tcPr>
            <w:tcW w:w="21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2"/>
              </w:rPr>
              <w:t>August 16, 2016</w:t>
            </w:r>
          </w:p>
        </w:tc>
        <w:tc>
          <w:tcPr>
            <w:tcW w:w="204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92"/>
              </w:rPr>
              <w:t>August 24, 2016</w:t>
            </w: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r>
      <w:tr>
        <w:trPr>
          <w:trHeight w:val="244"/>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0"/>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w:t>
      </w:r>
    </w:p>
    <w:p>
      <w:pPr>
        <w:spacing w:after="0" w:line="9" w:lineRule="exact"/>
        <w:rPr>
          <w:sz w:val="20"/>
          <w:szCs w:val="20"/>
          <w:color w:val="auto"/>
        </w:rPr>
      </w:pPr>
    </w:p>
    <w:p>
      <w:pPr>
        <w:jc w:val="both"/>
        <w:ind w:left="840" w:hanging="836"/>
        <w:spacing w:after="0" w:line="246" w:lineRule="auto"/>
        <w:rPr>
          <w:sz w:val="20"/>
          <w:szCs w:val="20"/>
          <w:color w:val="auto"/>
        </w:rPr>
      </w:pPr>
      <w:r>
        <w:rPr>
          <w:rFonts w:ascii="Arial" w:cs="Arial" w:eastAsia="Arial" w:hAnsi="Arial"/>
          <w:sz w:val="16"/>
          <w:szCs w:val="16"/>
          <w:color w:val="auto"/>
        </w:rPr>
        <w:t>(1)The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(2)Of the total distribution of $887,240 on August 24, 2016, $820,753 represented a distribution from realized gains and $66,487 represented a return of capital.</w:t>
      </w:r>
    </w:p>
    <w:p>
      <w:pPr>
        <w:spacing w:after="0" w:line="203"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treatment as a RIC.</w:t>
      </w:r>
    </w:p>
    <w:p>
      <w:pPr>
        <w:spacing w:after="0" w:line="188"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Our current intention is to make any future distributions out of assets legally available in the form of additional shares of our common stock under our dividend reinvestment plan, unless a stockholder elects to 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who hold shares in the name of a broker or financial intermediary should contact the broker or financial intermediary regarding any election to receive distributions in cash.</w:t>
      </w:r>
    </w:p>
    <w:p>
      <w:pPr>
        <w:spacing w:after="0" w:line="182"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We elected to be treated as a RIC under Subchapter M of the Code beginning with our taxable year ended December 31, 2014 and continue to qualify to be treated as a RIC. 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condensed consolidated financial statements. In order to qualify as a RIC and to avoid corporate-level income tax on the income we distribute to our stockholders, we are required, under Subchapter M of the Code, to distribute at least 90% of our ordinary income and short-term capital gains to our stockholders on an annual basis. See “Note 2—Significant Accounting Policies—</w:t>
      </w:r>
      <w:r>
        <w:rPr>
          <w:rFonts w:ascii="Arial" w:cs="Arial" w:eastAsia="Arial" w:hAnsi="Arial"/>
          <w:sz w:val="18"/>
          <w:szCs w:val="18"/>
          <w:i w:val="1"/>
          <w:iCs w:val="1"/>
          <w:color w:val="auto"/>
        </w:rPr>
        <w:t>U.S. Federal and State Income Taxes</w:t>
      </w:r>
      <w:r>
        <w:rPr>
          <w:rFonts w:ascii="Arial" w:cs="Arial" w:eastAsia="Arial" w:hAnsi="Arial"/>
          <w:sz w:val="18"/>
          <w:szCs w:val="18"/>
          <w:color w:val="auto"/>
        </w:rPr>
        <w:t>” and “Note 9—Income Taxes” to our condensed consolidated financial statements as of March 31, 2019 for more information.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51"/>
        <w:spacing w:after="0" w:line="272" w:lineRule="auto"/>
        <w:rPr>
          <w:sz w:val="20"/>
          <w:szCs w:val="20"/>
          <w:color w:val="auto"/>
        </w:rPr>
      </w:pPr>
      <w:r>
        <w:rPr>
          <w:rFonts w:ascii="Arial" w:cs="Arial" w:eastAsia="Arial" w:hAnsi="Arial"/>
          <w:sz w:val="17"/>
          <w:szCs w:val="17"/>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March 31, 2019 for further detail regarding our critical accounting policies and recently issued or adopted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See “Note 3—Related-Party Arrangements” to our condensed consolidated financial statements as of March 31, 2019 for more information.</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7"/>
          <w:szCs w:val="17"/>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87"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As of March 31, 2019, all of our debt investments and outstanding borrowings bore fixed rates of interest. The Credit Facility, however, is indexed to the prime rate. We do not expect a significant impact on our net investment income or loss due to changes in the prime rate; however, the table below indicates the impact on our net investment income or loss should the prime rate change. Based on our March 31, 2019 Condensed Consolidated Statement of Assets and Liabilities, the following table shows the various, incremental impact of changes in interest rates on our net income or loss related to the Credit Facility for the three months ended March 31, 2019, assuming no changes in our investment income and borrowing structure. Although we believe that this measure is indicative of our sensitivity to the below-referenced interest rate changes, it does not reflect potential changes in credit quality, size and composition of the assets on our statement of assets and liabilities and other BDCs that could affect net increase or decrease in net assets resulting from operations, or net income or loss.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Basis Point Change(1)</w:t>
            </w:r>
          </w:p>
        </w:tc>
        <w:tc>
          <w:tcPr>
            <w:tcW w:w="120" w:type="dxa"/>
            <w:vAlign w:val="bottom"/>
            <w:vMerge w:val="restart"/>
          </w:tcPr>
          <w:p>
            <w:pPr>
              <w:spacing w:after="0"/>
              <w:rPr>
                <w:sz w:val="14"/>
                <w:szCs w:val="14"/>
                <w:color w:val="auto"/>
              </w:rPr>
            </w:pPr>
          </w:p>
        </w:tc>
        <w:tc>
          <w:tcPr>
            <w:tcW w:w="1100" w:type="dxa"/>
            <w:vAlign w:val="bottom"/>
          </w:tcPr>
          <w:p>
            <w:pPr>
              <w:jc w:val="right"/>
              <w:ind w:right="41"/>
              <w:spacing w:after="0"/>
              <w:rPr>
                <w:sz w:val="20"/>
                <w:szCs w:val="20"/>
                <w:color w:val="auto"/>
              </w:rPr>
            </w:pPr>
            <w:r>
              <w:rPr>
                <w:rFonts w:ascii="Arial" w:cs="Arial" w:eastAsia="Arial" w:hAnsi="Arial"/>
                <w:sz w:val="14"/>
                <w:szCs w:val="14"/>
                <w:b w:val="1"/>
                <w:bCs w:val="1"/>
                <w:color w:val="auto"/>
              </w:rPr>
              <w:t>Interest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4"/>
                <w:szCs w:val="14"/>
                <w:color w:val="auto"/>
              </w:rPr>
            </w:pPr>
          </w:p>
        </w:tc>
        <w:tc>
          <w:tcPr>
            <w:tcW w:w="1260" w:type="dxa"/>
            <w:vAlign w:val="bottom"/>
          </w:tcPr>
          <w:p>
            <w:pPr>
              <w:jc w:val="right"/>
              <w:ind w:right="54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Income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8"/>
              </w:rPr>
              <w:t>Income/(Loss)</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Up 300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Up 200 Basis points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60,000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Up 100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Down 100 Basis points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Down 200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Down 300 Basis points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90,000</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00" w:hanging="492"/>
        <w:spacing w:after="0" w:line="294" w:lineRule="auto"/>
        <w:tabs>
          <w:tab w:leader="none" w:pos="5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Assumes we have borrowed $12.0 million under the Credit Facility for the three months ended March 31, 2019. Our actual borrowings under the Credit Facility will vary based on our needs throughout the year. For the three months ended March 31, 2019, our actual average borrowings under the Credit Facility were $0.</w:t>
      </w:r>
    </w:p>
    <w:p>
      <w:pPr>
        <w:spacing w:after="0" w:line="129" w:lineRule="exact"/>
        <w:rPr>
          <w:sz w:val="20"/>
          <w:szCs w:val="20"/>
          <w:color w:val="auto"/>
        </w:rPr>
      </w:pPr>
    </w:p>
    <w:p>
      <w:pPr>
        <w:jc w:val="both"/>
        <w:ind w:right="20" w:firstLine="351"/>
        <w:spacing w:after="0" w:line="264" w:lineRule="auto"/>
        <w:rPr>
          <w:sz w:val="20"/>
          <w:szCs w:val="20"/>
          <w:color w:val="auto"/>
        </w:rPr>
      </w:pPr>
      <w:r>
        <w:rPr>
          <w:rFonts w:ascii="Arial" w:cs="Arial" w:eastAsia="Arial" w:hAnsi="Arial"/>
          <w:sz w:val="18"/>
          <w:szCs w:val="18"/>
          <w:color w:val="auto"/>
        </w:rPr>
        <w:t>Although we believe that this measure is indicative of our sensitivity to the above-referenced interest rate changes, it does not reflect potential changes in credit quality, size and composition of the assets on our statement of assets and liabilities and other BDC’s that could affect net increase or decrease in net assets resulting from operations, or net income or loss.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As of March 31, 2019,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fiscal quarter ended March 31, 2019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Although we and our subsidiaries may, from time to time, be involved in litigation arising out of our and our subsidiaries’ operations in the normal course of business or otherwise, neither we nor any of our subsidiaries are currently a party to any pending material legal proceedings.</w:t>
      </w:r>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Investing in our securities involves a number of significant risks. In addition to the other information contained in this report, you should carefully consider the factors discussed in our annual report on Form 10-K for the fiscal year ended December 31, 2018, filed with the SEC on April 18, 2019, which could materially affect our business, financial condition and/or operating results. Although the risks described below and in our annual report on Form 10-K for the fiscal year ended December 31, 2018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Other than as described below, during the three months ended March 31, 2019, there have been no material changes to the risk factors discussed in "Item 1A. Risk Factors" of Part I of our annual report on Form 10-K for the fiscal year ended December 31, 2018.</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internalized our operating structure, including our management and investment functions; as a result, we may incur significant costs and face significant risks associated with being self-managed, including adverse effects on our business and financial condition.</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12, 2019, our Board of Directors approved internalizing our operating structure, including our management and investment functions. There can be no assurances that internalizing our operating structure will be beneficial to us and our stockholders, as we may incur the costs and risks discussed below and may not be able to effectively replicate the services previously provided to us by our former investment adviser, GSV Asset Management, and our former administrator, GSV Capital Service Company.</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we will no longer bear the costs of the various fees and expenses we previously paid to GSV Asset Management under the Investment Advisory Agreement, our direct expenses will generally include general and administrative costs, including legal, accounting, and other expenses related to corporate governance, SEC reporting and compliance, as well as costs and expenses related to making and managing our investments. We will also now incur the compensation and benefits costs of our officers and other employees and consultants, and we may issue equity awards to our officers, employees and consultants, which awards may decrease net income and funds from our operations and may dilute our stockholders. We may also be subject to potential liabilities commonly faced by employers, such as workers disability and compensation claims, potential labor disputes and other employee-related liabilities and grievances.</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if the expenses we assume as a result of our internalization are higher than the expenses we would have paid to GSV Asset Management and/or reimbursed to GSV Capital Service Company, our earnings per share may be lower as a result of our internalization than they otherwise would have been, potentially decreasing the amount of funds available to distribute to our stockholders and the value of our shares.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in connection with internalizing our operating structure, we may experience difficulty integrating these functions as a stand-alone entity, and we could have difficulty retaining our personnel, including those performing management, investment and general and administrative functions. These personnel have a great deal of know-how and experience. We may also fail to properly identify the appropriate mix of personnel and capital needs to operate successfully as a stand-alone entity. An inability to effectively manage our internalization could result in our incurring excess costs and operating inefficiencies, and may divert our management’s attention from managing our investments.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Internalization transactions have also, in some cases, been the subject of litigation. Even if these claims are without merit, we could be forced to spend significant amounts of time and money defending claims, which would reduce the amount of funds available for us to make investments and to pay distributions, and may divert our management’s attention from managing our investments.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of these factors could have a material adverse effect on our results of operations, financial condition, and ability to pay distributions.</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219"/>
          </w:cols>
          <w:pgMar w:left="240" w:top="122" w:right="1440" w:bottom="1440" w:gutter="0" w:footer="0" w:header="0"/>
        </w:sectPr>
      </w:pPr>
    </w:p>
    <w:bookmarkStart w:id="68" w:name="page69"/>
    <w:bookmarkEnd w:id="6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Equity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did not sell any equity securities during the period covered in this report that were not registered under the Securities Act of 1933, as amended.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5"/>
          <w:szCs w:val="25"/>
          <w:b w:val="1"/>
          <w:bCs w:val="1"/>
          <w:color w:val="auto"/>
          <w:vertAlign w:val="superscript"/>
        </w:rPr>
        <w:t>(1)</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three months ended March 31, 2019 the Company did not make any purchases of its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jc w:val="both"/>
        <w:ind w:left="500" w:hanging="492"/>
        <w:spacing w:after="0" w:line="265" w:lineRule="auto"/>
        <w:tabs>
          <w:tab w:leader="none" w:pos="5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Subsequent to quarter-end, through May 8, 2019, we did not repurchase any additional shares of our common stock pursuant to the Share Repurchase Program. As of May 8, 2019, the dollar value of shares that may yet be purchased by us under the Share Repurchase Program is approximately $4.8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219"/>
          </w:cols>
          <w:pgMar w:left="240" w:top="122" w:right="1440" w:bottom="1440" w:gutter="0" w:footer="0" w:header="0"/>
        </w:sectPr>
      </w:pPr>
    </w:p>
    <w:bookmarkStart w:id="70" w:name="page71"/>
    <w:bookmarkEnd w:id="7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171"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75">
        <w:r>
          <w:rPr>
            <w:rFonts w:ascii="Arial" w:cs="Arial" w:eastAsia="Arial" w:hAnsi="Arial"/>
            <w:sz w:val="16"/>
            <w:szCs w:val="16"/>
            <w:u w:val="single" w:color="auto"/>
            <w:color w:val="0000FF"/>
          </w:rPr>
          <w:t>Articles of Amendment and Restatement</w:t>
        </w:r>
      </w:hyperlink>
      <w:r>
        <w:rPr>
          <w:rFonts w:ascii="Arial" w:cs="Arial" w:eastAsia="Arial" w:hAnsi="Arial"/>
          <w:sz w:val="22"/>
          <w:szCs w:val="22"/>
          <w:color w:val="000000"/>
          <w:vertAlign w:val="superscript"/>
        </w:rPr>
        <w:t>(1)</w:t>
      </w:r>
    </w:p>
    <w:p>
      <w:pPr>
        <w:spacing w:after="0" w:line="27"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76">
        <w:r>
          <w:rPr>
            <w:rFonts w:ascii="Arial" w:cs="Arial" w:eastAsia="Arial" w:hAnsi="Arial"/>
            <w:sz w:val="16"/>
            <w:szCs w:val="16"/>
            <w:u w:val="single" w:color="auto"/>
            <w:color w:val="0000FF"/>
          </w:rPr>
          <w:t>Articles of Amendment</w:t>
        </w:r>
      </w:hyperlink>
      <w:r>
        <w:rPr>
          <w:rFonts w:ascii="Arial" w:cs="Arial" w:eastAsia="Arial" w:hAnsi="Arial"/>
          <w:sz w:val="22"/>
          <w:szCs w:val="22"/>
          <w:color w:val="000000"/>
          <w:vertAlign w:val="superscript"/>
        </w:rPr>
        <w:t>(2)</w:t>
      </w:r>
    </w:p>
    <w:p>
      <w:pPr>
        <w:spacing w:after="0" w:line="17"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3.3</w:t>
      </w:r>
      <w:r>
        <w:rPr>
          <w:sz w:val="20"/>
          <w:szCs w:val="20"/>
          <w:color w:val="auto"/>
        </w:rPr>
        <w:tab/>
      </w:r>
      <w:hyperlink r:id="rId77">
        <w:r>
          <w:rPr>
            <w:rFonts w:ascii="Arial" w:cs="Arial" w:eastAsia="Arial" w:hAnsi="Arial"/>
            <w:sz w:val="16"/>
            <w:szCs w:val="16"/>
            <w:u w:val="single" w:color="auto"/>
            <w:color w:val="0000FF"/>
          </w:rPr>
          <w:t>Bylaws</w:t>
        </w:r>
      </w:hyperlink>
      <w:r>
        <w:rPr>
          <w:rFonts w:ascii="Arial" w:cs="Arial" w:eastAsia="Arial" w:hAnsi="Arial"/>
          <w:sz w:val="22"/>
          <w:szCs w:val="22"/>
          <w:color w:val="000000"/>
          <w:vertAlign w:val="superscript"/>
        </w:rPr>
        <w:t>(1)</w:t>
      </w:r>
    </w:p>
    <w:p>
      <w:pPr>
        <w:spacing w:after="0" w:line="2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73">
        <w:r>
          <w:rPr>
            <w:rFonts w:ascii="Arial" w:cs="Arial" w:eastAsia="Arial" w:hAnsi="Arial"/>
            <w:sz w:val="16"/>
            <w:szCs w:val="16"/>
            <w:u w:val="single" w:color="auto"/>
            <w:color w:val="0000FF"/>
          </w:rPr>
          <w:t>Employment Agreement, dated April 23, 2019, by and between GSV Capital Corp. and Mark D. Klein*</w:t>
        </w:r>
      </w:hyperlink>
    </w:p>
    <w:p>
      <w:pPr>
        <w:spacing w:after="0" w:line="47"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w:anchor="page92">
        <w:r>
          <w:rPr>
            <w:rFonts w:ascii="Arial" w:cs="Arial" w:eastAsia="Arial" w:hAnsi="Arial"/>
            <w:sz w:val="16"/>
            <w:szCs w:val="16"/>
            <w:u w:val="single" w:color="auto"/>
            <w:color w:val="0000FF"/>
          </w:rPr>
          <w:t>Employment Agreement, dated April 23, 2019, by and between GSV Capital Corp. and Allison Green*</w:t>
        </w:r>
      </w:hyperlink>
    </w:p>
    <w:p>
      <w:pPr>
        <w:spacing w:after="0" w:line="6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78">
        <w:r>
          <w:rPr>
            <w:rFonts w:ascii="Arial" w:cs="Arial" w:eastAsia="Arial" w:hAnsi="Arial"/>
            <w:sz w:val="16"/>
            <w:szCs w:val="16"/>
            <w:u w:val="single" w:color="auto"/>
            <w:color w:val="0000FF"/>
          </w:rPr>
          <w:t>Amended and Restated Trademark License Agreement by and between the Company and GSV Asset Management, LLC</w:t>
        </w:r>
      </w:hyperlink>
      <w:r>
        <w:rPr>
          <w:rFonts w:ascii="Arial" w:cs="Arial" w:eastAsia="Arial" w:hAnsi="Arial"/>
          <w:sz w:val="22"/>
          <w:szCs w:val="22"/>
          <w:color w:val="000000"/>
          <w:vertAlign w:val="superscript"/>
        </w:rPr>
        <w:t>(3)</w:t>
      </w:r>
    </w:p>
    <w:p>
      <w:pPr>
        <w:spacing w:after="0" w:line="27"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79">
        <w:r>
          <w:rPr>
            <w:rFonts w:ascii="Arial" w:cs="Arial" w:eastAsia="Arial" w:hAnsi="Arial"/>
            <w:sz w:val="16"/>
            <w:szCs w:val="16"/>
            <w:u w:val="single" w:color="auto"/>
            <w:color w:val="0000FF"/>
          </w:rPr>
          <w:t>Consulting Agreement by and between the Company and Michael T. Moe</w:t>
        </w:r>
      </w:hyperlink>
      <w:r>
        <w:rPr>
          <w:rFonts w:ascii="Arial" w:cs="Arial" w:eastAsia="Arial" w:hAnsi="Arial"/>
          <w:sz w:val="22"/>
          <w:szCs w:val="22"/>
          <w:color w:val="000000"/>
          <w:vertAlign w:val="superscript"/>
        </w:rPr>
        <w:t>(3)</w:t>
      </w:r>
    </w:p>
    <w:p>
      <w:pPr>
        <w:spacing w:after="0" w:line="2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11">
        <w:r>
          <w:rPr>
            <w:rFonts w:ascii="Arial" w:cs="Arial" w:eastAsia="Arial" w:hAnsi="Arial"/>
            <w:sz w:val="16"/>
            <w:szCs w:val="16"/>
            <w:u w:val="single" w:color="auto"/>
            <w:color w:val="0000FF"/>
          </w:rPr>
          <w:t>Certification of Chief Executive Officer pursuant to Rule 13a-14 of the Securities Exchange Act of 1934, as amended*</w:t>
        </w:r>
      </w:hyperlink>
    </w:p>
    <w:p>
      <w:pPr>
        <w:spacing w:after="0" w:line="47"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12">
        <w:r>
          <w:rPr>
            <w:rFonts w:ascii="Arial" w:cs="Arial" w:eastAsia="Arial" w:hAnsi="Arial"/>
            <w:sz w:val="16"/>
            <w:szCs w:val="16"/>
            <w:u w:val="single" w:color="auto"/>
            <w:color w:val="0000FF"/>
          </w:rPr>
          <w:t>Certification of Chief Financial Officer pursuant to Rule 13a-14 of the Securities Exchange Act of 1934, as amended*</w:t>
        </w:r>
      </w:hyperlink>
    </w:p>
    <w:p>
      <w:pPr>
        <w:spacing w:after="0" w:line="6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113">
        <w:r>
          <w:rPr>
            <w:rFonts w:ascii="Arial" w:cs="Arial" w:eastAsia="Arial" w:hAnsi="Arial"/>
            <w:sz w:val="16"/>
            <w:szCs w:val="16"/>
            <w:u w:val="single" w:color="auto"/>
            <w:color w:val="0000FF"/>
          </w:rPr>
          <w:t>Certification of Chief Executive Officer pursuant to Section 906 of the Sarbanes-Oxley Act of 2002*</w:t>
        </w:r>
      </w:hyperlink>
    </w:p>
    <w:p>
      <w:pPr>
        <w:spacing w:after="0" w:line="6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114">
        <w:r>
          <w:rPr>
            <w:rFonts w:ascii="Arial" w:cs="Arial" w:eastAsia="Arial" w:hAnsi="Arial"/>
            <w:sz w:val="16"/>
            <w:szCs w:val="16"/>
            <w:u w:val="single" w:color="auto"/>
            <w:color w:val="0000FF"/>
          </w:rPr>
          <w:t>Certification of Chief Financial Officer pursuant to Section 906 of the Sarbanes-Oxley Act of 2002*</w:t>
        </w:r>
      </w:hyperlink>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w:t>
      </w:r>
    </w:p>
    <w:p>
      <w:pPr>
        <w:spacing w:after="0" w:line="27" w:lineRule="exact"/>
        <w:rPr>
          <w:sz w:val="20"/>
          <w:szCs w:val="20"/>
          <w:color w:val="auto"/>
        </w:rPr>
      </w:pPr>
    </w:p>
    <w:p>
      <w:pPr>
        <w:ind w:left="500" w:hanging="492"/>
        <w:spacing w:after="0" w:line="276"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21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 2011, and incorporated by reference herein.</w:t>
      </w:r>
    </w:p>
    <w:p>
      <w:pPr>
        <w:spacing w:after="0" w:line="170"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March 14, 2019, and incorporated by reference herein.</w:t>
      </w:r>
    </w:p>
    <w:p>
      <w:pPr>
        <w:spacing w:after="0" w:line="170"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GSV CAPITAL CORP.</w:t>
      </w:r>
    </w:p>
    <w:p>
      <w:pPr>
        <w:spacing w:after="0" w:line="391" w:lineRule="exact"/>
        <w:rPr>
          <w:sz w:val="20"/>
          <w:szCs w:val="20"/>
          <w:color w:val="auto"/>
        </w:rPr>
      </w:pPr>
    </w:p>
    <w:p>
      <w:pPr>
        <w:ind w:left="40"/>
        <w:spacing w:after="0"/>
        <w:tabs>
          <w:tab w:leader="none" w:pos="700" w:val="left"/>
          <w:tab w:leader="none" w:pos="5620" w:val="left"/>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Mark D. Klein</w:t>
      </w:r>
    </w:p>
    <w:p>
      <w:pPr>
        <w:spacing w:after="0" w:line="6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700" w:val="left"/>
          <w:tab w:leader="none" w:pos="5620" w:val="left"/>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Allison Green</w:t>
      </w:r>
    </w:p>
    <w:p>
      <w:pPr>
        <w:spacing w:after="0" w:line="67"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Chief Financial Officer, Controller, Treasurer, and Corporate Secretary</w:t>
      </w:r>
    </w:p>
    <w:p>
      <w:pPr>
        <w:spacing w:after="0" w:line="8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122" w:right="479" w:bottom="1440" w:gutter="0" w:footer="0" w:header="0"/>
        </w:sectPr>
      </w:pPr>
    </w:p>
    <w:bookmarkStart w:id="72" w:name="page73"/>
    <w:bookmarkEnd w:id="72"/>
    <w:p>
      <w:pPr>
        <w:ind w:left="9440"/>
        <w:spacing w:after="0"/>
        <w:rPr>
          <w:sz w:val="20"/>
          <w:szCs w:val="20"/>
          <w:color w:val="auto"/>
        </w:rPr>
      </w:pPr>
      <w:r>
        <w:rPr>
          <w:rFonts w:ascii="Arial" w:cs="Arial" w:eastAsia="Arial" w:hAnsi="Arial"/>
          <w:sz w:val="22"/>
          <w:szCs w:val="22"/>
          <w:b w:val="1"/>
          <w:bCs w:val="1"/>
          <w:color w:val="auto"/>
        </w:rPr>
        <w:t>EXECUTION COPY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EMPLOYMENT AGREEMENT is made and entered into this 23rd day of April, 2019 (this “</w:t>
      </w:r>
      <w:r>
        <w:rPr>
          <w:rFonts w:ascii="Arial" w:cs="Arial" w:eastAsia="Arial" w:hAnsi="Arial"/>
          <w:sz w:val="20"/>
          <w:szCs w:val="20"/>
          <w:u w:val="single" w:color="auto"/>
          <w:color w:val="auto"/>
        </w:rPr>
        <w:t>Agreement</w:t>
      </w:r>
      <w:r>
        <w:rPr>
          <w:rFonts w:ascii="Arial" w:cs="Arial" w:eastAsia="Arial" w:hAnsi="Arial"/>
          <w:sz w:val="20"/>
          <w:szCs w:val="20"/>
          <w:color w:val="auto"/>
        </w:rPr>
        <w:t>”) by and between GSV Capital Corp., a Maryland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Mark D. Klein (the “</w:t>
      </w:r>
      <w:r>
        <w:rPr>
          <w:rFonts w:ascii="Arial" w:cs="Arial" w:eastAsia="Arial" w:hAnsi="Arial"/>
          <w:sz w:val="20"/>
          <w:szCs w:val="20"/>
          <w:u w:val="single" w:color="auto"/>
          <w:color w:val="auto"/>
        </w:rPr>
        <w:t>Executive</w:t>
      </w:r>
      <w:r>
        <w:rPr>
          <w:rFonts w:ascii="Arial" w:cs="Arial" w:eastAsia="Arial" w:hAnsi="Arial"/>
          <w:sz w:val="20"/>
          <w:szCs w:val="20"/>
          <w:color w:val="auto"/>
        </w:rPr>
        <w:t>”).</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Company is an internally managed, closed-end management investment company that has elected to be treated as a business development company under the Investment Company Act of 1940; and</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parties desire to enter into this Agreement to secure the Executive’s employment during the Term (as hereinafter defined), on the terms and conditions set forth herein.</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171" w:lineRule="exact"/>
        <w:rPr>
          <w:sz w:val="20"/>
          <w:szCs w:val="20"/>
          <w:color w:val="auto"/>
        </w:rPr>
      </w:pPr>
    </w:p>
    <w:p>
      <w:pPr>
        <w:jc w:val="both"/>
        <w:ind w:left="340" w:hanging="332"/>
        <w:spacing w:after="0" w:line="253" w:lineRule="auto"/>
        <w:tabs>
          <w:tab w:leader="none" w:pos="340"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Position</w:t>
      </w:r>
      <w:r>
        <w:rPr>
          <w:rFonts w:ascii="Arial" w:cs="Arial" w:eastAsia="Arial" w:hAnsi="Arial"/>
          <w:sz w:val="20"/>
          <w:szCs w:val="20"/>
          <w:color w:val="auto"/>
        </w:rPr>
        <w:t>. The Company hereby reaffirms its employment of the Executive and the Executive agrees to continue to serve the Company as</w:t>
      </w:r>
      <w:r>
        <w:rPr>
          <w:rFonts w:ascii="Arial" w:cs="Arial" w:eastAsia="Arial" w:hAnsi="Arial"/>
          <w:sz w:val="20"/>
          <w:szCs w:val="20"/>
          <w:b w:val="1"/>
          <w:bCs w:val="1"/>
          <w:color w:val="auto"/>
        </w:rPr>
        <w:t xml:space="preserve"> </w:t>
      </w:r>
      <w:r>
        <w:rPr>
          <w:rFonts w:ascii="Arial" w:cs="Arial" w:eastAsia="Arial" w:hAnsi="Arial"/>
          <w:sz w:val="20"/>
          <w:szCs w:val="20"/>
          <w:color w:val="auto"/>
        </w:rPr>
        <w:t>Chief Executive Officer on the terms and conditions set forth in this Agreement. The Executive also agrees to serve as a director of the Company and as a voting member of the Company’s Investment Committee.</w:t>
      </w:r>
    </w:p>
    <w:p>
      <w:pPr>
        <w:spacing w:after="0" w:line="177" w:lineRule="exact"/>
        <w:rPr>
          <w:rFonts w:ascii="Arial" w:cs="Arial" w:eastAsia="Arial" w:hAnsi="Arial"/>
          <w:sz w:val="20"/>
          <w:szCs w:val="20"/>
          <w:color w:val="auto"/>
        </w:rPr>
      </w:pPr>
    </w:p>
    <w:p>
      <w:pPr>
        <w:jc w:val="both"/>
        <w:ind w:left="340" w:hanging="332"/>
        <w:spacing w:after="0" w:line="243" w:lineRule="auto"/>
        <w:tabs>
          <w:tab w:leader="none" w:pos="340"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Employment Term</w:t>
      </w:r>
      <w:r>
        <w:rPr>
          <w:rFonts w:ascii="Arial" w:cs="Arial" w:eastAsia="Arial" w:hAnsi="Arial"/>
          <w:sz w:val="20"/>
          <w:szCs w:val="20"/>
          <w:color w:val="auto"/>
        </w:rPr>
        <w:t>. Subject to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w:t>
      </w:r>
      <w:r>
        <w:rPr>
          <w:rFonts w:ascii="Arial" w:cs="Arial" w:eastAsia="Arial" w:hAnsi="Arial"/>
          <w:sz w:val="20"/>
          <w:szCs w:val="20"/>
          <w:color w:val="auto"/>
        </w:rPr>
        <w:t>, the Executive’s employment by the Company under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commenced on March 12, 2019, (the “</w:t>
      </w:r>
      <w:r>
        <w:rPr>
          <w:rFonts w:ascii="Arial" w:cs="Arial" w:eastAsia="Arial" w:hAnsi="Arial"/>
          <w:sz w:val="20"/>
          <w:szCs w:val="20"/>
          <w:u w:val="single" w:color="auto"/>
          <w:color w:val="auto"/>
        </w:rPr>
        <w:t>Effective Date</w:t>
      </w:r>
      <w:r>
        <w:rPr>
          <w:rFonts w:ascii="Arial" w:cs="Arial" w:eastAsia="Arial" w:hAnsi="Arial"/>
          <w:sz w:val="20"/>
          <w:szCs w:val="20"/>
          <w:color w:val="auto"/>
        </w:rPr>
        <w:t>”) and shall end on December 31, 2022 (the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Unless terminated earlier pursuant to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the Term shall be automatically extended for one year on December 31, 2022, and then on each succeeding anniversary of December 31, 2022, unless either party elects, in writing, to terminate this Agreement at least thirty (30) days prior to the expiration of the then current Term. In the event that the Company declines to extend the Term of this Agreement and the Executive’s employment is terminated, the Executive’s termination shall be treated as a termination Without Cause and the Executive shall receive Accrued Benefits through the date of the Executive’s termination and Severance Benefits in accordance with the terms of </w:t>
      </w:r>
      <w:r>
        <w:rPr>
          <w:rFonts w:ascii="Arial" w:cs="Arial" w:eastAsia="Arial" w:hAnsi="Arial"/>
          <w:sz w:val="20"/>
          <w:szCs w:val="20"/>
          <w:u w:val="single" w:color="auto"/>
          <w:color w:val="auto"/>
        </w:rPr>
        <w:t>Section 8(f)</w:t>
      </w:r>
      <w:r>
        <w:rPr>
          <w:rFonts w:ascii="Arial" w:cs="Arial" w:eastAsia="Arial" w:hAnsi="Arial"/>
          <w:sz w:val="20"/>
          <w:szCs w:val="20"/>
          <w:color w:val="auto"/>
        </w:rPr>
        <w:t>, provided, however, that the Executive is willing and able to execute such extension and to continue performing services under this Agreement.</w:t>
      </w:r>
    </w:p>
    <w:p>
      <w:pPr>
        <w:spacing w:after="0" w:line="186" w:lineRule="exact"/>
        <w:rPr>
          <w:rFonts w:ascii="Arial" w:cs="Arial" w:eastAsia="Arial" w:hAnsi="Arial"/>
          <w:sz w:val="20"/>
          <w:szCs w:val="20"/>
          <w:color w:val="auto"/>
        </w:rPr>
      </w:pPr>
    </w:p>
    <w:p>
      <w:pPr>
        <w:jc w:val="both"/>
        <w:ind w:left="340" w:hanging="332"/>
        <w:spacing w:after="0" w:line="258" w:lineRule="auto"/>
        <w:tabs>
          <w:tab w:leader="none" w:pos="340" w:val="left"/>
        </w:tabs>
        <w:numPr>
          <w:ilvl w:val="0"/>
          <w:numId w:val="44"/>
        </w:numPr>
        <w:rPr>
          <w:rFonts w:ascii="Arial" w:cs="Arial" w:eastAsia="Arial" w:hAnsi="Arial"/>
          <w:sz w:val="19"/>
          <w:szCs w:val="19"/>
          <w:color w:val="auto"/>
        </w:rPr>
      </w:pPr>
      <w:r>
        <w:rPr>
          <w:rFonts w:ascii="Arial" w:cs="Arial" w:eastAsia="Arial" w:hAnsi="Arial"/>
          <w:sz w:val="19"/>
          <w:szCs w:val="19"/>
          <w:b w:val="1"/>
          <w:bCs w:val="1"/>
          <w:color w:val="auto"/>
        </w:rPr>
        <w:t>Duties</w:t>
      </w:r>
      <w:r>
        <w:rPr>
          <w:rFonts w:ascii="Arial" w:cs="Arial" w:eastAsia="Arial" w:hAnsi="Arial"/>
          <w:sz w:val="19"/>
          <w:szCs w:val="19"/>
          <w:color w:val="auto"/>
        </w:rPr>
        <w:t>. During the Executive’s employment, the Executive shall have all the power, authority and responsibilities customarily related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position as Chief Executive Officer of the Company and as may be assigned by and under the direction and control of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xml:space="preserve">”). During the Term, the Executive shall not engage in any other business activity that would materially interfere with the Executive’s responsibilities or performance of duties under this Agreement, unless approved by the Board. Notwithstanding the foregoing, nothing herein shall prohibit the Executive from (i) subject to prior approval of the Board, accepting directorships unrelated to the Company that do not give rise to any conflicts of interest with the Company or its Affiliates, (ii) engaging in charitable and civic activities, so long as such outside interests do not interfere with the performance of Executive’s duties hereunder, or (iii) engaging in activities expressly permitted by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w:t>
      </w:r>
    </w:p>
    <w:p>
      <w:pPr>
        <w:spacing w:after="0" w:line="173" w:lineRule="exact"/>
        <w:rPr>
          <w:rFonts w:ascii="Arial" w:cs="Arial" w:eastAsia="Arial" w:hAnsi="Arial"/>
          <w:sz w:val="19"/>
          <w:szCs w:val="19"/>
          <w:color w:val="auto"/>
        </w:rPr>
      </w:pPr>
    </w:p>
    <w:p>
      <w:pPr>
        <w:ind w:left="340" w:hanging="332"/>
        <w:spacing w:after="0"/>
        <w:tabs>
          <w:tab w:leader="none" w:pos="340"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Compensation</w:t>
      </w:r>
      <w:r>
        <w:rPr>
          <w:rFonts w:ascii="Arial" w:cs="Arial" w:eastAsia="Arial" w:hAnsi="Arial"/>
          <w:sz w:val="20"/>
          <w:szCs w:val="20"/>
          <w:color w:val="auto"/>
        </w:rPr>
        <w:t>.</w:t>
      </w:r>
    </w:p>
    <w:p>
      <w:pPr>
        <w:spacing w:after="0" w:line="235" w:lineRule="exact"/>
        <w:rPr>
          <w:rFonts w:ascii="Arial" w:cs="Arial" w:eastAsia="Arial" w:hAnsi="Arial"/>
          <w:sz w:val="20"/>
          <w:szCs w:val="20"/>
          <w:color w:val="auto"/>
        </w:rPr>
      </w:pPr>
    </w:p>
    <w:p>
      <w:pPr>
        <w:ind w:left="660" w:right="20" w:hanging="409"/>
        <w:spacing w:after="0" w:line="265" w:lineRule="auto"/>
        <w:tabs>
          <w:tab w:leader="none" w:pos="660" w:val="left"/>
        </w:tabs>
        <w:numPr>
          <w:ilvl w:val="1"/>
          <w:numId w:val="44"/>
        </w:numPr>
        <w:rPr>
          <w:rFonts w:ascii="Arial" w:cs="Arial" w:eastAsia="Arial" w:hAnsi="Arial"/>
          <w:sz w:val="22"/>
          <w:szCs w:val="22"/>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During the Term, the Executive shall be compensated for the Executive’s services at an initial annual rate of base salary of eight hundred fifty thousand dollars ($850,000), which may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26"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660"/>
        <w:spacing w:after="0" w:line="293" w:lineRule="auto"/>
        <w:rPr>
          <w:sz w:val="20"/>
          <w:szCs w:val="20"/>
          <w:color w:val="auto"/>
        </w:rPr>
      </w:pPr>
      <w:r>
        <w:rPr>
          <w:rFonts w:ascii="Arial" w:cs="Arial" w:eastAsia="Arial" w:hAnsi="Arial"/>
          <w:sz w:val="19"/>
          <w:szCs w:val="19"/>
          <w:color w:val="auto"/>
        </w:rPr>
        <w:t>be reviewed and increased (but not decreased) on an annual basis by the Board in its sole discretion, payable in accordance with the Company’s regular payroll schedule (the “</w:t>
      </w:r>
      <w:r>
        <w:rPr>
          <w:rFonts w:ascii="Arial" w:cs="Arial" w:eastAsia="Arial" w:hAnsi="Arial"/>
          <w:sz w:val="19"/>
          <w:szCs w:val="19"/>
          <w:u w:val="single" w:color="auto"/>
          <w:color w:val="auto"/>
        </w:rPr>
        <w:t>Base Salary</w:t>
      </w:r>
      <w:r>
        <w:rPr>
          <w:rFonts w:ascii="Arial" w:cs="Arial" w:eastAsia="Arial" w:hAnsi="Arial"/>
          <w:sz w:val="19"/>
          <w:szCs w:val="19"/>
          <w:color w:val="auto"/>
        </w:rPr>
        <w:t>”). All payments made to or on behalf of the Executive under the terms of this Agreement, including all payments of Base Salary and any bonuses, shall be subject to all withholding required by law (such as income and payroll taxes) and such additional withholding as may be agreed upon by the Executive.</w:t>
      </w:r>
    </w:p>
    <w:p>
      <w:pPr>
        <w:spacing w:after="0" w:line="176" w:lineRule="exact"/>
        <w:rPr>
          <w:sz w:val="20"/>
          <w:szCs w:val="20"/>
          <w:color w:val="auto"/>
        </w:rPr>
      </w:pPr>
    </w:p>
    <w:p>
      <w:pPr>
        <w:jc w:val="both"/>
        <w:ind w:left="660" w:hanging="409"/>
        <w:spacing w:after="0" w:line="282" w:lineRule="auto"/>
        <w:tabs>
          <w:tab w:leader="none" w:pos="660" w:val="left"/>
        </w:tabs>
        <w:numPr>
          <w:ilvl w:val="1"/>
          <w:numId w:val="45"/>
        </w:numPr>
        <w:rPr>
          <w:rFonts w:ascii="Arial" w:cs="Arial" w:eastAsia="Arial" w:hAnsi="Arial"/>
          <w:sz w:val="21"/>
          <w:szCs w:val="21"/>
          <w:color w:val="auto"/>
        </w:rPr>
      </w:pPr>
      <w:r>
        <w:rPr>
          <w:rFonts w:ascii="Arial" w:cs="Arial" w:eastAsia="Arial" w:hAnsi="Arial"/>
          <w:sz w:val="19"/>
          <w:szCs w:val="19"/>
          <w:u w:val="single" w:color="auto"/>
          <w:color w:val="auto"/>
        </w:rPr>
        <w:t>Annual Bonus Arrangements</w:t>
      </w:r>
      <w:r>
        <w:rPr>
          <w:rFonts w:ascii="Arial" w:cs="Arial" w:eastAsia="Arial" w:hAnsi="Arial"/>
          <w:sz w:val="19"/>
          <w:szCs w:val="19"/>
          <w:color w:val="auto"/>
        </w:rPr>
        <w:t>. The Executive will be eligible to receive annual bonus payments up to one hundred percent (100%) of the Executive’s then-effective Base Salary, payable in amounts and at such times as determined in good faith by the Board, based on meeting Company performance objectives, performance goals, and other objectives as mutually agreed upon by the Board and the Executive, and as may be amended from time to time (the “</w:t>
      </w:r>
      <w:r>
        <w:rPr>
          <w:rFonts w:ascii="Arial" w:cs="Arial" w:eastAsia="Arial" w:hAnsi="Arial"/>
          <w:sz w:val="19"/>
          <w:szCs w:val="19"/>
          <w:u w:val="single" w:color="auto"/>
          <w:color w:val="auto"/>
        </w:rPr>
        <w:t>Annual Bonus</w:t>
      </w:r>
      <w:r>
        <w:rPr>
          <w:rFonts w:ascii="Arial" w:cs="Arial" w:eastAsia="Arial" w:hAnsi="Arial"/>
          <w:sz w:val="19"/>
          <w:szCs w:val="19"/>
          <w:color w:val="auto"/>
        </w:rPr>
        <w:t>”). The Executive must remain employed by the Company through the date on which the Annual Bonus is earned, which is December 31 of each year, whether or not the Executive remains employed by the Company on the date the bonus is actually payable. Notwithstanding the foregoing, in the event that the Executive is terminated for Cause (as defined below) prior to the payment of any Annual Bonus, the Executive shall not be entitled to the payment of such Annual Bonus.</w:t>
      </w:r>
    </w:p>
    <w:p>
      <w:pPr>
        <w:spacing w:after="0" w:line="188" w:lineRule="exact"/>
        <w:rPr>
          <w:rFonts w:ascii="Arial" w:cs="Arial" w:eastAsia="Arial" w:hAnsi="Arial"/>
          <w:sz w:val="21"/>
          <w:szCs w:val="21"/>
          <w:color w:val="auto"/>
        </w:rPr>
      </w:pPr>
    </w:p>
    <w:p>
      <w:pPr>
        <w:ind w:left="660" w:hanging="409"/>
        <w:spacing w:after="0" w:line="265" w:lineRule="auto"/>
        <w:tabs>
          <w:tab w:leader="none" w:pos="660" w:val="left"/>
        </w:tabs>
        <w:numPr>
          <w:ilvl w:val="1"/>
          <w:numId w:val="45"/>
        </w:numPr>
        <w:rPr>
          <w:rFonts w:ascii="Arial" w:cs="Arial" w:eastAsia="Arial" w:hAnsi="Arial"/>
          <w:sz w:val="22"/>
          <w:szCs w:val="22"/>
          <w:color w:val="auto"/>
        </w:rPr>
      </w:pPr>
      <w:r>
        <w:rPr>
          <w:rFonts w:ascii="Arial" w:cs="Arial" w:eastAsia="Arial" w:hAnsi="Arial"/>
          <w:sz w:val="20"/>
          <w:szCs w:val="20"/>
          <w:u w:val="single" w:color="auto"/>
          <w:color w:val="auto"/>
        </w:rPr>
        <w:t>Equity</w:t>
      </w:r>
      <w:r>
        <w:rPr>
          <w:rFonts w:ascii="Arial" w:cs="Arial" w:eastAsia="Arial" w:hAnsi="Arial"/>
          <w:sz w:val="20"/>
          <w:szCs w:val="20"/>
          <w:color w:val="auto"/>
        </w:rPr>
        <w:t>. The Executive shall, in the Company’s sole discretion, be eligible to receive awards of equity in accordance with the terms and conditions set forth in the applicable equity incentive plan and equity award agreement.</w:t>
      </w:r>
    </w:p>
    <w:p>
      <w:pPr>
        <w:spacing w:after="0" w:line="190" w:lineRule="exact"/>
        <w:rPr>
          <w:rFonts w:ascii="Arial" w:cs="Arial" w:eastAsia="Arial" w:hAnsi="Arial"/>
          <w:sz w:val="22"/>
          <w:szCs w:val="22"/>
          <w:color w:val="auto"/>
        </w:rPr>
      </w:pPr>
    </w:p>
    <w:p>
      <w:pPr>
        <w:ind w:left="340" w:hanging="332"/>
        <w:spacing w:after="0"/>
        <w:tabs>
          <w:tab w:leader="none" w:pos="340" w:val="left"/>
        </w:tabs>
        <w:numPr>
          <w:ilvl w:val="0"/>
          <w:numId w:val="46"/>
        </w:numPr>
        <w:rPr>
          <w:rFonts w:ascii="Arial" w:cs="Arial" w:eastAsia="Arial" w:hAnsi="Arial"/>
          <w:sz w:val="22"/>
          <w:szCs w:val="22"/>
          <w:color w:val="auto"/>
        </w:rPr>
      </w:pPr>
      <w:r>
        <w:rPr>
          <w:rFonts w:ascii="Arial" w:cs="Arial" w:eastAsia="Arial" w:hAnsi="Arial"/>
          <w:sz w:val="20"/>
          <w:szCs w:val="20"/>
          <w:b w:val="1"/>
          <w:bCs w:val="1"/>
          <w:color w:val="auto"/>
        </w:rPr>
        <w:t>Benefits.</w:t>
      </w:r>
    </w:p>
    <w:p>
      <w:pPr>
        <w:spacing w:after="0" w:line="225" w:lineRule="exact"/>
        <w:rPr>
          <w:rFonts w:ascii="Arial" w:cs="Arial" w:eastAsia="Arial" w:hAnsi="Arial"/>
          <w:sz w:val="22"/>
          <w:szCs w:val="22"/>
          <w:color w:val="auto"/>
        </w:rPr>
      </w:pPr>
    </w:p>
    <w:p>
      <w:pPr>
        <w:jc w:val="both"/>
        <w:ind w:left="660" w:hanging="409"/>
        <w:spacing w:after="0" w:line="283" w:lineRule="auto"/>
        <w:tabs>
          <w:tab w:leader="none" w:pos="660" w:val="left"/>
        </w:tabs>
        <w:numPr>
          <w:ilvl w:val="1"/>
          <w:numId w:val="46"/>
        </w:numPr>
        <w:rPr>
          <w:rFonts w:ascii="Arial" w:cs="Arial" w:eastAsia="Arial" w:hAnsi="Arial"/>
          <w:sz w:val="21"/>
          <w:szCs w:val="21"/>
          <w:color w:val="auto"/>
        </w:rPr>
      </w:pPr>
      <w:r>
        <w:rPr>
          <w:rFonts w:ascii="Arial" w:cs="Arial" w:eastAsia="Arial" w:hAnsi="Arial"/>
          <w:sz w:val="19"/>
          <w:szCs w:val="19"/>
          <w:u w:val="single" w:color="auto"/>
          <w:color w:val="auto"/>
        </w:rPr>
        <w:t>Employee Benefits</w:t>
      </w:r>
      <w:r>
        <w:rPr>
          <w:rFonts w:ascii="Arial" w:cs="Arial" w:eastAsia="Arial" w:hAnsi="Arial"/>
          <w:sz w:val="19"/>
          <w:szCs w:val="19"/>
          <w:color w:val="auto"/>
        </w:rPr>
        <w:t>. During the Term, the Company will provide the Executive the highest level and most favored nation employee benefits coverage (including life, health accident insurance and disability programs) provided by the Company. Such participation shall be subject to the terms of the applicable plan documents and policies generally applicable to Company employees, including, without limitation, plan terms or policies relating to employee contributions under any such plans.</w:t>
      </w:r>
    </w:p>
    <w:p>
      <w:pPr>
        <w:spacing w:after="0" w:line="184" w:lineRule="exact"/>
        <w:rPr>
          <w:rFonts w:ascii="Arial" w:cs="Arial" w:eastAsia="Arial" w:hAnsi="Arial"/>
          <w:sz w:val="21"/>
          <w:szCs w:val="21"/>
          <w:color w:val="auto"/>
        </w:rPr>
      </w:pPr>
    </w:p>
    <w:p>
      <w:pPr>
        <w:jc w:val="both"/>
        <w:ind w:left="660" w:hanging="409"/>
        <w:spacing w:after="0" w:line="266" w:lineRule="auto"/>
        <w:tabs>
          <w:tab w:leader="none" w:pos="660" w:val="left"/>
        </w:tabs>
        <w:numPr>
          <w:ilvl w:val="1"/>
          <w:numId w:val="46"/>
        </w:numPr>
        <w:rPr>
          <w:rFonts w:ascii="Arial" w:cs="Arial" w:eastAsia="Arial" w:hAnsi="Arial"/>
          <w:sz w:val="22"/>
          <w:szCs w:val="22"/>
          <w:color w:val="auto"/>
        </w:rPr>
      </w:pPr>
      <w:r>
        <w:rPr>
          <w:rFonts w:ascii="Arial" w:cs="Arial" w:eastAsia="Arial" w:hAnsi="Arial"/>
          <w:sz w:val="20"/>
          <w:szCs w:val="20"/>
          <w:u w:val="single" w:color="auto"/>
          <w:color w:val="auto"/>
        </w:rPr>
        <w:t>Vacation and Sick Leave</w:t>
      </w:r>
      <w:r>
        <w:rPr>
          <w:rFonts w:ascii="Arial" w:cs="Arial" w:eastAsia="Arial" w:hAnsi="Arial"/>
          <w:sz w:val="20"/>
          <w:szCs w:val="20"/>
          <w:color w:val="auto"/>
        </w:rPr>
        <w:t>. The Executive will be entitled to five (5) weeks of paid time off in the form of vacation and sick leave (without taking into account any qualified disability leave offered pursuant to the Company’s disability benefit programs in place from time to time), subject to the terms and conditions of the Company’s policies, procedures, and practices applicable to similarly situated employees and applicable law.</w:t>
      </w:r>
    </w:p>
    <w:p>
      <w:pPr>
        <w:spacing w:after="0" w:line="191" w:lineRule="exact"/>
        <w:rPr>
          <w:rFonts w:ascii="Arial" w:cs="Arial" w:eastAsia="Arial" w:hAnsi="Arial"/>
          <w:sz w:val="22"/>
          <w:szCs w:val="22"/>
          <w:color w:val="auto"/>
        </w:rPr>
      </w:pPr>
    </w:p>
    <w:p>
      <w:pPr>
        <w:jc w:val="both"/>
        <w:ind w:left="340" w:hanging="332"/>
        <w:spacing w:after="0" w:line="268" w:lineRule="auto"/>
        <w:tabs>
          <w:tab w:leader="none" w:pos="340" w:val="left"/>
        </w:tabs>
        <w:numPr>
          <w:ilvl w:val="0"/>
          <w:numId w:val="46"/>
        </w:numPr>
        <w:rPr>
          <w:rFonts w:ascii="Arial" w:cs="Arial" w:eastAsia="Arial" w:hAnsi="Arial"/>
          <w:sz w:val="22"/>
          <w:szCs w:val="22"/>
          <w:color w:val="auto"/>
        </w:rPr>
      </w:pPr>
      <w:r>
        <w:rPr>
          <w:rFonts w:ascii="Arial" w:cs="Arial" w:eastAsia="Arial" w:hAnsi="Arial"/>
          <w:sz w:val="20"/>
          <w:szCs w:val="20"/>
          <w:b w:val="1"/>
          <w:bCs w:val="1"/>
          <w:color w:val="auto"/>
        </w:rPr>
        <w:t xml:space="preserve">Business Expenses. </w:t>
      </w:r>
      <w:r>
        <w:rPr>
          <w:rFonts w:ascii="Arial" w:cs="Arial" w:eastAsia="Arial" w:hAnsi="Arial"/>
          <w:sz w:val="20"/>
          <w:szCs w:val="20"/>
          <w:color w:val="auto"/>
        </w:rPr>
        <w:t>The Executive shall be reimbursed for all reasonable expenses (including, without limitation, travel and lodging</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 incurred by the Executive during the Term, upon presentation by the Executive of documentation, expense statements, vouchers and/or such other supporting information as the Company may reasonably request.</w:t>
      </w:r>
    </w:p>
    <w:p>
      <w:pPr>
        <w:spacing w:after="0" w:line="189" w:lineRule="exact"/>
        <w:rPr>
          <w:rFonts w:ascii="Arial" w:cs="Arial" w:eastAsia="Arial" w:hAnsi="Arial"/>
          <w:sz w:val="22"/>
          <w:szCs w:val="22"/>
          <w:color w:val="auto"/>
        </w:rPr>
      </w:pPr>
    </w:p>
    <w:p>
      <w:pPr>
        <w:jc w:val="both"/>
        <w:ind w:left="340" w:hanging="332"/>
        <w:spacing w:after="0" w:line="268" w:lineRule="auto"/>
        <w:tabs>
          <w:tab w:leader="none" w:pos="340" w:val="left"/>
        </w:tabs>
        <w:numPr>
          <w:ilvl w:val="0"/>
          <w:numId w:val="46"/>
        </w:numPr>
        <w:rPr>
          <w:rFonts w:ascii="Arial" w:cs="Arial" w:eastAsia="Arial" w:hAnsi="Arial"/>
          <w:sz w:val="22"/>
          <w:szCs w:val="22"/>
          <w:color w:val="auto"/>
        </w:rPr>
      </w:pPr>
      <w:r>
        <w:rPr>
          <w:rFonts w:ascii="Arial" w:cs="Arial" w:eastAsia="Arial" w:hAnsi="Arial"/>
          <w:sz w:val="20"/>
          <w:szCs w:val="20"/>
          <w:b w:val="1"/>
          <w:bCs w:val="1"/>
          <w:color w:val="auto"/>
        </w:rPr>
        <w:t xml:space="preserve">Freedom to Contract. </w:t>
      </w:r>
      <w:r>
        <w:rPr>
          <w:rFonts w:ascii="Arial" w:cs="Arial" w:eastAsia="Arial" w:hAnsi="Arial"/>
          <w:sz w:val="20"/>
          <w:szCs w:val="20"/>
          <w:color w:val="auto"/>
        </w:rPr>
        <w:t>The Executive represents and warrants that the Executive has the right to enter into this Agreement and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is eligible for employment by the Company. The Executive further agrees to hold the Company and its Affiliates harmless from any and all liability arising out of any contractual obligations entered into by the Executive that would prevent the Executive from performing the services the Executive is required to perform under this Agreement.</w:t>
      </w:r>
    </w:p>
    <w:p>
      <w:pPr>
        <w:spacing w:after="0" w:line="189" w:lineRule="exact"/>
        <w:rPr>
          <w:rFonts w:ascii="Arial" w:cs="Arial" w:eastAsia="Arial" w:hAnsi="Arial"/>
          <w:sz w:val="22"/>
          <w:szCs w:val="22"/>
          <w:color w:val="auto"/>
        </w:rPr>
      </w:pPr>
    </w:p>
    <w:p>
      <w:pPr>
        <w:ind w:left="340" w:hanging="332"/>
        <w:spacing w:after="0" w:line="271" w:lineRule="auto"/>
        <w:tabs>
          <w:tab w:leader="none" w:pos="340" w:val="left"/>
        </w:tabs>
        <w:numPr>
          <w:ilvl w:val="0"/>
          <w:numId w:val="46"/>
        </w:numPr>
        <w:rPr>
          <w:rFonts w:ascii="Arial" w:cs="Arial" w:eastAsia="Arial" w:hAnsi="Arial"/>
          <w:sz w:val="22"/>
          <w:szCs w:val="22"/>
          <w:color w:val="auto"/>
        </w:rPr>
      </w:pPr>
      <w:r>
        <w:rPr>
          <w:rFonts w:ascii="Arial" w:cs="Arial" w:eastAsia="Arial" w:hAnsi="Arial"/>
          <w:sz w:val="20"/>
          <w:szCs w:val="20"/>
          <w:b w:val="1"/>
          <w:bCs w:val="1"/>
          <w:color w:val="auto"/>
        </w:rPr>
        <w:t xml:space="preserve">Termination. </w:t>
      </w:r>
      <w:r>
        <w:rPr>
          <w:rFonts w:ascii="Arial" w:cs="Arial" w:eastAsia="Arial" w:hAnsi="Arial"/>
          <w:sz w:val="20"/>
          <w:szCs w:val="20"/>
          <w:color w:val="auto"/>
        </w:rPr>
        <w:t>Notwithstanding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w:t>
      </w:r>
      <w:r>
        <w:rPr>
          <w:rFonts w:ascii="Arial" w:cs="Arial" w:eastAsia="Arial" w:hAnsi="Arial"/>
          <w:sz w:val="20"/>
          <w:szCs w:val="20"/>
          <w:color w:val="auto"/>
        </w:rPr>
        <w:t>, the Executive’s employment under this Agreement and the Term hereunder</w:t>
      </w:r>
      <w:r>
        <w:rPr>
          <w:rFonts w:ascii="Arial" w:cs="Arial" w:eastAsia="Arial" w:hAnsi="Arial"/>
          <w:sz w:val="20"/>
          <w:szCs w:val="20"/>
          <w:b w:val="1"/>
          <w:bCs w:val="1"/>
          <w:color w:val="auto"/>
        </w:rPr>
        <w:t xml:space="preserve"> </w:t>
      </w:r>
      <w:r>
        <w:rPr>
          <w:rFonts w:ascii="Arial" w:cs="Arial" w:eastAsia="Arial" w:hAnsi="Arial"/>
          <w:sz w:val="20"/>
          <w:szCs w:val="20"/>
          <w:color w:val="auto"/>
        </w:rPr>
        <w:t>shall terminate on the earliest of the following dates:</w:t>
      </w:r>
    </w:p>
    <w:p>
      <w:pPr>
        <w:spacing w:after="0" w:line="200" w:lineRule="exact"/>
        <w:rPr>
          <w:rFonts w:ascii="Arial" w:cs="Arial" w:eastAsia="Arial" w:hAnsi="Arial"/>
          <w:sz w:val="22"/>
          <w:szCs w:val="22"/>
          <w:color w:val="auto"/>
        </w:rPr>
      </w:pPr>
    </w:p>
    <w:p>
      <w:pPr>
        <w:spacing w:after="0" w:line="228" w:lineRule="exact"/>
        <w:rPr>
          <w:rFonts w:ascii="Arial" w:cs="Arial" w:eastAsia="Arial" w:hAnsi="Arial"/>
          <w:sz w:val="22"/>
          <w:szCs w:val="22"/>
          <w:color w:val="auto"/>
        </w:rPr>
      </w:pPr>
    </w:p>
    <w:p>
      <w:pPr>
        <w:ind w:left="4340" w:hanging="118"/>
        <w:spacing w:after="0"/>
        <w:tabs>
          <w:tab w:leader="none" w:pos="4340" w:val="left"/>
        </w:tabs>
        <w:numPr>
          <w:ilvl w:val="2"/>
          <w:numId w:val="46"/>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420"/>
          </w:cols>
          <w:pgMar w:left="240" w:top="126" w:right="239" w:bottom="1440" w:gutter="0" w:footer="0" w:header="0"/>
        </w:sectPr>
      </w:pPr>
    </w:p>
    <w:bookmarkStart w:id="74" w:name="page75"/>
    <w:bookmarkEnd w:id="74"/>
    <w:p>
      <w:pPr>
        <w:ind w:left="9189"/>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409" w:hanging="409"/>
        <w:spacing w:after="0" w:line="300" w:lineRule="auto"/>
        <w:tabs>
          <w:tab w:leader="none" w:pos="409" w:val="left"/>
        </w:tabs>
        <w:numPr>
          <w:ilvl w:val="0"/>
          <w:numId w:val="47"/>
        </w:numPr>
        <w:rPr>
          <w:rFonts w:ascii="Arial" w:cs="Arial" w:eastAsia="Arial" w:hAnsi="Arial"/>
          <w:sz w:val="19"/>
          <w:szCs w:val="19"/>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On the date of the Executive’s death. In the event of the death of the Executive, the Company shall pay to the Executive’s legal representatives or named beneficiaries (as designated in a writing delivered to the Company) (the “</w:t>
      </w:r>
      <w:r>
        <w:rPr>
          <w:rFonts w:ascii="Arial" w:cs="Arial" w:eastAsia="Arial" w:hAnsi="Arial"/>
          <w:sz w:val="18"/>
          <w:szCs w:val="18"/>
          <w:u w:val="single" w:color="auto"/>
          <w:color w:val="auto"/>
        </w:rPr>
        <w:t>Estate</w:t>
      </w:r>
      <w:r>
        <w:rPr>
          <w:rFonts w:ascii="Arial" w:cs="Arial" w:eastAsia="Arial" w:hAnsi="Arial"/>
          <w:sz w:val="18"/>
          <w:szCs w:val="18"/>
          <w:color w:val="auto"/>
        </w:rPr>
        <w:t>”) the Executive’s (i) earned but unpaid Base Salary, (ii) any accrued but unpaid paid time off or vacation payable in accordance with applicable Company policy and the terms of this Agreement, (iii) any reimbursable business expenses incurred, but not yet reimbursed to the Executive, and (iv) any benefits earned through the date of the Executive’s termination in accordance with the terms of the applicable benefit plans (collectively, the “</w:t>
      </w:r>
      <w:r>
        <w:rPr>
          <w:rFonts w:ascii="Arial" w:cs="Arial" w:eastAsia="Arial" w:hAnsi="Arial"/>
          <w:sz w:val="18"/>
          <w:szCs w:val="18"/>
          <w:u w:val="single" w:color="auto"/>
          <w:color w:val="auto"/>
        </w:rPr>
        <w:t>Accrued Benefits</w:t>
      </w:r>
      <w:r>
        <w:rPr>
          <w:rFonts w:ascii="Arial" w:cs="Arial" w:eastAsia="Arial" w:hAnsi="Arial"/>
          <w:sz w:val="18"/>
          <w:szCs w:val="18"/>
          <w:color w:val="auto"/>
        </w:rPr>
        <w:t>”). The Accrued Benefits shall be paid by the Company to the Estate within five (5) days of the receipt by the Company of documentation in connection with proof of the Executive’s death, as required by applicable law and reasonably requested by the Company. The Company shall also pay the Estate (i) any unpaid Annual Bonus for the preceding fiscal year and (ii) a pro-rated portion of the Annual Bonus for the current fiscal year based on the number of days that the Executive was employed by the Company for during the year of the Executive’s termination (“</w:t>
      </w:r>
      <w:r>
        <w:rPr>
          <w:rFonts w:ascii="Arial" w:cs="Arial" w:eastAsia="Arial" w:hAnsi="Arial"/>
          <w:sz w:val="18"/>
          <w:szCs w:val="18"/>
          <w:u w:val="single" w:color="auto"/>
          <w:color w:val="auto"/>
        </w:rPr>
        <w:t>Pro-Rated Bonus</w:t>
      </w:r>
      <w:r>
        <w:rPr>
          <w:rFonts w:ascii="Arial" w:cs="Arial" w:eastAsia="Arial" w:hAnsi="Arial"/>
          <w:sz w:val="18"/>
          <w:szCs w:val="18"/>
          <w:color w:val="auto"/>
        </w:rPr>
        <w:t xml:space="preserve">”), payable in accordance with the timing as set forth in </w:t>
      </w:r>
      <w:r>
        <w:rPr>
          <w:rFonts w:ascii="Arial" w:cs="Arial" w:eastAsia="Arial" w:hAnsi="Arial"/>
          <w:sz w:val="18"/>
          <w:szCs w:val="18"/>
          <w:u w:val="single" w:color="auto"/>
          <w:color w:val="auto"/>
        </w:rPr>
        <w:t>Section 8(h)</w:t>
      </w:r>
      <w:r>
        <w:rPr>
          <w:rFonts w:ascii="Arial" w:cs="Arial" w:eastAsia="Arial" w:hAnsi="Arial"/>
          <w:sz w:val="18"/>
          <w:szCs w:val="18"/>
          <w:color w:val="auto"/>
        </w:rPr>
        <w:t xml:space="preserve">. Furthermore, notwithstanding anything in the applicable equity incentive plan and/or equity award agreement to the contrary, any unvested portion of any equity awards held by the Executive shall vest in full and become exercisable and free from forfeiture or repurchase, as applicable, as of the effective date of the release as set forth in </w:t>
      </w:r>
      <w:r>
        <w:rPr>
          <w:rFonts w:ascii="Arial" w:cs="Arial" w:eastAsia="Arial" w:hAnsi="Arial"/>
          <w:sz w:val="18"/>
          <w:szCs w:val="18"/>
          <w:u w:val="single" w:color="auto"/>
          <w:color w:val="auto"/>
        </w:rPr>
        <w:t>Section 8(i)</w:t>
      </w:r>
      <w:r>
        <w:rPr>
          <w:rFonts w:ascii="Arial" w:cs="Arial" w:eastAsia="Arial" w:hAnsi="Arial"/>
          <w:sz w:val="18"/>
          <w:szCs w:val="18"/>
          <w:color w:val="auto"/>
        </w:rPr>
        <w:t>.</w:t>
      </w:r>
    </w:p>
    <w:p>
      <w:pPr>
        <w:spacing w:after="0" w:line="174" w:lineRule="exact"/>
        <w:rPr>
          <w:rFonts w:ascii="Arial" w:cs="Arial" w:eastAsia="Arial" w:hAnsi="Arial"/>
          <w:sz w:val="19"/>
          <w:szCs w:val="19"/>
          <w:color w:val="auto"/>
        </w:rPr>
      </w:pPr>
    </w:p>
    <w:p>
      <w:pPr>
        <w:jc w:val="both"/>
        <w:ind w:left="409" w:hanging="409"/>
        <w:spacing w:after="0" w:line="300" w:lineRule="auto"/>
        <w:tabs>
          <w:tab w:leader="none" w:pos="409" w:val="left"/>
        </w:tabs>
        <w:numPr>
          <w:ilvl w:val="0"/>
          <w:numId w:val="47"/>
        </w:numPr>
        <w:rPr>
          <w:rFonts w:ascii="Arial" w:cs="Arial" w:eastAsia="Arial" w:hAnsi="Arial"/>
          <w:sz w:val="19"/>
          <w:szCs w:val="19"/>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On the date specified in a written notice from the Company terminating the Executive’s employment due to Disability, or in the event no date is specified in the notice, on the date on which the notice is delivered to the Executive. For the purposes of this Agreement, “Disability” shall mean that (x) the Executive shall have failed to perform the services contemplated under this Agreement due to a medically determinable physical or mental impairment that can be expected to result in death or can be expected to last for a period of 180 consecutive days, or a total of at least 240 calendar days during any 365-day period, or (y) a determination of permanent disability shall have been made by a physician satisfactory to both the Executive and the Company, provided that if the Executive and the Company do not agree on a physician, the Executive and the Company shall each select a physician and these two together shall select a third physician whose determination as to disability shall be binding on both parties. In the event of the termination of the Executive’s employment pursuant to this </w:t>
      </w:r>
      <w:r>
        <w:rPr>
          <w:rFonts w:ascii="Arial" w:cs="Arial" w:eastAsia="Arial" w:hAnsi="Arial"/>
          <w:sz w:val="18"/>
          <w:szCs w:val="18"/>
          <w:u w:val="single" w:color="auto"/>
          <w:color w:val="auto"/>
        </w:rPr>
        <w:t>Section 8(b)</w:t>
      </w:r>
      <w:r>
        <w:rPr>
          <w:rFonts w:ascii="Arial" w:cs="Arial" w:eastAsia="Arial" w:hAnsi="Arial"/>
          <w:sz w:val="18"/>
          <w:szCs w:val="18"/>
          <w:color w:val="auto"/>
        </w:rPr>
        <w:t xml:space="preserve">, the Company shall pay to the Executive the Executive’s Accrued Benefits earned as of the date of the Executive’s termination. The Company shall also pay the Executive (i) any unpaid Annual Bonus for the preceding fiscal year, and (ii) the Pro-Rated Bonus, payable in accordance with the timing as set forth in </w:t>
      </w:r>
      <w:r>
        <w:rPr>
          <w:rFonts w:ascii="Arial" w:cs="Arial" w:eastAsia="Arial" w:hAnsi="Arial"/>
          <w:sz w:val="18"/>
          <w:szCs w:val="18"/>
          <w:u w:val="single" w:color="auto"/>
          <w:color w:val="auto"/>
        </w:rPr>
        <w:t>Section 8(h)</w:t>
      </w:r>
      <w:r>
        <w:rPr>
          <w:rFonts w:ascii="Arial" w:cs="Arial" w:eastAsia="Arial" w:hAnsi="Arial"/>
          <w:sz w:val="18"/>
          <w:szCs w:val="18"/>
          <w:color w:val="auto"/>
        </w:rPr>
        <w:t xml:space="preserve">. Furthermore, notwithstanding anything in the applicable equity incentive plan and/or equity award agreement to the contrary, any unvested portion of any equity awards held by the Executive shall vest in full and become exercisable and free from forfeiture or repurchase, as applicable, as of the effective date of the release as set forth in </w:t>
      </w:r>
      <w:r>
        <w:rPr>
          <w:rFonts w:ascii="Arial" w:cs="Arial" w:eastAsia="Arial" w:hAnsi="Arial"/>
          <w:sz w:val="18"/>
          <w:szCs w:val="18"/>
          <w:u w:val="single" w:color="auto"/>
          <w:color w:val="auto"/>
        </w:rPr>
        <w:t>Section 8(i)</w:t>
      </w:r>
      <w:r>
        <w:rPr>
          <w:rFonts w:ascii="Arial" w:cs="Arial" w:eastAsia="Arial" w:hAnsi="Arial"/>
          <w:sz w:val="18"/>
          <w:szCs w:val="18"/>
          <w:color w:val="auto"/>
        </w:rPr>
        <w:t>.</w:t>
      </w:r>
    </w:p>
    <w:p>
      <w:pPr>
        <w:spacing w:after="0" w:line="171" w:lineRule="exact"/>
        <w:rPr>
          <w:rFonts w:ascii="Arial" w:cs="Arial" w:eastAsia="Arial" w:hAnsi="Arial"/>
          <w:sz w:val="19"/>
          <w:szCs w:val="19"/>
          <w:color w:val="auto"/>
        </w:rPr>
      </w:pPr>
    </w:p>
    <w:p>
      <w:pPr>
        <w:jc w:val="both"/>
        <w:ind w:left="409" w:hanging="409"/>
        <w:spacing w:after="0" w:line="282" w:lineRule="auto"/>
        <w:tabs>
          <w:tab w:leader="none" w:pos="409" w:val="left"/>
        </w:tabs>
        <w:numPr>
          <w:ilvl w:val="0"/>
          <w:numId w:val="47"/>
        </w:numPr>
        <w:rPr>
          <w:rFonts w:ascii="Arial" w:cs="Arial" w:eastAsia="Arial" w:hAnsi="Arial"/>
          <w:sz w:val="21"/>
          <w:szCs w:val="21"/>
          <w:color w:val="auto"/>
        </w:rPr>
      </w:pPr>
      <w:r>
        <w:rPr>
          <w:rFonts w:ascii="Arial" w:cs="Arial" w:eastAsia="Arial" w:hAnsi="Arial"/>
          <w:sz w:val="19"/>
          <w:szCs w:val="19"/>
          <w:u w:val="single" w:color="auto"/>
          <w:color w:val="auto"/>
        </w:rPr>
        <w:t>For Cause</w:t>
      </w:r>
      <w:r>
        <w:rPr>
          <w:rFonts w:ascii="Arial" w:cs="Arial" w:eastAsia="Arial" w:hAnsi="Arial"/>
          <w:sz w:val="19"/>
          <w:szCs w:val="19"/>
          <w:color w:val="auto"/>
        </w:rPr>
        <w:t>. On the date of delivery of a notice from the Company terminating the Executive’s employment for Cause. For purposes of this Agreement, the Company shall have “Cause” to terminate the Executive’s employment hereunder in the event: (i) the Executive shall have willfully failed and continued to fail substantially to perform the duties (other than due to Disability or any failure that the Company anticipated or had reason to anticipate after the issuance by the Executive of a notice of termination) for thirty (30) days after a written demand for performance is delivered to the Executive on behalf of the Company which specifically identifies the manner in which it is alleged that the Executive has not substantially performed his duties, provided that the Company's economic performance or failure to meet any specific projection shall not, in and of itself, constitute “Cause”; (ii) the Executive shall have engaged in (A) any material misappropriation of funds, properties, or</w:t>
      </w:r>
    </w:p>
    <w:p>
      <w:pPr>
        <w:spacing w:after="0" w:line="200" w:lineRule="exact"/>
        <w:rPr>
          <w:rFonts w:ascii="Arial" w:cs="Arial" w:eastAsia="Arial" w:hAnsi="Arial"/>
          <w:sz w:val="21"/>
          <w:szCs w:val="21"/>
          <w:color w:val="auto"/>
        </w:rPr>
      </w:pPr>
    </w:p>
    <w:p>
      <w:pPr>
        <w:spacing w:after="0" w:line="226" w:lineRule="exact"/>
        <w:rPr>
          <w:rFonts w:ascii="Arial" w:cs="Arial" w:eastAsia="Arial" w:hAnsi="Arial"/>
          <w:sz w:val="21"/>
          <w:szCs w:val="21"/>
          <w:color w:val="auto"/>
        </w:rPr>
      </w:pPr>
    </w:p>
    <w:p>
      <w:pPr>
        <w:ind w:left="4089" w:hanging="118"/>
        <w:spacing w:after="0"/>
        <w:tabs>
          <w:tab w:leader="none" w:pos="4089" w:val="left"/>
        </w:tabs>
        <w:numPr>
          <w:ilvl w:val="1"/>
          <w:numId w:val="47"/>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169"/>
          </w:cols>
          <w:pgMar w:left="491" w:top="126" w:right="239" w:bottom="1440" w:gutter="0" w:footer="0" w:header="0"/>
        </w:sectPr>
      </w:pPr>
    </w:p>
    <w:bookmarkStart w:id="75" w:name="page76"/>
    <w:bookmarkEnd w:id="75"/>
    <w:p>
      <w:pPr>
        <w:ind w:left="9189"/>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409"/>
        <w:spacing w:after="0" w:line="285" w:lineRule="auto"/>
        <w:rPr>
          <w:sz w:val="20"/>
          <w:szCs w:val="20"/>
          <w:color w:val="auto"/>
        </w:rPr>
      </w:pPr>
      <w:r>
        <w:rPr>
          <w:rFonts w:ascii="Arial" w:cs="Arial" w:eastAsia="Arial" w:hAnsi="Arial"/>
          <w:sz w:val="19"/>
          <w:szCs w:val="19"/>
          <w:color w:val="auto"/>
        </w:rPr>
        <w:t xml:space="preserve">assets of the Company, it being understood that “material” for these purposes shall take into account both the amount of funds, properties or assets misappropriated, and the circumstances thereof (including the intent of the Executive in connection therewith); (iii) any malicious damage or destruction of any property or assets of the Company, whether resulting from the Executive's willful actions or omissions or the Executive's gross negligence; (iv) the Executive shall (A) have been convicted of a crime involving moral turpitude or constituting a felony relating to the Company or (B) entered a plea of nolo contendere to any such crime, either of which has had a material adverse effect upon the business of the Company; (v) the Executive shall have (A) materially breached his obligations under </w:t>
      </w:r>
      <w:r>
        <w:rPr>
          <w:rFonts w:ascii="Arial" w:cs="Arial" w:eastAsia="Arial" w:hAnsi="Arial"/>
          <w:sz w:val="19"/>
          <w:szCs w:val="19"/>
          <w:u w:val="single" w:color="auto"/>
          <w:color w:val="auto"/>
        </w:rPr>
        <w:t>Sections 10, 11 and 13</w:t>
      </w:r>
      <w:r>
        <w:rPr>
          <w:rFonts w:ascii="Arial" w:cs="Arial" w:eastAsia="Arial" w:hAnsi="Arial"/>
          <w:sz w:val="19"/>
          <w:szCs w:val="19"/>
          <w:color w:val="auto"/>
        </w:rPr>
        <w:t xml:space="preserve"> hereof or (B) breached any of the other material provisions of this Agreement and such breach shall remain uncured by the Executive within 30 days following receipt of notice from the Company specifying such breach; and/or (vi) (AA) the Executive is sanctioned by a federal or state government or agency with material violations, provided that such violations are willful and knowing violations on the Executive’s part, of federal or state securities laws relating to the Company and for which the Executive is directly responsible, or (BB) the Executive is found by any court, or by any judicial or administrative process or proceeding, to have committed any such violation, provided that any such violation has had a material adverse effect upon the business of the Company. In the event of the termination of the Executive’s employment for Cause pursuant to this </w:t>
      </w:r>
      <w:r>
        <w:rPr>
          <w:rFonts w:ascii="Arial" w:cs="Arial" w:eastAsia="Arial" w:hAnsi="Arial"/>
          <w:sz w:val="19"/>
          <w:szCs w:val="19"/>
          <w:u w:val="single" w:color="auto"/>
          <w:color w:val="auto"/>
        </w:rPr>
        <w:t>Section 8(c)</w:t>
      </w:r>
      <w:r>
        <w:rPr>
          <w:rFonts w:ascii="Arial" w:cs="Arial" w:eastAsia="Arial" w:hAnsi="Arial"/>
          <w:sz w:val="19"/>
          <w:szCs w:val="19"/>
          <w:color w:val="auto"/>
        </w:rPr>
        <w:t>, the Company shall pay to the Executive Accrued Benefits that had been earned but unpaid as of the date of the termination, and the Executive shall receive no further payments of any kind.</w:t>
      </w:r>
    </w:p>
    <w:p>
      <w:pPr>
        <w:spacing w:after="0" w:line="187" w:lineRule="exact"/>
        <w:rPr>
          <w:sz w:val="20"/>
          <w:szCs w:val="20"/>
          <w:color w:val="auto"/>
        </w:rPr>
      </w:pPr>
    </w:p>
    <w:p>
      <w:pPr>
        <w:jc w:val="both"/>
        <w:ind w:left="409" w:hanging="409"/>
        <w:spacing w:after="0" w:line="282" w:lineRule="auto"/>
        <w:tabs>
          <w:tab w:leader="none" w:pos="409" w:val="left"/>
        </w:tabs>
        <w:numPr>
          <w:ilvl w:val="0"/>
          <w:numId w:val="48"/>
        </w:numPr>
        <w:rPr>
          <w:rFonts w:ascii="Arial" w:cs="Arial" w:eastAsia="Arial" w:hAnsi="Arial"/>
          <w:sz w:val="21"/>
          <w:szCs w:val="21"/>
          <w:color w:val="auto"/>
        </w:rPr>
      </w:pPr>
      <w:r>
        <w:rPr>
          <w:rFonts w:ascii="Arial" w:cs="Arial" w:eastAsia="Arial" w:hAnsi="Arial"/>
          <w:sz w:val="19"/>
          <w:szCs w:val="19"/>
          <w:u w:val="single" w:color="auto"/>
          <w:color w:val="auto"/>
        </w:rPr>
        <w:t>Without Cause</w:t>
      </w:r>
      <w:r>
        <w:rPr>
          <w:rFonts w:ascii="Arial" w:cs="Arial" w:eastAsia="Arial" w:hAnsi="Arial"/>
          <w:sz w:val="19"/>
          <w:szCs w:val="19"/>
          <w:color w:val="auto"/>
        </w:rPr>
        <w:t>. On the date specified in a written notice from the Company terminating the Executive’s employment Without Cause, or in the event no date is specified in the notice, on the date on which the notice is delivered to the Executive, provided that such termination may take place no earlier than thirty (30) days after the Company has provided written notice to the Executive of the Company’s intent to terminate employment. The Company reserves the right to provide payment at the Executive’s then-current Base Salary in lieu of all or any portion of such notice period. For purposes of this Agreement, “</w:t>
      </w:r>
      <w:r>
        <w:rPr>
          <w:rFonts w:ascii="Arial" w:cs="Arial" w:eastAsia="Arial" w:hAnsi="Arial"/>
          <w:sz w:val="19"/>
          <w:szCs w:val="19"/>
          <w:u w:val="single" w:color="auto"/>
          <w:color w:val="auto"/>
        </w:rPr>
        <w:t>Without Cause</w:t>
      </w:r>
      <w:r>
        <w:rPr>
          <w:rFonts w:ascii="Arial" w:cs="Arial" w:eastAsia="Arial" w:hAnsi="Arial"/>
          <w:sz w:val="19"/>
          <w:szCs w:val="19"/>
          <w:color w:val="auto"/>
        </w:rPr>
        <w:t xml:space="preserve">” shall mean any reason for the Company’s decision to terminate the Executive’s employment other than by reason of the Executive’s death, Disability, or for Cause, as provided in subsections (a) through (c) above. In the event of the termination of the Executive’s employment Without Cause pursuant to this </w:t>
      </w:r>
      <w:r>
        <w:rPr>
          <w:rFonts w:ascii="Arial" w:cs="Arial" w:eastAsia="Arial" w:hAnsi="Arial"/>
          <w:sz w:val="19"/>
          <w:szCs w:val="19"/>
          <w:u w:val="single" w:color="auto"/>
          <w:color w:val="auto"/>
        </w:rPr>
        <w:t>Section 8(d)</w:t>
      </w:r>
      <w:r>
        <w:rPr>
          <w:rFonts w:ascii="Arial" w:cs="Arial" w:eastAsia="Arial" w:hAnsi="Arial"/>
          <w:sz w:val="19"/>
          <w:szCs w:val="19"/>
          <w:color w:val="auto"/>
        </w:rPr>
        <w:t>, the Company shall pay to the Executive all Accrued Benefits through the date of such termination, and Severance Benefits (as defined below).</w:t>
      </w:r>
    </w:p>
    <w:p>
      <w:pPr>
        <w:spacing w:after="0" w:line="187" w:lineRule="exact"/>
        <w:rPr>
          <w:rFonts w:ascii="Arial" w:cs="Arial" w:eastAsia="Arial" w:hAnsi="Arial"/>
          <w:sz w:val="21"/>
          <w:szCs w:val="21"/>
          <w:color w:val="auto"/>
        </w:rPr>
      </w:pPr>
    </w:p>
    <w:p>
      <w:pPr>
        <w:jc w:val="both"/>
        <w:ind w:left="409" w:hanging="409"/>
        <w:spacing w:after="0" w:line="302" w:lineRule="auto"/>
        <w:tabs>
          <w:tab w:leader="none" w:pos="409" w:val="left"/>
        </w:tabs>
        <w:numPr>
          <w:ilvl w:val="0"/>
          <w:numId w:val="48"/>
        </w:numPr>
        <w:rPr>
          <w:rFonts w:ascii="Arial" w:cs="Arial" w:eastAsia="Arial" w:hAnsi="Arial"/>
          <w:sz w:val="19"/>
          <w:szCs w:val="19"/>
          <w:color w:val="auto"/>
        </w:rPr>
      </w:pPr>
      <w:r>
        <w:rPr>
          <w:rFonts w:ascii="Arial" w:cs="Arial" w:eastAsia="Arial" w:hAnsi="Arial"/>
          <w:sz w:val="18"/>
          <w:szCs w:val="18"/>
          <w:u w:val="single" w:color="auto"/>
          <w:color w:val="auto"/>
        </w:rPr>
        <w:t>For Good Reason</w:t>
      </w:r>
      <w:r>
        <w:rPr>
          <w:rFonts w:ascii="Arial" w:cs="Arial" w:eastAsia="Arial" w:hAnsi="Arial"/>
          <w:sz w:val="18"/>
          <w:szCs w:val="18"/>
          <w:color w:val="auto"/>
        </w:rPr>
        <w:t>. By the Executive for Good Reason as set forth herein. “</w:t>
      </w:r>
      <w:r>
        <w:rPr>
          <w:rFonts w:ascii="Arial" w:cs="Arial" w:eastAsia="Arial" w:hAnsi="Arial"/>
          <w:sz w:val="18"/>
          <w:szCs w:val="18"/>
          <w:u w:val="single" w:color="auto"/>
          <w:color w:val="auto"/>
        </w:rPr>
        <w:t>Good Reason</w:t>
      </w:r>
      <w:r>
        <w:rPr>
          <w:rFonts w:ascii="Arial" w:cs="Arial" w:eastAsia="Arial" w:hAnsi="Arial"/>
          <w:sz w:val="18"/>
          <w:szCs w:val="18"/>
          <w:color w:val="auto"/>
        </w:rPr>
        <w:t>” for purposes of this Agreement shall mean the occurrence of any of the following events without the Executive’s consent: (i) any material reduction in the Executive’s then current Base Salary; (ii) the assignment to the Executive of any duties inconsistent with his status as Chief Executive Officer of the Company,</w:t>
      </w:r>
    </w:p>
    <w:p>
      <w:pPr>
        <w:jc w:val="both"/>
        <w:ind w:left="409"/>
        <w:spacing w:after="0" w:line="286" w:lineRule="auto"/>
        <w:rPr>
          <w:rFonts w:ascii="Arial" w:cs="Arial" w:eastAsia="Arial" w:hAnsi="Arial"/>
          <w:sz w:val="19"/>
          <w:szCs w:val="19"/>
          <w:color w:val="auto"/>
        </w:rPr>
      </w:pPr>
      <w:r>
        <w:rPr>
          <w:rFonts w:ascii="Arial" w:cs="Arial" w:eastAsia="Arial" w:hAnsi="Arial"/>
          <w:sz w:val="19"/>
          <w:szCs w:val="19"/>
          <w:color w:val="auto"/>
        </w:rPr>
        <w:t xml:space="preserve">his removal from the position of Chief Executive Officer of the Company, or a material diminution in the Executive’s duties, title, or reporting relationship; (iii) the relocation of the Executive’s work location to a location that is more than thirty (30) miles from the Executive’s then-current principal work location, provided, however, that travel during the ordinary course of performance of the Executive’s duties will not constitute Good Reason; and/or (iv) the Company ceasing to provide, in the aggregate, substantially the same employee benefits that are set forth in </w:t>
      </w:r>
      <w:r>
        <w:rPr>
          <w:rFonts w:ascii="Arial" w:cs="Arial" w:eastAsia="Arial" w:hAnsi="Arial"/>
          <w:sz w:val="19"/>
          <w:szCs w:val="19"/>
          <w:u w:val="single" w:color="auto"/>
          <w:color w:val="auto"/>
        </w:rPr>
        <w:t>Section 5(a)</w:t>
      </w:r>
      <w:r>
        <w:rPr>
          <w:rFonts w:ascii="Arial" w:cs="Arial" w:eastAsia="Arial" w:hAnsi="Arial"/>
          <w:sz w:val="19"/>
          <w:szCs w:val="19"/>
          <w:color w:val="auto"/>
        </w:rPr>
        <w:t xml:space="preserve"> of this Agreement or a material breach by the Company of any other provision of this Agreement; provided that, in each case, (A) within sixty (60) days of the first occurrence of such event, the Executive must give written notice to the Board stating in reasonable detail the actions or omissions purported to constitute Good Reason, (B) such event is not corrected within thirty (30) days after receiving the Executive’s written notice (the “</w:t>
      </w:r>
      <w:r>
        <w:rPr>
          <w:rFonts w:ascii="Arial" w:cs="Arial" w:eastAsia="Arial" w:hAnsi="Arial"/>
          <w:sz w:val="19"/>
          <w:szCs w:val="19"/>
          <w:u w:val="single" w:color="auto"/>
          <w:color w:val="auto"/>
        </w:rPr>
        <w:t>Cure Period</w:t>
      </w:r>
      <w:r>
        <w:rPr>
          <w:rFonts w:ascii="Arial" w:cs="Arial" w:eastAsia="Arial" w:hAnsi="Arial"/>
          <w:sz w:val="19"/>
          <w:szCs w:val="19"/>
          <w:color w:val="auto"/>
        </w:rPr>
        <w:t>”), and (C) the Executive terminates the Executive’s</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ind w:left="4089" w:hanging="118"/>
        <w:spacing w:after="0"/>
        <w:tabs>
          <w:tab w:leader="none" w:pos="4089" w:val="left"/>
        </w:tabs>
        <w:numPr>
          <w:ilvl w:val="1"/>
          <w:numId w:val="48"/>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169"/>
          </w:cols>
          <w:pgMar w:left="491" w:top="126" w:right="239" w:bottom="1440" w:gutter="0" w:footer="0" w:header="0"/>
        </w:sectPr>
      </w:pPr>
    </w:p>
    <w:bookmarkStart w:id="76" w:name="page77"/>
    <w:bookmarkEnd w:id="76"/>
    <w:p>
      <w:pPr>
        <w:ind w:left="9189"/>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409"/>
        <w:spacing w:after="0" w:line="278" w:lineRule="auto"/>
        <w:rPr>
          <w:sz w:val="20"/>
          <w:szCs w:val="20"/>
          <w:color w:val="auto"/>
        </w:rPr>
      </w:pPr>
      <w:r>
        <w:rPr>
          <w:rFonts w:ascii="Arial" w:cs="Arial" w:eastAsia="Arial" w:hAnsi="Arial"/>
          <w:sz w:val="20"/>
          <w:szCs w:val="20"/>
          <w:color w:val="auto"/>
        </w:rPr>
        <w:t xml:space="preserve">employment within thirty (30) days following the end of the Cure Period. In the event of the termination by the Executive for Good Reason pursuant to this </w:t>
      </w:r>
      <w:r>
        <w:rPr>
          <w:rFonts w:ascii="Arial" w:cs="Arial" w:eastAsia="Arial" w:hAnsi="Arial"/>
          <w:sz w:val="20"/>
          <w:szCs w:val="20"/>
          <w:u w:val="single" w:color="auto"/>
          <w:color w:val="auto"/>
        </w:rPr>
        <w:t>Section 8(e)</w:t>
      </w:r>
      <w:r>
        <w:rPr>
          <w:rFonts w:ascii="Arial" w:cs="Arial" w:eastAsia="Arial" w:hAnsi="Arial"/>
          <w:sz w:val="20"/>
          <w:szCs w:val="20"/>
          <w:color w:val="auto"/>
        </w:rPr>
        <w:t>, the Company shall pay to the Executive all Accrued Benefits through the date of such termination, and Severance Benefits.</w:t>
      </w:r>
    </w:p>
    <w:p>
      <w:pPr>
        <w:spacing w:after="0" w:line="187" w:lineRule="exact"/>
        <w:rPr>
          <w:sz w:val="20"/>
          <w:szCs w:val="20"/>
          <w:color w:val="auto"/>
        </w:rPr>
      </w:pPr>
    </w:p>
    <w:p>
      <w:pPr>
        <w:jc w:val="both"/>
        <w:ind w:left="409" w:hanging="409"/>
        <w:spacing w:after="0" w:line="265" w:lineRule="auto"/>
        <w:tabs>
          <w:tab w:leader="none" w:pos="409" w:val="left"/>
        </w:tabs>
        <w:numPr>
          <w:ilvl w:val="0"/>
          <w:numId w:val="49"/>
        </w:numPr>
        <w:rPr>
          <w:rFonts w:ascii="Arial" w:cs="Arial" w:eastAsia="Arial" w:hAnsi="Arial"/>
          <w:sz w:val="22"/>
          <w:szCs w:val="22"/>
          <w:color w:val="auto"/>
        </w:rPr>
      </w:pPr>
      <w:r>
        <w:rPr>
          <w:rFonts w:ascii="Arial" w:cs="Arial" w:eastAsia="Arial" w:hAnsi="Arial"/>
          <w:sz w:val="20"/>
          <w:szCs w:val="20"/>
          <w:u w:val="single" w:color="auto"/>
          <w:color w:val="auto"/>
        </w:rPr>
        <w:t>Severance Benefits</w:t>
      </w:r>
      <w:r>
        <w:rPr>
          <w:rFonts w:ascii="Arial" w:cs="Arial" w:eastAsia="Arial" w:hAnsi="Arial"/>
          <w:sz w:val="20"/>
          <w:szCs w:val="20"/>
          <w:color w:val="auto"/>
        </w:rPr>
        <w:t xml:space="preserve">. In the event of the termination of the Executive’s employment by the Company under </w:t>
      </w:r>
      <w:r>
        <w:rPr>
          <w:rFonts w:ascii="Arial" w:cs="Arial" w:eastAsia="Arial" w:hAnsi="Arial"/>
          <w:sz w:val="20"/>
          <w:szCs w:val="20"/>
          <w:u w:val="single" w:color="auto"/>
          <w:color w:val="auto"/>
        </w:rPr>
        <w:t>Section 8(d)</w:t>
      </w:r>
      <w:r>
        <w:rPr>
          <w:rFonts w:ascii="Arial" w:cs="Arial" w:eastAsia="Arial" w:hAnsi="Arial"/>
          <w:sz w:val="20"/>
          <w:szCs w:val="20"/>
          <w:color w:val="auto"/>
        </w:rPr>
        <w:t xml:space="preserve"> (Without Cause) and/or by the Executive under </w:t>
      </w:r>
      <w:r>
        <w:rPr>
          <w:rFonts w:ascii="Arial" w:cs="Arial" w:eastAsia="Arial" w:hAnsi="Arial"/>
          <w:sz w:val="20"/>
          <w:szCs w:val="20"/>
          <w:u w:val="single" w:color="auto"/>
          <w:color w:val="auto"/>
        </w:rPr>
        <w:t>Section 8(e)</w:t>
      </w:r>
      <w:r>
        <w:rPr>
          <w:rFonts w:ascii="Arial" w:cs="Arial" w:eastAsia="Arial" w:hAnsi="Arial"/>
          <w:sz w:val="20"/>
          <w:szCs w:val="20"/>
          <w:color w:val="auto"/>
        </w:rPr>
        <w:t xml:space="preserve"> (for Good Reason) (each, a “</w:t>
      </w:r>
      <w:r>
        <w:rPr>
          <w:rFonts w:ascii="Arial" w:cs="Arial" w:eastAsia="Arial" w:hAnsi="Arial"/>
          <w:sz w:val="20"/>
          <w:szCs w:val="20"/>
          <w:u w:val="single" w:color="auto"/>
          <w:color w:val="auto"/>
        </w:rPr>
        <w:t>Qualifying Termination</w:t>
      </w:r>
      <w:r>
        <w:rPr>
          <w:rFonts w:ascii="Arial" w:cs="Arial" w:eastAsia="Arial" w:hAnsi="Arial"/>
          <w:sz w:val="20"/>
          <w:szCs w:val="20"/>
          <w:color w:val="auto"/>
        </w:rPr>
        <w:t>”), the Company shall pay the Executive each of the following benefits (“</w:t>
      </w:r>
      <w:r>
        <w:rPr>
          <w:rFonts w:ascii="Arial" w:cs="Arial" w:eastAsia="Arial" w:hAnsi="Arial"/>
          <w:sz w:val="20"/>
          <w:szCs w:val="20"/>
          <w:u w:val="single" w:color="auto"/>
          <w:color w:val="auto"/>
        </w:rPr>
        <w:t>Severance Benefits</w:t>
      </w:r>
      <w:r>
        <w:rPr>
          <w:rFonts w:ascii="Arial" w:cs="Arial" w:eastAsia="Arial" w:hAnsi="Arial"/>
          <w:sz w:val="20"/>
          <w:szCs w:val="20"/>
          <w:color w:val="auto"/>
        </w:rPr>
        <w:t>”):</w:t>
      </w:r>
    </w:p>
    <w:p>
      <w:pPr>
        <w:spacing w:after="0" w:line="198" w:lineRule="exact"/>
        <w:rPr>
          <w:rFonts w:ascii="Arial" w:cs="Arial" w:eastAsia="Arial" w:hAnsi="Arial"/>
          <w:sz w:val="22"/>
          <w:szCs w:val="22"/>
          <w:color w:val="auto"/>
        </w:rPr>
      </w:pPr>
    </w:p>
    <w:p>
      <w:pPr>
        <w:ind w:left="469" w:hanging="212"/>
        <w:spacing w:after="0"/>
        <w:tabs>
          <w:tab w:leader="none" w:pos="469" w:val="left"/>
        </w:tabs>
        <w:numPr>
          <w:ilvl w:val="1"/>
          <w:numId w:val="49"/>
        </w:numPr>
        <w:rPr>
          <w:rFonts w:ascii="Arial" w:cs="Arial" w:eastAsia="Arial" w:hAnsi="Arial"/>
          <w:sz w:val="19"/>
          <w:szCs w:val="19"/>
          <w:color w:val="auto"/>
        </w:rPr>
      </w:pPr>
      <w:r>
        <w:rPr>
          <w:rFonts w:ascii="Arial" w:cs="Arial" w:eastAsia="Arial" w:hAnsi="Arial"/>
          <w:sz w:val="18"/>
          <w:szCs w:val="18"/>
          <w:color w:val="auto"/>
        </w:rPr>
        <w:t>The Company shall pay the Executive a lump sum amount of severance equal to the product of: (A) the Multiplier; and (B) the sum of</w:t>
      </w:r>
    </w:p>
    <w:p>
      <w:pPr>
        <w:spacing w:after="0" w:line="51" w:lineRule="exact"/>
        <w:rPr>
          <w:rFonts w:ascii="Arial" w:cs="Arial" w:eastAsia="Arial" w:hAnsi="Arial"/>
          <w:sz w:val="19"/>
          <w:szCs w:val="19"/>
          <w:color w:val="auto"/>
        </w:rPr>
      </w:pPr>
    </w:p>
    <w:p>
      <w:pPr>
        <w:jc w:val="both"/>
        <w:ind w:left="729" w:hanging="4"/>
        <w:spacing w:after="0" w:line="292" w:lineRule="auto"/>
        <w:tabs>
          <w:tab w:leader="none" w:pos="1107"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Executive’s then-current Base Salary, and (bb) the Annual Bonus earned by the Executive for the preceding fiscal year (“</w:t>
      </w:r>
      <w:r>
        <w:rPr>
          <w:rFonts w:ascii="Arial" w:cs="Arial" w:eastAsia="Arial" w:hAnsi="Arial"/>
          <w:sz w:val="18"/>
          <w:szCs w:val="18"/>
          <w:u w:val="single" w:color="auto"/>
          <w:color w:val="auto"/>
        </w:rPr>
        <w:t>Prior Annual Bonus</w:t>
      </w:r>
      <w:r>
        <w:rPr>
          <w:rFonts w:ascii="Arial" w:cs="Arial" w:eastAsia="Arial" w:hAnsi="Arial"/>
          <w:sz w:val="18"/>
          <w:szCs w:val="18"/>
          <w:color w:val="auto"/>
        </w:rPr>
        <w:t>”). For purposes of this Agreement, the “</w:t>
      </w:r>
      <w:r>
        <w:rPr>
          <w:rFonts w:ascii="Arial" w:cs="Arial" w:eastAsia="Arial" w:hAnsi="Arial"/>
          <w:sz w:val="18"/>
          <w:szCs w:val="18"/>
          <w:u w:val="single" w:color="auto"/>
          <w:color w:val="auto"/>
        </w:rPr>
        <w:t>Multiplier</w:t>
      </w:r>
      <w:r>
        <w:rPr>
          <w:rFonts w:ascii="Arial" w:cs="Arial" w:eastAsia="Arial" w:hAnsi="Arial"/>
          <w:sz w:val="18"/>
          <w:szCs w:val="18"/>
          <w:color w:val="auto"/>
        </w:rPr>
        <w:t>” shall equal two (2), provided, however, that the Multiplier shall equal three (3) if (x) the Qualifying Termination occurs within the first anniversary of a Change in Control event,</w:t>
      </w:r>
    </w:p>
    <w:p>
      <w:pPr>
        <w:jc w:val="both"/>
        <w:ind w:left="729" w:hanging="4"/>
        <w:spacing w:after="0" w:line="307" w:lineRule="auto"/>
        <w:tabs>
          <w:tab w:leader="none" w:pos="10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the Executive did not vote in favor of such Change in Control, and (z) the Company’s net assets are greater than one hundred million dollars ($100,000,000) as determined by the Board in good faith. This severance amount shall be paid to the Executive within thirty (30) days following the effective date of the release as set forth in subsection (i). For the avoidance of doubt and for purposes of calculating severance under this Section, (1) if the Qualifying Termination occurs during fiscal year 2019, the Prior Annual Bonus shall equal the Executive’s then-current Base Salary; and (2) if the Qualifying Termination occurs during fiscal year 2020, the Prior Annual Bonus shall equal the annualized rate of the Annual Bonus earned for fiscal year 2019.</w:t>
      </w:r>
    </w:p>
    <w:p>
      <w:pPr>
        <w:spacing w:after="0" w:line="162" w:lineRule="exact"/>
        <w:rPr>
          <w:sz w:val="20"/>
          <w:szCs w:val="20"/>
          <w:color w:val="auto"/>
        </w:rPr>
      </w:pPr>
    </w:p>
    <w:p>
      <w:pPr>
        <w:jc w:val="both"/>
        <w:ind w:left="769" w:hanging="521"/>
        <w:spacing w:after="0" w:line="262" w:lineRule="auto"/>
        <w:rPr>
          <w:sz w:val="20"/>
          <w:szCs w:val="20"/>
          <w:color w:val="auto"/>
        </w:rPr>
      </w:pPr>
      <w:r>
        <w:rPr>
          <w:rFonts w:ascii="Arial" w:cs="Arial" w:eastAsia="Arial" w:hAnsi="Arial"/>
          <w:sz w:val="22"/>
          <w:szCs w:val="22"/>
          <w:color w:val="auto"/>
        </w:rPr>
        <w:t>(ii)</w:t>
      </w:r>
      <w:r>
        <w:rPr>
          <w:rFonts w:ascii="Arial" w:cs="Arial" w:eastAsia="Arial" w:hAnsi="Arial"/>
          <w:sz w:val="19"/>
          <w:szCs w:val="19"/>
          <w:color w:val="auto"/>
        </w:rPr>
        <w:t>Notwithstanding anything in the applicable equity incentive plan and/or equity award agreement to the contrary, any unvested portion</w:t>
      </w:r>
      <w:r>
        <w:rPr>
          <w:rFonts w:ascii="Arial" w:cs="Arial" w:eastAsia="Arial" w:hAnsi="Arial"/>
          <w:sz w:val="22"/>
          <w:szCs w:val="22"/>
          <w:color w:val="auto"/>
        </w:rPr>
        <w:t xml:space="preserve"> </w:t>
      </w:r>
      <w:r>
        <w:rPr>
          <w:rFonts w:ascii="Arial" w:cs="Arial" w:eastAsia="Arial" w:hAnsi="Arial"/>
          <w:sz w:val="19"/>
          <w:szCs w:val="19"/>
          <w:color w:val="auto"/>
        </w:rPr>
        <w:t xml:space="preserve">of any equity awards held by the Executive shall vest in full and become exercisable and free from forfeiture or repurchase, as applicable, as of the date of the effective date of the release as set forth in </w:t>
      </w:r>
      <w:r>
        <w:rPr>
          <w:rFonts w:ascii="Arial" w:cs="Arial" w:eastAsia="Arial" w:hAnsi="Arial"/>
          <w:sz w:val="19"/>
          <w:szCs w:val="19"/>
          <w:u w:val="single" w:color="auto"/>
          <w:color w:val="auto"/>
        </w:rPr>
        <w:t>Section 8(i)</w:t>
      </w:r>
      <w:r>
        <w:rPr>
          <w:rFonts w:ascii="Arial" w:cs="Arial" w:eastAsia="Arial" w:hAnsi="Arial"/>
          <w:sz w:val="19"/>
          <w:szCs w:val="19"/>
          <w:color w:val="auto"/>
        </w:rPr>
        <w:t>.</w:t>
      </w:r>
    </w:p>
    <w:p>
      <w:pPr>
        <w:spacing w:after="0" w:line="195" w:lineRule="exact"/>
        <w:rPr>
          <w:sz w:val="20"/>
          <w:szCs w:val="20"/>
          <w:color w:val="auto"/>
        </w:rPr>
      </w:pPr>
    </w:p>
    <w:p>
      <w:pPr>
        <w:jc w:val="both"/>
        <w:ind w:left="829" w:hanging="575"/>
        <w:spacing w:after="0" w:line="272" w:lineRule="auto"/>
        <w:rPr>
          <w:sz w:val="20"/>
          <w:szCs w:val="20"/>
          <w:color w:val="auto"/>
        </w:rPr>
      </w:pPr>
      <w:r>
        <w:rPr>
          <w:rFonts w:ascii="Arial" w:cs="Arial" w:eastAsia="Arial" w:hAnsi="Arial"/>
          <w:sz w:val="22"/>
          <w:szCs w:val="22"/>
          <w:color w:val="auto"/>
        </w:rPr>
        <w:t>(iii)</w:t>
      </w:r>
      <w:r>
        <w:rPr>
          <w:rFonts w:ascii="Arial" w:cs="Arial" w:eastAsia="Arial" w:hAnsi="Arial"/>
          <w:sz w:val="19"/>
          <w:szCs w:val="19"/>
          <w:color w:val="auto"/>
        </w:rPr>
        <w:t>The Company shall provide, at the Company’s cost, continuation health insurance coverage under the Consolidated Omnibus Budget</w:t>
      </w:r>
      <w:r>
        <w:rPr>
          <w:rFonts w:ascii="Arial" w:cs="Arial" w:eastAsia="Arial" w:hAnsi="Arial"/>
          <w:sz w:val="22"/>
          <w:szCs w:val="22"/>
          <w:color w:val="auto"/>
        </w:rPr>
        <w:t xml:space="preserve"> </w:t>
      </w:r>
      <w:r>
        <w:rPr>
          <w:rFonts w:ascii="Arial" w:cs="Arial" w:eastAsia="Arial" w:hAnsi="Arial"/>
          <w:sz w:val="19"/>
          <w:szCs w:val="19"/>
          <w:color w:val="auto"/>
        </w:rPr>
        <w:t>Reconciliation Act of 1985 (“</w:t>
      </w:r>
      <w:r>
        <w:rPr>
          <w:rFonts w:ascii="Arial" w:cs="Arial" w:eastAsia="Arial" w:hAnsi="Arial"/>
          <w:sz w:val="19"/>
          <w:szCs w:val="19"/>
          <w:u w:val="single" w:color="auto"/>
          <w:color w:val="auto"/>
        </w:rPr>
        <w:t>COBRA</w:t>
      </w:r>
      <w:r>
        <w:rPr>
          <w:rFonts w:ascii="Arial" w:cs="Arial" w:eastAsia="Arial" w:hAnsi="Arial"/>
          <w:sz w:val="19"/>
          <w:szCs w:val="19"/>
          <w:color w:val="auto"/>
        </w:rPr>
        <w:t>”) during the eighteen (18) months following the date of termination (“</w:t>
      </w:r>
      <w:r>
        <w:rPr>
          <w:rFonts w:ascii="Arial" w:cs="Arial" w:eastAsia="Arial" w:hAnsi="Arial"/>
          <w:sz w:val="19"/>
          <w:szCs w:val="19"/>
          <w:u w:val="single" w:color="auto"/>
          <w:color w:val="auto"/>
        </w:rPr>
        <w:t>COBRA Coverage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provided that, these payments for continuation coverage under COBRA shall cease prior to the end of the COBRA Coverage Period if the Executive becomes eligible for other group health insurance coverage from a new employer, and provided further that such coverage provided during the COBRA Coverage Period shall be included in (and not in addition to) the continuation period under COBRA.</w:t>
      </w:r>
    </w:p>
    <w:p>
      <w:pPr>
        <w:spacing w:after="0" w:line="196" w:lineRule="exact"/>
        <w:rPr>
          <w:sz w:val="20"/>
          <w:szCs w:val="20"/>
          <w:color w:val="auto"/>
        </w:rPr>
      </w:pPr>
    </w:p>
    <w:p>
      <w:pPr>
        <w:ind w:left="829" w:hanging="572"/>
        <w:spacing w:after="0" w:line="265" w:lineRule="auto"/>
        <w:tabs>
          <w:tab w:leader="none" w:pos="577" w:val="left"/>
        </w:tabs>
        <w:numPr>
          <w:ilvl w:val="0"/>
          <w:numId w:val="51"/>
        </w:numPr>
        <w:rPr>
          <w:rFonts w:ascii="Arial" w:cs="Arial" w:eastAsia="Arial" w:hAnsi="Arial"/>
          <w:sz w:val="22"/>
          <w:szCs w:val="22"/>
          <w:color w:val="auto"/>
        </w:rPr>
      </w:pPr>
      <w:r>
        <w:rPr>
          <w:rFonts w:ascii="Arial" w:cs="Arial" w:eastAsia="Arial" w:hAnsi="Arial"/>
          <w:sz w:val="20"/>
          <w:szCs w:val="20"/>
          <w:color w:val="auto"/>
        </w:rPr>
        <w:t xml:space="preserve">The Executive shall receive any unpaid Annual Bonus for the preceding fiscal year and the Pro-Rated Bonus, payable in accordance with the timing as set forth in </w:t>
      </w:r>
      <w:r>
        <w:rPr>
          <w:rFonts w:ascii="Arial" w:cs="Arial" w:eastAsia="Arial" w:hAnsi="Arial"/>
          <w:sz w:val="20"/>
          <w:szCs w:val="20"/>
          <w:u w:val="single" w:color="auto"/>
          <w:color w:val="auto"/>
        </w:rPr>
        <w:t>Section 8(h)</w:t>
      </w:r>
      <w:r>
        <w:rPr>
          <w:rFonts w:ascii="Arial" w:cs="Arial" w:eastAsia="Arial" w:hAnsi="Arial"/>
          <w:sz w:val="20"/>
          <w:szCs w:val="20"/>
          <w:color w:val="auto"/>
        </w:rPr>
        <w:t>.</w:t>
      </w:r>
    </w:p>
    <w:p>
      <w:pPr>
        <w:spacing w:after="0" w:line="183" w:lineRule="exact"/>
        <w:rPr>
          <w:sz w:val="20"/>
          <w:szCs w:val="20"/>
          <w:color w:val="auto"/>
        </w:rPr>
      </w:pPr>
    </w:p>
    <w:p>
      <w:pPr>
        <w:ind w:left="269"/>
        <w:spacing w:after="0"/>
        <w:rPr>
          <w:sz w:val="20"/>
          <w:szCs w:val="20"/>
          <w:color w:val="auto"/>
        </w:rPr>
      </w:pPr>
      <w:r>
        <w:rPr>
          <w:rFonts w:ascii="Arial" w:cs="Arial" w:eastAsia="Arial" w:hAnsi="Arial"/>
          <w:sz w:val="18"/>
          <w:szCs w:val="18"/>
          <w:color w:val="auto"/>
        </w:rPr>
        <w:t>For the purposes of this Agreement,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the occurrence of any of the following events during the Term:</w:t>
      </w:r>
    </w:p>
    <w:p>
      <w:pPr>
        <w:spacing w:after="0" w:line="252" w:lineRule="exact"/>
        <w:rPr>
          <w:sz w:val="20"/>
          <w:szCs w:val="20"/>
          <w:color w:val="auto"/>
        </w:rPr>
      </w:pPr>
    </w:p>
    <w:p>
      <w:pPr>
        <w:ind w:left="649" w:hanging="392"/>
        <w:spacing w:after="0"/>
        <w:tabs>
          <w:tab w:leader="none" w:pos="649" w:val="left"/>
        </w:tabs>
        <w:numPr>
          <w:ilvl w:val="0"/>
          <w:numId w:val="52"/>
        </w:numPr>
        <w:rPr>
          <w:rFonts w:ascii="Arial" w:cs="Arial" w:eastAsia="Arial" w:hAnsi="Arial"/>
          <w:sz w:val="20"/>
          <w:szCs w:val="20"/>
          <w:color w:val="auto"/>
        </w:rPr>
      </w:pPr>
      <w:r>
        <w:rPr>
          <w:rFonts w:ascii="Arial" w:cs="Arial" w:eastAsia="Arial" w:hAnsi="Arial"/>
          <w:sz w:val="20"/>
          <w:szCs w:val="20"/>
          <w:color w:val="auto"/>
        </w:rPr>
        <w:t>a majority of the Board ceases to be comprised of Incumbent Directors (as defined below); or</w:t>
      </w:r>
    </w:p>
    <w:p>
      <w:pPr>
        <w:spacing w:after="0" w:line="229" w:lineRule="exact"/>
        <w:rPr>
          <w:rFonts w:ascii="Arial" w:cs="Arial" w:eastAsia="Arial" w:hAnsi="Arial"/>
          <w:sz w:val="20"/>
          <w:szCs w:val="20"/>
          <w:color w:val="auto"/>
        </w:rPr>
      </w:pPr>
    </w:p>
    <w:p>
      <w:pPr>
        <w:ind w:left="1169" w:hanging="912"/>
        <w:spacing w:after="0" w:line="250" w:lineRule="auto"/>
        <w:tabs>
          <w:tab w:leader="none" w:pos="647" w:val="left"/>
        </w:tabs>
        <w:numPr>
          <w:ilvl w:val="0"/>
          <w:numId w:val="52"/>
        </w:numPr>
        <w:rPr>
          <w:rFonts w:ascii="Arial" w:cs="Arial" w:eastAsia="Arial" w:hAnsi="Arial"/>
          <w:sz w:val="20"/>
          <w:szCs w:val="20"/>
          <w:color w:val="auto"/>
        </w:rPr>
      </w:pPr>
      <w:r>
        <w:rPr>
          <w:rFonts w:ascii="Arial" w:cs="Arial" w:eastAsia="Arial" w:hAnsi="Arial"/>
          <w:sz w:val="20"/>
          <w:szCs w:val="20"/>
          <w:color w:val="auto"/>
        </w:rPr>
        <w:t>any individual, entity or group (within the meaning of Section 13(d)(3) or 14(d)(2) of the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(a “</w:t>
      </w:r>
      <w:r>
        <w:rPr>
          <w:rFonts w:ascii="Arial" w:cs="Arial" w:eastAsia="Arial" w:hAnsi="Arial"/>
          <w:sz w:val="20"/>
          <w:szCs w:val="20"/>
          <w:u w:val="single" w:color="auto"/>
          <w:color w:val="auto"/>
        </w:rPr>
        <w:t>Person</w:t>
      </w:r>
      <w:r>
        <w:rPr>
          <w:rFonts w:ascii="Arial" w:cs="Arial" w:eastAsia="Arial" w:hAnsi="Arial"/>
          <w:sz w:val="20"/>
          <w:szCs w:val="20"/>
          <w:color w:val="auto"/>
        </w:rPr>
        <w:t>”) is or becomes the beneficial owner (within the meaning of Rule 13d-3 promulgated under the Securities Exchange</w:t>
      </w:r>
    </w:p>
    <w:p>
      <w:pPr>
        <w:spacing w:after="0" w:line="222" w:lineRule="exact"/>
        <w:rPr>
          <w:rFonts w:ascii="Arial" w:cs="Arial" w:eastAsia="Arial" w:hAnsi="Arial"/>
          <w:sz w:val="20"/>
          <w:szCs w:val="20"/>
          <w:color w:val="auto"/>
        </w:rPr>
      </w:pPr>
    </w:p>
    <w:p>
      <w:pPr>
        <w:ind w:left="4089" w:hanging="118"/>
        <w:spacing w:after="0"/>
        <w:tabs>
          <w:tab w:leader="none" w:pos="4089" w:val="left"/>
        </w:tabs>
        <w:numPr>
          <w:ilvl w:val="1"/>
          <w:numId w:val="52"/>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11169"/>
          </w:cols>
          <w:pgMar w:left="491" w:top="125" w:right="239" w:bottom="1440" w:gutter="0" w:footer="0" w:header="0"/>
        </w:sectPr>
      </w:pPr>
    </w:p>
    <w:bookmarkStart w:id="77" w:name="page78"/>
    <w:bookmarkEnd w:id="77"/>
    <w:p>
      <w:pPr>
        <w:ind w:left="8932"/>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92"/>
        <w:spacing w:after="0"/>
        <w:rPr>
          <w:sz w:val="20"/>
          <w:szCs w:val="20"/>
          <w:color w:val="auto"/>
        </w:rPr>
      </w:pPr>
      <w:r>
        <w:rPr>
          <w:rFonts w:ascii="Arial" w:cs="Arial" w:eastAsia="Arial" w:hAnsi="Arial"/>
          <w:sz w:val="20"/>
          <w:szCs w:val="20"/>
          <w:color w:val="auto"/>
        </w:rPr>
        <w:t>Act) of more than 25% of the combined voting power of the then-outstanding voting stock of the Company; or</w:t>
      </w:r>
    </w:p>
    <w:p>
      <w:pPr>
        <w:spacing w:after="0" w:line="135" w:lineRule="exact"/>
        <w:rPr>
          <w:sz w:val="20"/>
          <w:szCs w:val="20"/>
          <w:color w:val="auto"/>
        </w:rPr>
      </w:pPr>
    </w:p>
    <w:p>
      <w:pPr>
        <w:jc w:val="both"/>
        <w:ind w:left="392" w:hanging="392"/>
        <w:spacing w:after="0" w:line="257" w:lineRule="auto"/>
        <w:tabs>
          <w:tab w:leader="none" w:pos="392"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consummation of a consolidation, merger, stock sale or similar transaction or series of related transactions (or a sale or transfer of all or substantially all of the Company's assets) (each, a "</w:t>
      </w:r>
      <w:r>
        <w:rPr>
          <w:rFonts w:ascii="Arial" w:cs="Arial" w:eastAsia="Arial" w:hAnsi="Arial"/>
          <w:sz w:val="19"/>
          <w:szCs w:val="19"/>
          <w:u w:val="single" w:color="auto"/>
          <w:color w:val="auto"/>
        </w:rPr>
        <w:t>Business Transaction</w:t>
      </w:r>
      <w:r>
        <w:rPr>
          <w:rFonts w:ascii="Arial" w:cs="Arial" w:eastAsia="Arial" w:hAnsi="Arial"/>
          <w:sz w:val="19"/>
          <w:szCs w:val="19"/>
          <w:color w:val="auto"/>
        </w:rPr>
        <w:t>"),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25% or more of the combined voting power of the then-outstanding shares of voting stock of the entity resulting from such Business Transaction or, if it is such entity, the Company, and (B) at least one-half of the members of the Board of Directors of the entity resulting from such Business Transaction were Incumbent Directors at the time of the execution of the initial agreement providing for such Business Transaction; or</w:t>
      </w:r>
    </w:p>
    <w:p>
      <w:pPr>
        <w:spacing w:after="0" w:line="86" w:lineRule="exact"/>
        <w:rPr>
          <w:rFonts w:ascii="Arial" w:cs="Arial" w:eastAsia="Arial" w:hAnsi="Arial"/>
          <w:sz w:val="19"/>
          <w:szCs w:val="19"/>
          <w:color w:val="auto"/>
        </w:rPr>
      </w:pPr>
    </w:p>
    <w:p>
      <w:pPr>
        <w:ind w:left="392" w:hanging="392"/>
        <w:spacing w:after="0"/>
        <w:tabs>
          <w:tab w:leader="none" w:pos="392"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dissolution or liquidation of the Company.</w:t>
      </w:r>
    </w:p>
    <w:p>
      <w:pPr>
        <w:spacing w:after="0" w:line="216" w:lineRule="exact"/>
        <w:rPr>
          <w:sz w:val="20"/>
          <w:szCs w:val="20"/>
          <w:color w:val="auto"/>
        </w:rPr>
      </w:pPr>
    </w:p>
    <w:p>
      <w:pPr>
        <w:jc w:val="both"/>
        <w:ind w:left="12"/>
        <w:spacing w:after="0" w:line="242" w:lineRule="auto"/>
        <w:rPr>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u w:val="single" w:color="auto"/>
          <w:color w:val="auto"/>
        </w:rPr>
        <w:t>Incumbent Directors</w:t>
      </w:r>
      <w:r>
        <w:rPr>
          <w:rFonts w:ascii="Arial" w:cs="Arial" w:eastAsia="Arial" w:hAnsi="Arial"/>
          <w:sz w:val="20"/>
          <w:szCs w:val="20"/>
          <w:color w:val="auto"/>
        </w:rPr>
        <w:t xml:space="preserve">” shall mean individuals who, as of the date hereof,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247" w:lineRule="exact"/>
        <w:rPr>
          <w:sz w:val="20"/>
          <w:szCs w:val="20"/>
          <w:color w:val="auto"/>
        </w:rPr>
      </w:pPr>
    </w:p>
    <w:p>
      <w:pPr>
        <w:jc w:val="both"/>
        <w:ind w:left="232" w:hanging="485"/>
        <w:spacing w:after="0" w:line="287" w:lineRule="auto"/>
        <w:rPr>
          <w:sz w:val="20"/>
          <w:szCs w:val="20"/>
          <w:color w:val="auto"/>
        </w:rPr>
      </w:pPr>
      <w:r>
        <w:rPr>
          <w:rFonts w:ascii="Arial" w:cs="Arial" w:eastAsia="Arial" w:hAnsi="Arial"/>
          <w:sz w:val="21"/>
          <w:szCs w:val="21"/>
          <w:color w:val="auto"/>
        </w:rPr>
        <w:t>g.</w:t>
      </w:r>
      <w:r>
        <w:rPr>
          <w:rFonts w:ascii="Arial" w:cs="Arial" w:eastAsia="Arial" w:hAnsi="Arial"/>
          <w:sz w:val="18"/>
          <w:szCs w:val="18"/>
          <w:u w:val="single" w:color="auto"/>
          <w:color w:val="auto"/>
        </w:rPr>
        <w:t>By the Executive</w:t>
      </w:r>
      <w:r>
        <w:rPr>
          <w:rFonts w:ascii="Arial" w:cs="Arial" w:eastAsia="Arial" w:hAnsi="Arial"/>
          <w:sz w:val="18"/>
          <w:szCs w:val="18"/>
          <w:color w:val="auto"/>
        </w:rPr>
        <w:t>. Notwithstanding the foregoing, the Executive may terminate the Executive’s employment under this Agreement,</w:t>
      </w:r>
      <w:r>
        <w:rPr>
          <w:rFonts w:ascii="Arial" w:cs="Arial" w:eastAsia="Arial" w:hAnsi="Arial"/>
          <w:sz w:val="21"/>
          <w:szCs w:val="21"/>
          <w:color w:val="auto"/>
        </w:rPr>
        <w:t xml:space="preserve"> </w:t>
      </w:r>
      <w:r>
        <w:rPr>
          <w:rFonts w:ascii="Arial" w:cs="Arial" w:eastAsia="Arial" w:hAnsi="Arial"/>
          <w:sz w:val="18"/>
          <w:szCs w:val="18"/>
          <w:color w:val="auto"/>
        </w:rPr>
        <w:t xml:space="preserve">provided that such termination may take place no earlier than thirty (30) days after the Executive has provided written notice to the Company of the Executive’s intent to terminate employment. The Company reserves the right to provide payment at the Executive’s then-current Base Salary in lieu of all or any portion of such notice period. In the event Executive terminates the Executive’s employment under this </w:t>
      </w:r>
      <w:r>
        <w:rPr>
          <w:rFonts w:ascii="Arial" w:cs="Arial" w:eastAsia="Arial" w:hAnsi="Arial"/>
          <w:sz w:val="18"/>
          <w:szCs w:val="18"/>
          <w:u w:val="single" w:color="auto"/>
          <w:color w:val="auto"/>
        </w:rPr>
        <w:t>Section 8(g)</w:t>
      </w:r>
      <w:r>
        <w:rPr>
          <w:rFonts w:ascii="Arial" w:cs="Arial" w:eastAsia="Arial" w:hAnsi="Arial"/>
          <w:sz w:val="18"/>
          <w:szCs w:val="18"/>
          <w:color w:val="auto"/>
        </w:rPr>
        <w:t>, the Executive shall receive all Accrued Benefits through the date of such termination.</w:t>
      </w:r>
    </w:p>
    <w:p>
      <w:pPr>
        <w:spacing w:after="0" w:line="179" w:lineRule="exact"/>
        <w:rPr>
          <w:sz w:val="20"/>
          <w:szCs w:val="20"/>
          <w:color w:val="auto"/>
        </w:rPr>
      </w:pPr>
    </w:p>
    <w:p>
      <w:pPr>
        <w:jc w:val="both"/>
        <w:ind w:left="232" w:hanging="485"/>
        <w:spacing w:after="0" w:line="274" w:lineRule="auto"/>
        <w:rPr>
          <w:sz w:val="20"/>
          <w:szCs w:val="20"/>
          <w:color w:val="auto"/>
        </w:rPr>
      </w:pPr>
      <w:r>
        <w:rPr>
          <w:rFonts w:ascii="Arial" w:cs="Arial" w:eastAsia="Arial" w:hAnsi="Arial"/>
          <w:sz w:val="22"/>
          <w:szCs w:val="22"/>
          <w:color w:val="auto"/>
        </w:rPr>
        <w:t>h.</w:t>
      </w:r>
      <w:r>
        <w:rPr>
          <w:rFonts w:ascii="Arial" w:cs="Arial" w:eastAsia="Arial" w:hAnsi="Arial"/>
          <w:sz w:val="19"/>
          <w:szCs w:val="19"/>
          <w:u w:val="single" w:color="auto"/>
          <w:color w:val="auto"/>
        </w:rPr>
        <w:t>Bonus Payment Timing</w:t>
      </w:r>
      <w:r>
        <w:rPr>
          <w:rFonts w:ascii="Arial" w:cs="Arial" w:eastAsia="Arial" w:hAnsi="Arial"/>
          <w:sz w:val="19"/>
          <w:szCs w:val="19"/>
          <w:color w:val="auto"/>
        </w:rPr>
        <w:t>. Subject to the execution and non-revocation of a release as set forth in</w:t>
      </w:r>
      <w:r>
        <w:rPr>
          <w:rFonts w:ascii="Arial" w:cs="Arial" w:eastAsia="Arial" w:hAnsi="Arial"/>
          <w:sz w:val="22"/>
          <w:szCs w:val="22"/>
          <w:color w:val="auto"/>
        </w:rPr>
        <w:t xml:space="preserve"> </w:t>
      </w:r>
      <w:r>
        <w:rPr>
          <w:rFonts w:ascii="Arial" w:cs="Arial" w:eastAsia="Arial" w:hAnsi="Arial"/>
          <w:sz w:val="19"/>
          <w:szCs w:val="19"/>
          <w:u w:val="single" w:color="auto"/>
          <w:color w:val="auto"/>
        </w:rPr>
        <w:t>Section 8(i)</w:t>
      </w:r>
      <w:r>
        <w:rPr>
          <w:rFonts w:ascii="Arial" w:cs="Arial" w:eastAsia="Arial" w:hAnsi="Arial"/>
          <w:sz w:val="22"/>
          <w:szCs w:val="22"/>
          <w:color w:val="auto"/>
        </w:rPr>
        <w:t xml:space="preserve"> </w:t>
      </w:r>
      <w:r>
        <w:rPr>
          <w:rFonts w:ascii="Arial" w:cs="Arial" w:eastAsia="Arial" w:hAnsi="Arial"/>
          <w:sz w:val="19"/>
          <w:szCs w:val="19"/>
          <w:color w:val="auto"/>
        </w:rPr>
        <w:t>and in substantially similar to</w:t>
      </w:r>
      <w:r>
        <w:rPr>
          <w:rFonts w:ascii="Arial" w:cs="Arial" w:eastAsia="Arial" w:hAnsi="Arial"/>
          <w:sz w:val="22"/>
          <w:szCs w:val="22"/>
          <w:color w:val="auto"/>
        </w:rPr>
        <w:t xml:space="preserve"> </w:t>
      </w:r>
      <w:r>
        <w:rPr>
          <w:rFonts w:ascii="Arial" w:cs="Arial" w:eastAsia="Arial" w:hAnsi="Arial"/>
          <w:sz w:val="19"/>
          <w:szCs w:val="19"/>
          <w:color w:val="auto"/>
        </w:rPr>
        <w:t xml:space="preserve">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Company shall (A) pay any unpaid Annual Bonus for the preceding fiscal year otherwise payable under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within thirty (30) days following the date of the effective date of such release; and (B) subject to the execution and non-revocation of an additional release of claims substantially similar to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pay the Pro-Rated Bonus otherwise payable under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in accordance with the Company’s regular bonus payment schedule for the Annual Bonus for that calendar year, as otherwise payable to similarly situated active employees of the Company, but no later than 2.5 months following the end of the calendar year in which it was earned.</w:t>
      </w:r>
    </w:p>
    <w:p>
      <w:pPr>
        <w:spacing w:after="0" w:line="186" w:lineRule="exact"/>
        <w:rPr>
          <w:sz w:val="20"/>
          <w:szCs w:val="20"/>
          <w:color w:val="auto"/>
        </w:rPr>
      </w:pPr>
    </w:p>
    <w:p>
      <w:pPr>
        <w:jc w:val="both"/>
        <w:ind w:left="192" w:hanging="445"/>
        <w:spacing w:after="0" w:line="267" w:lineRule="auto"/>
        <w:rPr>
          <w:sz w:val="20"/>
          <w:szCs w:val="20"/>
          <w:color w:val="auto"/>
        </w:rPr>
      </w:pPr>
      <w:r>
        <w:rPr>
          <w:rFonts w:ascii="Arial" w:cs="Arial" w:eastAsia="Arial" w:hAnsi="Arial"/>
          <w:sz w:val="22"/>
          <w:szCs w:val="22"/>
          <w:color w:val="auto"/>
        </w:rPr>
        <w:t>i.</w:t>
      </w:r>
      <w:r>
        <w:rPr>
          <w:rFonts w:ascii="Arial" w:cs="Arial" w:eastAsia="Arial" w:hAnsi="Arial"/>
          <w:sz w:val="19"/>
          <w:szCs w:val="19"/>
          <w:b w:val="1"/>
          <w:bCs w:val="1"/>
          <w:u w:val="single" w:color="auto"/>
          <w:color w:val="auto"/>
        </w:rPr>
        <w:t>Release</w:t>
      </w:r>
      <w:r>
        <w:rPr>
          <w:rFonts w:ascii="Arial" w:cs="Arial" w:eastAsia="Arial" w:hAnsi="Arial"/>
          <w:sz w:val="19"/>
          <w:szCs w:val="19"/>
          <w:b w:val="1"/>
          <w:bCs w:val="1"/>
          <w:color w:val="auto"/>
        </w:rPr>
        <w:t>. As a precondition to the payment of any amounts or benefits in addition to earned but unpaid Base Salary upon</w:t>
      </w:r>
      <w:r>
        <w:rPr>
          <w:rFonts w:ascii="Arial" w:cs="Arial" w:eastAsia="Arial" w:hAnsi="Arial"/>
          <w:sz w:val="22"/>
          <w:szCs w:val="22"/>
          <w:color w:val="auto"/>
        </w:rPr>
        <w:t xml:space="preserve"> </w:t>
      </w:r>
      <w:r>
        <w:rPr>
          <w:rFonts w:ascii="Arial" w:cs="Arial" w:eastAsia="Arial" w:hAnsi="Arial"/>
          <w:sz w:val="19"/>
          <w:szCs w:val="19"/>
          <w:b w:val="1"/>
          <w:bCs w:val="1"/>
          <w:color w:val="auto"/>
        </w:rPr>
        <w:t>termination of the Executive’s employment under this Agreement, including but not limited to each Severance Benefit, the Executive or the Estate, as applicable, shall be required to execute one or more release of any claims against the Company, Affiliates,</w:t>
      </w:r>
    </w:p>
    <w:p>
      <w:pPr>
        <w:spacing w:after="0" w:line="200" w:lineRule="exact"/>
        <w:rPr>
          <w:sz w:val="20"/>
          <w:szCs w:val="20"/>
          <w:color w:val="auto"/>
        </w:rPr>
      </w:pPr>
    </w:p>
    <w:p>
      <w:pPr>
        <w:spacing w:after="0" w:line="238" w:lineRule="exact"/>
        <w:rPr>
          <w:sz w:val="20"/>
          <w:szCs w:val="20"/>
          <w:color w:val="auto"/>
        </w:rPr>
      </w:pPr>
    </w:p>
    <w:p>
      <w:pPr>
        <w:ind w:left="3712"/>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0912"/>
          </w:cols>
          <w:pgMar w:left="748" w:top="126" w:right="239" w:bottom="1440" w:gutter="0" w:footer="0" w:header="0"/>
        </w:sectPr>
      </w:pPr>
    </w:p>
    <w:bookmarkStart w:id="78" w:name="page79"/>
    <w:bookmarkEnd w:id="78"/>
    <w:p>
      <w:pPr>
        <w:ind w:left="9432"/>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52"/>
        <w:spacing w:after="0" w:line="295" w:lineRule="auto"/>
        <w:rPr>
          <w:sz w:val="20"/>
          <w:szCs w:val="20"/>
          <w:color w:val="auto"/>
        </w:rPr>
      </w:pPr>
      <w:r>
        <w:rPr>
          <w:rFonts w:ascii="Arial" w:cs="Arial" w:eastAsia="Arial" w:hAnsi="Arial"/>
          <w:sz w:val="20"/>
          <w:szCs w:val="20"/>
          <w:b w:val="1"/>
          <w:bCs w:val="1"/>
          <w:color w:val="auto"/>
        </w:rPr>
        <w:t xml:space="preserve">and their employee, officers, directors, and shareholders arising out of the Executive’s employment or termination in a form attached hereto as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w:t>
      </w:r>
    </w:p>
    <w:p>
      <w:pPr>
        <w:spacing w:after="0" w:line="164" w:lineRule="exact"/>
        <w:rPr>
          <w:sz w:val="20"/>
          <w:szCs w:val="20"/>
          <w:color w:val="auto"/>
        </w:rPr>
      </w:pPr>
    </w:p>
    <w:p>
      <w:pPr>
        <w:jc w:val="both"/>
        <w:ind w:left="332" w:hanging="332"/>
        <w:spacing w:after="0" w:line="300" w:lineRule="auto"/>
        <w:tabs>
          <w:tab w:leader="none" w:pos="332" w:val="left"/>
        </w:tabs>
        <w:numPr>
          <w:ilvl w:val="0"/>
          <w:numId w:val="54"/>
        </w:numPr>
        <w:rPr>
          <w:rFonts w:ascii="Arial" w:cs="Arial" w:eastAsia="Arial" w:hAnsi="Arial"/>
          <w:sz w:val="19"/>
          <w:szCs w:val="19"/>
          <w:color w:val="auto"/>
        </w:rPr>
      </w:pPr>
      <w:r>
        <w:rPr>
          <w:rFonts w:ascii="Arial" w:cs="Arial" w:eastAsia="Arial" w:hAnsi="Arial"/>
          <w:sz w:val="18"/>
          <w:szCs w:val="18"/>
          <w:b w:val="1"/>
          <w:bCs w:val="1"/>
          <w:color w:val="auto"/>
        </w:rPr>
        <w:t xml:space="preserve">Intellectual Property. </w:t>
      </w:r>
      <w:r>
        <w:rPr>
          <w:rFonts w:ascii="Arial" w:cs="Arial" w:eastAsia="Arial" w:hAnsi="Arial"/>
          <w:sz w:val="18"/>
          <w:szCs w:val="18"/>
          <w:color w:val="auto"/>
        </w:rPr>
        <w:t>All inventions, technology, processes, innovations, ideas, improvements, developments, methods, designs, analyses,</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trademarks, service marks, and other indicia of origin, writings, audiovisual works, concepts, drawings, reports and all similar, related, or derivative information or works (whether or not patentable or subject to copyright), including but not limited to all patents, copyrights, copyright registrations, trademarks, and trademark registrations in and to any of the foregoing, along with the right to practice, employ, exploit, use, develop, reproduce, copy, distribute copies, publish, license, or create works derivative of any of the foregoing, and the right to choose not to do or permit any of the aforementioned actions, which relate to the Company’s actual or anticipated business, research and development or existing or future products or services and which are conceived, developed or made by the Executive while employed by the Company or any of their predecessors (collectively, the “</w:t>
      </w:r>
      <w:r>
        <w:rPr>
          <w:rFonts w:ascii="Arial" w:cs="Arial" w:eastAsia="Arial" w:hAnsi="Arial"/>
          <w:sz w:val="18"/>
          <w:szCs w:val="18"/>
          <w:u w:val="single" w:color="auto"/>
          <w:color w:val="auto"/>
        </w:rPr>
        <w:t>Work Product</w:t>
      </w:r>
      <w:r>
        <w:rPr>
          <w:rFonts w:ascii="Arial" w:cs="Arial" w:eastAsia="Arial" w:hAnsi="Arial"/>
          <w:sz w:val="18"/>
          <w:szCs w:val="18"/>
          <w:color w:val="auto"/>
        </w:rPr>
        <w:t>”) belong to the Company. All Work Product created by the Executive while employed by the Company or any of its predecessors will be considered “work made for hire,” and as such, the Company is the sole owner of all rights, title, and interests therein. All other rights to any new Work Product and all rights to any existing Work Product, including but not limited to all of the Executive’s rights to any copyrights or copyright registrations related thereto, are conveyed, assigned and transferred to the Company pursuant to this Agreement. The Executive will promptly disclose and deliver such Work Product to the Company and, at the Company’s expense, perform all actions reasonably requested by the Company (whether during or after the Executive’s employment with the Company) to establish, confirm and protect such ownership (including, without limitation, the execution of assignments, copyright registrations, consents, licenses, powers of attorney and other instruments).</w:t>
      </w:r>
    </w:p>
    <w:p>
      <w:pPr>
        <w:spacing w:after="0" w:line="162" w:lineRule="exact"/>
        <w:rPr>
          <w:rFonts w:ascii="Arial" w:cs="Arial" w:eastAsia="Arial" w:hAnsi="Arial"/>
          <w:sz w:val="19"/>
          <w:szCs w:val="19"/>
          <w:color w:val="auto"/>
        </w:rPr>
      </w:pPr>
    </w:p>
    <w:p>
      <w:pPr>
        <w:jc w:val="both"/>
        <w:ind w:left="332"/>
        <w:spacing w:after="0" w:line="244" w:lineRule="auto"/>
        <w:rPr>
          <w:rFonts w:ascii="Arial" w:cs="Arial" w:eastAsia="Arial" w:hAnsi="Arial"/>
          <w:sz w:val="19"/>
          <w:szCs w:val="19"/>
          <w:color w:val="auto"/>
        </w:rPr>
      </w:pPr>
      <w:r>
        <w:rPr>
          <w:rFonts w:ascii="Arial" w:cs="Arial" w:eastAsia="Arial" w:hAnsi="Arial"/>
          <w:sz w:val="20"/>
          <w:szCs w:val="20"/>
          <w:color w:val="auto"/>
        </w:rPr>
        <w:t xml:space="preserve">Notwithstanding the foregoing, to the extent required under California Labor Code Sections 2870-2872, nothing in this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shall apply to any invention that the Executive developed entirely on the Executive’s own time, without using the Company’s equipment, supplies, facilities, or trade secret information except for those inventions that either: (i) relate to the Company business at the time of conception or reduction to practice, or to actual or demonstrably anticipated research or development of the Company; or (ii) result from any work performed by the Executive for the Company.</w:t>
      </w:r>
    </w:p>
    <w:p>
      <w:pPr>
        <w:spacing w:after="0" w:line="202" w:lineRule="exact"/>
        <w:rPr>
          <w:rFonts w:ascii="Arial" w:cs="Arial" w:eastAsia="Arial" w:hAnsi="Arial"/>
          <w:sz w:val="19"/>
          <w:szCs w:val="19"/>
          <w:color w:val="auto"/>
        </w:rPr>
      </w:pPr>
    </w:p>
    <w:p>
      <w:pPr>
        <w:jc w:val="both"/>
        <w:ind w:left="332" w:hanging="332"/>
        <w:spacing w:after="0" w:line="268" w:lineRule="auto"/>
        <w:tabs>
          <w:tab w:leader="none" w:pos="332" w:val="left"/>
        </w:tabs>
        <w:numPr>
          <w:ilvl w:val="0"/>
          <w:numId w:val="54"/>
        </w:numPr>
        <w:rPr>
          <w:rFonts w:ascii="Arial" w:cs="Arial" w:eastAsia="Arial" w:hAnsi="Arial"/>
          <w:sz w:val="22"/>
          <w:szCs w:val="22"/>
          <w:color w:val="auto"/>
        </w:rPr>
      </w:pPr>
      <w:r>
        <w:rPr>
          <w:rFonts w:ascii="Arial" w:cs="Arial" w:eastAsia="Arial" w:hAnsi="Arial"/>
          <w:sz w:val="20"/>
          <w:szCs w:val="20"/>
          <w:b w:val="1"/>
          <w:bCs w:val="1"/>
          <w:color w:val="auto"/>
        </w:rPr>
        <w:t xml:space="preserve">Confidential Information. </w:t>
      </w:r>
      <w:r>
        <w:rPr>
          <w:rFonts w:ascii="Arial" w:cs="Arial" w:eastAsia="Arial" w:hAnsi="Arial"/>
          <w:sz w:val="20"/>
          <w:szCs w:val="20"/>
          <w:color w:val="auto"/>
        </w:rPr>
        <w:t>The Executive agrees that, during the Executive’s employment with the Company or its Affiliates and</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termination of the Executive’s employment, except as required by law, the Executive will not, directly or indirectly, at any time, disclose to any third person or use in any way any non-public information or Confidential Information.</w:t>
      </w:r>
    </w:p>
    <w:p>
      <w:pPr>
        <w:spacing w:after="0" w:line="195" w:lineRule="exact"/>
        <w:rPr>
          <w:rFonts w:ascii="Arial" w:cs="Arial" w:eastAsia="Arial" w:hAnsi="Arial"/>
          <w:sz w:val="22"/>
          <w:szCs w:val="22"/>
          <w:color w:val="auto"/>
        </w:rPr>
      </w:pPr>
    </w:p>
    <w:p>
      <w:pPr>
        <w:jc w:val="both"/>
        <w:ind w:left="652" w:hanging="409"/>
        <w:spacing w:after="0" w:line="282" w:lineRule="auto"/>
        <w:tabs>
          <w:tab w:leader="none" w:pos="652" w:val="left"/>
        </w:tabs>
        <w:numPr>
          <w:ilvl w:val="1"/>
          <w:numId w:val="54"/>
        </w:numPr>
        <w:rPr>
          <w:rFonts w:ascii="Arial" w:cs="Arial" w:eastAsia="Arial" w:hAnsi="Arial"/>
          <w:sz w:val="21"/>
          <w:szCs w:val="21"/>
          <w:color w:val="auto"/>
        </w:rPr>
      </w:pPr>
      <w:r>
        <w:rPr>
          <w:rFonts w:ascii="Arial" w:cs="Arial" w:eastAsia="Arial" w:hAnsi="Arial"/>
          <w:sz w:val="19"/>
          <w:szCs w:val="19"/>
          <w:u w:val="single" w:color="auto"/>
          <w:color w:val="auto"/>
        </w:rPr>
        <w:t>Definition</w:t>
      </w:r>
      <w:r>
        <w:rPr>
          <w:rFonts w:ascii="Arial" w:cs="Arial" w:eastAsia="Arial" w:hAnsi="Arial"/>
          <w:sz w:val="19"/>
          <w:szCs w:val="19"/>
          <w:color w:val="auto"/>
        </w:rPr>
        <w:t>. For purposes of this Agreement, “Confidential Information” shall mean any confidential or proprietary information, including but not limited to: (a) technical, operational and financial information, data, Trade Secrets, formulae, processes, techniques, formats, specifications, manufacturing methods, treatment methods, designs, sketches, photographs, plans, drawings, specifications, samples, reports, pricing information, studies, findings, marketing plans or proposals, inventions, ideas, customer and client lists, information related to business opportunities and business development, and confidential programs or procedures; (b) any intellectual property owned or licensed by the Company or its Affiliates; (c) any information maintained by the Company or its Affiliates as confidential or proprietary information, whether or not it is marked as confidential; and (d) information received by the Company or its Affiliates from third parties under confidential conditions.</w:t>
      </w:r>
    </w:p>
    <w:p>
      <w:pPr>
        <w:spacing w:after="0" w:line="200" w:lineRule="exact"/>
        <w:rPr>
          <w:rFonts w:ascii="Arial" w:cs="Arial" w:eastAsia="Arial" w:hAnsi="Arial"/>
          <w:sz w:val="21"/>
          <w:szCs w:val="21"/>
          <w:color w:val="auto"/>
        </w:rPr>
      </w:pPr>
    </w:p>
    <w:p>
      <w:pPr>
        <w:spacing w:after="0" w:line="240" w:lineRule="exact"/>
        <w:rPr>
          <w:rFonts w:ascii="Arial" w:cs="Arial" w:eastAsia="Arial" w:hAnsi="Arial"/>
          <w:sz w:val="21"/>
          <w:szCs w:val="21"/>
          <w:color w:val="auto"/>
        </w:rPr>
      </w:pPr>
    </w:p>
    <w:p>
      <w:pPr>
        <w:ind w:left="4332" w:hanging="118"/>
        <w:spacing w:after="0"/>
        <w:tabs>
          <w:tab w:leader="none" w:pos="4332" w:val="left"/>
        </w:tabs>
        <w:numPr>
          <w:ilvl w:val="2"/>
          <w:numId w:val="54"/>
        </w:numPr>
        <w:rPr>
          <w:rFonts w:ascii="Arial" w:cs="Arial" w:eastAsia="Arial" w:hAnsi="Arial"/>
          <w:sz w:val="22"/>
          <w:szCs w:val="22"/>
          <w:color w:val="auto"/>
        </w:rPr>
      </w:pPr>
      <w:r>
        <w:rPr>
          <w:rFonts w:ascii="Arial" w:cs="Arial" w:eastAsia="Arial" w:hAnsi="Arial"/>
          <w:sz w:val="22"/>
          <w:szCs w:val="22"/>
          <w:color w:val="auto"/>
        </w:rPr>
        <w:t>7 -</w:t>
      </w:r>
    </w:p>
    <w:p>
      <w:pPr>
        <w:sectPr>
          <w:pgSz w:w="11900" w:h="16838" w:orient="portrait"/>
          <w:cols w:equalWidth="0" w:num="1">
            <w:col w:w="11412"/>
          </w:cols>
          <w:pgMar w:left="248" w:top="125" w:right="239" w:bottom="1440" w:gutter="0" w:footer="0" w:header="0"/>
        </w:sectPr>
      </w:pPr>
    </w:p>
    <w:bookmarkStart w:id="79" w:name="page80"/>
    <w:bookmarkEnd w:id="79"/>
    <w:p>
      <w:pPr>
        <w:ind w:left="9432"/>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652" w:hanging="409"/>
        <w:spacing w:after="0" w:line="282" w:lineRule="auto"/>
        <w:tabs>
          <w:tab w:leader="none" w:pos="652" w:val="left"/>
        </w:tabs>
        <w:numPr>
          <w:ilvl w:val="0"/>
          <w:numId w:val="55"/>
        </w:numPr>
        <w:rPr>
          <w:rFonts w:ascii="Arial" w:cs="Arial" w:eastAsia="Arial" w:hAnsi="Arial"/>
          <w:sz w:val="21"/>
          <w:szCs w:val="21"/>
          <w:color w:val="auto"/>
        </w:rPr>
      </w:pPr>
      <w:r>
        <w:rPr>
          <w:rFonts w:ascii="Arial" w:cs="Arial" w:eastAsia="Arial" w:hAnsi="Arial"/>
          <w:sz w:val="19"/>
          <w:szCs w:val="19"/>
          <w:color w:val="auto"/>
        </w:rPr>
        <w:t>Notwithstanding the foregoing, Confidential Information shall not include information: (i) that at the date hereof is in the public domain; (ii) that has come within the public domain through no fault or action of the Executive that has the obligation of confidentiality (provided, however, that the fact that general information may be in or become part of the public domain, in and of itself, does not exclude any specific information from the obligations of this Agreement); (iii) that after the date hereof has been obtained lawfully from any third party which was entitled to disclose such information; and/or (iv) that the Executive is compelled to disclose by any judicial or administrative order after having given prompt notice of such order to the Company.</w:t>
      </w:r>
    </w:p>
    <w:p>
      <w:pPr>
        <w:spacing w:after="0" w:line="201" w:lineRule="exact"/>
        <w:rPr>
          <w:rFonts w:ascii="Arial" w:cs="Arial" w:eastAsia="Arial" w:hAnsi="Arial"/>
          <w:sz w:val="21"/>
          <w:szCs w:val="21"/>
          <w:color w:val="auto"/>
        </w:rPr>
      </w:pPr>
    </w:p>
    <w:p>
      <w:pPr>
        <w:ind w:left="652" w:hanging="409"/>
        <w:spacing w:after="0"/>
        <w:tabs>
          <w:tab w:leader="none" w:pos="652" w:val="left"/>
        </w:tabs>
        <w:numPr>
          <w:ilvl w:val="0"/>
          <w:numId w:val="55"/>
        </w:numPr>
        <w:rPr>
          <w:rFonts w:ascii="Arial" w:cs="Arial" w:eastAsia="Arial" w:hAnsi="Arial"/>
          <w:sz w:val="19"/>
          <w:szCs w:val="19"/>
          <w:color w:val="auto"/>
        </w:rPr>
      </w:pPr>
      <w:r>
        <w:rPr>
          <w:rFonts w:ascii="Arial" w:cs="Arial" w:eastAsia="Arial" w:hAnsi="Arial"/>
          <w:sz w:val="18"/>
          <w:szCs w:val="18"/>
          <w:u w:val="single" w:color="auto"/>
          <w:color w:val="auto"/>
        </w:rPr>
        <w:t>Obligations with respect to Confidential Information</w:t>
      </w:r>
      <w:r>
        <w:rPr>
          <w:rFonts w:ascii="Arial" w:cs="Arial" w:eastAsia="Arial" w:hAnsi="Arial"/>
          <w:sz w:val="18"/>
          <w:szCs w:val="18"/>
          <w:color w:val="auto"/>
        </w:rPr>
        <w:t>. The Executive agrees that, during the Term and thereafter, the Executive will:</w:t>
      </w:r>
    </w:p>
    <w:p>
      <w:pPr>
        <w:spacing w:after="0" w:line="265" w:lineRule="exact"/>
        <w:rPr>
          <w:rFonts w:ascii="Arial" w:cs="Arial" w:eastAsia="Arial" w:hAnsi="Arial"/>
          <w:sz w:val="19"/>
          <w:szCs w:val="19"/>
          <w:color w:val="auto"/>
        </w:rPr>
      </w:pPr>
    </w:p>
    <w:p>
      <w:pPr>
        <w:ind w:left="712" w:hanging="212"/>
        <w:spacing w:after="0"/>
        <w:tabs>
          <w:tab w:leader="none" w:pos="712" w:val="left"/>
        </w:tabs>
        <w:numPr>
          <w:ilvl w:val="1"/>
          <w:numId w:val="55"/>
        </w:numPr>
        <w:rPr>
          <w:rFonts w:ascii="Arial" w:cs="Arial" w:eastAsia="Arial" w:hAnsi="Arial"/>
          <w:sz w:val="22"/>
          <w:szCs w:val="22"/>
          <w:color w:val="auto"/>
        </w:rPr>
      </w:pPr>
      <w:r>
        <w:rPr>
          <w:rFonts w:ascii="Arial" w:cs="Arial" w:eastAsia="Arial" w:hAnsi="Arial"/>
          <w:sz w:val="20"/>
          <w:szCs w:val="20"/>
          <w:color w:val="auto"/>
        </w:rPr>
        <w:t>hold the Confidential Information in strict confidence; and</w:t>
      </w:r>
    </w:p>
    <w:p>
      <w:pPr>
        <w:spacing w:after="0" w:line="231" w:lineRule="exact"/>
        <w:rPr>
          <w:sz w:val="20"/>
          <w:szCs w:val="20"/>
          <w:color w:val="auto"/>
        </w:rPr>
      </w:pPr>
    </w:p>
    <w:p>
      <w:pPr>
        <w:ind w:left="1012" w:hanging="521"/>
        <w:spacing w:after="0" w:line="245" w:lineRule="auto"/>
        <w:rPr>
          <w:sz w:val="20"/>
          <w:szCs w:val="20"/>
          <w:color w:val="auto"/>
        </w:rPr>
      </w:pPr>
      <w:r>
        <w:rPr>
          <w:rFonts w:ascii="Arial" w:cs="Arial" w:eastAsia="Arial" w:hAnsi="Arial"/>
          <w:sz w:val="22"/>
          <w:szCs w:val="22"/>
          <w:color w:val="auto"/>
        </w:rPr>
        <w:t>(ii)</w:t>
      </w:r>
      <w:r>
        <w:rPr>
          <w:rFonts w:ascii="Arial" w:cs="Arial" w:eastAsia="Arial" w:hAnsi="Arial"/>
          <w:sz w:val="19"/>
          <w:szCs w:val="19"/>
          <w:color w:val="auto"/>
        </w:rPr>
        <w:t>not give, sell or disclose Confidential Information to any other third party, unless such party is an auditor or contractor hired by the</w:t>
      </w:r>
      <w:r>
        <w:rPr>
          <w:rFonts w:ascii="Arial" w:cs="Arial" w:eastAsia="Arial" w:hAnsi="Arial"/>
          <w:sz w:val="22"/>
          <w:szCs w:val="22"/>
          <w:color w:val="auto"/>
        </w:rPr>
        <w:t xml:space="preserve"> </w:t>
      </w:r>
      <w:r>
        <w:rPr>
          <w:rFonts w:ascii="Arial" w:cs="Arial" w:eastAsia="Arial" w:hAnsi="Arial"/>
          <w:sz w:val="19"/>
          <w:szCs w:val="19"/>
          <w:color w:val="auto"/>
        </w:rPr>
        <w:t>Company and then only upon written approval of the Board.</w:t>
      </w:r>
    </w:p>
    <w:p>
      <w:pPr>
        <w:spacing w:after="0" w:line="217" w:lineRule="exact"/>
        <w:rPr>
          <w:sz w:val="20"/>
          <w:szCs w:val="20"/>
          <w:color w:val="auto"/>
        </w:rPr>
      </w:pPr>
    </w:p>
    <w:p>
      <w:pPr>
        <w:jc w:val="both"/>
        <w:ind w:left="652"/>
        <w:spacing w:after="0" w:line="282" w:lineRule="auto"/>
        <w:rPr>
          <w:sz w:val="20"/>
          <w:szCs w:val="20"/>
          <w:color w:val="auto"/>
        </w:rPr>
      </w:pPr>
      <w:r>
        <w:rPr>
          <w:rFonts w:ascii="Arial" w:cs="Arial" w:eastAsia="Arial" w:hAnsi="Arial"/>
          <w:sz w:val="18"/>
          <w:szCs w:val="18"/>
          <w:color w:val="auto"/>
        </w:rPr>
        <w:t>For avoidance of doubt, nothing in this Agreement shall prevent the Executive from sharing any Confidential Information or other information with regulators or appropriate governmental agencies without notice to the Company, whether in response to subpoena or otherwise, under the whistleblower provisions of federal law or regulation, and no prior authorization or notification is required prior to the Executive making any such reports or disclosures, provided, that no attorney client privilege shall be waived.</w:t>
      </w:r>
    </w:p>
    <w:p>
      <w:pPr>
        <w:spacing w:after="0" w:line="183" w:lineRule="exact"/>
        <w:rPr>
          <w:sz w:val="20"/>
          <w:szCs w:val="20"/>
          <w:color w:val="auto"/>
        </w:rPr>
      </w:pPr>
    </w:p>
    <w:p>
      <w:pPr>
        <w:jc w:val="both"/>
        <w:ind w:left="332" w:hanging="332"/>
        <w:spacing w:after="0" w:line="267" w:lineRule="auto"/>
        <w:tabs>
          <w:tab w:leader="none" w:pos="332" w:val="left"/>
        </w:tabs>
        <w:numPr>
          <w:ilvl w:val="0"/>
          <w:numId w:val="56"/>
        </w:numPr>
        <w:rPr>
          <w:rFonts w:ascii="Arial" w:cs="Arial" w:eastAsia="Arial" w:hAnsi="Arial"/>
          <w:sz w:val="22"/>
          <w:szCs w:val="22"/>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The Executive acknowledges that the Executive’s obligations under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w:t>
      </w:r>
      <w:r>
        <w:rPr>
          <w:rFonts w:ascii="Arial" w:cs="Arial" w:eastAsia="Arial" w:hAnsi="Arial"/>
          <w:sz w:val="20"/>
          <w:szCs w:val="20"/>
          <w:b w:val="1"/>
          <w:bCs w:val="1"/>
          <w:color w:val="auto"/>
        </w:rPr>
        <w:t xml:space="preserve"> </w:t>
      </w:r>
      <w:r>
        <w:rPr>
          <w:rFonts w:ascii="Arial" w:cs="Arial" w:eastAsia="Arial" w:hAnsi="Arial"/>
          <w:sz w:val="20"/>
          <w:szCs w:val="20"/>
          <w:color w:val="auto"/>
        </w:rPr>
        <w:t>are separate and distinct from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Executive’s promise and obligation, affirmed by this Agreement, not to disclose or use the Company’s or its Affiliates’ “Trade Secrets,” as defined by the applicable federal and state laws. During and at all times after the Term, Trade Secrets of the Company shall be subject to the maximum protections available under applicable law and no less protection than that provided by this Agreement applicable to “Confidential Information,” as described in </w:t>
      </w:r>
      <w:r>
        <w:rPr>
          <w:rFonts w:ascii="Arial" w:cs="Arial" w:eastAsia="Arial" w:hAnsi="Arial"/>
          <w:sz w:val="20"/>
          <w:szCs w:val="20"/>
          <w:u w:val="single" w:color="auto"/>
          <w:color w:val="auto"/>
        </w:rPr>
        <w:t>Section 10</w:t>
      </w:r>
      <w:r>
        <w:rPr>
          <w:rFonts w:ascii="Arial" w:cs="Arial" w:eastAsia="Arial" w:hAnsi="Arial"/>
          <w:sz w:val="20"/>
          <w:szCs w:val="20"/>
          <w:color w:val="auto"/>
        </w:rPr>
        <w:t>.</w:t>
      </w:r>
    </w:p>
    <w:p>
      <w:pPr>
        <w:spacing w:after="0" w:line="194" w:lineRule="exact"/>
        <w:rPr>
          <w:rFonts w:ascii="Arial" w:cs="Arial" w:eastAsia="Arial" w:hAnsi="Arial"/>
          <w:sz w:val="22"/>
          <w:szCs w:val="22"/>
          <w:color w:val="auto"/>
        </w:rPr>
      </w:pPr>
    </w:p>
    <w:p>
      <w:pPr>
        <w:jc w:val="both"/>
        <w:ind w:left="332" w:hanging="332"/>
        <w:spacing w:after="0" w:line="285" w:lineRule="auto"/>
        <w:tabs>
          <w:tab w:leader="none" w:pos="332" w:val="left"/>
        </w:tabs>
        <w:numPr>
          <w:ilvl w:val="0"/>
          <w:numId w:val="56"/>
        </w:numPr>
        <w:rPr>
          <w:rFonts w:ascii="Arial" w:cs="Arial" w:eastAsia="Arial" w:hAnsi="Arial"/>
          <w:sz w:val="21"/>
          <w:szCs w:val="21"/>
          <w:color w:val="auto"/>
        </w:rPr>
      </w:pPr>
      <w:r>
        <w:rPr>
          <w:rFonts w:ascii="Arial" w:cs="Arial" w:eastAsia="Arial" w:hAnsi="Arial"/>
          <w:sz w:val="19"/>
          <w:szCs w:val="19"/>
          <w:b w:val="1"/>
          <w:bCs w:val="1"/>
          <w:color w:val="auto"/>
        </w:rPr>
        <w:t xml:space="preserve">Protected Rights. </w:t>
      </w:r>
      <w:r>
        <w:rPr>
          <w:rFonts w:ascii="Arial" w:cs="Arial" w:eastAsia="Arial" w:hAnsi="Arial"/>
          <w:sz w:val="19"/>
          <w:szCs w:val="19"/>
          <w:color w:val="auto"/>
        </w:rPr>
        <w:t>Nothing in this Agreement prohibits the Executive from reporting to any governmental authority information concerning</w:t>
      </w:r>
      <w:r>
        <w:rPr>
          <w:rFonts w:ascii="Arial" w:cs="Arial" w:eastAsia="Arial" w:hAnsi="Arial"/>
          <w:sz w:val="19"/>
          <w:szCs w:val="19"/>
          <w:b w:val="1"/>
          <w:bCs w:val="1"/>
          <w:color w:val="auto"/>
        </w:rPr>
        <w:t xml:space="preserve"> </w:t>
      </w:r>
      <w:r>
        <w:rPr>
          <w:rFonts w:ascii="Arial" w:cs="Arial" w:eastAsia="Arial" w:hAnsi="Arial"/>
          <w:sz w:val="19"/>
          <w:szCs w:val="19"/>
          <w:color w:val="auto"/>
        </w:rPr>
        <w:t>possible violations of law or regulation. Provided the Executive does so consistent with 18 U.S.C. § 1833, the Executive may disclose Trade Secret information to a government official or to an attorney for the purposes of obtaining legal advice or use it in certain court proceedings without fear of prosecution or liability if the Trade Secret information is filed under seal.</w:t>
      </w:r>
    </w:p>
    <w:p>
      <w:pPr>
        <w:spacing w:after="0" w:line="177" w:lineRule="exact"/>
        <w:rPr>
          <w:rFonts w:ascii="Arial" w:cs="Arial" w:eastAsia="Arial" w:hAnsi="Arial"/>
          <w:sz w:val="21"/>
          <w:szCs w:val="21"/>
          <w:color w:val="auto"/>
        </w:rPr>
      </w:pPr>
    </w:p>
    <w:p>
      <w:pPr>
        <w:jc w:val="both"/>
        <w:ind w:left="332" w:hanging="332"/>
        <w:spacing w:after="0" w:line="267" w:lineRule="auto"/>
        <w:tabs>
          <w:tab w:leader="none" w:pos="332" w:val="left"/>
        </w:tabs>
        <w:numPr>
          <w:ilvl w:val="0"/>
          <w:numId w:val="56"/>
        </w:numPr>
        <w:rPr>
          <w:rFonts w:ascii="Arial" w:cs="Arial" w:eastAsia="Arial" w:hAnsi="Arial"/>
          <w:sz w:val="22"/>
          <w:szCs w:val="22"/>
          <w:color w:val="auto"/>
        </w:rPr>
      </w:pPr>
      <w:r>
        <w:rPr>
          <w:rFonts w:ascii="Arial" w:cs="Arial" w:eastAsia="Arial" w:hAnsi="Arial"/>
          <w:sz w:val="20"/>
          <w:szCs w:val="20"/>
          <w:b w:val="1"/>
          <w:bCs w:val="1"/>
          <w:color w:val="auto"/>
        </w:rPr>
        <w:t xml:space="preserve">Non-Disparagement. </w:t>
      </w:r>
      <w:r>
        <w:rPr>
          <w:rFonts w:ascii="Arial" w:cs="Arial" w:eastAsia="Arial" w:hAnsi="Arial"/>
          <w:sz w:val="20"/>
          <w:szCs w:val="20"/>
          <w:color w:val="auto"/>
        </w:rPr>
        <w:t>The Executive and the Company each agrees that during the Term and thereafter, neither party will disparage the</w:t>
      </w:r>
      <w:r>
        <w:rPr>
          <w:rFonts w:ascii="Arial" w:cs="Arial" w:eastAsia="Arial" w:hAnsi="Arial"/>
          <w:sz w:val="20"/>
          <w:szCs w:val="20"/>
          <w:b w:val="1"/>
          <w:bCs w:val="1"/>
          <w:color w:val="auto"/>
        </w:rPr>
        <w:t xml:space="preserve"> </w:t>
      </w:r>
      <w:r>
        <w:rPr>
          <w:rFonts w:ascii="Arial" w:cs="Arial" w:eastAsia="Arial" w:hAnsi="Arial"/>
          <w:sz w:val="20"/>
          <w:szCs w:val="20"/>
          <w:color w:val="auto"/>
        </w:rPr>
        <w:t>other, including any products, services or practices, any affiliates, directors, officers, agents, representatives, stockholders or affiliates of the Company, either orally or in writing at any time. For the avoidance of doubt, nothing in this Agreement shall prohibit the either the Company or the Executive from making truthful statements (a) in the course of sworn testimony in administrative, judicial or arbitral proceedings (including, without limitation, depositions in connection with such proceedings), or (b) to regulators or appropriate government agencies in fulfillment of their statutory or regulatory obligations.</w:t>
      </w:r>
    </w:p>
    <w:p>
      <w:pPr>
        <w:spacing w:after="0" w:line="195" w:lineRule="exact"/>
        <w:rPr>
          <w:rFonts w:ascii="Arial" w:cs="Arial" w:eastAsia="Arial" w:hAnsi="Arial"/>
          <w:sz w:val="22"/>
          <w:szCs w:val="22"/>
          <w:color w:val="auto"/>
        </w:rPr>
      </w:pPr>
    </w:p>
    <w:p>
      <w:pPr>
        <w:ind w:left="332" w:hanging="332"/>
        <w:spacing w:after="0" w:line="271" w:lineRule="auto"/>
        <w:tabs>
          <w:tab w:leader="none" w:pos="332" w:val="left"/>
        </w:tabs>
        <w:numPr>
          <w:ilvl w:val="0"/>
          <w:numId w:val="56"/>
        </w:numPr>
        <w:rPr>
          <w:rFonts w:ascii="Arial" w:cs="Arial" w:eastAsia="Arial" w:hAnsi="Arial"/>
          <w:sz w:val="22"/>
          <w:szCs w:val="22"/>
          <w:color w:val="auto"/>
        </w:rPr>
      </w:pPr>
      <w:r>
        <w:rPr>
          <w:rFonts w:ascii="Arial" w:cs="Arial" w:eastAsia="Arial" w:hAnsi="Arial"/>
          <w:sz w:val="20"/>
          <w:szCs w:val="20"/>
          <w:b w:val="1"/>
          <w:bCs w:val="1"/>
          <w:color w:val="auto"/>
        </w:rPr>
        <w:t xml:space="preserve">Company Property. </w:t>
      </w:r>
      <w:r>
        <w:rPr>
          <w:rFonts w:ascii="Arial" w:cs="Arial" w:eastAsia="Arial" w:hAnsi="Arial"/>
          <w:sz w:val="20"/>
          <w:szCs w:val="20"/>
          <w:color w:val="auto"/>
        </w:rPr>
        <w:t>All information, materials, documents, supplies, equipment, and other property furnished to the Executive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in connection with performance of services under this</w:t>
      </w:r>
    </w:p>
    <w:p>
      <w:pPr>
        <w:spacing w:after="0" w:line="212" w:lineRule="exact"/>
        <w:rPr>
          <w:rFonts w:ascii="Arial" w:cs="Arial" w:eastAsia="Arial" w:hAnsi="Arial"/>
          <w:sz w:val="22"/>
          <w:szCs w:val="22"/>
          <w:color w:val="auto"/>
        </w:rPr>
      </w:pPr>
    </w:p>
    <w:p>
      <w:pPr>
        <w:ind w:left="4332" w:hanging="118"/>
        <w:spacing w:after="0"/>
        <w:tabs>
          <w:tab w:leader="none" w:pos="4332" w:val="left"/>
        </w:tabs>
        <w:numPr>
          <w:ilvl w:val="1"/>
          <w:numId w:val="56"/>
        </w:numPr>
        <w:rPr>
          <w:rFonts w:ascii="Arial" w:cs="Arial" w:eastAsia="Arial" w:hAnsi="Arial"/>
          <w:sz w:val="22"/>
          <w:szCs w:val="22"/>
          <w:color w:val="auto"/>
        </w:rPr>
      </w:pPr>
      <w:r>
        <w:rPr>
          <w:rFonts w:ascii="Arial" w:cs="Arial" w:eastAsia="Arial" w:hAnsi="Arial"/>
          <w:sz w:val="22"/>
          <w:szCs w:val="22"/>
          <w:color w:val="auto"/>
        </w:rPr>
        <w:t>8 -</w:t>
      </w:r>
    </w:p>
    <w:p>
      <w:pPr>
        <w:sectPr>
          <w:pgSz w:w="11900" w:h="16838" w:orient="portrait"/>
          <w:cols w:equalWidth="0" w:num="1">
            <w:col w:w="11412"/>
          </w:cols>
          <w:pgMar w:left="248" w:top="126"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340"/>
        <w:spacing w:after="0" w:line="273" w:lineRule="auto"/>
        <w:rPr>
          <w:sz w:val="20"/>
          <w:szCs w:val="20"/>
          <w:color w:val="auto"/>
        </w:rPr>
      </w:pPr>
      <w:r>
        <w:rPr>
          <w:rFonts w:ascii="Arial" w:cs="Arial" w:eastAsia="Arial" w:hAnsi="Arial"/>
          <w:sz w:val="20"/>
          <w:szCs w:val="20"/>
          <w:color w:val="auto"/>
        </w:rPr>
        <w:t>Agreement will be and remain the sole property of the Company. On the date of the termination of the Executive’s employment under this Agreement for any reason, or at any other time at the Company’s request, the Executive must return to the Company all tangible and intellectual property in whatever form belonging to the Company (including, but not limited to, Confidential Information, Company vehicles, laptops, computers, cell phones, wireless electronic mail devices, code, and other equipment, information, documents, and property).</w:t>
      </w:r>
    </w:p>
    <w:p>
      <w:pPr>
        <w:spacing w:after="0" w:line="185" w:lineRule="exact"/>
        <w:rPr>
          <w:sz w:val="20"/>
          <w:szCs w:val="20"/>
          <w:color w:val="auto"/>
        </w:rPr>
      </w:pPr>
    </w:p>
    <w:p>
      <w:pPr>
        <w:jc w:val="both"/>
        <w:ind w:left="340" w:hanging="332"/>
        <w:spacing w:after="0" w:line="267" w:lineRule="auto"/>
        <w:tabs>
          <w:tab w:leader="none" w:pos="340" w:val="left"/>
        </w:tabs>
        <w:numPr>
          <w:ilvl w:val="0"/>
          <w:numId w:val="57"/>
        </w:numPr>
        <w:rPr>
          <w:rFonts w:ascii="Arial" w:cs="Arial" w:eastAsia="Arial" w:hAnsi="Arial"/>
          <w:sz w:val="22"/>
          <w:szCs w:val="22"/>
          <w:color w:val="auto"/>
        </w:rPr>
      </w:pPr>
      <w:r>
        <w:rPr>
          <w:rFonts w:ascii="Arial" w:cs="Arial" w:eastAsia="Arial" w:hAnsi="Arial"/>
          <w:sz w:val="20"/>
          <w:szCs w:val="20"/>
          <w:b w:val="1"/>
          <w:bCs w:val="1"/>
          <w:color w:val="auto"/>
        </w:rPr>
        <w:t xml:space="preserve">Non-Disclosure. </w:t>
      </w:r>
      <w:r>
        <w:rPr>
          <w:rFonts w:ascii="Arial" w:cs="Arial" w:eastAsia="Arial" w:hAnsi="Arial"/>
          <w:sz w:val="20"/>
          <w:szCs w:val="20"/>
          <w:color w:val="auto"/>
        </w:rPr>
        <w:t>Except as otherwise required by law (including, without limitation, in all required filings with the Securities and</w:t>
      </w:r>
      <w:r>
        <w:rPr>
          <w:rFonts w:ascii="Arial" w:cs="Arial" w:eastAsia="Arial" w:hAnsi="Arial"/>
          <w:sz w:val="20"/>
          <w:szCs w:val="20"/>
          <w:b w:val="1"/>
          <w:bCs w:val="1"/>
          <w:color w:val="auto"/>
        </w:rPr>
        <w:t xml:space="preserve"> </w:t>
      </w:r>
      <w:r>
        <w:rPr>
          <w:rFonts w:ascii="Arial" w:cs="Arial" w:eastAsia="Arial" w:hAnsi="Arial"/>
          <w:sz w:val="20"/>
          <w:szCs w:val="20"/>
          <w:color w:val="auto"/>
        </w:rPr>
        <w:t>Exchange Commission), the Executive shall not disclose the financial terms of this Agreement to any person or entity, except that the financial terms of this Agreement may be disclosed to: (a) the Executive’s attorneys, accountants, or financial or tax advisors, and (b) members of the Executive’s immediate family; provided, in the case of each of (a) and (b), that such persons agree not to reveal the financial terms of this Agreement any further.</w:t>
      </w:r>
    </w:p>
    <w:p>
      <w:pPr>
        <w:spacing w:after="0" w:line="194" w:lineRule="exact"/>
        <w:rPr>
          <w:rFonts w:ascii="Arial" w:cs="Arial" w:eastAsia="Arial" w:hAnsi="Arial"/>
          <w:sz w:val="22"/>
          <w:szCs w:val="22"/>
          <w:color w:val="auto"/>
        </w:rPr>
      </w:pPr>
    </w:p>
    <w:p>
      <w:pPr>
        <w:jc w:val="both"/>
        <w:ind w:left="340" w:hanging="332"/>
        <w:spacing w:after="0" w:line="284" w:lineRule="auto"/>
        <w:tabs>
          <w:tab w:leader="none" w:pos="340" w:val="left"/>
        </w:tabs>
        <w:numPr>
          <w:ilvl w:val="0"/>
          <w:numId w:val="57"/>
        </w:numPr>
        <w:rPr>
          <w:rFonts w:ascii="Arial" w:cs="Arial" w:eastAsia="Arial" w:hAnsi="Arial"/>
          <w:sz w:val="21"/>
          <w:szCs w:val="21"/>
          <w:color w:val="auto"/>
        </w:rPr>
      </w:pPr>
      <w:r>
        <w:rPr>
          <w:rFonts w:ascii="Arial" w:cs="Arial" w:eastAsia="Arial" w:hAnsi="Arial"/>
          <w:sz w:val="19"/>
          <w:szCs w:val="19"/>
          <w:b w:val="1"/>
          <w:bCs w:val="1"/>
          <w:color w:val="auto"/>
        </w:rPr>
        <w:t xml:space="preserve">Successors and Assigns, No Third Party Beneficiaries. </w:t>
      </w:r>
      <w:r>
        <w:rPr>
          <w:rFonts w:ascii="Arial" w:cs="Arial" w:eastAsia="Arial" w:hAnsi="Arial"/>
          <w:sz w:val="19"/>
          <w:szCs w:val="19"/>
          <w:color w:val="auto"/>
        </w:rPr>
        <w:t>The rights and obligations of the Company under this Agreement shall be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on and inure to the benefit of the Company, its successors and permitted assigns. The rights and obligations of the Executive under this Agreement shall be binding on and inure to the benefit of the heirs and legal representatives of the Executive. Neither party may assign this Agreement without the prior written consent of the other, except that the Company may assign the Agreement to any entity acquiring all or substantially all of the assets or the business of the Company.</w:t>
      </w:r>
    </w:p>
    <w:p>
      <w:pPr>
        <w:spacing w:after="0" w:line="179" w:lineRule="exact"/>
        <w:rPr>
          <w:rFonts w:ascii="Arial" w:cs="Arial" w:eastAsia="Arial" w:hAnsi="Arial"/>
          <w:sz w:val="21"/>
          <w:szCs w:val="21"/>
          <w:color w:val="auto"/>
        </w:rPr>
      </w:pPr>
    </w:p>
    <w:p>
      <w:pPr>
        <w:jc w:val="both"/>
        <w:ind w:left="340" w:hanging="332"/>
        <w:spacing w:after="0" w:line="307" w:lineRule="auto"/>
        <w:tabs>
          <w:tab w:leader="none" w:pos="340" w:val="left"/>
        </w:tabs>
        <w:numPr>
          <w:ilvl w:val="0"/>
          <w:numId w:val="57"/>
        </w:numPr>
        <w:rPr>
          <w:rFonts w:ascii="Arial" w:cs="Arial" w:eastAsia="Arial" w:hAnsi="Arial"/>
          <w:sz w:val="19"/>
          <w:szCs w:val="19"/>
          <w:color w:val="auto"/>
        </w:rPr>
      </w:pPr>
      <w:r>
        <w:rPr>
          <w:rFonts w:ascii="Arial" w:cs="Arial" w:eastAsia="Arial" w:hAnsi="Arial"/>
          <w:sz w:val="18"/>
          <w:szCs w:val="18"/>
          <w:b w:val="1"/>
          <w:bCs w:val="1"/>
          <w:color w:val="auto"/>
        </w:rPr>
        <w:t xml:space="preserve">Waiver or Modification. </w:t>
      </w:r>
      <w:r>
        <w:rPr>
          <w:rFonts w:ascii="Arial" w:cs="Arial" w:eastAsia="Arial" w:hAnsi="Arial"/>
          <w:sz w:val="18"/>
          <w:szCs w:val="18"/>
          <w:color w:val="auto"/>
        </w:rPr>
        <w:t>Any waiver by the Company of a breach of any provision of this Agreement shall not operate as, or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a waiver of any other breach of such provision of this Agreement. The failure of the Company to insist on strict adherence to any term of this Agreement on one or more occasions shall not be considered a waiver or deprive the Company of the right thereafter to insist on strict adherence to that term or any other term of this Agreement. Neither this Agreement nor any part of it may be waived, changed or terminated orally, and any waiver, amendment or modification must be in writing signed by the Executive and the Company.</w:t>
      </w:r>
    </w:p>
    <w:p>
      <w:pPr>
        <w:spacing w:after="0" w:line="160" w:lineRule="exact"/>
        <w:rPr>
          <w:rFonts w:ascii="Arial" w:cs="Arial" w:eastAsia="Arial" w:hAnsi="Arial"/>
          <w:sz w:val="19"/>
          <w:szCs w:val="19"/>
          <w:color w:val="auto"/>
        </w:rPr>
      </w:pPr>
    </w:p>
    <w:p>
      <w:pPr>
        <w:jc w:val="both"/>
        <w:ind w:left="340" w:hanging="332"/>
        <w:spacing w:after="0" w:line="300" w:lineRule="auto"/>
        <w:tabs>
          <w:tab w:leader="none" w:pos="340" w:val="left"/>
        </w:tabs>
        <w:numPr>
          <w:ilvl w:val="0"/>
          <w:numId w:val="57"/>
        </w:numPr>
        <w:rPr>
          <w:rFonts w:ascii="Arial" w:cs="Arial" w:eastAsia="Arial" w:hAnsi="Arial"/>
          <w:sz w:val="19"/>
          <w:szCs w:val="19"/>
          <w:color w:val="auto"/>
        </w:rPr>
      </w:pPr>
      <w:r>
        <w:rPr>
          <w:rFonts w:ascii="Arial" w:cs="Arial" w:eastAsia="Arial" w:hAnsi="Arial"/>
          <w:sz w:val="18"/>
          <w:szCs w:val="18"/>
          <w:b w:val="1"/>
          <w:bCs w:val="1"/>
          <w:color w:val="auto"/>
        </w:rPr>
        <w:t xml:space="preserve">Choice of Law; Arbitration; Choice of Forum. </w:t>
      </w:r>
      <w:r>
        <w:rPr>
          <w:rFonts w:ascii="Arial" w:cs="Arial" w:eastAsia="Arial" w:hAnsi="Arial"/>
          <w:sz w:val="18"/>
          <w:szCs w:val="18"/>
          <w:color w:val="auto"/>
        </w:rPr>
        <w:t>This Agreement will be governed and construed and enforced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California without regard to its conflicts of law rules. Any controversy, dispute or claim arising out of this Agreement or relating to the Executive’s employment with Company shall first be settled through good faith negotiation. If the parties are unsuccessful at resolving the dispute through negotiation, except for injunctive or other equitable relief or as otherwise provided in this Agreement, any and all legal proceedings arising out of or relating to this Agreement or relating to the Executive’s employment with Company, whether sounding in contract, tort or statute, shall be resolved through a confidential arbitration administered by Judicial Arbitration &amp; Mediation Services, Inc. (“</w:t>
      </w:r>
      <w:r>
        <w:rPr>
          <w:rFonts w:ascii="Arial" w:cs="Arial" w:eastAsia="Arial" w:hAnsi="Arial"/>
          <w:sz w:val="18"/>
          <w:szCs w:val="18"/>
          <w:u w:val="single" w:color="auto"/>
          <w:color w:val="auto"/>
        </w:rPr>
        <w:t>JAMS</w:t>
      </w:r>
      <w:r>
        <w:rPr>
          <w:rFonts w:ascii="Arial" w:cs="Arial" w:eastAsia="Arial" w:hAnsi="Arial"/>
          <w:sz w:val="18"/>
          <w:szCs w:val="18"/>
          <w:color w:val="auto"/>
        </w:rPr>
        <w:t>”) pursuant to the JAMS Employment Arbitration Rules and Procedures, or successor rules then in effect and to the extent permitted by law. The rules and further information are available at www.jamsadr.com. The Federal Arbitration Act, as then in effect, shall govern the interpretation and enforcement of such arbitration proceeding. The arbitrator shall apply California State law to the merits of any dispute or claim, without reference to rules of conflict of law. Any determination or decision by the arbitrator will be final and binding upon the parties and may be enforced in any court of law. The parties agree that any arbitration will take place on an individual, and not on a class, basis. Subject to the provisions of this Section regarding arbitration, the Executive and the Company hereby submit to the exclusive jurisdiction and venue of the federal and state courts located in California for the resolution of any and all claims, causes of action or disputes arising out of, related to the enforcement, if necessary, of any arbitral award made pursuant to the provisions of this Section, and the Executive agrees to waive any claim relating to forum non conveniens.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left="4340" w:hanging="118"/>
        <w:spacing w:after="0"/>
        <w:tabs>
          <w:tab w:leader="none" w:pos="4340" w:val="left"/>
        </w:tabs>
        <w:numPr>
          <w:ilvl w:val="1"/>
          <w:numId w:val="57"/>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1420"/>
          </w:cols>
          <w:pgMar w:left="240" w:top="126"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2480" w:val="left"/>
        </w:tabs>
        <w:rPr>
          <w:sz w:val="20"/>
          <w:szCs w:val="20"/>
          <w:color w:val="auto"/>
        </w:rPr>
      </w:pPr>
      <w:r>
        <w:rPr>
          <w:rFonts w:ascii="Arial" w:cs="Arial" w:eastAsia="Arial" w:hAnsi="Arial"/>
          <w:sz w:val="20"/>
          <w:szCs w:val="20"/>
          <w:b w:val="1"/>
          <w:bCs w:val="1"/>
          <w:color w:val="auto"/>
        </w:rPr>
        <w:t>Executive Initials /s/ MK</w:t>
      </w:r>
      <w:r>
        <w:rPr>
          <w:sz w:val="20"/>
          <w:szCs w:val="20"/>
          <w:color w:val="auto"/>
        </w:rPr>
        <w:tab/>
      </w:r>
      <w:r>
        <w:rPr>
          <w:rFonts w:ascii="Arial" w:cs="Arial" w:eastAsia="Arial" w:hAnsi="Arial"/>
          <w:sz w:val="16"/>
          <w:szCs w:val="16"/>
          <w:b w:val="1"/>
          <w:bCs w:val="1"/>
          <w:color w:val="auto"/>
        </w:rPr>
        <w:t>Company Representative /s/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-10795</wp:posOffset>
            </wp:positionV>
            <wp:extent cx="4921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492125"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-10795</wp:posOffset>
            </wp:positionV>
            <wp:extent cx="4641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464185" cy="8890"/>
                    </a:xfrm>
                    <a:prstGeom prst="rect">
                      <a:avLst/>
                    </a:prstGeom>
                    <a:noFill/>
                  </pic:spPr>
                </pic:pic>
              </a:graphicData>
            </a:graphic>
          </wp:anchor>
        </w:drawing>
      </w:r>
    </w:p>
    <w:p>
      <w:pPr>
        <w:spacing w:after="0" w:line="277" w:lineRule="exact"/>
        <w:rPr>
          <w:sz w:val="20"/>
          <w:szCs w:val="20"/>
          <w:color w:val="auto"/>
        </w:rPr>
      </w:pPr>
    </w:p>
    <w:p>
      <w:pPr>
        <w:jc w:val="both"/>
        <w:ind w:left="340" w:hanging="332"/>
        <w:spacing w:after="0" w:line="302" w:lineRule="auto"/>
        <w:tabs>
          <w:tab w:leader="none" w:pos="340" w:val="left"/>
        </w:tabs>
        <w:numPr>
          <w:ilvl w:val="0"/>
          <w:numId w:val="58"/>
        </w:numPr>
        <w:rPr>
          <w:rFonts w:ascii="Arial" w:cs="Arial" w:eastAsia="Arial" w:hAnsi="Arial"/>
          <w:sz w:val="19"/>
          <w:szCs w:val="19"/>
          <w:color w:val="auto"/>
        </w:rPr>
      </w:pPr>
      <w:r>
        <w:rPr>
          <w:rFonts w:ascii="Arial" w:cs="Arial" w:eastAsia="Arial" w:hAnsi="Arial"/>
          <w:sz w:val="18"/>
          <w:szCs w:val="18"/>
          <w:b w:val="1"/>
          <w:bCs w:val="1"/>
          <w:color w:val="auto"/>
        </w:rPr>
        <w:t xml:space="preserve">Entire Agreement; Construction. </w:t>
      </w:r>
      <w:r>
        <w:rPr>
          <w:rFonts w:ascii="Arial" w:cs="Arial" w:eastAsia="Arial" w:hAnsi="Arial"/>
          <w:sz w:val="18"/>
          <w:szCs w:val="18"/>
          <w:color w:val="auto"/>
        </w:rPr>
        <w:t>This Agreement contains the entire understanding of the parties relating to the subject matter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supersedes all other prior written or oral agreements, understandings or arrangements between the parties relating to the subject matter hereof. The Executive acknowledges and agrees that the compensation paid under the terms of this Agreement shall be in full satisfaction of any amounts due in connection with the Executive’s employment with the Company except as otherwise expressly agreed to in writing. The Executive acknowledges that, in entering into this Agreement, the Executive did not rely and has not relied on any statements or representations not contained in this Agreement. The parties acknowledge and agree that they have been represented by counsel and that each of the parties has participated in the drafting of this Agreement. Accordingly, it is the intention and agreement of the parties that the language, terms and conditions of this Agreement are not to be construed in any way against or in favor of any party hereto by reason of the responsibilities in connection with the preparation of this Agreement.</w:t>
      </w:r>
    </w:p>
    <w:p>
      <w:pPr>
        <w:spacing w:after="0" w:line="166" w:lineRule="exact"/>
        <w:rPr>
          <w:rFonts w:ascii="Arial" w:cs="Arial" w:eastAsia="Arial" w:hAnsi="Arial"/>
          <w:sz w:val="19"/>
          <w:szCs w:val="19"/>
          <w:color w:val="auto"/>
        </w:rPr>
      </w:pPr>
    </w:p>
    <w:p>
      <w:pPr>
        <w:jc w:val="both"/>
        <w:ind w:left="340" w:hanging="332"/>
        <w:spacing w:after="0" w:line="267" w:lineRule="auto"/>
        <w:tabs>
          <w:tab w:leader="none" w:pos="340" w:val="left"/>
        </w:tabs>
        <w:numPr>
          <w:ilvl w:val="0"/>
          <w:numId w:val="58"/>
        </w:numPr>
        <w:rPr>
          <w:rFonts w:ascii="Arial" w:cs="Arial" w:eastAsia="Arial" w:hAnsi="Arial"/>
          <w:sz w:val="22"/>
          <w:szCs w:val="22"/>
          <w:color w:val="auto"/>
        </w:rPr>
      </w:pPr>
      <w:r>
        <w:rPr>
          <w:rFonts w:ascii="Arial" w:cs="Arial" w:eastAsia="Arial" w:hAnsi="Arial"/>
          <w:sz w:val="20"/>
          <w:szCs w:val="20"/>
          <w:b w:val="1"/>
          <w:bCs w:val="1"/>
          <w:color w:val="auto"/>
        </w:rPr>
        <w:t xml:space="preserve">Severability. </w:t>
      </w:r>
      <w:r>
        <w:rPr>
          <w:rFonts w:ascii="Arial" w:cs="Arial" w:eastAsia="Arial" w:hAnsi="Arial"/>
          <w:sz w:val="20"/>
          <w:szCs w:val="20"/>
          <w:color w:val="auto"/>
        </w:rPr>
        <w:t>Any term or provision of this Agreement that is determined to be invalid or unenforceable by any court of competent</w:t>
      </w:r>
      <w:r>
        <w:rPr>
          <w:rFonts w:ascii="Arial" w:cs="Arial" w:eastAsia="Arial" w:hAnsi="Arial"/>
          <w:sz w:val="20"/>
          <w:szCs w:val="20"/>
          <w:b w:val="1"/>
          <w:bCs w:val="1"/>
          <w:color w:val="auto"/>
        </w:rPr>
        <w:t xml:space="preserve"> </w:t>
      </w:r>
      <w:r>
        <w:rPr>
          <w:rFonts w:ascii="Arial" w:cs="Arial" w:eastAsia="Arial" w:hAnsi="Arial"/>
          <w:sz w:val="20"/>
          <w:szCs w:val="20"/>
          <w:color w:val="auto"/>
        </w:rPr>
        <w:t>jurisdiction in any jurisdiction shall, as to such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and such invalid or unenforceable provision shall be modified by such court so that it is enforceable to the extent permitted by applicable law.</w:t>
      </w:r>
    </w:p>
    <w:p>
      <w:pPr>
        <w:spacing w:after="0" w:line="194" w:lineRule="exact"/>
        <w:rPr>
          <w:rFonts w:ascii="Arial" w:cs="Arial" w:eastAsia="Arial" w:hAnsi="Arial"/>
          <w:sz w:val="22"/>
          <w:szCs w:val="22"/>
          <w:color w:val="auto"/>
        </w:rPr>
      </w:pPr>
    </w:p>
    <w:p>
      <w:pPr>
        <w:jc w:val="both"/>
        <w:ind w:left="340" w:hanging="332"/>
        <w:spacing w:after="0" w:line="268" w:lineRule="auto"/>
        <w:tabs>
          <w:tab w:leader="none" w:pos="340" w:val="left"/>
        </w:tabs>
        <w:numPr>
          <w:ilvl w:val="0"/>
          <w:numId w:val="58"/>
        </w:numPr>
        <w:rPr>
          <w:rFonts w:ascii="Arial" w:cs="Arial" w:eastAsia="Arial" w:hAnsi="Arial"/>
          <w:sz w:val="22"/>
          <w:szCs w:val="22"/>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requests, claims, demands and other communications hereunder shall be in writing and shall be given or made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have been duly given or made upon receipt) by delivery in person, by an internationally recognized overnight courier service, by facsimile or registered or certified mail (postage prepaid, return receipt requested) to the respective parties hereto at the latest addresses provided to the other party.</w:t>
      </w:r>
    </w:p>
    <w:p>
      <w:pPr>
        <w:spacing w:after="0" w:line="189" w:lineRule="exact"/>
        <w:rPr>
          <w:rFonts w:ascii="Arial" w:cs="Arial" w:eastAsia="Arial" w:hAnsi="Arial"/>
          <w:sz w:val="22"/>
          <w:szCs w:val="22"/>
          <w:color w:val="auto"/>
        </w:rPr>
      </w:pPr>
    </w:p>
    <w:p>
      <w:pPr>
        <w:jc w:val="both"/>
        <w:ind w:left="340" w:hanging="332"/>
        <w:spacing w:after="0" w:line="268" w:lineRule="auto"/>
        <w:tabs>
          <w:tab w:leader="none" w:pos="340" w:val="left"/>
        </w:tabs>
        <w:numPr>
          <w:ilvl w:val="0"/>
          <w:numId w:val="58"/>
        </w:numPr>
        <w:rPr>
          <w:rFonts w:ascii="Arial" w:cs="Arial" w:eastAsia="Arial" w:hAnsi="Arial"/>
          <w:sz w:val="22"/>
          <w:szCs w:val="22"/>
          <w:color w:val="auto"/>
        </w:rPr>
      </w:pPr>
      <w:r>
        <w:rPr>
          <w:rFonts w:ascii="Arial" w:cs="Arial" w:eastAsia="Arial" w:hAnsi="Arial"/>
          <w:sz w:val="20"/>
          <w:szCs w:val="20"/>
          <w:b w:val="1"/>
          <w:bCs w:val="1"/>
          <w:color w:val="auto"/>
        </w:rPr>
        <w:t xml:space="preserve">Affiliates. </w:t>
      </w:r>
      <w:r>
        <w:rPr>
          <w:rFonts w:ascii="Arial" w:cs="Arial" w:eastAsia="Arial" w:hAnsi="Arial"/>
          <w:sz w:val="20"/>
          <w:szCs w:val="20"/>
          <w:color w:val="auto"/>
        </w:rPr>
        <w:t>Whenever used in the Agreement, the term “Affiliates” shall refer to any parent, subsidiary, or other entity (including but not</w:t>
      </w:r>
      <w:r>
        <w:rPr>
          <w:rFonts w:ascii="Arial" w:cs="Arial" w:eastAsia="Arial" w:hAnsi="Arial"/>
          <w:sz w:val="20"/>
          <w:szCs w:val="20"/>
          <w:b w:val="1"/>
          <w:bCs w:val="1"/>
          <w:color w:val="auto"/>
        </w:rPr>
        <w:t xml:space="preserve"> </w:t>
      </w:r>
      <w:r>
        <w:rPr>
          <w:rFonts w:ascii="Arial" w:cs="Arial" w:eastAsia="Arial" w:hAnsi="Arial"/>
          <w:sz w:val="20"/>
          <w:szCs w:val="20"/>
          <w:color w:val="auto"/>
        </w:rPr>
        <w:t>limited to any parent or subsidiary of any such parent, subsidiary or other entity) connected to the Company by common ownership and control, regardless of corporate form.</w:t>
      </w:r>
    </w:p>
    <w:p>
      <w:pPr>
        <w:spacing w:after="0" w:line="203" w:lineRule="exact"/>
        <w:rPr>
          <w:rFonts w:ascii="Arial" w:cs="Arial" w:eastAsia="Arial" w:hAnsi="Arial"/>
          <w:sz w:val="22"/>
          <w:szCs w:val="22"/>
          <w:color w:val="auto"/>
        </w:rPr>
      </w:pPr>
    </w:p>
    <w:p>
      <w:pPr>
        <w:jc w:val="both"/>
        <w:ind w:left="340" w:hanging="332"/>
        <w:spacing w:after="0" w:line="267" w:lineRule="auto"/>
        <w:tabs>
          <w:tab w:leader="none" w:pos="340" w:val="left"/>
        </w:tabs>
        <w:numPr>
          <w:ilvl w:val="0"/>
          <w:numId w:val="58"/>
        </w:numPr>
        <w:rPr>
          <w:rFonts w:ascii="Arial" w:cs="Arial" w:eastAsia="Arial" w:hAnsi="Arial"/>
          <w:sz w:val="22"/>
          <w:szCs w:val="22"/>
          <w:color w:val="auto"/>
        </w:rPr>
      </w:pPr>
      <w:r>
        <w:rPr>
          <w:rFonts w:ascii="Arial" w:cs="Arial" w:eastAsia="Arial" w:hAnsi="Arial"/>
          <w:sz w:val="20"/>
          <w:szCs w:val="20"/>
          <w:b w:val="1"/>
          <w:bCs w:val="1"/>
          <w:color w:val="auto"/>
        </w:rPr>
        <w:t xml:space="preserve">Section 409A Compliance. </w:t>
      </w:r>
      <w:r>
        <w:rPr>
          <w:rFonts w:ascii="Arial" w:cs="Arial" w:eastAsia="Arial" w:hAnsi="Arial"/>
          <w:sz w:val="20"/>
          <w:szCs w:val="20"/>
          <w:color w:val="auto"/>
        </w:rPr>
        <w:t>Except as otherwise expressly provided in this Agreement, any payment that would otherwise constitute</w:t>
      </w:r>
      <w:r>
        <w:rPr>
          <w:rFonts w:ascii="Arial" w:cs="Arial" w:eastAsia="Arial" w:hAnsi="Arial"/>
          <w:sz w:val="20"/>
          <w:szCs w:val="20"/>
          <w:b w:val="1"/>
          <w:bCs w:val="1"/>
          <w:color w:val="auto"/>
        </w:rPr>
        <w:t xml:space="preserve"> </w:t>
      </w:r>
      <w:r>
        <w:rPr>
          <w:rFonts w:ascii="Arial" w:cs="Arial" w:eastAsia="Arial" w:hAnsi="Arial"/>
          <w:sz w:val="20"/>
          <w:szCs w:val="20"/>
          <w:color w:val="auto"/>
        </w:rPr>
        <w:t>deferred compensation within the meaning of Section 409A of the Internal Revenue Code of 1986 (the “Code”), as amended (“Section 409A”), shall be paid within 2 ½ months following the end of the year in which such amount has been earned, but in no case later than the December 31st following the calendar year in which such compensation is otherwise earned. Although the Company makes no guarantee with respect to the tax or other treatment of payments or benefits under this Agreement and shall not be responsible in any event with regard to this Agreement’s compliance with Section 409A, payments under this Agreement are intended to be exempt from or comply with the applicable requirements of Section 409A and will be limited, construed and interpreted in a manner so as to comply therewith. In furtherance of the foregoing:</w:t>
      </w:r>
    </w:p>
    <w:p>
      <w:pPr>
        <w:spacing w:after="0" w:line="216" w:lineRule="exact"/>
        <w:rPr>
          <w:rFonts w:ascii="Arial" w:cs="Arial" w:eastAsia="Arial" w:hAnsi="Arial"/>
          <w:sz w:val="22"/>
          <w:szCs w:val="22"/>
          <w:color w:val="auto"/>
        </w:rPr>
      </w:pPr>
    </w:p>
    <w:p>
      <w:pPr>
        <w:jc w:val="both"/>
        <w:ind w:left="660" w:hanging="409"/>
        <w:spacing w:after="0" w:line="266" w:lineRule="auto"/>
        <w:tabs>
          <w:tab w:leader="none" w:pos="660" w:val="left"/>
        </w:tabs>
        <w:numPr>
          <w:ilvl w:val="1"/>
          <w:numId w:val="58"/>
        </w:numPr>
        <w:rPr>
          <w:rFonts w:ascii="Arial" w:cs="Arial" w:eastAsia="Arial" w:hAnsi="Arial"/>
          <w:sz w:val="22"/>
          <w:szCs w:val="22"/>
          <w:color w:val="auto"/>
        </w:rPr>
      </w:pPr>
      <w:r>
        <w:rPr>
          <w:rFonts w:ascii="Arial" w:cs="Arial" w:eastAsia="Arial" w:hAnsi="Arial"/>
          <w:sz w:val="20"/>
          <w:szCs w:val="20"/>
          <w:color w:val="auto"/>
        </w:rPr>
        <w:t>notwithstanding any provision of this Agreement to the contrary, if the Executive is a “specified employee” as defined for purposes of Section 409A, then all payments to be made to the Executive hereunder due to the termination of employment will be paid, or commence to be paid, on the earlier of the date which is six (6) months after (x) the date that the Executive’s employment with the Company is terminated; or (y) the date of death;</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4340" w:hanging="118"/>
        <w:spacing w:after="0"/>
        <w:tabs>
          <w:tab w:leader="none" w:pos="4340" w:val="left"/>
        </w:tabs>
        <w:numPr>
          <w:ilvl w:val="2"/>
          <w:numId w:val="58"/>
        </w:numPr>
        <w:rPr>
          <w:rFonts w:ascii="Arial" w:cs="Arial" w:eastAsia="Arial" w:hAnsi="Arial"/>
          <w:sz w:val="22"/>
          <w:szCs w:val="22"/>
          <w:color w:val="auto"/>
        </w:rPr>
      </w:pPr>
      <w:r>
        <w:rPr>
          <w:rFonts w:ascii="Arial" w:cs="Arial" w:eastAsia="Arial" w:hAnsi="Arial"/>
          <w:sz w:val="22"/>
          <w:szCs w:val="22"/>
          <w:color w:val="auto"/>
        </w:rPr>
        <w:t>10 -</w:t>
      </w:r>
    </w:p>
    <w:p>
      <w:pPr>
        <w:sectPr>
          <w:pgSz w:w="11900" w:h="16838" w:orient="portrait"/>
          <w:cols w:equalWidth="0" w:num="1">
            <w:col w:w="11420"/>
          </w:cols>
          <w:pgMar w:left="240" w:top="126"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hanging="409"/>
        <w:spacing w:after="0" w:line="334" w:lineRule="auto"/>
        <w:tabs>
          <w:tab w:leader="none" w:pos="660" w:val="left"/>
        </w:tabs>
        <w:numPr>
          <w:ilvl w:val="1"/>
          <w:numId w:val="59"/>
        </w:numPr>
        <w:rPr>
          <w:rFonts w:ascii="Arial" w:cs="Arial" w:eastAsia="Arial" w:hAnsi="Arial"/>
          <w:sz w:val="19"/>
          <w:szCs w:val="19"/>
          <w:color w:val="auto"/>
        </w:rPr>
      </w:pPr>
      <w:r>
        <w:rPr>
          <w:rFonts w:ascii="Arial" w:cs="Arial" w:eastAsia="Arial" w:hAnsi="Arial"/>
          <w:sz w:val="18"/>
          <w:szCs w:val="18"/>
          <w:color w:val="auto"/>
        </w:rPr>
        <w:t>notwithstanding any provision of this Agreement to the contrary, the Executive’s employment with the Company will not be deemed to have been terminated unless and until the Executive has had a “separation from service,” as determined under Section 409A; and</w:t>
      </w:r>
    </w:p>
    <w:p>
      <w:pPr>
        <w:spacing w:after="0" w:line="134" w:lineRule="exact"/>
        <w:rPr>
          <w:rFonts w:ascii="Arial" w:cs="Arial" w:eastAsia="Arial" w:hAnsi="Arial"/>
          <w:sz w:val="19"/>
          <w:szCs w:val="19"/>
          <w:color w:val="auto"/>
        </w:rPr>
      </w:pPr>
    </w:p>
    <w:p>
      <w:pPr>
        <w:ind w:left="660" w:hanging="409"/>
        <w:spacing w:after="0"/>
        <w:tabs>
          <w:tab w:leader="none" w:pos="660" w:val="left"/>
        </w:tabs>
        <w:numPr>
          <w:ilvl w:val="1"/>
          <w:numId w:val="59"/>
        </w:numPr>
        <w:rPr>
          <w:rFonts w:ascii="Arial" w:cs="Arial" w:eastAsia="Arial" w:hAnsi="Arial"/>
          <w:sz w:val="22"/>
          <w:szCs w:val="22"/>
          <w:color w:val="auto"/>
        </w:rPr>
      </w:pPr>
      <w:r>
        <w:rPr>
          <w:rFonts w:ascii="Arial" w:cs="Arial" w:eastAsia="Arial" w:hAnsi="Arial"/>
          <w:sz w:val="20"/>
          <w:szCs w:val="20"/>
          <w:color w:val="auto"/>
        </w:rPr>
        <w:t>each payment that is part of a series of payment will be a single payment for purposes of Section 409A.</w:t>
      </w:r>
    </w:p>
    <w:p>
      <w:pPr>
        <w:spacing w:after="0" w:line="216" w:lineRule="exact"/>
        <w:rPr>
          <w:rFonts w:ascii="Arial" w:cs="Arial" w:eastAsia="Arial" w:hAnsi="Arial"/>
          <w:sz w:val="22"/>
          <w:szCs w:val="22"/>
          <w:color w:val="auto"/>
        </w:rPr>
      </w:pPr>
    </w:p>
    <w:p>
      <w:pPr>
        <w:jc w:val="both"/>
        <w:ind w:left="340" w:hanging="332"/>
        <w:spacing w:after="0" w:line="296" w:lineRule="auto"/>
        <w:tabs>
          <w:tab w:leader="none" w:pos="340" w:val="left"/>
        </w:tabs>
        <w:numPr>
          <w:ilvl w:val="0"/>
          <w:numId w:val="60"/>
        </w:numPr>
        <w:rPr>
          <w:rFonts w:ascii="Arial" w:cs="Arial" w:eastAsia="Arial" w:hAnsi="Arial"/>
          <w:sz w:val="19"/>
          <w:szCs w:val="19"/>
          <w:color w:val="auto"/>
        </w:rPr>
      </w:pPr>
      <w:r>
        <w:rPr>
          <w:rFonts w:ascii="Arial" w:cs="Arial" w:eastAsia="Arial" w:hAnsi="Arial"/>
          <w:sz w:val="18"/>
          <w:szCs w:val="18"/>
          <w:b w:val="1"/>
          <w:bCs w:val="1"/>
          <w:color w:val="auto"/>
        </w:rPr>
        <w:t xml:space="preserve">Section 280G. </w:t>
      </w:r>
      <w:r>
        <w:rPr>
          <w:rFonts w:ascii="Arial" w:cs="Arial" w:eastAsia="Arial" w:hAnsi="Arial"/>
          <w:sz w:val="18"/>
          <w:szCs w:val="18"/>
          <w:color w:val="auto"/>
        </w:rPr>
        <w:t>If any payment(s) or benefit(s) the Executive would receive pursuant to this Agreement and/or pursuant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arrangement would (a) constitute a “parachute payment” within the meaning of Section 280G of the Code, (b) but for this Section, be subject to the excise tax imposed by Section 4999 of the Code (the “</w:t>
      </w:r>
      <w:r>
        <w:rPr>
          <w:rFonts w:ascii="Arial" w:cs="Arial" w:eastAsia="Arial" w:hAnsi="Arial"/>
          <w:sz w:val="18"/>
          <w:szCs w:val="18"/>
          <w:u w:val="single" w:color="auto"/>
          <w:color w:val="auto"/>
        </w:rPr>
        <w:t>Excise Tax</w:t>
      </w:r>
      <w:r>
        <w:rPr>
          <w:rFonts w:ascii="Arial" w:cs="Arial" w:eastAsia="Arial" w:hAnsi="Arial"/>
          <w:sz w:val="18"/>
          <w:szCs w:val="18"/>
          <w:color w:val="auto"/>
        </w:rPr>
        <w:t>”), and (c) if the net-after tax amount (taking into account all applicable taxes payable by the Executive, including any Excise Tax) that the Executive would receive with respect to such payments or benefits does not exceed the Reduced Amount, then such payment(s) or benefit(s) (collectively, “</w:t>
      </w:r>
      <w:r>
        <w:rPr>
          <w:rFonts w:ascii="Arial" w:cs="Arial" w:eastAsia="Arial" w:hAnsi="Arial"/>
          <w:sz w:val="18"/>
          <w:szCs w:val="18"/>
          <w:u w:val="single" w:color="auto"/>
          <w:color w:val="auto"/>
        </w:rPr>
        <w:t>Payments</w:t>
      </w:r>
      <w:r>
        <w:rPr>
          <w:rFonts w:ascii="Arial" w:cs="Arial" w:eastAsia="Arial" w:hAnsi="Arial"/>
          <w:sz w:val="18"/>
          <w:szCs w:val="18"/>
          <w:color w:val="auto"/>
        </w:rPr>
        <w:t>”) shall be reduced to the Reduced Amount. The “</w:t>
      </w:r>
      <w:r>
        <w:rPr>
          <w:rFonts w:ascii="Arial" w:cs="Arial" w:eastAsia="Arial" w:hAnsi="Arial"/>
          <w:sz w:val="18"/>
          <w:szCs w:val="18"/>
          <w:u w:val="single" w:color="auto"/>
          <w:color w:val="auto"/>
        </w:rPr>
        <w:t>Reduced Amount</w:t>
      </w:r>
      <w:r>
        <w:rPr>
          <w:rFonts w:ascii="Arial" w:cs="Arial" w:eastAsia="Arial" w:hAnsi="Arial"/>
          <w:sz w:val="18"/>
          <w:szCs w:val="18"/>
          <w:color w:val="auto"/>
        </w:rPr>
        <w:t>” shall be the largest portion of the Payments that can be paid or provided without causing any portion of the Payments being subject to the Excise Tax. If a reduction in payments or benefits constituting “parachute payments” is necessary so that the Payments equal the Reduced Amount, reduction shall occur in the following order: (i) first, any severance payments;</w:t>
      </w:r>
    </w:p>
    <w:p>
      <w:pPr>
        <w:spacing w:after="0" w:line="2" w:lineRule="exact"/>
        <w:rPr>
          <w:rFonts w:ascii="Arial" w:cs="Arial" w:eastAsia="Arial" w:hAnsi="Arial"/>
          <w:sz w:val="19"/>
          <w:szCs w:val="19"/>
          <w:color w:val="auto"/>
        </w:rPr>
      </w:pPr>
    </w:p>
    <w:p>
      <w:pPr>
        <w:jc w:val="both"/>
        <w:ind w:left="340" w:hanging="8"/>
        <w:spacing w:after="0" w:line="273" w:lineRule="auto"/>
        <w:tabs>
          <w:tab w:leader="none" w:pos="632" w:val="left"/>
        </w:tabs>
        <w:numPr>
          <w:ilvl w:val="2"/>
          <w:numId w:val="60"/>
        </w:numPr>
        <w:rPr>
          <w:rFonts w:ascii="Arial" w:cs="Arial" w:eastAsia="Arial" w:hAnsi="Arial"/>
          <w:sz w:val="20"/>
          <w:szCs w:val="20"/>
          <w:color w:val="auto"/>
        </w:rPr>
      </w:pPr>
      <w:r>
        <w:rPr>
          <w:rFonts w:ascii="Arial" w:cs="Arial" w:eastAsia="Arial" w:hAnsi="Arial"/>
          <w:sz w:val="20"/>
          <w:szCs w:val="20"/>
          <w:color w:val="auto"/>
        </w:rPr>
        <w:t>second, any other cash payments due under any other agreement between the Company and the Executive; (iii) third, cancellation of the acceleration of vesting of any stock options; (iv) fourth, cancellation of the acceleration of vesting of any restricted stock and restricted stock units; and (v) lastly, other non-cash forms of benefits. Calculations of the foregoing will be performed at the expense of the Company by an accounting firm selected by the Company. The determinations of such accounting firm shall be final, binding and conclusive upon the Company and the Executive.</w:t>
      </w:r>
    </w:p>
    <w:p>
      <w:pPr>
        <w:spacing w:after="0" w:line="185" w:lineRule="exact"/>
        <w:rPr>
          <w:rFonts w:ascii="Arial" w:cs="Arial" w:eastAsia="Arial" w:hAnsi="Arial"/>
          <w:sz w:val="20"/>
          <w:szCs w:val="20"/>
          <w:color w:val="auto"/>
        </w:rPr>
      </w:pPr>
    </w:p>
    <w:p>
      <w:pPr>
        <w:jc w:val="both"/>
        <w:ind w:left="340" w:hanging="332"/>
        <w:spacing w:after="0" w:line="300" w:lineRule="auto"/>
        <w:tabs>
          <w:tab w:leader="none" w:pos="340" w:val="left"/>
        </w:tabs>
        <w:numPr>
          <w:ilvl w:val="0"/>
          <w:numId w:val="60"/>
        </w:numPr>
        <w:rPr>
          <w:rFonts w:ascii="Arial" w:cs="Arial" w:eastAsia="Arial" w:hAnsi="Arial"/>
          <w:sz w:val="19"/>
          <w:szCs w:val="19"/>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The Executive shall not be liable to the Company for any loss, damage or claim incurred by reason of any act or omission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performed or omitted by the Executive in good faith on behalf of the Company and in a manner reasonably believed by the Executive to be within the scope of the authority conferred on the Executive by this Agreement, except that the Executive shall be liable for any such loss, damage or claim incurred by reason of the Executive’s fraud or intentional malfeasance. To the fullest extent permitted by applicable law, the Company shall indemnify the Executive for any loss, damage or claim incurred by the Executive by reason of any act or omission performed or omitted by the Executive in good faith on behalf of the Company and in a manner reasonably believed by the Executive to be within the scope of the authority conferred on the Executive by this Agreement, except that the Executive shall not be entitled to be indemnified in respect of any loss, damage or claim incurred by the Executive by reason of the Executive’s gross negligence or willful misconduct with respect to such acts or omissions, as determined by a final and non-appealable arbitration adjudication pursuant to the provisions of </w:t>
      </w:r>
      <w:r>
        <w:rPr>
          <w:rFonts w:ascii="Arial" w:cs="Arial" w:eastAsia="Arial" w:hAnsi="Arial"/>
          <w:sz w:val="18"/>
          <w:szCs w:val="18"/>
          <w:u w:val="single" w:color="auto"/>
          <w:color w:val="auto"/>
        </w:rPr>
        <w:t>Section 18</w:t>
      </w:r>
      <w:r>
        <w:rPr>
          <w:rFonts w:ascii="Arial" w:cs="Arial" w:eastAsia="Arial" w:hAnsi="Arial"/>
          <w:sz w:val="18"/>
          <w:szCs w:val="18"/>
          <w:color w:val="auto"/>
        </w:rPr>
        <w:t>; provided, however, that, for the avoidance of doubt, any indemnity under this Section shall be provided out of and to the extent of Company assets only, and the members of the Company shall have no personal liability on account thereof. To the fullest extent permitted by applicable law, expenses (including reasonable and documented legal fees) incurred by the Executive in defending any claim, demand, action, suit or proceeding brought by any person or entity other than Company or any Affiliate shall, from time to time, be advanced by the Company prior to the final disposition of such claim, demand, action, suit or proceeding upon receipt by the Company of an undertaking by or on behalf of the Executive to repay such amount if it shall ultimately be determined that the Executive is not entitled to be indemnified as authorized in this Section.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4340" w:hanging="118"/>
        <w:spacing w:after="0"/>
        <w:tabs>
          <w:tab w:leader="none" w:pos="4340" w:val="left"/>
        </w:tabs>
        <w:numPr>
          <w:ilvl w:val="3"/>
          <w:numId w:val="60"/>
        </w:numPr>
        <w:rPr>
          <w:rFonts w:ascii="Arial" w:cs="Arial" w:eastAsia="Arial" w:hAnsi="Arial"/>
          <w:sz w:val="22"/>
          <w:szCs w:val="22"/>
          <w:color w:val="auto"/>
        </w:rPr>
      </w:pPr>
      <w:r>
        <w:rPr>
          <w:rFonts w:ascii="Arial" w:cs="Arial" w:eastAsia="Arial" w:hAnsi="Arial"/>
          <w:sz w:val="22"/>
          <w:szCs w:val="22"/>
          <w:color w:val="auto"/>
        </w:rPr>
        <w:t>11 -</w:t>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hanging="332"/>
        <w:spacing w:after="0" w:line="341" w:lineRule="auto"/>
        <w:tabs>
          <w:tab w:leader="none" w:pos="340" w:val="left"/>
        </w:tabs>
        <w:numPr>
          <w:ilvl w:val="0"/>
          <w:numId w:val="61"/>
        </w:numPr>
        <w:rPr>
          <w:rFonts w:ascii="Arial" w:cs="Arial" w:eastAsia="Arial" w:hAnsi="Arial"/>
          <w:sz w:val="19"/>
          <w:szCs w:val="19"/>
          <w:color w:val="auto"/>
        </w:rPr>
      </w:pPr>
      <w:r>
        <w:rPr>
          <w:rFonts w:ascii="Arial" w:cs="Arial" w:eastAsia="Arial" w:hAnsi="Arial"/>
          <w:sz w:val="18"/>
          <w:szCs w:val="18"/>
          <w:b w:val="1"/>
          <w:bCs w:val="1"/>
          <w:color w:val="auto"/>
        </w:rPr>
        <w:t xml:space="preserve">Legal Fees of the Executive. </w:t>
      </w:r>
      <w:r>
        <w:rPr>
          <w:rFonts w:ascii="Arial" w:cs="Arial" w:eastAsia="Arial" w:hAnsi="Arial"/>
          <w:sz w:val="18"/>
          <w:szCs w:val="18"/>
          <w:color w:val="auto"/>
        </w:rPr>
        <w:t>The Company will pay, or reimburse the Executive, for the reasonable legal fees and expenses incurred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Executive’s legal counsel in connection with entering into this Agreement up to twenty-five thousand dollars ($25,000).</w:t>
      </w:r>
    </w:p>
    <w:p>
      <w:pPr>
        <w:spacing w:after="0" w:line="124" w:lineRule="exact"/>
        <w:rPr>
          <w:rFonts w:ascii="Arial" w:cs="Arial" w:eastAsia="Arial" w:hAnsi="Arial"/>
          <w:sz w:val="19"/>
          <w:szCs w:val="19"/>
          <w:color w:val="auto"/>
        </w:rPr>
      </w:pPr>
    </w:p>
    <w:p>
      <w:pPr>
        <w:ind w:left="340" w:right="20" w:hanging="332"/>
        <w:spacing w:after="0" w:line="298" w:lineRule="auto"/>
        <w:tabs>
          <w:tab w:leader="none" w:pos="340" w:val="left"/>
        </w:tabs>
        <w:numPr>
          <w:ilvl w:val="0"/>
          <w:numId w:val="61"/>
        </w:numPr>
        <w:rPr>
          <w:rFonts w:ascii="Arial" w:cs="Arial" w:eastAsia="Arial" w:hAnsi="Arial"/>
          <w:sz w:val="21"/>
          <w:szCs w:val="21"/>
          <w:color w:val="auto"/>
        </w:rPr>
      </w:pPr>
      <w:r>
        <w:rPr>
          <w:rFonts w:ascii="Arial" w:cs="Arial" w:eastAsia="Arial" w:hAnsi="Arial"/>
          <w:sz w:val="19"/>
          <w:szCs w:val="19"/>
          <w:b w:val="1"/>
          <w:bCs w:val="1"/>
          <w:color w:val="auto"/>
        </w:rPr>
        <w:t xml:space="preserve">Survival. </w:t>
      </w:r>
      <w:r>
        <w:rPr>
          <w:rFonts w:ascii="Arial" w:cs="Arial" w:eastAsia="Arial" w:hAnsi="Arial"/>
          <w:sz w:val="19"/>
          <w:szCs w:val="19"/>
          <w:color w:val="auto"/>
        </w:rPr>
        <w:t>The covenants, agreements, representations and warranties contained in this Agreement shall survive the termination of the Term</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Executive’s termination of employment with the Company or its Affiliates at any time and for any reason.</w:t>
      </w: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this Agreement has been executed and delivered by the parties as of the first date written above.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00" w:type="dxa"/>
            <w:vAlign w:val="bottom"/>
          </w:tcPr>
          <w:p>
            <w:pPr>
              <w:spacing w:after="0"/>
              <w:rPr>
                <w:sz w:val="20"/>
                <w:szCs w:val="20"/>
                <w:color w:val="auto"/>
              </w:rPr>
            </w:pPr>
            <w:r>
              <w:rPr>
                <w:rFonts w:ascii="Arial" w:cs="Arial" w:eastAsia="Arial" w:hAnsi="Arial"/>
                <w:sz w:val="20"/>
                <w:szCs w:val="20"/>
                <w:b w:val="1"/>
                <w:bCs w:val="1"/>
                <w:color w:val="auto"/>
              </w:rPr>
              <w:t>EXECUTIVE</w:t>
            </w:r>
            <w:r>
              <w:rPr>
                <w:rFonts w:ascii="Arial" w:cs="Arial" w:eastAsia="Arial" w:hAnsi="Arial"/>
                <w:sz w:val="20"/>
                <w:szCs w:val="20"/>
                <w:color w:val="auto"/>
              </w:rPr>
              <w:t>:</w:t>
            </w:r>
          </w:p>
        </w:tc>
        <w:tc>
          <w:tcPr>
            <w:tcW w:w="6800" w:type="dxa"/>
            <w:vAlign w:val="bottom"/>
            <w:gridSpan w:val="8"/>
          </w:tcPr>
          <w:p>
            <w:pPr>
              <w:ind w:left="1220"/>
              <w:spacing w:after="0"/>
              <w:rPr>
                <w:sz w:val="20"/>
                <w:szCs w:val="20"/>
                <w:color w:val="auto"/>
              </w:rPr>
            </w:pPr>
            <w:r>
              <w:rPr>
                <w:rFonts w:ascii="Arial" w:cs="Arial" w:eastAsia="Arial" w:hAnsi="Arial"/>
                <w:sz w:val="20"/>
                <w:szCs w:val="20"/>
                <w:b w:val="1"/>
                <w:bCs w:val="1"/>
                <w:color w:val="auto"/>
              </w:rPr>
              <w:t>GSV CAPITAL CORP.</w:t>
            </w:r>
          </w:p>
        </w:tc>
        <w:tc>
          <w:tcPr>
            <w:tcW w:w="0" w:type="dxa"/>
            <w:vAlign w:val="bottom"/>
          </w:tcPr>
          <w:p>
            <w:pPr>
              <w:spacing w:after="0"/>
              <w:rPr>
                <w:sz w:val="1"/>
                <w:szCs w:val="1"/>
                <w:color w:val="auto"/>
              </w:rPr>
            </w:pPr>
          </w:p>
        </w:tc>
      </w:tr>
      <w:tr>
        <w:trPr>
          <w:trHeight w:val="415"/>
        </w:trPr>
        <w:tc>
          <w:tcPr>
            <w:tcW w:w="3080" w:type="dxa"/>
            <w:vAlign w:val="bottom"/>
            <w:gridSpan w:val="2"/>
          </w:tcPr>
          <w:p>
            <w:pPr>
              <w:spacing w:after="0"/>
              <w:rPr>
                <w:sz w:val="20"/>
                <w:szCs w:val="20"/>
                <w:color w:val="auto"/>
              </w:rPr>
            </w:pPr>
            <w:r>
              <w:rPr>
                <w:rFonts w:ascii="Arial" w:cs="Arial" w:eastAsia="Arial" w:hAnsi="Arial"/>
                <w:sz w:val="20"/>
                <w:szCs w:val="20"/>
                <w:color w:val="auto"/>
              </w:rPr>
              <w:t>/s/ Mark D. Klein_____________</w:t>
            </w:r>
          </w:p>
        </w:tc>
        <w:tc>
          <w:tcPr>
            <w:tcW w:w="5120" w:type="dxa"/>
            <w:vAlign w:val="bottom"/>
            <w:gridSpan w:val="7"/>
          </w:tcPr>
          <w:p>
            <w:pPr>
              <w:ind w:left="400"/>
              <w:spacing w:after="0"/>
              <w:rPr>
                <w:sz w:val="20"/>
                <w:szCs w:val="20"/>
                <w:color w:val="auto"/>
              </w:rPr>
            </w:pPr>
            <w:r>
              <w:rPr>
                <w:rFonts w:ascii="Arial" w:cs="Arial" w:eastAsia="Arial" w:hAnsi="Arial"/>
                <w:sz w:val="20"/>
                <w:szCs w:val="20"/>
                <w:color w:val="auto"/>
              </w:rPr>
              <w:t>By: /s/ Allison Green_____________</w:t>
            </w:r>
          </w:p>
        </w:tc>
        <w:tc>
          <w:tcPr>
            <w:tcW w:w="0" w:type="dxa"/>
            <w:vAlign w:val="bottom"/>
          </w:tcPr>
          <w:p>
            <w:pPr>
              <w:spacing w:after="0"/>
              <w:rPr>
                <w:sz w:val="1"/>
                <w:szCs w:val="1"/>
                <w:color w:val="auto"/>
              </w:rPr>
            </w:pPr>
          </w:p>
        </w:tc>
      </w:tr>
      <w:tr>
        <w:trPr>
          <w:trHeight w:val="254"/>
        </w:trPr>
        <w:tc>
          <w:tcPr>
            <w:tcW w:w="14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Mark D. Klein</w:t>
            </w:r>
          </w:p>
        </w:tc>
        <w:tc>
          <w:tcPr>
            <w:tcW w:w="1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3020" w:type="dxa"/>
            <w:vAlign w:val="bottom"/>
            <w:gridSpan w:val="5"/>
            <w:vMerge w:val="restart"/>
          </w:tcPr>
          <w:p>
            <w:pPr>
              <w:ind w:left="20"/>
              <w:spacing w:after="0"/>
              <w:rPr>
                <w:sz w:val="20"/>
                <w:szCs w:val="20"/>
                <w:color w:val="auto"/>
              </w:rPr>
            </w:pPr>
            <w:r>
              <w:rPr>
                <w:rFonts w:ascii="Arial" w:cs="Arial" w:eastAsia="Arial" w:hAnsi="Arial"/>
                <w:sz w:val="20"/>
                <w:szCs w:val="20"/>
                <w:color w:val="auto"/>
              </w:rPr>
              <w:t>Name: Allison Green ______</w:t>
            </w:r>
          </w:p>
        </w:tc>
        <w:tc>
          <w:tcPr>
            <w:tcW w:w="0" w:type="dxa"/>
            <w:vAlign w:val="bottom"/>
          </w:tcPr>
          <w:p>
            <w:pPr>
              <w:spacing w:after="0"/>
              <w:rPr>
                <w:sz w:val="1"/>
                <w:szCs w:val="1"/>
                <w:color w:val="auto"/>
              </w:rPr>
            </w:pPr>
          </w:p>
        </w:tc>
      </w:tr>
      <w:tr>
        <w:trPr>
          <w:trHeight w:val="185"/>
        </w:trPr>
        <w:tc>
          <w:tcPr>
            <w:tcW w:w="1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20" w:type="dxa"/>
            <w:vAlign w:val="bottom"/>
            <w:gridSpan w:val="5"/>
          </w:tcPr>
          <w:p>
            <w:pPr>
              <w:ind w:left="20"/>
              <w:spacing w:after="0"/>
              <w:rPr>
                <w:sz w:val="20"/>
                <w:szCs w:val="20"/>
                <w:color w:val="auto"/>
              </w:rPr>
            </w:pPr>
            <w:r>
              <w:rPr>
                <w:rFonts w:ascii="Arial" w:cs="Arial" w:eastAsia="Arial" w:hAnsi="Arial"/>
                <w:sz w:val="20"/>
                <w:szCs w:val="20"/>
                <w:color w:val="auto"/>
                <w:w w:val="92"/>
              </w:rPr>
              <w:t>Title: Chief Financial Officer_______</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1420"/>
          </w:cols>
          <w:pgMar w:left="240" w:top="125"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Permitted Activities</w:t>
      </w:r>
    </w:p>
    <w:p>
      <w:pPr>
        <w:spacing w:after="0" w:line="25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Provided that such involvement will not adversely impact in any material respect Executive’s performance of his duties and obligations to the Company under this Agreement, the Executive may engage in all activities of the Executive described in the biography of the Executive as it appears on the Company’s most recent Proxy Statement filed with the Securities and Exchange Commission.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625"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FORM RELEASE AGREEMENT</w:t>
      </w:r>
    </w:p>
    <w:p>
      <w:pPr>
        <w:spacing w:after="0" w:line="229"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This Release Agreement (“</w:t>
      </w:r>
      <w:r>
        <w:rPr>
          <w:rFonts w:ascii="Arial" w:cs="Arial" w:eastAsia="Arial" w:hAnsi="Arial"/>
          <w:sz w:val="18"/>
          <w:szCs w:val="18"/>
          <w:b w:val="1"/>
          <w:bCs w:val="1"/>
          <w:color w:val="auto"/>
        </w:rPr>
        <w:t>Release</w:t>
      </w:r>
      <w:r>
        <w:rPr>
          <w:rFonts w:ascii="Arial" w:cs="Arial" w:eastAsia="Arial" w:hAnsi="Arial"/>
          <w:sz w:val="18"/>
          <w:szCs w:val="18"/>
          <w:color w:val="auto"/>
        </w:rPr>
        <w:t>”) is entered into by and between GSV Capital Corp., together with its parents, subsidiaries, predecessors, successors and affiliates (the “</w:t>
      </w:r>
      <w:r>
        <w:rPr>
          <w:rFonts w:ascii="Arial" w:cs="Arial" w:eastAsia="Arial" w:hAnsi="Arial"/>
          <w:sz w:val="18"/>
          <w:szCs w:val="18"/>
          <w:b w:val="1"/>
          <w:bCs w:val="1"/>
          <w:color w:val="auto"/>
        </w:rPr>
        <w:t>Company</w:t>
      </w:r>
      <w:r>
        <w:rPr>
          <w:rFonts w:ascii="Arial" w:cs="Arial" w:eastAsia="Arial" w:hAnsi="Arial"/>
          <w:sz w:val="18"/>
          <w:szCs w:val="18"/>
          <w:color w:val="auto"/>
        </w:rPr>
        <w:t>”) and Mark D. Klein (the “</w:t>
      </w:r>
      <w:r>
        <w:rPr>
          <w:rFonts w:ascii="Arial" w:cs="Arial" w:eastAsia="Arial" w:hAnsi="Arial"/>
          <w:sz w:val="18"/>
          <w:szCs w:val="18"/>
          <w:b w:val="1"/>
          <w:bCs w:val="1"/>
          <w:color w:val="auto"/>
        </w:rPr>
        <w:t>Executive</w:t>
      </w:r>
      <w:r>
        <w:rPr>
          <w:rFonts w:ascii="Arial" w:cs="Arial" w:eastAsia="Arial" w:hAnsi="Arial"/>
          <w:sz w:val="18"/>
          <w:szCs w:val="18"/>
          <w:color w:val="auto"/>
        </w:rPr>
        <w:t>”) (each a “</w:t>
      </w:r>
      <w:r>
        <w:rPr>
          <w:rFonts w:ascii="Arial" w:cs="Arial" w:eastAsia="Arial" w:hAnsi="Arial"/>
          <w:sz w:val="18"/>
          <w:szCs w:val="18"/>
          <w:b w:val="1"/>
          <w:bCs w:val="1"/>
          <w:color w:val="auto"/>
        </w:rPr>
        <w:t>Party</w:t>
      </w:r>
      <w:r>
        <w:rPr>
          <w:rFonts w:ascii="Arial" w:cs="Arial" w:eastAsia="Arial" w:hAnsi="Arial"/>
          <w:sz w:val="18"/>
          <w:szCs w:val="18"/>
          <w:color w:val="auto"/>
        </w:rPr>
        <w:t>,”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WHEREAS, the Executive is currently employed by the Company as the ______________ of the Company;</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WHEREAS, the Parties have entered into that certain employment agreement effective as of </w:t>
      </w:r>
      <w:r>
        <w:rPr>
          <w:rFonts w:ascii="Arial" w:cs="Arial" w:eastAsia="Arial" w:hAnsi="Arial"/>
          <w:sz w:val="18"/>
          <w:szCs w:val="18"/>
          <w:u w:val="single" w:color="auto"/>
          <w:color w:val="auto"/>
        </w:rPr>
        <w:t>__________________</w:t>
      </w:r>
      <w:r>
        <w:rPr>
          <w:rFonts w:ascii="Arial" w:cs="Arial" w:eastAsia="Arial" w:hAnsi="Arial"/>
          <w:sz w:val="18"/>
          <w:szCs w:val="18"/>
          <w:color w:val="auto"/>
        </w:rPr>
        <w:t xml:space="preserve"> (the “</w:t>
      </w:r>
      <w:r>
        <w:rPr>
          <w:rFonts w:ascii="Arial" w:cs="Arial" w:eastAsia="Arial" w:hAnsi="Arial"/>
          <w:sz w:val="18"/>
          <w:szCs w:val="18"/>
          <w:b w:val="1"/>
          <w:bCs w:val="1"/>
          <w:color w:val="auto"/>
        </w:rPr>
        <w:t>Employment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20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8"/>
          <w:szCs w:val="18"/>
          <w:color w:val="auto"/>
        </w:rPr>
        <w:t xml:space="preserve">WHEREAS, [the Company wishes to terminate the Executive’s employment without Cause </w:t>
      </w:r>
      <w:r>
        <w:rPr>
          <w:rFonts w:ascii="Arial" w:cs="Arial" w:eastAsia="Arial" w:hAnsi="Arial"/>
          <w:sz w:val="18"/>
          <w:szCs w:val="18"/>
          <w:b w:val="1"/>
          <w:bCs w:val="1"/>
          <w:color w:val="auto"/>
        </w:rPr>
        <w:t>OR</w:t>
      </w:r>
      <w:r>
        <w:rPr>
          <w:rFonts w:ascii="Arial" w:cs="Arial" w:eastAsia="Arial" w:hAnsi="Arial"/>
          <w:sz w:val="18"/>
          <w:szCs w:val="18"/>
          <w:color w:val="auto"/>
        </w:rPr>
        <w:t xml:space="preserve"> the Executive wishes to terminate employment for Good Reason (each as defined in the Employment Agreement) </w:t>
      </w:r>
      <w:r>
        <w:rPr>
          <w:rFonts w:ascii="Arial" w:cs="Arial" w:eastAsia="Arial" w:hAnsi="Arial"/>
          <w:sz w:val="18"/>
          <w:szCs w:val="18"/>
          <w:b w:val="1"/>
          <w:bCs w:val="1"/>
          <w:color w:val="auto"/>
        </w:rPr>
        <w:t>OR</w:t>
      </w:r>
      <w:r>
        <w:rPr>
          <w:rFonts w:ascii="Arial" w:cs="Arial" w:eastAsia="Arial" w:hAnsi="Arial"/>
          <w:sz w:val="18"/>
          <w:szCs w:val="18"/>
          <w:color w:val="auto"/>
        </w:rPr>
        <w:t xml:space="preserve"> the Executive’s employment has been terminated due to Disability (as defined in the Employment Agreement) </w:t>
      </w:r>
      <w:r>
        <w:rPr>
          <w:rFonts w:ascii="Arial" w:cs="Arial" w:eastAsia="Arial" w:hAnsi="Arial"/>
          <w:sz w:val="18"/>
          <w:szCs w:val="18"/>
          <w:b w:val="1"/>
          <w:bCs w:val="1"/>
          <w:color w:val="auto"/>
        </w:rPr>
        <w:t>OR</w:t>
      </w:r>
      <w:r>
        <w:rPr>
          <w:rFonts w:ascii="Arial" w:cs="Arial" w:eastAsia="Arial" w:hAnsi="Arial"/>
          <w:sz w:val="18"/>
          <w:szCs w:val="18"/>
          <w:color w:val="auto"/>
        </w:rPr>
        <w:t xml:space="preserve"> the Executive’s employment has been terminated due to the Executive’s death]; and</w:t>
      </w:r>
    </w:p>
    <w:p>
      <w:pPr>
        <w:spacing w:after="0" w:line="16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WHEREAS, the Executive’s right to receive certain severance benefits as set forth in the Employment Agreement is conditioned on the Executive executing this Release.</w:t>
      </w:r>
    </w:p>
    <w:p>
      <w:pPr>
        <w:spacing w:after="0" w:line="1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 consideration of the mutual covenants and promises each Party has made to the other as set forth in this Release and the Employment Agreement, the Parties agree as follows:</w:t>
      </w:r>
    </w:p>
    <w:p>
      <w:pPr>
        <w:spacing w:after="0" w:line="190" w:lineRule="exact"/>
        <w:rPr>
          <w:sz w:val="20"/>
          <w:szCs w:val="20"/>
          <w:color w:val="auto"/>
        </w:rPr>
      </w:pPr>
    </w:p>
    <w:p>
      <w:pPr>
        <w:jc w:val="both"/>
        <w:ind w:left="340" w:hanging="332"/>
        <w:spacing w:after="0" w:line="260" w:lineRule="auto"/>
        <w:tabs>
          <w:tab w:leader="none" w:pos="34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Separation Date</w:t>
      </w:r>
      <w:r>
        <w:rPr>
          <w:rFonts w:ascii="Arial" w:cs="Arial" w:eastAsia="Arial" w:hAnsi="Arial"/>
          <w:sz w:val="19"/>
          <w:szCs w:val="19"/>
          <w:color w:val="auto"/>
        </w:rPr>
        <w:t>. The Executive agrees that the Executive’s employment with the Company shall end as of [_____________________] (the “</w:t>
      </w:r>
      <w:r>
        <w:rPr>
          <w:rFonts w:ascii="Arial" w:cs="Arial" w:eastAsia="Arial" w:hAnsi="Arial"/>
          <w:sz w:val="19"/>
          <w:szCs w:val="19"/>
          <w:b w:val="1"/>
          <w:bCs w:val="1"/>
          <w:color w:val="auto"/>
        </w:rPr>
        <w:t>Separation Date</w:t>
      </w:r>
      <w:r>
        <w:rPr>
          <w:rFonts w:ascii="Arial" w:cs="Arial" w:eastAsia="Arial" w:hAnsi="Arial"/>
          <w:sz w:val="19"/>
          <w:szCs w:val="19"/>
          <w:color w:val="auto"/>
        </w:rPr>
        <w:t>”). As of the Separation Date, the Executive (a) shall cease to be an employee of the Company, and (b) shall no longer be authorized to bind the Company or to hold himself or herself out as an employee or agent of the Company. [During the Executive’s employment through the Separation Date, the Executive agrees that the Executive will reasonably assist in the transition of his or her duties and responsibilities as reasonably directed by the Company.]</w:t>
      </w:r>
    </w:p>
    <w:p>
      <w:pPr>
        <w:spacing w:after="0" w:line="194" w:lineRule="exact"/>
        <w:rPr>
          <w:rFonts w:ascii="Arial" w:cs="Arial" w:eastAsia="Arial" w:hAnsi="Arial"/>
          <w:sz w:val="19"/>
          <w:szCs w:val="19"/>
          <w:color w:val="auto"/>
        </w:rPr>
      </w:pPr>
    </w:p>
    <w:p>
      <w:pPr>
        <w:ind w:left="340" w:hanging="332"/>
        <w:spacing w:after="0"/>
        <w:tabs>
          <w:tab w:leader="none" w:pos="34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Accrued Compensation and Benefits</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jc w:val="both"/>
        <w:ind w:left="660" w:hanging="409"/>
        <w:spacing w:after="0" w:line="290" w:lineRule="auto"/>
        <w:tabs>
          <w:tab w:leader="none" w:pos="660" w:val="left"/>
        </w:tabs>
        <w:numPr>
          <w:ilvl w:val="1"/>
          <w:numId w:val="62"/>
        </w:numPr>
        <w:rPr>
          <w:rFonts w:ascii="Arial" w:cs="Arial" w:eastAsia="Arial" w:hAnsi="Arial"/>
          <w:sz w:val="21"/>
          <w:szCs w:val="21"/>
          <w:color w:val="auto"/>
        </w:rPr>
      </w:pPr>
      <w:r>
        <w:rPr>
          <w:rFonts w:ascii="Arial" w:cs="Arial" w:eastAsia="Arial" w:hAnsi="Arial"/>
          <w:sz w:val="19"/>
          <w:szCs w:val="19"/>
          <w:color w:val="auto"/>
        </w:rPr>
        <w:t xml:space="preserve">Even if the Executive does not sign this Agreement, (A) the Company shall pay the Executive, through the Separation Date, </w:t>
      </w:r>
      <w:r>
        <w:rPr>
          <w:rFonts w:ascii="Arial" w:cs="Arial" w:eastAsia="Arial" w:hAnsi="Arial"/>
          <w:sz w:val="20"/>
          <w:szCs w:val="20"/>
          <w:color w:val="auto"/>
        </w:rPr>
        <w:t>the</w:t>
      </w:r>
      <w:r>
        <w:rPr>
          <w:rFonts w:ascii="Arial" w:cs="Arial" w:eastAsia="Arial" w:hAnsi="Arial"/>
          <w:sz w:val="19"/>
          <w:szCs w:val="19"/>
          <w:color w:val="auto"/>
        </w:rPr>
        <w:t xml:space="preserve"> Executive’s Accrued Benefits (as defined in the Employment Agreement), and (B) (a) the Company shall offer the Executive benefits to which the Executive is entitled under the Consolidated Omnibus Budget Reconciliation Act of 1985 ("COBRA"), and (b) the Executive shall retain all benefits under the Company's 401(k) plan in accordance with terms of such plan.</w:t>
      </w:r>
    </w:p>
    <w:p>
      <w:pPr>
        <w:spacing w:after="0" w:line="190" w:lineRule="exact"/>
        <w:rPr>
          <w:rFonts w:ascii="Arial" w:cs="Arial" w:eastAsia="Arial" w:hAnsi="Arial"/>
          <w:sz w:val="21"/>
          <w:szCs w:val="21"/>
          <w:color w:val="auto"/>
        </w:rPr>
      </w:pPr>
    </w:p>
    <w:p>
      <w:pPr>
        <w:jc w:val="both"/>
        <w:ind w:left="660" w:hanging="409"/>
        <w:spacing w:after="0" w:line="265" w:lineRule="auto"/>
        <w:tabs>
          <w:tab w:leader="none" w:pos="660" w:val="left"/>
        </w:tabs>
        <w:numPr>
          <w:ilvl w:val="1"/>
          <w:numId w:val="62"/>
        </w:numPr>
        <w:rPr>
          <w:rFonts w:ascii="Arial" w:cs="Arial" w:eastAsia="Arial" w:hAnsi="Arial"/>
          <w:sz w:val="22"/>
          <w:szCs w:val="22"/>
          <w:color w:val="auto"/>
        </w:rPr>
      </w:pPr>
      <w:r>
        <w:rPr>
          <w:rFonts w:ascii="Arial" w:cs="Arial" w:eastAsia="Arial" w:hAnsi="Arial"/>
          <w:sz w:val="20"/>
          <w:szCs w:val="20"/>
          <w:color w:val="auto"/>
        </w:rPr>
        <w:t>As of the Separation Date, the Executive shall cease to be entitled to any further compensation, monies or other benefits from the Company, including coverage under any benefits plans or programs sponsored by the Company as of the Separation Date, except as otherwise expressly provided in this Release or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616" w:right="239" w:bottom="1440" w:gutter="0" w:footer="0" w:header="0"/>
        </w:sectPr>
      </w:pPr>
    </w:p>
    <w:bookmarkStart w:id="86" w:name="page87"/>
    <w:bookmarkEnd w:id="86"/>
    <w:p>
      <w:pPr>
        <w:ind w:left="332" w:hanging="332"/>
        <w:spacing w:after="0"/>
        <w:tabs>
          <w:tab w:leader="none" w:pos="332"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Severance Benefits.</w:t>
      </w:r>
    </w:p>
    <w:p>
      <w:pPr>
        <w:spacing w:after="0" w:line="242" w:lineRule="exact"/>
        <w:rPr>
          <w:rFonts w:ascii="Arial" w:cs="Arial" w:eastAsia="Arial" w:hAnsi="Arial"/>
          <w:sz w:val="20"/>
          <w:szCs w:val="20"/>
          <w:color w:val="auto"/>
        </w:rPr>
      </w:pPr>
    </w:p>
    <w:p>
      <w:pPr>
        <w:jc w:val="both"/>
        <w:ind w:left="652" w:hanging="409"/>
        <w:spacing w:after="0" w:line="266" w:lineRule="auto"/>
        <w:tabs>
          <w:tab w:leader="none" w:pos="652" w:val="left"/>
        </w:tabs>
        <w:numPr>
          <w:ilvl w:val="1"/>
          <w:numId w:val="63"/>
        </w:numPr>
        <w:rPr>
          <w:rFonts w:ascii="Arial" w:cs="Arial" w:eastAsia="Arial" w:hAnsi="Arial"/>
          <w:sz w:val="22"/>
          <w:szCs w:val="22"/>
          <w:color w:val="auto"/>
        </w:rPr>
      </w:pPr>
      <w:r>
        <w:rPr>
          <w:rFonts w:ascii="Arial" w:cs="Arial" w:eastAsia="Arial" w:hAnsi="Arial"/>
          <w:sz w:val="20"/>
          <w:szCs w:val="20"/>
          <w:color w:val="auto"/>
        </w:rPr>
        <w:t xml:space="preserve">Subject to the execution [and non-revocation] of this Release, and following the Effective Date of this Release (as defined below), the Company will pay the Executive the [(Severance Benefits as defined in, and in the accordance with the terms set forth in, the Employment Agreement) </w:t>
      </w:r>
      <w:r>
        <w:rPr>
          <w:rFonts w:ascii="Arial" w:cs="Arial" w:eastAsia="Arial" w:hAnsi="Arial"/>
          <w:sz w:val="20"/>
          <w:szCs w:val="20"/>
          <w:b w:val="1"/>
          <w:bCs w:val="1"/>
          <w:color w:val="auto"/>
        </w:rPr>
        <w:t>OR</w:t>
      </w:r>
      <w:r>
        <w:rPr>
          <w:rFonts w:ascii="Arial" w:cs="Arial" w:eastAsia="Arial" w:hAnsi="Arial"/>
          <w:sz w:val="20"/>
          <w:szCs w:val="20"/>
          <w:color w:val="auto"/>
        </w:rPr>
        <w:t xml:space="preserve"> (the Annual Bonus, Pro-Rated Bonus, and accelerated vesting of equity as set forth in Section 8(a) OR Section 8(b) of the Employment Agreement (“Severance Payment”)].</w:t>
      </w:r>
    </w:p>
    <w:p>
      <w:pPr>
        <w:spacing w:after="0" w:line="204" w:lineRule="exact"/>
        <w:rPr>
          <w:rFonts w:ascii="Arial" w:cs="Arial" w:eastAsia="Arial" w:hAnsi="Arial"/>
          <w:sz w:val="22"/>
          <w:szCs w:val="22"/>
          <w:color w:val="auto"/>
        </w:rPr>
      </w:pPr>
    </w:p>
    <w:p>
      <w:pPr>
        <w:jc w:val="both"/>
        <w:ind w:left="652" w:hanging="409"/>
        <w:spacing w:after="0" w:line="267" w:lineRule="auto"/>
        <w:tabs>
          <w:tab w:leader="none" w:pos="652" w:val="left"/>
        </w:tabs>
        <w:numPr>
          <w:ilvl w:val="1"/>
          <w:numId w:val="63"/>
        </w:numPr>
        <w:rPr>
          <w:rFonts w:ascii="Arial" w:cs="Arial" w:eastAsia="Arial" w:hAnsi="Arial"/>
          <w:sz w:val="22"/>
          <w:szCs w:val="22"/>
          <w:color w:val="auto"/>
        </w:rPr>
      </w:pPr>
      <w:r>
        <w:rPr>
          <w:rFonts w:ascii="Arial" w:cs="Arial" w:eastAsia="Arial" w:hAnsi="Arial"/>
          <w:sz w:val="20"/>
          <w:szCs w:val="20"/>
          <w:color w:val="auto"/>
        </w:rPr>
        <w:t xml:space="preserve">The Executive acknowledges and agrees that the [Severance Benefits </w:t>
      </w:r>
      <w:r>
        <w:rPr>
          <w:rFonts w:ascii="Arial" w:cs="Arial" w:eastAsia="Arial" w:hAnsi="Arial"/>
          <w:sz w:val="20"/>
          <w:szCs w:val="20"/>
          <w:b w:val="1"/>
          <w:bCs w:val="1"/>
          <w:color w:val="auto"/>
        </w:rPr>
        <w:t>OR</w:t>
      </w:r>
      <w:r>
        <w:rPr>
          <w:rFonts w:ascii="Arial" w:cs="Arial" w:eastAsia="Arial" w:hAnsi="Arial"/>
          <w:sz w:val="20"/>
          <w:szCs w:val="20"/>
          <w:color w:val="auto"/>
        </w:rPr>
        <w:t xml:space="preserve"> Severance Payment] (except the payments set forth in Section 2(a) hereof) are in lieu of any other compensation due or payable to the Executive in connection with his or her termination of employment, including, without limitation, any severance, bonus, pay in lieu of notice, short or long-term incentive or any other compensation or remuneration of any type. The Executive further acknowledges and agrees that the compensation set forth in this Section is sufficient consideration for the releases set forth herein, and that the Executive is not otherwise entitled to this consideration. In the event that the Executive does not sign[, or revokes,] this Release, the Executive shall not be entitled to any portion of the [Severance Benefits </w:t>
      </w:r>
      <w:r>
        <w:rPr>
          <w:rFonts w:ascii="Arial" w:cs="Arial" w:eastAsia="Arial" w:hAnsi="Arial"/>
          <w:sz w:val="20"/>
          <w:szCs w:val="20"/>
          <w:b w:val="1"/>
          <w:bCs w:val="1"/>
          <w:color w:val="auto"/>
        </w:rPr>
        <w:t>OR</w:t>
      </w:r>
      <w:r>
        <w:rPr>
          <w:rFonts w:ascii="Arial" w:cs="Arial" w:eastAsia="Arial" w:hAnsi="Arial"/>
          <w:sz w:val="20"/>
          <w:szCs w:val="20"/>
          <w:color w:val="auto"/>
        </w:rPr>
        <w:t xml:space="preserve"> Severance Payment].</w:t>
      </w:r>
    </w:p>
    <w:p>
      <w:pPr>
        <w:spacing w:after="0" w:line="201" w:lineRule="exact"/>
        <w:rPr>
          <w:rFonts w:ascii="Arial" w:cs="Arial" w:eastAsia="Arial" w:hAnsi="Arial"/>
          <w:sz w:val="22"/>
          <w:szCs w:val="22"/>
          <w:color w:val="auto"/>
        </w:rPr>
      </w:pPr>
    </w:p>
    <w:p>
      <w:pPr>
        <w:jc w:val="both"/>
        <w:ind w:left="332" w:hanging="332"/>
        <w:spacing w:after="0" w:line="268" w:lineRule="auto"/>
        <w:tabs>
          <w:tab w:leader="none" w:pos="33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In exchange for the consideration provided in this Release, the Executive, on behalf of the Executive and the Executive’s heirs, executors, representatives, agents, insurers, administrators, successors and assigns, irrevocably and unconditionally fully and forever waives, releases and discharges the Company and its current and former parent companies, subsidiaries and any affiliated companies as well as any of their respective current and former insurers, directors, officers, agents, shareholders, and employees, or any of their predecessors, successors or assigns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from any and all claims, demands, actions, causes of actions, obligations, judgments, rights, fees, damages, debts, obligations, liabilities and expenses (inclusive of attorneys’ fees) of any kind whatsoever (collectively, “</w:t>
      </w:r>
      <w:r>
        <w:rPr>
          <w:rFonts w:ascii="Arial" w:cs="Arial" w:eastAsia="Arial" w:hAnsi="Arial"/>
          <w:sz w:val="18"/>
          <w:szCs w:val="18"/>
          <w:b w:val="1"/>
          <w:bCs w:val="1"/>
          <w:color w:val="auto"/>
        </w:rPr>
        <w:t>Claims</w:t>
      </w:r>
      <w:r>
        <w:rPr>
          <w:rFonts w:ascii="Arial" w:cs="Arial" w:eastAsia="Arial" w:hAnsi="Arial"/>
          <w:sz w:val="18"/>
          <w:szCs w:val="18"/>
          <w:color w:val="auto"/>
        </w:rPr>
        <w:t>”), whether known or unknown, from the beginning of time to the date of the Executive’s execution of this Release, including, without limitation, any claims under any federal, state, local or foreign law, that the Executive may have, have ever had or may in the future have arising out of, or in any way related to, including but not limited to, (i) the Executive’s hire, benefits, employment, termination or separation from employment with the Company and any actual or alleged act, omission, transaction, practice, conduct, occurrence or other matter; (ii) any and all claims for compensation of any type whatsoever, including but not limited to claims for salary, wages, bonuses, commissions, incentive compensation, vacation and/or severance (excluding claims under any tax-qualified retirement plan or fully-insured welfare benefit plan); and (iii) any and all claims arising under tort, contract and/or quasi-contract law, including but not limited to claims of breach of an expressed or implied contract, tortious interference with contract or prospective business advantage, breach of the covenant of good faith and fair dealing, promissory estoppel, detrimental reliance, invasion of privacy, nonphysical injury, personal injury or sickness or any other harm, wrongful or retaliatory discharge, fraud, defamation, slander, libel, false imprisonment, negligent or intentional infliction of emotional distress. The Executive acknowledges and agrees that the Executive is releasing the Released Parties from all claims relating to or arising from the Executive’s employment with the Company to the fullest extent permitted by law. The Executive further acknowledges and agrees that this release provision includes, but is not limited to, rights and claims arising under Title VII of the Civil Rights Act, the Age Discrimination in Employment Act, the Older Workers Benefit Protection Act, the Americans with Disabilities Act, the Genetic Information Nondiscrimination Act, the Family and Medical Leave Act, and any state, municipal, or local statute, law, regulation or ordinance relating to employment, disputed wages, discrimination, retaliation, or leave.</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4332" w:hanging="118"/>
        <w:spacing w:after="0"/>
        <w:tabs>
          <w:tab w:leader="none" w:pos="4332" w:val="left"/>
        </w:tabs>
        <w:numPr>
          <w:ilvl w:val="2"/>
          <w:numId w:val="63"/>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412"/>
          </w:cols>
          <w:pgMar w:left="248" w:top="1136" w:right="239" w:bottom="1440" w:gutter="0" w:footer="0" w:header="0"/>
        </w:sectPr>
      </w:pPr>
    </w:p>
    <w:bookmarkStart w:id="87" w:name="page88"/>
    <w:bookmarkEnd w:id="87"/>
    <w:p>
      <w:pPr>
        <w:jc w:val="both"/>
        <w:ind w:left="332" w:hanging="332"/>
        <w:spacing w:after="0" w:line="257" w:lineRule="auto"/>
        <w:tabs>
          <w:tab w:leader="none" w:pos="332"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Release of Unknown Claims</w:t>
      </w:r>
      <w:r>
        <w:rPr>
          <w:rFonts w:ascii="Arial" w:cs="Arial" w:eastAsia="Arial" w:hAnsi="Arial"/>
          <w:sz w:val="19"/>
          <w:szCs w:val="19"/>
          <w:color w:val="auto"/>
        </w:rPr>
        <w:t>. For the purpose of implementing a full and complete release, the Executive expressly acknowledges that the release in this Release is intended to include in its effect, without limitation, claims that the Executive did not know or suspect to exist in his or her favor at the time of the execution of this Release, regardless of whether the knowledge of such claims, or the facts upon which they might be based, would materially have affected this Release, and that the consideration given under this Release was also for the release of those claims and contemplates the extinguishment of any such unknown claims. The Executive does hereby specifically assume such risk and agrees that this Release and, except as otherwise set forth in the Release, the releases contained herein shall and do apply to all unknown or unanticipated results of any and all matters caused by or connected with his or her employment with and separation from the Company, as well as those currently known or anticipated.</w:t>
      </w:r>
    </w:p>
    <w:p>
      <w:pPr>
        <w:spacing w:after="0" w:line="194" w:lineRule="exact"/>
        <w:rPr>
          <w:rFonts w:ascii="Arial" w:cs="Arial" w:eastAsia="Arial" w:hAnsi="Arial"/>
          <w:sz w:val="19"/>
          <w:szCs w:val="19"/>
          <w:color w:val="auto"/>
        </w:rPr>
      </w:pPr>
    </w:p>
    <w:p>
      <w:pPr>
        <w:ind w:left="332" w:hanging="332"/>
        <w:spacing w:after="0"/>
        <w:tabs>
          <w:tab w:leader="none" w:pos="332"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Waiver of Rights and Excluded Claims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52" w:hanging="409"/>
        <w:spacing w:after="0" w:line="266" w:lineRule="auto"/>
        <w:tabs>
          <w:tab w:leader="none" w:pos="652" w:val="left"/>
        </w:tabs>
        <w:numPr>
          <w:ilvl w:val="1"/>
          <w:numId w:val="64"/>
        </w:numPr>
        <w:rPr>
          <w:rFonts w:ascii="Arial" w:cs="Arial" w:eastAsia="Arial" w:hAnsi="Arial"/>
          <w:sz w:val="22"/>
          <w:szCs w:val="22"/>
          <w:color w:val="auto"/>
        </w:rPr>
      </w:pPr>
      <w:r>
        <w:rPr>
          <w:rFonts w:ascii="Arial" w:cs="Arial" w:eastAsia="Arial" w:hAnsi="Arial"/>
          <w:sz w:val="20"/>
          <w:szCs w:val="20"/>
          <w:color w:val="auto"/>
        </w:rPr>
        <w:t>The Executive waives any right to recover in a civil suit or proceeding brought by any governmental agency or other individual on the Executive’s behalf against the Company based on any act or omission arising or occurring prior to the date of the execution of this Release, whether known or unknown at the time of execution, or to participate in any such action brought by another individual. The Executive acknowledges and agrees that under no circumstances will the Executive be entitled to recover money damages or any other monies from the Company other than those described in this Release. The Executive waives all rights to monetary damages or individual relief resulting from any such charge or complaint brought before the EEOC or equivalent state or local employment rights agency.</w:t>
      </w:r>
    </w:p>
    <w:p>
      <w:pPr>
        <w:spacing w:after="0" w:line="216" w:lineRule="exact"/>
        <w:rPr>
          <w:rFonts w:ascii="Arial" w:cs="Arial" w:eastAsia="Arial" w:hAnsi="Arial"/>
          <w:sz w:val="22"/>
          <w:szCs w:val="22"/>
          <w:color w:val="auto"/>
        </w:rPr>
      </w:pPr>
    </w:p>
    <w:p>
      <w:pPr>
        <w:jc w:val="both"/>
        <w:ind w:left="652" w:hanging="409"/>
        <w:spacing w:after="0" w:line="289" w:lineRule="auto"/>
        <w:tabs>
          <w:tab w:leader="none" w:pos="652" w:val="left"/>
        </w:tabs>
        <w:numPr>
          <w:ilvl w:val="1"/>
          <w:numId w:val="64"/>
        </w:numPr>
        <w:rPr>
          <w:rFonts w:ascii="Arial" w:cs="Arial" w:eastAsia="Arial" w:hAnsi="Arial"/>
          <w:sz w:val="19"/>
          <w:szCs w:val="19"/>
          <w:color w:val="auto"/>
        </w:rPr>
      </w:pPr>
      <w:r>
        <w:rPr>
          <w:rFonts w:ascii="Arial" w:cs="Arial" w:eastAsia="Arial" w:hAnsi="Arial"/>
          <w:sz w:val="18"/>
          <w:szCs w:val="18"/>
          <w:color w:val="auto"/>
        </w:rPr>
        <w:t>Notwithstanding the foregoing or anything to the contrary in this Release, nothing contained in this Release (A) waives or releases the Executive’s right to (i) file a charge or complaint, participate in proceedings conducted by, or communicate with a government agency,</w:t>
      </w:r>
    </w:p>
    <w:p>
      <w:pPr>
        <w:ind w:left="932" w:hanging="284"/>
        <w:spacing w:after="0"/>
        <w:tabs>
          <w:tab w:leader="none" w:pos="932" w:val="left"/>
        </w:tabs>
        <w:numPr>
          <w:ilvl w:val="2"/>
          <w:numId w:val="64"/>
        </w:numPr>
        <w:rPr>
          <w:rFonts w:ascii="Arial" w:cs="Arial" w:eastAsia="Arial" w:hAnsi="Arial"/>
          <w:sz w:val="18"/>
          <w:szCs w:val="18"/>
          <w:color w:val="auto"/>
        </w:rPr>
      </w:pPr>
      <w:r>
        <w:rPr>
          <w:rFonts w:ascii="Arial" w:cs="Arial" w:eastAsia="Arial" w:hAnsi="Arial"/>
          <w:sz w:val="18"/>
          <w:szCs w:val="18"/>
          <w:color w:val="auto"/>
        </w:rPr>
        <w:t>to bring future claims arising after the Separation Date, and/or (B) limits the Executive’s right to enforce the terms of this Release.</w:t>
      </w:r>
    </w:p>
    <w:p>
      <w:pPr>
        <w:spacing w:after="0" w:line="265" w:lineRule="exact"/>
        <w:rPr>
          <w:rFonts w:ascii="Arial" w:cs="Arial" w:eastAsia="Arial" w:hAnsi="Arial"/>
          <w:sz w:val="18"/>
          <w:szCs w:val="18"/>
          <w:color w:val="auto"/>
        </w:rPr>
      </w:pPr>
    </w:p>
    <w:p>
      <w:pPr>
        <w:jc w:val="both"/>
        <w:ind w:left="332" w:hanging="332"/>
        <w:spacing w:after="0" w:line="246" w:lineRule="auto"/>
        <w:tabs>
          <w:tab w:leader="none" w:pos="332"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Return of Property</w:t>
      </w:r>
      <w:r>
        <w:rPr>
          <w:rFonts w:ascii="Arial" w:cs="Arial" w:eastAsia="Arial" w:hAnsi="Arial"/>
          <w:sz w:val="20"/>
          <w:szCs w:val="20"/>
          <w:color w:val="auto"/>
        </w:rPr>
        <w:t>. By signing this Release, the Executive represents that the Executive has returned all Company property, including car, identification cards or badges, access codes or devices, keys, laptops, computers, telephones, mobile phones, hand-held electronic devices, credit cards, electronically stored documents or files, physical files and any other Company property previously in the Executive’s possession.</w:t>
      </w:r>
    </w:p>
    <w:p>
      <w:pPr>
        <w:spacing w:after="0" w:line="205" w:lineRule="exact"/>
        <w:rPr>
          <w:rFonts w:ascii="Arial" w:cs="Arial" w:eastAsia="Arial" w:hAnsi="Arial"/>
          <w:sz w:val="20"/>
          <w:szCs w:val="20"/>
          <w:color w:val="auto"/>
        </w:rPr>
      </w:pPr>
    </w:p>
    <w:p>
      <w:pPr>
        <w:jc w:val="both"/>
        <w:ind w:left="332" w:hanging="332"/>
        <w:spacing w:after="0" w:line="244" w:lineRule="auto"/>
        <w:tabs>
          <w:tab w:leader="none" w:pos="332"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Representations</w:t>
      </w:r>
      <w:r>
        <w:rPr>
          <w:rFonts w:ascii="Arial" w:cs="Arial" w:eastAsia="Arial" w:hAnsi="Arial"/>
          <w:sz w:val="20"/>
          <w:szCs w:val="20"/>
          <w:color w:val="auto"/>
        </w:rPr>
        <w:t>. The Executive represents that the Executive is the only person able to assert any right or claim arising out of the Executive’s employment with or separation from the Company. The Executive represents that the Executive has not: (i) brought a charge or suit against the Company in connection with any of the Claims, including, but not limited to, any claim or charge before the EEOC, or (ii) assigned or transferred or purported to assign or transfer, to any person or entity, any Claim or any portion thereof or interest therein which the Executive may have against the Company.</w:t>
      </w:r>
    </w:p>
    <w:p>
      <w:pPr>
        <w:spacing w:after="0" w:line="208" w:lineRule="exact"/>
        <w:rPr>
          <w:rFonts w:ascii="Arial" w:cs="Arial" w:eastAsia="Arial" w:hAnsi="Arial"/>
          <w:sz w:val="20"/>
          <w:szCs w:val="20"/>
          <w:color w:val="auto"/>
        </w:rPr>
      </w:pPr>
    </w:p>
    <w:p>
      <w:pPr>
        <w:ind w:left="332" w:hanging="332"/>
        <w:spacing w:after="0"/>
        <w:tabs>
          <w:tab w:leader="none" w:pos="332"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Notice and Revocation</w:t>
      </w:r>
      <w:r>
        <w:rPr>
          <w:rFonts w:ascii="Arial" w:cs="Arial" w:eastAsia="Arial" w:hAnsi="Arial"/>
          <w:sz w:val="20"/>
          <w:szCs w:val="20"/>
          <w:color w:val="auto"/>
        </w:rPr>
        <w:t>.</w:t>
      </w:r>
    </w:p>
    <w:p>
      <w:pPr>
        <w:spacing w:after="0" w:line="223" w:lineRule="exact"/>
        <w:rPr>
          <w:rFonts w:ascii="Arial" w:cs="Arial" w:eastAsia="Arial" w:hAnsi="Arial"/>
          <w:sz w:val="20"/>
          <w:szCs w:val="20"/>
          <w:color w:val="auto"/>
        </w:rPr>
      </w:pPr>
    </w:p>
    <w:p>
      <w:pPr>
        <w:jc w:val="both"/>
        <w:ind w:left="652" w:hanging="409"/>
        <w:spacing w:after="0" w:line="248" w:lineRule="auto"/>
        <w:tabs>
          <w:tab w:leader="none" w:pos="652" w:val="left"/>
        </w:tabs>
        <w:numPr>
          <w:ilvl w:val="1"/>
          <w:numId w:val="64"/>
        </w:numPr>
        <w:rPr>
          <w:rFonts w:ascii="Arial" w:cs="Arial" w:eastAsia="Arial" w:hAnsi="Arial"/>
          <w:sz w:val="20"/>
          <w:szCs w:val="20"/>
          <w:color w:val="auto"/>
        </w:rPr>
      </w:pPr>
      <w:r>
        <w:rPr>
          <w:rFonts w:ascii="Arial" w:cs="Arial" w:eastAsia="Arial" w:hAnsi="Arial"/>
          <w:sz w:val="20"/>
          <w:szCs w:val="20"/>
          <w:color w:val="auto"/>
        </w:rPr>
        <w:t xml:space="preserve">The Executive acknowledges that the Executive was given at least [twenty-one (21) </w:t>
      </w:r>
      <w:r>
        <w:rPr>
          <w:rFonts w:ascii="Arial" w:cs="Arial" w:eastAsia="Arial" w:hAnsi="Arial"/>
          <w:sz w:val="20"/>
          <w:szCs w:val="20"/>
          <w:b w:val="1"/>
          <w:bCs w:val="1"/>
          <w:color w:val="auto"/>
        </w:rPr>
        <w:t>OR</w:t>
      </w:r>
      <w:r>
        <w:rPr>
          <w:rFonts w:ascii="Arial" w:cs="Arial" w:eastAsia="Arial" w:hAnsi="Arial"/>
          <w:sz w:val="20"/>
          <w:szCs w:val="20"/>
          <w:color w:val="auto"/>
        </w:rPr>
        <w:t xml:space="preserve"> forty-five (45)] days to consider the terms of this Release and consult with an attorney of the Executive’s choice. To the extent that the Executive elects to enter into this Release prior to the expiration of such period, the Executive acknowledges that the Executive has done so voluntarily and has knowingly waived the balance of such consideration period. </w:t>
      </w:r>
      <w:r>
        <w:rPr>
          <w:rFonts w:ascii="Arial" w:cs="Arial" w:eastAsia="Arial" w:hAnsi="Arial"/>
          <w:sz w:val="20"/>
          <w:szCs w:val="20"/>
          <w:b w:val="1"/>
          <w:bCs w:val="1"/>
          <w:color w:val="auto"/>
        </w:rPr>
        <w:t>The Executive understands that, to</w:t>
      </w:r>
    </w:p>
    <w:p>
      <w:pPr>
        <w:spacing w:after="0" w:line="225" w:lineRule="exact"/>
        <w:rPr>
          <w:rFonts w:ascii="Arial" w:cs="Arial" w:eastAsia="Arial" w:hAnsi="Arial"/>
          <w:sz w:val="20"/>
          <w:szCs w:val="20"/>
          <w:color w:val="auto"/>
        </w:rPr>
      </w:pPr>
    </w:p>
    <w:p>
      <w:pPr>
        <w:ind w:left="4332" w:hanging="118"/>
        <w:spacing w:after="0"/>
        <w:tabs>
          <w:tab w:leader="none" w:pos="4332" w:val="left"/>
        </w:tabs>
        <w:numPr>
          <w:ilvl w:val="3"/>
          <w:numId w:val="64"/>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412"/>
          </w:cols>
          <w:pgMar w:left="248" w:top="1136" w:right="239" w:bottom="1440" w:gutter="0" w:footer="0" w:header="0"/>
        </w:sectPr>
      </w:pPr>
    </w:p>
    <w:bookmarkStart w:id="88" w:name="page89"/>
    <w:bookmarkEnd w:id="88"/>
    <w:p>
      <w:pPr>
        <w:jc w:val="both"/>
        <w:ind w:left="652"/>
        <w:spacing w:after="0" w:line="251" w:lineRule="auto"/>
        <w:rPr>
          <w:sz w:val="20"/>
          <w:szCs w:val="20"/>
          <w:color w:val="auto"/>
        </w:rPr>
      </w:pPr>
      <w:r>
        <w:rPr>
          <w:rFonts w:ascii="Arial" w:cs="Arial" w:eastAsia="Arial" w:hAnsi="Arial"/>
          <w:sz w:val="20"/>
          <w:szCs w:val="20"/>
          <w:b w:val="1"/>
          <w:bCs w:val="1"/>
          <w:color w:val="auto"/>
        </w:rPr>
        <w:t>be eligible for the [Severance Benefits OR Severance Payment</w:t>
      </w:r>
      <w:r>
        <w:rPr>
          <w:rFonts w:ascii="Arial" w:cs="Arial" w:eastAsia="Arial" w:hAnsi="Arial"/>
          <w:sz w:val="20"/>
          <w:szCs w:val="20"/>
          <w:color w:val="auto"/>
        </w:rPr>
        <w:t>]</w:t>
      </w:r>
      <w:r>
        <w:rPr>
          <w:rFonts w:ascii="Arial" w:cs="Arial" w:eastAsia="Arial" w:hAnsi="Arial"/>
          <w:sz w:val="20"/>
          <w:szCs w:val="20"/>
          <w:b w:val="1"/>
          <w:bCs w:val="1"/>
          <w:color w:val="auto"/>
        </w:rPr>
        <w:t>, the Executive must return this Release, signed and dated, no later than 11:59pm ET on the [twenty-first (21</w:t>
      </w:r>
      <w:r>
        <w:rPr>
          <w:rFonts w:ascii="Arial" w:cs="Arial" w:eastAsia="Arial" w:hAnsi="Arial"/>
          <w:sz w:val="25"/>
          <w:szCs w:val="25"/>
          <w:b w:val="1"/>
          <w:bCs w:val="1"/>
          <w:color w:val="auto"/>
          <w:vertAlign w:val="superscript"/>
        </w:rPr>
        <w:t>st</w:t>
      </w:r>
      <w:r>
        <w:rPr>
          <w:rFonts w:ascii="Arial" w:cs="Arial" w:eastAsia="Arial" w:hAnsi="Arial"/>
          <w:sz w:val="20"/>
          <w:szCs w:val="20"/>
          <w:b w:val="1"/>
          <w:bCs w:val="1"/>
          <w:color w:val="auto"/>
        </w:rPr>
        <w:t>) OR forty-fifth (45</w:t>
      </w:r>
      <w:r>
        <w:rPr>
          <w:rFonts w:ascii="Arial" w:cs="Arial" w:eastAsia="Arial" w:hAnsi="Arial"/>
          <w:sz w:val="25"/>
          <w:szCs w:val="25"/>
          <w:b w:val="1"/>
          <w:bCs w:val="1"/>
          <w:color w:val="auto"/>
          <w:vertAlign w:val="superscript"/>
        </w:rPr>
        <w:t>th</w:t>
      </w:r>
      <w:r>
        <w:rPr>
          <w:rFonts w:ascii="Arial" w:cs="Arial" w:eastAsia="Arial" w:hAnsi="Arial"/>
          <w:sz w:val="20"/>
          <w:szCs w:val="20"/>
          <w:b w:val="1"/>
          <w:bCs w:val="1"/>
          <w:color w:val="auto"/>
        </w:rPr>
        <w:t>)] day after Executive receives this Release, to the Company at: ADDRESS.</w:t>
      </w:r>
    </w:p>
    <w:p>
      <w:pPr>
        <w:spacing w:after="0" w:line="204" w:lineRule="exact"/>
        <w:rPr>
          <w:sz w:val="20"/>
          <w:szCs w:val="20"/>
          <w:color w:val="auto"/>
        </w:rPr>
      </w:pPr>
    </w:p>
    <w:p>
      <w:pPr>
        <w:jc w:val="both"/>
        <w:ind w:left="652" w:hanging="409"/>
        <w:spacing w:after="0" w:line="232" w:lineRule="auto"/>
        <w:tabs>
          <w:tab w:leader="none" w:pos="652" w:val="left"/>
        </w:tabs>
        <w:numPr>
          <w:ilvl w:val="1"/>
          <w:numId w:val="65"/>
        </w:numPr>
        <w:rPr>
          <w:rFonts w:ascii="Arial" w:cs="Arial" w:eastAsia="Arial" w:hAnsi="Arial"/>
          <w:sz w:val="20"/>
          <w:szCs w:val="20"/>
          <w:color w:val="auto"/>
        </w:rPr>
      </w:pPr>
      <w:r>
        <w:rPr>
          <w:rFonts w:ascii="Arial" w:cs="Arial" w:eastAsia="Arial" w:hAnsi="Arial"/>
          <w:sz w:val="20"/>
          <w:szCs w:val="20"/>
          <w:b w:val="1"/>
          <w:bCs w:val="1"/>
          <w:color w:val="auto"/>
        </w:rPr>
        <w:t xml:space="preserve">The Executive understands that Executive has seven (7) days from the date the Executive signs this Release to revoke the Release by delivering notice of revocation by 11:59pm ET to ADDRESS before the end of such seven-day period, </w:t>
      </w:r>
      <w:r>
        <w:rPr>
          <w:rFonts w:ascii="Arial" w:cs="Arial" w:eastAsia="Arial" w:hAnsi="Arial"/>
          <w:sz w:val="20"/>
          <w:szCs w:val="20"/>
          <w:color w:val="auto"/>
        </w:rPr>
        <w:t>and that this</w:t>
      </w:r>
      <w:r>
        <w:rPr>
          <w:rFonts w:ascii="Arial" w:cs="Arial" w:eastAsia="Arial" w:hAnsi="Arial"/>
          <w:sz w:val="20"/>
          <w:szCs w:val="20"/>
          <w:b w:val="1"/>
          <w:bCs w:val="1"/>
          <w:color w:val="auto"/>
        </w:rPr>
        <w:t xml:space="preserve"> </w:t>
      </w:r>
      <w:r>
        <w:rPr>
          <w:rFonts w:ascii="Arial" w:cs="Arial" w:eastAsia="Arial" w:hAnsi="Arial"/>
          <w:sz w:val="20"/>
          <w:szCs w:val="20"/>
          <w:color w:val="auto"/>
        </w:rPr>
        <w:t>Release will not become effective until the eighth (8</w:t>
      </w:r>
      <w:r>
        <w:rPr>
          <w:rFonts w:ascii="Arial" w:cs="Arial" w:eastAsia="Arial" w:hAnsi="Arial"/>
          <w:sz w:val="25"/>
          <w:szCs w:val="25"/>
          <w:color w:val="auto"/>
          <w:vertAlign w:val="superscript"/>
        </w:rPr>
        <w:t>th</w:t>
      </w:r>
      <w:r>
        <w:rPr>
          <w:rFonts w:ascii="Arial" w:cs="Arial" w:eastAsia="Arial" w:hAnsi="Arial"/>
          <w:sz w:val="20"/>
          <w:szCs w:val="20"/>
          <w:color w:val="auto"/>
        </w:rPr>
        <w:t>) day after the Executive has delivered this Release, signed and dated, to the Company without revoking the Release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203" w:lineRule="exact"/>
        <w:rPr>
          <w:rFonts w:ascii="Arial" w:cs="Arial" w:eastAsia="Arial" w:hAnsi="Arial"/>
          <w:sz w:val="20"/>
          <w:szCs w:val="20"/>
          <w:color w:val="auto"/>
        </w:rPr>
      </w:pPr>
    </w:p>
    <w:p>
      <w:pPr>
        <w:jc w:val="both"/>
        <w:ind w:left="332" w:hanging="332"/>
        <w:spacing w:after="0" w:line="253" w:lineRule="auto"/>
        <w:tabs>
          <w:tab w:leader="none" w:pos="332"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 xml:space="preserve">. The Executive acknowledges that, as a condition of receipt of the [Severance Benefits </w:t>
      </w:r>
      <w:r>
        <w:rPr>
          <w:rFonts w:ascii="Arial" w:cs="Arial" w:eastAsia="Arial" w:hAnsi="Arial"/>
          <w:sz w:val="20"/>
          <w:szCs w:val="20"/>
          <w:b w:val="1"/>
          <w:bCs w:val="1"/>
          <w:color w:val="auto"/>
        </w:rPr>
        <w:t>OR</w:t>
      </w:r>
      <w:r>
        <w:rPr>
          <w:rFonts w:ascii="Arial" w:cs="Arial" w:eastAsia="Arial" w:hAnsi="Arial"/>
          <w:sz w:val="20"/>
          <w:szCs w:val="20"/>
          <w:color w:val="auto"/>
        </w:rPr>
        <w:t xml:space="preserve"> Severance Payment], the Executive shall continue to be bound by the covenants and obligations in the Employment Agreement, to the extent that such covenants and obligations are meant to survive the termination of the Executive’s employment.</w:t>
      </w:r>
    </w:p>
    <w:p>
      <w:pPr>
        <w:spacing w:after="0" w:line="197" w:lineRule="exact"/>
        <w:rPr>
          <w:rFonts w:ascii="Arial" w:cs="Arial" w:eastAsia="Arial" w:hAnsi="Arial"/>
          <w:sz w:val="20"/>
          <w:szCs w:val="20"/>
          <w:color w:val="auto"/>
        </w:rPr>
      </w:pPr>
    </w:p>
    <w:p>
      <w:pPr>
        <w:jc w:val="both"/>
        <w:ind w:left="332" w:hanging="332"/>
        <w:spacing w:after="0" w:line="250" w:lineRule="auto"/>
        <w:tabs>
          <w:tab w:leader="none" w:pos="332"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Confidentiality of Release</w:t>
      </w:r>
      <w:r>
        <w:rPr>
          <w:rFonts w:ascii="Arial" w:cs="Arial" w:eastAsia="Arial" w:hAnsi="Arial"/>
          <w:sz w:val="20"/>
          <w:szCs w:val="20"/>
          <w:color w:val="auto"/>
        </w:rPr>
        <w:t>. The Executive understands and agrees that the terms of this Release are strictly confidential and shall not be disclosed to any third party (other than the Executive’s immediate family, the Company, or legal advisors or as required by law) without the prior written consent of the Company.</w:t>
      </w:r>
    </w:p>
    <w:p>
      <w:pPr>
        <w:spacing w:after="0" w:line="199" w:lineRule="exact"/>
        <w:rPr>
          <w:rFonts w:ascii="Arial" w:cs="Arial" w:eastAsia="Arial" w:hAnsi="Arial"/>
          <w:sz w:val="20"/>
          <w:szCs w:val="20"/>
          <w:color w:val="auto"/>
        </w:rPr>
      </w:pPr>
    </w:p>
    <w:p>
      <w:pPr>
        <w:jc w:val="both"/>
        <w:ind w:left="332" w:hanging="332"/>
        <w:spacing w:after="0" w:line="246" w:lineRule="auto"/>
        <w:tabs>
          <w:tab w:leader="none" w:pos="332"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No Admission of Liability.</w:t>
      </w:r>
      <w:r>
        <w:rPr>
          <w:rFonts w:ascii="Arial" w:cs="Arial" w:eastAsia="Arial" w:hAnsi="Arial"/>
          <w:sz w:val="20"/>
          <w:szCs w:val="20"/>
          <w:color w:val="auto"/>
        </w:rPr>
        <w:t xml:space="preserve"> The Executive agrees that the Company does not admit any allegations made against it in any claims, charges, complaints, actions, causes of action, suits, grievances, controversies, disputes, or demands. Nothing contained in this Release, nor any of the acts taken thereunder, will be deemed or construed as an admission of liability of any violation of any applicable law, statute, ordinance, order, regulation, or constitution of any kind.</w:t>
      </w:r>
    </w:p>
    <w:p>
      <w:pPr>
        <w:spacing w:after="0" w:line="205" w:lineRule="exact"/>
        <w:rPr>
          <w:rFonts w:ascii="Arial" w:cs="Arial" w:eastAsia="Arial" w:hAnsi="Arial"/>
          <w:sz w:val="20"/>
          <w:szCs w:val="20"/>
          <w:color w:val="auto"/>
        </w:rPr>
      </w:pPr>
    </w:p>
    <w:p>
      <w:pPr>
        <w:jc w:val="both"/>
        <w:ind w:left="332" w:hanging="332"/>
        <w:spacing w:after="0" w:line="291" w:lineRule="auto"/>
        <w:tabs>
          <w:tab w:leader="none" w:pos="332"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Reimbursement of Costs</w:t>
      </w:r>
      <w:r>
        <w:rPr>
          <w:rFonts w:ascii="Arial" w:cs="Arial" w:eastAsia="Arial" w:hAnsi="Arial"/>
          <w:sz w:val="18"/>
          <w:szCs w:val="18"/>
          <w:color w:val="auto"/>
        </w:rPr>
        <w:t>. The Executive agrees that, if the Executive violates the terms of this release or brings suit against the Company based on events occurring prior to the Executive signing this Release (other than to enforce the terms of this Release), the Executive will reimburse the Company for any attorney fees, costs, or other damages arising from the Executive’s breach of the release.</w:t>
      </w:r>
    </w:p>
    <w:p>
      <w:pPr>
        <w:spacing w:after="0" w:line="165" w:lineRule="exact"/>
        <w:rPr>
          <w:rFonts w:ascii="Arial" w:cs="Arial" w:eastAsia="Arial" w:hAnsi="Arial"/>
          <w:sz w:val="18"/>
          <w:szCs w:val="18"/>
          <w:color w:val="auto"/>
        </w:rPr>
      </w:pPr>
    </w:p>
    <w:p>
      <w:pPr>
        <w:jc w:val="both"/>
        <w:ind w:left="332" w:hanging="332"/>
        <w:spacing w:after="0" w:line="254" w:lineRule="auto"/>
        <w:tabs>
          <w:tab w:leader="none" w:pos="332"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Governing Law, Arbitration, and Forum</w:t>
      </w:r>
      <w:r>
        <w:rPr>
          <w:rFonts w:ascii="Arial" w:cs="Arial" w:eastAsia="Arial" w:hAnsi="Arial"/>
          <w:sz w:val="19"/>
          <w:szCs w:val="19"/>
          <w:color w:val="auto"/>
        </w:rPr>
        <w:t>. This Release will be governed and construed and enforced in accordance with the laws of the State of California without regard to its conflicts of law rules. Any controversy, dispute or claim arising out of this Release shall first be settled through good faith negotiation. If the parties are unsuccessful at resolving the dispute through negotiation, except for injunctive or other equitable relief or as otherwise provided in this Release, any and all legal proceedings arising out of or relating to this Release shall be resolved through a confidential arbitration administered by Judicial Arbitration &amp; Mediation Services, Inc. (“</w:t>
      </w:r>
      <w:r>
        <w:rPr>
          <w:rFonts w:ascii="Arial" w:cs="Arial" w:eastAsia="Arial" w:hAnsi="Arial"/>
          <w:sz w:val="19"/>
          <w:szCs w:val="19"/>
          <w:u w:val="single" w:color="auto"/>
          <w:color w:val="auto"/>
        </w:rPr>
        <w:t>JAMS</w:t>
      </w:r>
      <w:r>
        <w:rPr>
          <w:rFonts w:ascii="Arial" w:cs="Arial" w:eastAsia="Arial" w:hAnsi="Arial"/>
          <w:sz w:val="19"/>
          <w:szCs w:val="19"/>
          <w:color w:val="auto"/>
        </w:rPr>
        <w:t>”) pursuant to the JAMS Employment Arbitration Rules and Procedures, or successor rules then in effect and to the extent permitted by law. The rules and further information are available at www.jamsadr.com. The Federal Arbitration Act, as then in effect, shall govern the interpretation and enforcement of such arbitration proceeding. The arbitrator shall apply California State law to the merits of any dispute or claim, without reference to rules of conflict of law. Any determination or decision by the arbitrator will be final and binding upon the parties and may be enforced in any court of law. The parties agree that any arbitration will take place on an individual, and not on a class, basis. Subject to the provisions of this Section regarding arbitration, the Executive and the Company hereby submit to the exclusive jurisdiction and venue of the federal and state courts located in California for the resolution of any and all claims, causes of action or disputes arising out of, related to the enforcement, if necessary, of any arbitral award made pursuant to the provisions of this Section, and the Executive agrees to waive any claim relating to forum non conveniens.</w:t>
      </w:r>
    </w:p>
    <w:p>
      <w:pPr>
        <w:spacing w:after="0" w:line="228" w:lineRule="exact"/>
        <w:rPr>
          <w:rFonts w:ascii="Arial" w:cs="Arial" w:eastAsia="Arial" w:hAnsi="Arial"/>
          <w:sz w:val="19"/>
          <w:szCs w:val="19"/>
          <w:color w:val="auto"/>
        </w:rPr>
      </w:pPr>
    </w:p>
    <w:p>
      <w:pPr>
        <w:ind w:left="4332" w:hanging="118"/>
        <w:spacing w:after="0"/>
        <w:tabs>
          <w:tab w:leader="none" w:pos="4332" w:val="left"/>
        </w:tabs>
        <w:numPr>
          <w:ilvl w:val="2"/>
          <w:numId w:val="66"/>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412"/>
          </w:cols>
          <w:pgMar w:left="248" w:top="1143" w:right="239" w:bottom="1440" w:gutter="0" w:footer="0" w:header="0"/>
        </w:sectPr>
      </w:pPr>
    </w:p>
    <w:bookmarkStart w:id="89" w:name="page90"/>
    <w:bookmarkEnd w:id="89"/>
    <w:p>
      <w:pPr>
        <w:spacing w:after="0"/>
        <w:tabs>
          <w:tab w:leader="none" w:pos="1900" w:val="left"/>
        </w:tabs>
        <w:rPr>
          <w:sz w:val="20"/>
          <w:szCs w:val="20"/>
          <w:color w:val="auto"/>
        </w:rPr>
      </w:pPr>
      <w:r>
        <w:rPr>
          <w:rFonts w:ascii="Arial" w:cs="Arial" w:eastAsia="Arial" w:hAnsi="Arial"/>
          <w:sz w:val="20"/>
          <w:szCs w:val="20"/>
          <w:b w:val="1"/>
          <w:bCs w:val="1"/>
          <w:color w:val="auto"/>
        </w:rPr>
        <w:t>Executive Initials</w:t>
      </w:r>
      <w:r>
        <w:rPr>
          <w:sz w:val="20"/>
          <w:szCs w:val="20"/>
          <w:color w:val="auto"/>
        </w:rPr>
        <w:tab/>
      </w:r>
      <w:r>
        <w:rPr>
          <w:rFonts w:ascii="Arial" w:cs="Arial" w:eastAsia="Arial" w:hAnsi="Arial"/>
          <w:sz w:val="16"/>
          <w:szCs w:val="16"/>
          <w:b w:val="1"/>
          <w:bCs w:val="1"/>
          <w:color w:val="auto"/>
        </w:rPr>
        <w:t>Company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-10795</wp:posOffset>
            </wp:positionV>
            <wp:extent cx="1257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-10795</wp:posOffset>
            </wp:positionV>
            <wp:extent cx="1257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69" w:lineRule="exact"/>
        <w:rPr>
          <w:sz w:val="20"/>
          <w:szCs w:val="20"/>
          <w:color w:val="auto"/>
        </w:rPr>
      </w:pPr>
    </w:p>
    <w:p>
      <w:pPr>
        <w:jc w:val="both"/>
        <w:ind w:left="340" w:hanging="332"/>
        <w:spacing w:after="0" w:line="244" w:lineRule="auto"/>
        <w:tabs>
          <w:tab w:leader="none" w:pos="34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term or provision of this Release that is determined to be invalid or unenforceable by any court of competent jurisdiction in any jurisdiction shall, as to such jurisdiction, be ineffective to the extent of such invalidity or unenforceability without rendering invalid or unenforceable the remaining terms and provisions of this Release or affecting the validity or enforceability of any of the terms or provisions of this Release in any other jurisdiction, and such invalid or unenforceable provision shall be modified by such court so that it is enforceable to the extent permitted by applicable law.</w:t>
      </w:r>
    </w:p>
    <w:p>
      <w:pPr>
        <w:spacing w:after="0" w:line="208" w:lineRule="exact"/>
        <w:rPr>
          <w:rFonts w:ascii="Arial" w:cs="Arial" w:eastAsia="Arial" w:hAnsi="Arial"/>
          <w:sz w:val="20"/>
          <w:szCs w:val="20"/>
          <w:color w:val="auto"/>
        </w:rPr>
      </w:pPr>
    </w:p>
    <w:p>
      <w:pPr>
        <w:jc w:val="both"/>
        <w:ind w:left="340" w:hanging="332"/>
        <w:spacing w:after="0" w:line="244" w:lineRule="auto"/>
        <w:tabs>
          <w:tab w:leader="none" w:pos="34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Counterpart</w:t>
      </w:r>
      <w:r>
        <w:rPr>
          <w:rFonts w:ascii="Arial" w:cs="Arial" w:eastAsia="Arial" w:hAnsi="Arial"/>
          <w:sz w:val="20"/>
          <w:szCs w:val="20"/>
          <w:color w:val="auto"/>
        </w:rPr>
        <w:t>s. This Release may be executed in one or more counterparts, each of which shall be deemed an original but all of which shall together be one and the same agreement. The Parties agree that signatures transmitted by facsimile or electronic mail will be deemed originals and that a facsimile, photocopy, or scanned image of this Release, including without limitation counterparts and any signature(s) or other marks thereon, shall be admissible in any legal, administrative, or other proceeding related to this Release with the same weight and binding effect as an original.</w:t>
      </w:r>
    </w:p>
    <w:p>
      <w:pPr>
        <w:spacing w:after="0" w:line="208" w:lineRule="exact"/>
        <w:rPr>
          <w:rFonts w:ascii="Arial" w:cs="Arial" w:eastAsia="Arial" w:hAnsi="Arial"/>
          <w:sz w:val="20"/>
          <w:szCs w:val="20"/>
          <w:color w:val="auto"/>
        </w:rPr>
      </w:pPr>
    </w:p>
    <w:p>
      <w:pPr>
        <w:jc w:val="both"/>
        <w:ind w:left="340" w:hanging="332"/>
        <w:spacing w:after="0" w:line="260" w:lineRule="auto"/>
        <w:tabs>
          <w:tab w:leader="none" w:pos="340"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Waiver; Amendments</w:t>
      </w:r>
      <w:r>
        <w:rPr>
          <w:rFonts w:ascii="Arial" w:cs="Arial" w:eastAsia="Arial" w:hAnsi="Arial"/>
          <w:sz w:val="19"/>
          <w:szCs w:val="19"/>
          <w:color w:val="auto"/>
        </w:rPr>
        <w:t>. Any waiver by either Party of a breach of any provision of this Release will not operate as, or be construed to be, a waiver of any other breach of such provision of this Release. The failure of either Party to insist on strict adherence to any term of this Release on one or more occasions will not be considered a waiver or deprive either Party of the right thereafter to insist on strict adherence to that term or any other term of this Release. Neither this Release nor any part of it may be waived, changed, or terminated orally. Any waiver, amendment or modification must be in a writing signed by both the Executive and the Company.</w:t>
      </w:r>
    </w:p>
    <w:p>
      <w:pPr>
        <w:spacing w:after="0" w:line="194" w:lineRule="exact"/>
        <w:rPr>
          <w:rFonts w:ascii="Arial" w:cs="Arial" w:eastAsia="Arial" w:hAnsi="Arial"/>
          <w:sz w:val="19"/>
          <w:szCs w:val="19"/>
          <w:color w:val="auto"/>
        </w:rPr>
      </w:pPr>
    </w:p>
    <w:p>
      <w:pPr>
        <w:jc w:val="both"/>
        <w:ind w:left="340" w:hanging="332"/>
        <w:spacing w:after="0" w:line="263" w:lineRule="auto"/>
        <w:tabs>
          <w:tab w:leader="none" w:pos="340"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Entire Agreement; Construction</w:t>
      </w:r>
      <w:r>
        <w:rPr>
          <w:rFonts w:ascii="Arial" w:cs="Arial" w:eastAsia="Arial" w:hAnsi="Arial"/>
          <w:sz w:val="19"/>
          <w:szCs w:val="19"/>
          <w:color w:val="auto"/>
        </w:rPr>
        <w:t>. This Release, together with the Employment Agreement, contains the entire understanding of the Parties relating to the subject matter of this Release and supersedes all other prior written or oral agreements, understandings or arrangements between the Parties relating to the subject matter of this Release. The Executive acknowledges that, in entering into this Release, the Executive did not rely and has not relied on any statements or representations not contained in this Release.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8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420"/>
          </w:cols>
          <w:pgMar w:left="240" w:top="1359" w:right="239" w:bottom="1440" w:gutter="0" w:footer="0" w:header="0"/>
        </w:sectPr>
      </w:pPr>
    </w:p>
    <w:bookmarkStart w:id="90" w:name="page91"/>
    <w:bookmarkEnd w:id="90"/>
    <w:p>
      <w:pPr>
        <w:spacing w:after="0" w:line="136"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Executive’s Acknowledgment of Knowing and Voluntary Release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BY EXECUTING THIS RELEASE, I ACKNOWLEDGE: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 HAVE CAREFULLY READ THIS RELEASE AND I FULLY UNDERSTAND ALL OF THE PROVISIONS OF THIS RELEASE.</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 HAVE BEEN ENCOURAGED AND ADVISED IN WRITING TO SEEK ADVICE FROM COUNSEL OF MY CHOOSING REGARDING THIS RELEASE AND HAVE DONE SO TO THE EXTENT I DEEM APPROPRIATE.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 HAVE BEEN GIVEN ADEQUATE TIME, TWENTY ONE (21) BUSINESS DAYS, TO REVIEW THE RELEASE.]</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SIGNING THIS RELEASE, I AM NOT RELYING ON ANY REPRESENTATION OR STATEMENT (WRITTEN OR ORAL) NOT SPECIFICALLY SET FORTH HEREIN BY THE EMPLOYER OR ANY OF ITS REPRESENTATIVES WITH REGARD TO THE SUBJECT MATTER, BASIS, OR EFFECT OF THIS RELEASE OR OTHERWISE.</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 WAS NOT COERCED, THREATENED, OR OTHERWISE FORCED TO SIGN THIS RELEASE. I AM VOLUNTARILY SIGNING AND DELIVERING THIS RELEASE.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 UNDERSTAND THAT BY SIGNING THIS RELEASE I ACCEPT THE EMPLOYER’S OFFER.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have executed this Release Agreement.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AGREED TO AND ACCEPTED:</w:t>
      </w:r>
    </w:p>
    <w:p>
      <w:pPr>
        <w:sectPr>
          <w:pgSz w:w="11900" w:h="16838" w:orient="portrait"/>
          <w:cols w:equalWidth="0" w:num="1">
            <w:col w:w="11420"/>
          </w:cols>
          <w:pgMar w:left="240" w:top="1440" w:right="239" w:bottom="1440" w:gutter="0" w:footer="0" w:header="0"/>
        </w:sectPr>
      </w:pPr>
    </w:p>
    <w:p>
      <w:pPr>
        <w:spacing w:after="0" w:line="39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By Executive: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Company:</w:t>
      </w:r>
    </w:p>
    <w:p>
      <w:pPr>
        <w:spacing w:after="0" w:line="200" w:lineRule="exact"/>
        <w:rPr>
          <w:sz w:val="20"/>
          <w:szCs w:val="20"/>
          <w:color w:val="auto"/>
        </w:rPr>
      </w:pPr>
    </w:p>
    <w:p>
      <w:pPr>
        <w:sectPr>
          <w:pgSz w:w="11900" w:h="16838" w:orient="portrait"/>
          <w:cols w:equalWidth="0" w:num="2">
            <w:col w:w="4740" w:space="720"/>
            <w:col w:w="5960"/>
          </w:cols>
          <w:pgMar w:left="240" w:top="1440" w:right="239" w:bottom="1440" w:gutter="0" w:footer="0" w:header="0"/>
          <w:type w:val="continuous"/>
        </w:sectPr>
      </w:pPr>
    </w:p>
    <w:p>
      <w:pPr>
        <w:spacing w:after="0" w:line="58"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By:</w:t>
      </w:r>
    </w:p>
    <w:p>
      <w:pPr>
        <w:sectPr>
          <w:pgSz w:w="11900" w:h="16838" w:orient="portrait"/>
          <w:cols w:equalWidth="0" w:num="1">
            <w:col w:w="11420"/>
          </w:cols>
          <w:pgMar w:left="240" w:top="1440" w:right="239" w:bottom="1440" w:gutter="0" w:footer="0" w:header="0"/>
          <w:type w:val="continuous"/>
        </w:sectPr>
      </w:pPr>
    </w:p>
    <w:p>
      <w:pPr>
        <w:spacing w:after="0" w:line="241" w:lineRule="exact"/>
        <w:rPr>
          <w:sz w:val="20"/>
          <w:szCs w:val="20"/>
          <w:color w:val="auto"/>
        </w:rPr>
      </w:pPr>
    </w:p>
    <w:p>
      <w:pPr>
        <w:ind w:left="120" w:right="860"/>
        <w:spacing w:after="0" w:line="386" w:lineRule="auto"/>
        <w:rPr>
          <w:sz w:val="20"/>
          <w:szCs w:val="20"/>
          <w:color w:val="auto"/>
        </w:rPr>
      </w:pPr>
      <w:r>
        <w:rPr>
          <w:rFonts w:ascii="Arial" w:cs="Arial" w:eastAsia="Arial" w:hAnsi="Arial"/>
          <w:sz w:val="16"/>
          <w:szCs w:val="16"/>
          <w:color w:val="auto"/>
        </w:rPr>
        <w:t>______________________________________ Mark. D. Klein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Representative’s Signature</w:t>
      </w:r>
    </w:p>
    <w:p>
      <w:pPr>
        <w:spacing w:after="0" w:line="213" w:lineRule="exact"/>
        <w:rPr>
          <w:sz w:val="20"/>
          <w:szCs w:val="20"/>
          <w:color w:val="auto"/>
        </w:rPr>
      </w:pPr>
    </w:p>
    <w:p>
      <w:pPr>
        <w:sectPr>
          <w:pgSz w:w="11900" w:h="16838" w:orient="portrait"/>
          <w:cols w:equalWidth="0" w:num="2">
            <w:col w:w="4740" w:space="720"/>
            <w:col w:w="5960"/>
          </w:cols>
          <w:pgMar w:left="240" w:top="1440" w:right="239" w:bottom="1440" w:gutter="0" w:footer="0" w:header="0"/>
          <w:type w:val="continuous"/>
        </w:sect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Name, Title</w:t>
      </w:r>
    </w:p>
    <w:p>
      <w:pPr>
        <w:spacing w:after="0" w:line="200" w:lineRule="exact"/>
        <w:rPr>
          <w:sz w:val="20"/>
          <w:szCs w:val="20"/>
          <w:color w:val="auto"/>
        </w:rPr>
      </w:pPr>
    </w:p>
    <w:p>
      <w:pPr>
        <w:sectPr>
          <w:pgSz w:w="11900" w:h="16838" w:orient="portrait"/>
          <w:cols w:equalWidth="0" w:num="2">
            <w:col w:w="4740" w:space="720"/>
            <w:col w:w="5960"/>
          </w:cols>
          <w:pgMar w:left="240" w:top="1440" w:right="239" w:bottom="1440" w:gutter="0" w:footer="0" w:header="0"/>
          <w:type w:val="continuous"/>
        </w:sectPr>
      </w:pPr>
    </w:p>
    <w:p>
      <w:pPr>
        <w:spacing w:after="0" w:line="24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DATE: _____________________________</w:t>
      </w:r>
    </w:p>
    <w:p>
      <w:pPr>
        <w:sectPr>
          <w:pgSz w:w="11900" w:h="16838" w:orient="portrait"/>
          <w:cols w:equalWidth="0" w:num="1">
            <w:col w:w="11420"/>
          </w:cols>
          <w:pgMar w:left="240" w:top="14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- 6 -</w:t>
      </w:r>
    </w:p>
    <w:p>
      <w:pPr>
        <w:sectPr>
          <w:pgSz w:w="11900" w:h="16838" w:orient="portrait"/>
          <w:cols w:equalWidth="0" w:num="1">
            <w:col w:w="11420"/>
          </w:cols>
          <w:pgMar w:left="240" w:top="1440" w:right="239" w:bottom="1440" w:gutter="0" w:footer="0" w:header="0"/>
          <w:type w:val="continuous"/>
        </w:sectPr>
      </w:pPr>
    </w:p>
    <w:bookmarkStart w:id="91" w:name="page92"/>
    <w:bookmarkEnd w:id="91"/>
    <w:p>
      <w:pPr>
        <w:ind w:left="9440"/>
        <w:spacing w:after="0"/>
        <w:rPr>
          <w:sz w:val="20"/>
          <w:szCs w:val="20"/>
          <w:color w:val="auto"/>
        </w:rPr>
      </w:pPr>
      <w:r>
        <w:rPr>
          <w:rFonts w:ascii="Arial" w:cs="Arial" w:eastAsia="Arial" w:hAnsi="Arial"/>
          <w:sz w:val="22"/>
          <w:szCs w:val="22"/>
          <w:b w:val="1"/>
          <w:bCs w:val="1"/>
          <w:color w:val="auto"/>
        </w:rPr>
        <w:t>EXECUTION COPY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EMPLOYMENT AGREEMENT is made and entered into this 23rd day of April, 2019 (this “</w:t>
      </w:r>
      <w:r>
        <w:rPr>
          <w:rFonts w:ascii="Arial" w:cs="Arial" w:eastAsia="Arial" w:hAnsi="Arial"/>
          <w:sz w:val="20"/>
          <w:szCs w:val="20"/>
          <w:u w:val="single" w:color="auto"/>
          <w:color w:val="auto"/>
        </w:rPr>
        <w:t>Agreement</w:t>
      </w:r>
      <w:r>
        <w:rPr>
          <w:rFonts w:ascii="Arial" w:cs="Arial" w:eastAsia="Arial" w:hAnsi="Arial"/>
          <w:sz w:val="20"/>
          <w:szCs w:val="20"/>
          <w:color w:val="auto"/>
        </w:rPr>
        <w:t>”) by and between GSV Capital Corp., a Maryland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Allison Green (the “</w:t>
      </w:r>
      <w:r>
        <w:rPr>
          <w:rFonts w:ascii="Arial" w:cs="Arial" w:eastAsia="Arial" w:hAnsi="Arial"/>
          <w:sz w:val="20"/>
          <w:szCs w:val="20"/>
          <w:u w:val="single" w:color="auto"/>
          <w:color w:val="auto"/>
        </w:rPr>
        <w:t>Executive</w:t>
      </w:r>
      <w:r>
        <w:rPr>
          <w:rFonts w:ascii="Arial" w:cs="Arial" w:eastAsia="Arial" w:hAnsi="Arial"/>
          <w:sz w:val="20"/>
          <w:szCs w:val="20"/>
          <w:color w:val="auto"/>
        </w:rPr>
        <w:t>”).</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Company is an internally managed, closed-end management investment company that has elected to be treated as a business development company under the Investment Company Act of 1940; and</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parties desire to enter into this Agreement to secure the Executive’s employment during the Term (as hereinafter defined), on the terms and conditions set forth herein.</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171" w:lineRule="exact"/>
        <w:rPr>
          <w:sz w:val="20"/>
          <w:szCs w:val="20"/>
          <w:color w:val="auto"/>
        </w:rPr>
      </w:pPr>
    </w:p>
    <w:p>
      <w:pPr>
        <w:jc w:val="both"/>
        <w:ind w:left="340" w:hanging="332"/>
        <w:spacing w:after="0" w:line="248" w:lineRule="auto"/>
        <w:tabs>
          <w:tab w:leader="none" w:pos="340"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Position</w:t>
      </w:r>
      <w:r>
        <w:rPr>
          <w:rFonts w:ascii="Arial" w:cs="Arial" w:eastAsia="Arial" w:hAnsi="Arial"/>
          <w:sz w:val="20"/>
          <w:szCs w:val="20"/>
          <w:color w:val="auto"/>
        </w:rPr>
        <w:t>. The Company hereby reaffirms its employment of the Executive and the Executive agrees to continue to serve the Company as</w:t>
      </w:r>
      <w:r>
        <w:rPr>
          <w:rFonts w:ascii="Arial" w:cs="Arial" w:eastAsia="Arial" w:hAnsi="Arial"/>
          <w:sz w:val="20"/>
          <w:szCs w:val="20"/>
          <w:b w:val="1"/>
          <w:bCs w:val="1"/>
          <w:color w:val="auto"/>
        </w:rPr>
        <w:t xml:space="preserve"> </w:t>
      </w:r>
      <w:r>
        <w:rPr>
          <w:rFonts w:ascii="Arial" w:cs="Arial" w:eastAsia="Arial" w:hAnsi="Arial"/>
          <w:sz w:val="20"/>
          <w:szCs w:val="20"/>
          <w:color w:val="auto"/>
        </w:rPr>
        <w:t>Chief Financial Officer, Treasurer, and Secretary on the terms and conditions set forth in this Agreement. During the Term, the parties agree that the Executive shall report to the Chief Executive Officer. The Executive also agrees to serve as a voting member of the Company’s Investment Committee.</w:t>
      </w:r>
    </w:p>
    <w:p>
      <w:pPr>
        <w:spacing w:after="0" w:line="183" w:lineRule="exact"/>
        <w:rPr>
          <w:rFonts w:ascii="Arial" w:cs="Arial" w:eastAsia="Arial" w:hAnsi="Arial"/>
          <w:sz w:val="20"/>
          <w:szCs w:val="20"/>
          <w:color w:val="auto"/>
        </w:rPr>
      </w:pPr>
    </w:p>
    <w:p>
      <w:pPr>
        <w:jc w:val="both"/>
        <w:ind w:left="340" w:hanging="332"/>
        <w:spacing w:after="0" w:line="243" w:lineRule="auto"/>
        <w:tabs>
          <w:tab w:leader="none" w:pos="340"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Employment Term</w:t>
      </w:r>
      <w:r>
        <w:rPr>
          <w:rFonts w:ascii="Arial" w:cs="Arial" w:eastAsia="Arial" w:hAnsi="Arial"/>
          <w:sz w:val="20"/>
          <w:szCs w:val="20"/>
          <w:color w:val="auto"/>
        </w:rPr>
        <w:t>. Subject to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w:t>
      </w:r>
      <w:r>
        <w:rPr>
          <w:rFonts w:ascii="Arial" w:cs="Arial" w:eastAsia="Arial" w:hAnsi="Arial"/>
          <w:sz w:val="20"/>
          <w:szCs w:val="20"/>
          <w:color w:val="auto"/>
        </w:rPr>
        <w:t>, the Executive’s employment by the Company under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commenced on March 12, 2019, (the “</w:t>
      </w:r>
      <w:r>
        <w:rPr>
          <w:rFonts w:ascii="Arial" w:cs="Arial" w:eastAsia="Arial" w:hAnsi="Arial"/>
          <w:sz w:val="20"/>
          <w:szCs w:val="20"/>
          <w:u w:val="single" w:color="auto"/>
          <w:color w:val="auto"/>
        </w:rPr>
        <w:t>Effective Date</w:t>
      </w:r>
      <w:r>
        <w:rPr>
          <w:rFonts w:ascii="Arial" w:cs="Arial" w:eastAsia="Arial" w:hAnsi="Arial"/>
          <w:sz w:val="20"/>
          <w:szCs w:val="20"/>
          <w:color w:val="auto"/>
        </w:rPr>
        <w:t>”) and shall end on December 31, 2022 (the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Unless terminated earlier pursuant to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the Term shall be automatically extended for one year on December 31, 2022, and then on each succeeding anniversary of December 31, 2022, unless either party elects, in writing, to terminate this Agreement at least thirty (30) days prior to the expiration of the then current Term. In the event that the Company declines to extend the Term of this Agreement and the Executive’s employment is terminated, the Executive’s termination shall be treated as a termination Without Cause and the Executive shall receive Accrued Benefits through the date of the Executive’s termination and Severance Benefits in accordance with the terms of </w:t>
      </w:r>
      <w:r>
        <w:rPr>
          <w:rFonts w:ascii="Arial" w:cs="Arial" w:eastAsia="Arial" w:hAnsi="Arial"/>
          <w:sz w:val="20"/>
          <w:szCs w:val="20"/>
          <w:u w:val="single" w:color="auto"/>
          <w:color w:val="auto"/>
        </w:rPr>
        <w:t>Section 8(f)</w:t>
      </w:r>
      <w:r>
        <w:rPr>
          <w:rFonts w:ascii="Arial" w:cs="Arial" w:eastAsia="Arial" w:hAnsi="Arial"/>
          <w:sz w:val="20"/>
          <w:szCs w:val="20"/>
          <w:color w:val="auto"/>
        </w:rPr>
        <w:t>, provided, however, that the Executive is willing and able to execute such extension and to continue performing services under this Agreement.</w:t>
      </w:r>
    </w:p>
    <w:p>
      <w:pPr>
        <w:spacing w:after="0" w:line="186" w:lineRule="exact"/>
        <w:rPr>
          <w:rFonts w:ascii="Arial" w:cs="Arial" w:eastAsia="Arial" w:hAnsi="Arial"/>
          <w:sz w:val="20"/>
          <w:szCs w:val="20"/>
          <w:color w:val="auto"/>
        </w:rPr>
      </w:pPr>
    </w:p>
    <w:p>
      <w:pPr>
        <w:jc w:val="both"/>
        <w:ind w:left="340" w:hanging="332"/>
        <w:spacing w:after="0" w:line="258" w:lineRule="auto"/>
        <w:tabs>
          <w:tab w:leader="none" w:pos="340"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Duties</w:t>
      </w:r>
      <w:r>
        <w:rPr>
          <w:rFonts w:ascii="Arial" w:cs="Arial" w:eastAsia="Arial" w:hAnsi="Arial"/>
          <w:sz w:val="19"/>
          <w:szCs w:val="19"/>
          <w:color w:val="auto"/>
        </w:rPr>
        <w:t>. During the Executive’s employment, the Executive shall have all the power, authority and responsibilities customarily related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position as Chief Financial Officer of the Company and as may be assigned by and under the direction and control of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xml:space="preserve">”). During the Term, the Executive shall not engage in any other business activity that would materially interfere with the Executive’s responsibilities or performance of duties under this Agreement, unless approved by the Board. Notwithstanding the foregoing, nothing herein shall prohibit the Executive from (i) subject to prior approval of the Board, accepting directorships unrelated to the Company that do not give rise to any conflicts of interest with the Company or its Affiliates, (ii) engaging in charitable and civic activities, so long as such outside interests do not interfere with the performance of Executive’s duties hereunder, or (iii) engaging in activities expressly permitted by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w:t>
      </w:r>
    </w:p>
    <w:p>
      <w:pPr>
        <w:spacing w:after="0" w:line="173" w:lineRule="exact"/>
        <w:rPr>
          <w:rFonts w:ascii="Arial" w:cs="Arial" w:eastAsia="Arial" w:hAnsi="Arial"/>
          <w:sz w:val="19"/>
          <w:szCs w:val="19"/>
          <w:color w:val="auto"/>
        </w:rPr>
      </w:pPr>
    </w:p>
    <w:p>
      <w:pPr>
        <w:ind w:left="340" w:hanging="332"/>
        <w:spacing w:after="0"/>
        <w:tabs>
          <w:tab w:leader="none" w:pos="340"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Compensation</w:t>
      </w:r>
      <w:r>
        <w:rPr>
          <w:rFonts w:ascii="Arial" w:cs="Arial" w:eastAsia="Arial" w:hAnsi="Arial"/>
          <w:sz w:val="20"/>
          <w:szCs w:val="20"/>
          <w:color w:val="auto"/>
        </w:rPr>
        <w: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14" w:lineRule="exact"/>
        <w:rPr>
          <w:sz w:val="20"/>
          <w:szCs w:val="20"/>
          <w:color w:val="auto"/>
        </w:rPr>
      </w:pPr>
    </w:p>
    <w:p>
      <w:pPr>
        <w:jc w:val="both"/>
        <w:ind w:left="660" w:hanging="409"/>
        <w:spacing w:after="0" w:line="266" w:lineRule="auto"/>
        <w:tabs>
          <w:tab w:leader="none" w:pos="660" w:val="left"/>
        </w:tabs>
        <w:numPr>
          <w:ilvl w:val="1"/>
          <w:numId w:val="69"/>
        </w:numPr>
        <w:rPr>
          <w:rFonts w:ascii="Arial" w:cs="Arial" w:eastAsia="Arial" w:hAnsi="Arial"/>
          <w:sz w:val="22"/>
          <w:szCs w:val="22"/>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During the Term, the Executive shall be compensated for the Executive’s services at an initial annual rate of base salary of four hundred fifty thousand dollars ($450,000), which may be reviewed and increased (but not decreased) on an annual basis by the Board in its sole discretion, payable in accordance with the Company’s regular payroll schedule (the “</w:t>
      </w:r>
      <w:r>
        <w:rPr>
          <w:rFonts w:ascii="Arial" w:cs="Arial" w:eastAsia="Arial" w:hAnsi="Arial"/>
          <w:sz w:val="20"/>
          <w:szCs w:val="20"/>
          <w:u w:val="single" w:color="auto"/>
          <w:color w:val="auto"/>
        </w:rPr>
        <w:t>Base Salary</w:t>
      </w:r>
      <w:r>
        <w:rPr>
          <w:rFonts w:ascii="Arial" w:cs="Arial" w:eastAsia="Arial" w:hAnsi="Arial"/>
          <w:sz w:val="20"/>
          <w:szCs w:val="20"/>
          <w:color w:val="auto"/>
        </w:rPr>
        <w:t>”). All payments made to or on behalf of the Executive under the terms of this Agreement, including all payments of Base Salary and any bonuses, shall be subject to all withholding required by law (such as income and payroll taxes) and such additional withholding as may be agreed upon by the Executive.</w:t>
      </w:r>
    </w:p>
    <w:p>
      <w:pPr>
        <w:spacing w:after="0" w:line="200" w:lineRule="exact"/>
        <w:rPr>
          <w:rFonts w:ascii="Arial" w:cs="Arial" w:eastAsia="Arial" w:hAnsi="Arial"/>
          <w:sz w:val="22"/>
          <w:szCs w:val="22"/>
          <w:color w:val="auto"/>
        </w:rPr>
      </w:pPr>
    </w:p>
    <w:p>
      <w:pPr>
        <w:jc w:val="both"/>
        <w:ind w:left="660" w:hanging="409"/>
        <w:spacing w:after="0" w:line="282" w:lineRule="auto"/>
        <w:tabs>
          <w:tab w:leader="none" w:pos="660" w:val="left"/>
        </w:tabs>
        <w:numPr>
          <w:ilvl w:val="1"/>
          <w:numId w:val="69"/>
        </w:numPr>
        <w:rPr>
          <w:rFonts w:ascii="Arial" w:cs="Arial" w:eastAsia="Arial" w:hAnsi="Arial"/>
          <w:sz w:val="21"/>
          <w:szCs w:val="21"/>
          <w:color w:val="auto"/>
        </w:rPr>
      </w:pPr>
      <w:r>
        <w:rPr>
          <w:rFonts w:ascii="Arial" w:cs="Arial" w:eastAsia="Arial" w:hAnsi="Arial"/>
          <w:sz w:val="19"/>
          <w:szCs w:val="19"/>
          <w:u w:val="single" w:color="auto"/>
          <w:color w:val="auto"/>
        </w:rPr>
        <w:t>Annual Bonus Arrangements</w:t>
      </w:r>
      <w:r>
        <w:rPr>
          <w:rFonts w:ascii="Arial" w:cs="Arial" w:eastAsia="Arial" w:hAnsi="Arial"/>
          <w:sz w:val="19"/>
          <w:szCs w:val="19"/>
          <w:color w:val="auto"/>
        </w:rPr>
        <w:t>. The Executive will be eligible to receive annual bonus payments up to seventy percent (70%) of the Executive’s then-effective Base Salary, payable in amounts and at such times as determined in good faith by the Board, based on meeting Company performance objectives, performance goals, and other objectives as mutually agreed upon by the Board and the Executive, and as may be amended from time to time (the “</w:t>
      </w:r>
      <w:r>
        <w:rPr>
          <w:rFonts w:ascii="Arial" w:cs="Arial" w:eastAsia="Arial" w:hAnsi="Arial"/>
          <w:sz w:val="19"/>
          <w:szCs w:val="19"/>
          <w:u w:val="single" w:color="auto"/>
          <w:color w:val="auto"/>
        </w:rPr>
        <w:t>Annual Bonus</w:t>
      </w:r>
      <w:r>
        <w:rPr>
          <w:rFonts w:ascii="Arial" w:cs="Arial" w:eastAsia="Arial" w:hAnsi="Arial"/>
          <w:sz w:val="19"/>
          <w:szCs w:val="19"/>
          <w:color w:val="auto"/>
        </w:rPr>
        <w:t>”). The Executive must remain employed by the Company through the date on which the Annual Bonus is earned, which is December 31 of each year, whether or not the Executive remains employed by the Company on the date the bonus is actually payable. Notwithstanding the foregoing, in the event that the Executive is terminated for Cause (as defined below) prior to the payment of any Annual Bonus, the Executive shall not be entitled to the payment of such Annual Bonus.</w:t>
      </w:r>
    </w:p>
    <w:p>
      <w:pPr>
        <w:spacing w:after="0" w:line="188" w:lineRule="exact"/>
        <w:rPr>
          <w:rFonts w:ascii="Arial" w:cs="Arial" w:eastAsia="Arial" w:hAnsi="Arial"/>
          <w:sz w:val="21"/>
          <w:szCs w:val="21"/>
          <w:color w:val="auto"/>
        </w:rPr>
      </w:pPr>
    </w:p>
    <w:p>
      <w:pPr>
        <w:ind w:left="660" w:hanging="409"/>
        <w:spacing w:after="0" w:line="265" w:lineRule="auto"/>
        <w:tabs>
          <w:tab w:leader="none" w:pos="660" w:val="left"/>
        </w:tabs>
        <w:numPr>
          <w:ilvl w:val="1"/>
          <w:numId w:val="69"/>
        </w:numPr>
        <w:rPr>
          <w:rFonts w:ascii="Arial" w:cs="Arial" w:eastAsia="Arial" w:hAnsi="Arial"/>
          <w:sz w:val="22"/>
          <w:szCs w:val="22"/>
          <w:color w:val="auto"/>
        </w:rPr>
      </w:pPr>
      <w:r>
        <w:rPr>
          <w:rFonts w:ascii="Arial" w:cs="Arial" w:eastAsia="Arial" w:hAnsi="Arial"/>
          <w:sz w:val="20"/>
          <w:szCs w:val="20"/>
          <w:u w:val="single" w:color="auto"/>
          <w:color w:val="auto"/>
        </w:rPr>
        <w:t>Equity</w:t>
      </w:r>
      <w:r>
        <w:rPr>
          <w:rFonts w:ascii="Arial" w:cs="Arial" w:eastAsia="Arial" w:hAnsi="Arial"/>
          <w:sz w:val="20"/>
          <w:szCs w:val="20"/>
          <w:color w:val="auto"/>
        </w:rPr>
        <w:t>. The Executive shall, in the Company’s sole discretion, be eligible to receive awards of equity in accordance with the terms and conditions set forth in the applicable equity incentive plan and equity award agreement.</w:t>
      </w:r>
    </w:p>
    <w:p>
      <w:pPr>
        <w:spacing w:after="0" w:line="196" w:lineRule="exact"/>
        <w:rPr>
          <w:rFonts w:ascii="Arial" w:cs="Arial" w:eastAsia="Arial" w:hAnsi="Arial"/>
          <w:sz w:val="22"/>
          <w:szCs w:val="22"/>
          <w:color w:val="auto"/>
        </w:rPr>
      </w:pPr>
    </w:p>
    <w:p>
      <w:pPr>
        <w:jc w:val="both"/>
        <w:ind w:left="660" w:hanging="409"/>
        <w:spacing w:after="0" w:line="282" w:lineRule="auto"/>
        <w:tabs>
          <w:tab w:leader="none" w:pos="660" w:val="left"/>
        </w:tabs>
        <w:numPr>
          <w:ilvl w:val="1"/>
          <w:numId w:val="69"/>
        </w:numPr>
        <w:rPr>
          <w:rFonts w:ascii="Arial" w:cs="Arial" w:eastAsia="Arial" w:hAnsi="Arial"/>
          <w:sz w:val="21"/>
          <w:szCs w:val="21"/>
          <w:color w:val="auto"/>
        </w:rPr>
      </w:pPr>
      <w:r>
        <w:rPr>
          <w:rFonts w:ascii="Arial" w:cs="Arial" w:eastAsia="Arial" w:hAnsi="Arial"/>
          <w:sz w:val="19"/>
          <w:szCs w:val="19"/>
          <w:u w:val="single" w:color="auto"/>
          <w:color w:val="auto"/>
        </w:rPr>
        <w:t>Sign-On Bonus</w:t>
      </w:r>
      <w:r>
        <w:rPr>
          <w:rFonts w:ascii="Arial" w:cs="Arial" w:eastAsia="Arial" w:hAnsi="Arial"/>
          <w:sz w:val="19"/>
          <w:szCs w:val="19"/>
          <w:color w:val="auto"/>
        </w:rPr>
        <w:t>. The Executive shall be entitled to a sign-on bonus equal to one hundred thousand dollars ($100,000) (the “</w:t>
      </w:r>
      <w:r>
        <w:rPr>
          <w:rFonts w:ascii="Arial" w:cs="Arial" w:eastAsia="Arial" w:hAnsi="Arial"/>
          <w:sz w:val="19"/>
          <w:szCs w:val="19"/>
          <w:u w:val="single" w:color="auto"/>
          <w:color w:val="auto"/>
        </w:rPr>
        <w:t>Sign-On</w:t>
      </w:r>
      <w:r>
        <w:rPr>
          <w:rFonts w:ascii="Arial" w:cs="Arial" w:eastAsia="Arial" w:hAnsi="Arial"/>
          <w:sz w:val="19"/>
          <w:szCs w:val="19"/>
          <w:color w:val="auto"/>
        </w:rPr>
        <w:t xml:space="preserve"> </w:t>
      </w:r>
      <w:r>
        <w:rPr>
          <w:rFonts w:ascii="Arial" w:cs="Arial" w:eastAsia="Arial" w:hAnsi="Arial"/>
          <w:sz w:val="19"/>
          <w:szCs w:val="19"/>
          <w:u w:val="single" w:color="auto"/>
          <w:color w:val="auto"/>
        </w:rPr>
        <w:t>Bonus</w:t>
      </w:r>
      <w:r>
        <w:rPr>
          <w:rFonts w:ascii="Arial" w:cs="Arial" w:eastAsia="Arial" w:hAnsi="Arial"/>
          <w:sz w:val="19"/>
          <w:szCs w:val="19"/>
          <w:color w:val="auto"/>
        </w:rPr>
        <w:t>”) subject to the Executive’s continued employment through the end of the six month period following the Effective Date (such date, the “</w:t>
      </w:r>
      <w:r>
        <w:rPr>
          <w:rFonts w:ascii="Arial" w:cs="Arial" w:eastAsia="Arial" w:hAnsi="Arial"/>
          <w:sz w:val="19"/>
          <w:szCs w:val="19"/>
          <w:u w:val="single" w:color="auto"/>
          <w:color w:val="auto"/>
        </w:rPr>
        <w:t>Sign-On Bonus Payment Date</w:t>
      </w:r>
      <w:r>
        <w:rPr>
          <w:rFonts w:ascii="Arial" w:cs="Arial" w:eastAsia="Arial" w:hAnsi="Arial"/>
          <w:sz w:val="19"/>
          <w:szCs w:val="19"/>
          <w:color w:val="auto"/>
        </w:rPr>
        <w:t>”). The Company will pay the Executive the Sign-On Bonus on the first payroll date following the Sign-On Bonus Payment Date. As a precondition to the payment of the Sign-On Bonus, the Executive may be required to execute a release of any claims against the Company, Affiliates, and their employee, officers, directors, and shareholders arising out of the Executive’s employment or termination in a form acceptable to the Company.</w:t>
      </w:r>
    </w:p>
    <w:p>
      <w:pPr>
        <w:spacing w:after="0" w:line="182" w:lineRule="exact"/>
        <w:rPr>
          <w:rFonts w:ascii="Arial" w:cs="Arial" w:eastAsia="Arial" w:hAnsi="Arial"/>
          <w:sz w:val="21"/>
          <w:szCs w:val="21"/>
          <w:color w:val="auto"/>
        </w:rPr>
      </w:pPr>
    </w:p>
    <w:p>
      <w:pPr>
        <w:ind w:left="340" w:hanging="332"/>
        <w:spacing w:after="0"/>
        <w:tabs>
          <w:tab w:leader="none" w:pos="340" w:val="left"/>
        </w:tabs>
        <w:numPr>
          <w:ilvl w:val="0"/>
          <w:numId w:val="70"/>
        </w:numPr>
        <w:rPr>
          <w:rFonts w:ascii="Arial" w:cs="Arial" w:eastAsia="Arial" w:hAnsi="Arial"/>
          <w:sz w:val="22"/>
          <w:szCs w:val="22"/>
          <w:color w:val="auto"/>
        </w:rPr>
      </w:pPr>
      <w:r>
        <w:rPr>
          <w:rFonts w:ascii="Arial" w:cs="Arial" w:eastAsia="Arial" w:hAnsi="Arial"/>
          <w:sz w:val="20"/>
          <w:szCs w:val="20"/>
          <w:b w:val="1"/>
          <w:bCs w:val="1"/>
          <w:color w:val="auto"/>
        </w:rPr>
        <w:t>Benefits.</w:t>
      </w:r>
    </w:p>
    <w:p>
      <w:pPr>
        <w:spacing w:after="0" w:line="225" w:lineRule="exact"/>
        <w:rPr>
          <w:rFonts w:ascii="Arial" w:cs="Arial" w:eastAsia="Arial" w:hAnsi="Arial"/>
          <w:sz w:val="22"/>
          <w:szCs w:val="22"/>
          <w:color w:val="auto"/>
        </w:rPr>
      </w:pPr>
    </w:p>
    <w:p>
      <w:pPr>
        <w:jc w:val="both"/>
        <w:ind w:left="660" w:hanging="409"/>
        <w:spacing w:after="0" w:line="283" w:lineRule="auto"/>
        <w:tabs>
          <w:tab w:leader="none" w:pos="660" w:val="left"/>
        </w:tabs>
        <w:numPr>
          <w:ilvl w:val="1"/>
          <w:numId w:val="70"/>
        </w:numPr>
        <w:rPr>
          <w:rFonts w:ascii="Arial" w:cs="Arial" w:eastAsia="Arial" w:hAnsi="Arial"/>
          <w:sz w:val="21"/>
          <w:szCs w:val="21"/>
          <w:color w:val="auto"/>
        </w:rPr>
      </w:pPr>
      <w:r>
        <w:rPr>
          <w:rFonts w:ascii="Arial" w:cs="Arial" w:eastAsia="Arial" w:hAnsi="Arial"/>
          <w:sz w:val="19"/>
          <w:szCs w:val="19"/>
          <w:u w:val="single" w:color="auto"/>
          <w:color w:val="auto"/>
        </w:rPr>
        <w:t>Employee Benefits</w:t>
      </w:r>
      <w:r>
        <w:rPr>
          <w:rFonts w:ascii="Arial" w:cs="Arial" w:eastAsia="Arial" w:hAnsi="Arial"/>
          <w:sz w:val="19"/>
          <w:szCs w:val="19"/>
          <w:color w:val="auto"/>
        </w:rPr>
        <w:t>. During the Term, the Company will provide the Executive the highest level and most favored nation employee benefits coverage (including life, health accident insurance and disability programs) provided by the Company. Such participation shall be subject to the terms of the applicable plan documents and policies generally applicable to Company employees, including, without limitation, plan terms or policies relating to employee contributions under any such plans.</w:t>
      </w:r>
    </w:p>
    <w:p>
      <w:pPr>
        <w:spacing w:after="0" w:line="184" w:lineRule="exact"/>
        <w:rPr>
          <w:rFonts w:ascii="Arial" w:cs="Arial" w:eastAsia="Arial" w:hAnsi="Arial"/>
          <w:sz w:val="21"/>
          <w:szCs w:val="21"/>
          <w:color w:val="auto"/>
        </w:rPr>
      </w:pPr>
    </w:p>
    <w:p>
      <w:pPr>
        <w:jc w:val="both"/>
        <w:ind w:left="660" w:hanging="409"/>
        <w:spacing w:after="0" w:line="266" w:lineRule="auto"/>
        <w:tabs>
          <w:tab w:leader="none" w:pos="660" w:val="left"/>
        </w:tabs>
        <w:numPr>
          <w:ilvl w:val="1"/>
          <w:numId w:val="70"/>
        </w:numPr>
        <w:rPr>
          <w:rFonts w:ascii="Arial" w:cs="Arial" w:eastAsia="Arial" w:hAnsi="Arial"/>
          <w:sz w:val="22"/>
          <w:szCs w:val="22"/>
          <w:color w:val="auto"/>
        </w:rPr>
      </w:pPr>
      <w:r>
        <w:rPr>
          <w:rFonts w:ascii="Arial" w:cs="Arial" w:eastAsia="Arial" w:hAnsi="Arial"/>
          <w:sz w:val="20"/>
          <w:szCs w:val="20"/>
          <w:u w:val="single" w:color="auto"/>
          <w:color w:val="auto"/>
        </w:rPr>
        <w:t>Vacation and Sick Leave</w:t>
      </w:r>
      <w:r>
        <w:rPr>
          <w:rFonts w:ascii="Arial" w:cs="Arial" w:eastAsia="Arial" w:hAnsi="Arial"/>
          <w:sz w:val="20"/>
          <w:szCs w:val="20"/>
          <w:color w:val="auto"/>
        </w:rPr>
        <w:t>. The Executive will be entitled to five (5) weeks of paid time off in the form of vacation and sick leave (without taking into account any qualified disability leave offered pursuant to the Company’s disability benefit programs in place from time to time), subject to the terms and conditions of the Company’s policies, procedures, and practices applicable to similarly situated employees and applicable law.</w:t>
      </w:r>
    </w:p>
    <w:p>
      <w:pPr>
        <w:spacing w:after="0" w:line="191" w:lineRule="exact"/>
        <w:rPr>
          <w:rFonts w:ascii="Arial" w:cs="Arial" w:eastAsia="Arial" w:hAnsi="Arial"/>
          <w:sz w:val="22"/>
          <w:szCs w:val="22"/>
          <w:color w:val="auto"/>
        </w:rPr>
      </w:pPr>
    </w:p>
    <w:p>
      <w:pPr>
        <w:ind w:left="340" w:hanging="332"/>
        <w:spacing w:after="0" w:line="271" w:lineRule="auto"/>
        <w:tabs>
          <w:tab w:leader="none" w:pos="340" w:val="left"/>
        </w:tabs>
        <w:numPr>
          <w:ilvl w:val="0"/>
          <w:numId w:val="70"/>
        </w:numPr>
        <w:rPr>
          <w:rFonts w:ascii="Arial" w:cs="Arial" w:eastAsia="Arial" w:hAnsi="Arial"/>
          <w:sz w:val="22"/>
          <w:szCs w:val="22"/>
          <w:color w:val="auto"/>
        </w:rPr>
      </w:pPr>
      <w:r>
        <w:rPr>
          <w:rFonts w:ascii="Arial" w:cs="Arial" w:eastAsia="Arial" w:hAnsi="Arial"/>
          <w:sz w:val="20"/>
          <w:szCs w:val="20"/>
          <w:b w:val="1"/>
          <w:bCs w:val="1"/>
          <w:color w:val="auto"/>
        </w:rPr>
        <w:t xml:space="preserve">Business Expenses. </w:t>
      </w:r>
      <w:r>
        <w:rPr>
          <w:rFonts w:ascii="Arial" w:cs="Arial" w:eastAsia="Arial" w:hAnsi="Arial"/>
          <w:sz w:val="20"/>
          <w:szCs w:val="20"/>
          <w:color w:val="auto"/>
        </w:rPr>
        <w:t>The Executive shall be reimbursed for all reasonable expenses (including, without limitation, travel and lodging</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 incurred by the Executive during the Term, upon presentation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6"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14" w:lineRule="exact"/>
        <w:rPr>
          <w:sz w:val="20"/>
          <w:szCs w:val="20"/>
          <w:color w:val="auto"/>
        </w:rPr>
      </w:pPr>
    </w:p>
    <w:p>
      <w:pPr>
        <w:jc w:val="both"/>
        <w:ind w:left="340" w:right="20"/>
        <w:spacing w:after="0" w:line="289" w:lineRule="auto"/>
        <w:rPr>
          <w:sz w:val="20"/>
          <w:szCs w:val="20"/>
          <w:color w:val="auto"/>
        </w:rPr>
      </w:pPr>
      <w:r>
        <w:rPr>
          <w:rFonts w:ascii="Arial" w:cs="Arial" w:eastAsia="Arial" w:hAnsi="Arial"/>
          <w:sz w:val="20"/>
          <w:szCs w:val="20"/>
          <w:color w:val="auto"/>
        </w:rPr>
        <w:t>by the Executive of documentation, expense statements, vouchers and/or such other supporting information as the Company may reasonably request.</w:t>
      </w:r>
    </w:p>
    <w:p>
      <w:pPr>
        <w:spacing w:after="0" w:line="169" w:lineRule="exact"/>
        <w:rPr>
          <w:sz w:val="20"/>
          <w:szCs w:val="20"/>
          <w:color w:val="auto"/>
        </w:rPr>
      </w:pPr>
    </w:p>
    <w:p>
      <w:pPr>
        <w:jc w:val="both"/>
        <w:ind w:left="340" w:hanging="332"/>
        <w:spacing w:after="0" w:line="268" w:lineRule="auto"/>
        <w:tabs>
          <w:tab w:leader="none" w:pos="340" w:val="left"/>
        </w:tabs>
        <w:numPr>
          <w:ilvl w:val="0"/>
          <w:numId w:val="71"/>
        </w:numPr>
        <w:rPr>
          <w:rFonts w:ascii="Arial" w:cs="Arial" w:eastAsia="Arial" w:hAnsi="Arial"/>
          <w:sz w:val="22"/>
          <w:szCs w:val="22"/>
          <w:color w:val="auto"/>
        </w:rPr>
      </w:pPr>
      <w:r>
        <w:rPr>
          <w:rFonts w:ascii="Arial" w:cs="Arial" w:eastAsia="Arial" w:hAnsi="Arial"/>
          <w:sz w:val="20"/>
          <w:szCs w:val="20"/>
          <w:b w:val="1"/>
          <w:bCs w:val="1"/>
          <w:color w:val="auto"/>
        </w:rPr>
        <w:t xml:space="preserve">Freedom to Contract. </w:t>
      </w:r>
      <w:r>
        <w:rPr>
          <w:rFonts w:ascii="Arial" w:cs="Arial" w:eastAsia="Arial" w:hAnsi="Arial"/>
          <w:sz w:val="20"/>
          <w:szCs w:val="20"/>
          <w:color w:val="auto"/>
        </w:rPr>
        <w:t>The Executive represents and warrants that the Executive has the right to enter into this Agreement and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is eligible for employment by the Company. The Executive further agrees to hold the Company and its Affiliates harmless from any and all liability arising out of any contractual obligations entered into by the Executive that would prevent the Executive from performing the services the Executive is required to perform under this Agreement.</w:t>
      </w:r>
    </w:p>
    <w:p>
      <w:pPr>
        <w:spacing w:after="0" w:line="189" w:lineRule="exact"/>
        <w:rPr>
          <w:rFonts w:ascii="Arial" w:cs="Arial" w:eastAsia="Arial" w:hAnsi="Arial"/>
          <w:sz w:val="22"/>
          <w:szCs w:val="22"/>
          <w:color w:val="auto"/>
        </w:rPr>
      </w:pPr>
    </w:p>
    <w:p>
      <w:pPr>
        <w:ind w:left="340" w:hanging="332"/>
        <w:spacing w:after="0" w:line="271" w:lineRule="auto"/>
        <w:tabs>
          <w:tab w:leader="none" w:pos="340" w:val="left"/>
        </w:tabs>
        <w:numPr>
          <w:ilvl w:val="0"/>
          <w:numId w:val="71"/>
        </w:numPr>
        <w:rPr>
          <w:rFonts w:ascii="Arial" w:cs="Arial" w:eastAsia="Arial" w:hAnsi="Arial"/>
          <w:sz w:val="22"/>
          <w:szCs w:val="22"/>
          <w:color w:val="auto"/>
        </w:rPr>
      </w:pPr>
      <w:r>
        <w:rPr>
          <w:rFonts w:ascii="Arial" w:cs="Arial" w:eastAsia="Arial" w:hAnsi="Arial"/>
          <w:sz w:val="20"/>
          <w:szCs w:val="20"/>
          <w:b w:val="1"/>
          <w:bCs w:val="1"/>
          <w:color w:val="auto"/>
        </w:rPr>
        <w:t xml:space="preserve">Termination. </w:t>
      </w:r>
      <w:r>
        <w:rPr>
          <w:rFonts w:ascii="Arial" w:cs="Arial" w:eastAsia="Arial" w:hAnsi="Arial"/>
          <w:sz w:val="20"/>
          <w:szCs w:val="20"/>
          <w:color w:val="auto"/>
        </w:rPr>
        <w:t>Notwithstanding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w:t>
      </w:r>
      <w:r>
        <w:rPr>
          <w:rFonts w:ascii="Arial" w:cs="Arial" w:eastAsia="Arial" w:hAnsi="Arial"/>
          <w:sz w:val="20"/>
          <w:szCs w:val="20"/>
          <w:color w:val="auto"/>
        </w:rPr>
        <w:t>, the Executive’s employment under this Agreement and the Term hereunder</w:t>
      </w:r>
      <w:r>
        <w:rPr>
          <w:rFonts w:ascii="Arial" w:cs="Arial" w:eastAsia="Arial" w:hAnsi="Arial"/>
          <w:sz w:val="20"/>
          <w:szCs w:val="20"/>
          <w:b w:val="1"/>
          <w:bCs w:val="1"/>
          <w:color w:val="auto"/>
        </w:rPr>
        <w:t xml:space="preserve"> </w:t>
      </w:r>
      <w:r>
        <w:rPr>
          <w:rFonts w:ascii="Arial" w:cs="Arial" w:eastAsia="Arial" w:hAnsi="Arial"/>
          <w:sz w:val="20"/>
          <w:szCs w:val="20"/>
          <w:color w:val="auto"/>
        </w:rPr>
        <w:t>shall terminate on the earliest of the following dates:</w:t>
      </w:r>
    </w:p>
    <w:p>
      <w:pPr>
        <w:spacing w:after="0" w:line="189" w:lineRule="exact"/>
        <w:rPr>
          <w:rFonts w:ascii="Arial" w:cs="Arial" w:eastAsia="Arial" w:hAnsi="Arial"/>
          <w:sz w:val="22"/>
          <w:szCs w:val="22"/>
          <w:color w:val="auto"/>
        </w:rPr>
      </w:pPr>
    </w:p>
    <w:p>
      <w:pPr>
        <w:jc w:val="both"/>
        <w:ind w:left="660" w:hanging="409"/>
        <w:spacing w:after="0" w:line="300" w:lineRule="auto"/>
        <w:tabs>
          <w:tab w:leader="none" w:pos="660" w:val="left"/>
        </w:tabs>
        <w:numPr>
          <w:ilvl w:val="1"/>
          <w:numId w:val="71"/>
        </w:numPr>
        <w:rPr>
          <w:rFonts w:ascii="Arial" w:cs="Arial" w:eastAsia="Arial" w:hAnsi="Arial"/>
          <w:sz w:val="19"/>
          <w:szCs w:val="19"/>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On the date of the Executive’s death. In the event of the death of the Executive, the Company shall pay to the Executive’s legal representatives or named beneficiaries (as designated in a writing delivered to the Company) (the “</w:t>
      </w:r>
      <w:r>
        <w:rPr>
          <w:rFonts w:ascii="Arial" w:cs="Arial" w:eastAsia="Arial" w:hAnsi="Arial"/>
          <w:sz w:val="18"/>
          <w:szCs w:val="18"/>
          <w:u w:val="single" w:color="auto"/>
          <w:color w:val="auto"/>
        </w:rPr>
        <w:t>Estate</w:t>
      </w:r>
      <w:r>
        <w:rPr>
          <w:rFonts w:ascii="Arial" w:cs="Arial" w:eastAsia="Arial" w:hAnsi="Arial"/>
          <w:sz w:val="18"/>
          <w:szCs w:val="18"/>
          <w:color w:val="auto"/>
        </w:rPr>
        <w:t>”) the Executive’s (i) earned but unpaid Base Salary, (ii) any accrued but unpaid paid time off or vacation payable in accordance with applicable Company policy and the terms of this Agreement, (iii) any reimbursable business expenses incurred, but not yet reimbursed to the Executive, and (iv) any benefits earned through the date of the Executive’s termination in accordance with the terms of the applicable benefit plans (collectively, the “</w:t>
      </w:r>
      <w:r>
        <w:rPr>
          <w:rFonts w:ascii="Arial" w:cs="Arial" w:eastAsia="Arial" w:hAnsi="Arial"/>
          <w:sz w:val="18"/>
          <w:szCs w:val="18"/>
          <w:u w:val="single" w:color="auto"/>
          <w:color w:val="auto"/>
        </w:rPr>
        <w:t>Accrued Benefits</w:t>
      </w:r>
      <w:r>
        <w:rPr>
          <w:rFonts w:ascii="Arial" w:cs="Arial" w:eastAsia="Arial" w:hAnsi="Arial"/>
          <w:sz w:val="18"/>
          <w:szCs w:val="18"/>
          <w:color w:val="auto"/>
        </w:rPr>
        <w:t>”). The Accrued Benefits shall be paid by the Company to the Estate within five (5) days of the receipt by the Company of documentation in connection with proof of the Executive’s death, as required by applicable law and reasonably requested by the Company. The Company shall also pay the Estate (i) any unpaid Annual Bonus for the preceding fiscal year, (ii) a pro-rated portion of the Annual Bonus for the current fiscal year based on the number of days that the Executive was employed by the Company for during the year of the Executive’s termination (“</w:t>
      </w:r>
      <w:r>
        <w:rPr>
          <w:rFonts w:ascii="Arial" w:cs="Arial" w:eastAsia="Arial" w:hAnsi="Arial"/>
          <w:sz w:val="18"/>
          <w:szCs w:val="18"/>
          <w:u w:val="single" w:color="auto"/>
          <w:color w:val="auto"/>
        </w:rPr>
        <w:t>Pro-Rated Bonus</w:t>
      </w:r>
      <w:r>
        <w:rPr>
          <w:rFonts w:ascii="Arial" w:cs="Arial" w:eastAsia="Arial" w:hAnsi="Arial"/>
          <w:sz w:val="18"/>
          <w:szCs w:val="18"/>
          <w:color w:val="auto"/>
        </w:rPr>
        <w:t xml:space="preserve">”), and (iii) any unpaid Sign-On Bonus amounts as if the Executive has been employed through the Sign-On Bonus Payment Date, payable in accordance with the timing as set forth in </w:t>
      </w:r>
      <w:r>
        <w:rPr>
          <w:rFonts w:ascii="Arial" w:cs="Arial" w:eastAsia="Arial" w:hAnsi="Arial"/>
          <w:sz w:val="18"/>
          <w:szCs w:val="18"/>
          <w:u w:val="single" w:color="auto"/>
          <w:color w:val="auto"/>
        </w:rPr>
        <w:t>Section 8(h)</w:t>
      </w:r>
      <w:r>
        <w:rPr>
          <w:rFonts w:ascii="Arial" w:cs="Arial" w:eastAsia="Arial" w:hAnsi="Arial"/>
          <w:sz w:val="18"/>
          <w:szCs w:val="18"/>
          <w:color w:val="auto"/>
        </w:rPr>
        <w:t xml:space="preserve">. Furthermore, notwithstanding anything in the applicable equity incentive plan and/or equity award agreement to the contrary, any unvested portion of any equity awards held by the Executive shall vest in full and become exercisable and free from forfeiture or repurchase, as applicable, as of the effective date of the release as set forth in </w:t>
      </w:r>
      <w:r>
        <w:rPr>
          <w:rFonts w:ascii="Arial" w:cs="Arial" w:eastAsia="Arial" w:hAnsi="Arial"/>
          <w:sz w:val="18"/>
          <w:szCs w:val="18"/>
          <w:u w:val="single" w:color="auto"/>
          <w:color w:val="auto"/>
        </w:rPr>
        <w:t>Section 8(i)</w:t>
      </w:r>
      <w:r>
        <w:rPr>
          <w:rFonts w:ascii="Arial" w:cs="Arial" w:eastAsia="Arial" w:hAnsi="Arial"/>
          <w:sz w:val="18"/>
          <w:szCs w:val="18"/>
          <w:color w:val="auto"/>
        </w:rPr>
        <w:t>.</w:t>
      </w:r>
    </w:p>
    <w:p>
      <w:pPr>
        <w:spacing w:after="0" w:line="171" w:lineRule="exact"/>
        <w:rPr>
          <w:rFonts w:ascii="Arial" w:cs="Arial" w:eastAsia="Arial" w:hAnsi="Arial"/>
          <w:sz w:val="19"/>
          <w:szCs w:val="19"/>
          <w:color w:val="auto"/>
        </w:rPr>
      </w:pPr>
    </w:p>
    <w:p>
      <w:pPr>
        <w:jc w:val="both"/>
        <w:ind w:left="660" w:hanging="409"/>
        <w:spacing w:after="0" w:line="300" w:lineRule="auto"/>
        <w:tabs>
          <w:tab w:leader="none" w:pos="660" w:val="left"/>
        </w:tabs>
        <w:numPr>
          <w:ilvl w:val="1"/>
          <w:numId w:val="71"/>
        </w:numPr>
        <w:rPr>
          <w:rFonts w:ascii="Arial" w:cs="Arial" w:eastAsia="Arial" w:hAnsi="Arial"/>
          <w:sz w:val="19"/>
          <w:szCs w:val="19"/>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On the date specified in a written notice from the Company terminating the Executive’s employment due to Disability, or in the event no date is specified in the notice, on the date on which the notice is delivered to the Executive. For the purposes of this Agreement, “Disability” shall mean that (x) the Executive shall have failed to perform the services contemplated under this Agreement due to a medically determinable physical or mental impairment that can be expected to result in death or can be expected to last for a period of 180 consecutive days, or a total of at least 240 calendar days during any 365-day period, or (y) a determination of permanent disability shall have been made by a physician satisfactory to both the Executive and the Company, provided that if the Executive and the Company do not agree on a physician, the Executive and the Company shall each select a physician and these two together shall select a third physician whose determination as to disability shall be binding on both parties. In the event of the termination of the Executive’s employment pursuant to this </w:t>
      </w:r>
      <w:r>
        <w:rPr>
          <w:rFonts w:ascii="Arial" w:cs="Arial" w:eastAsia="Arial" w:hAnsi="Arial"/>
          <w:sz w:val="18"/>
          <w:szCs w:val="18"/>
          <w:u w:val="single" w:color="auto"/>
          <w:color w:val="auto"/>
        </w:rPr>
        <w:t>Section 8(b)</w:t>
      </w:r>
      <w:r>
        <w:rPr>
          <w:rFonts w:ascii="Arial" w:cs="Arial" w:eastAsia="Arial" w:hAnsi="Arial"/>
          <w:sz w:val="18"/>
          <w:szCs w:val="18"/>
          <w:color w:val="auto"/>
        </w:rPr>
        <w:t xml:space="preserve">, the Company shall pay to the Executive the Executive’s Accrued Benefits earned as of the date of the Executive’s termination. The Company shall also pay the Executive (i) any unpaid Annual Bonus for the preceding fiscal year, (ii) the Pro-Rated Bonus, and (iii) any unpaid Sign-On Bonus amounts as if the Executive has been employed through the Sign-On Bonus Payment Date, payable in accordance with the timing as set forth in </w:t>
      </w:r>
      <w:r>
        <w:rPr>
          <w:rFonts w:ascii="Arial" w:cs="Arial" w:eastAsia="Arial" w:hAnsi="Arial"/>
          <w:sz w:val="18"/>
          <w:szCs w:val="18"/>
          <w:u w:val="single" w:color="auto"/>
          <w:color w:val="auto"/>
        </w:rPr>
        <w:t>Section 8(h)</w:t>
      </w:r>
      <w:r>
        <w:rPr>
          <w:rFonts w:ascii="Arial" w:cs="Arial" w:eastAsia="Arial" w:hAnsi="Arial"/>
          <w:sz w:val="18"/>
          <w:szCs w:val="18"/>
          <w:color w:val="auto"/>
        </w:rPr>
        <w:t>. Furthermore, notwithstanding anything in the applicable equity incentive plan and/or equity award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26" w:right="239" w:bottom="1440" w:gutter="0" w:footer="0" w:header="0"/>
        </w:sectPr>
      </w:pPr>
    </w:p>
    <w:bookmarkStart w:id="94" w:name="page95"/>
    <w:bookmarkEnd w:id="94"/>
    <w:p>
      <w:pPr>
        <w:ind w:left="9189"/>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14" w:lineRule="exact"/>
        <w:rPr>
          <w:sz w:val="20"/>
          <w:szCs w:val="20"/>
          <w:color w:val="auto"/>
        </w:rPr>
      </w:pPr>
    </w:p>
    <w:p>
      <w:pPr>
        <w:ind w:left="409"/>
        <w:spacing w:after="0" w:line="347" w:lineRule="auto"/>
        <w:rPr>
          <w:sz w:val="20"/>
          <w:szCs w:val="20"/>
          <w:color w:val="auto"/>
        </w:rPr>
      </w:pPr>
      <w:r>
        <w:rPr>
          <w:rFonts w:ascii="Arial" w:cs="Arial" w:eastAsia="Arial" w:hAnsi="Arial"/>
          <w:sz w:val="18"/>
          <w:szCs w:val="18"/>
          <w:color w:val="auto"/>
        </w:rPr>
        <w:t xml:space="preserve">agreement to the contrary, any unvested portion of any equity awards held by the Executive shall vest in full and become exercisable and free from forfeiture or repurchase, as applicable, as of the effective date of the release as set forth in </w:t>
      </w:r>
      <w:r>
        <w:rPr>
          <w:rFonts w:ascii="Arial" w:cs="Arial" w:eastAsia="Arial" w:hAnsi="Arial"/>
          <w:sz w:val="18"/>
          <w:szCs w:val="18"/>
          <w:u w:val="single" w:color="auto"/>
          <w:color w:val="auto"/>
        </w:rPr>
        <w:t>Section 8(i)</w:t>
      </w:r>
      <w:r>
        <w:rPr>
          <w:rFonts w:ascii="Arial" w:cs="Arial" w:eastAsia="Arial" w:hAnsi="Arial"/>
          <w:sz w:val="18"/>
          <w:szCs w:val="18"/>
          <w:color w:val="auto"/>
        </w:rPr>
        <w:t>.</w:t>
      </w:r>
    </w:p>
    <w:p>
      <w:pPr>
        <w:spacing w:after="0" w:line="131" w:lineRule="exact"/>
        <w:rPr>
          <w:sz w:val="20"/>
          <w:szCs w:val="20"/>
          <w:color w:val="auto"/>
        </w:rPr>
      </w:pPr>
    </w:p>
    <w:p>
      <w:pPr>
        <w:jc w:val="both"/>
        <w:ind w:left="409" w:hanging="409"/>
        <w:spacing w:after="0" w:line="297" w:lineRule="auto"/>
        <w:tabs>
          <w:tab w:leader="none" w:pos="409" w:val="left"/>
        </w:tabs>
        <w:numPr>
          <w:ilvl w:val="0"/>
          <w:numId w:val="72"/>
        </w:numPr>
        <w:rPr>
          <w:rFonts w:ascii="Arial" w:cs="Arial" w:eastAsia="Arial" w:hAnsi="Arial"/>
          <w:sz w:val="19"/>
          <w:szCs w:val="19"/>
          <w:color w:val="auto"/>
        </w:rPr>
      </w:pPr>
      <w:r>
        <w:rPr>
          <w:rFonts w:ascii="Arial" w:cs="Arial" w:eastAsia="Arial" w:hAnsi="Arial"/>
          <w:sz w:val="18"/>
          <w:szCs w:val="18"/>
          <w:u w:val="single" w:color="auto"/>
          <w:color w:val="auto"/>
        </w:rPr>
        <w:t>For Cause</w:t>
      </w:r>
      <w:r>
        <w:rPr>
          <w:rFonts w:ascii="Arial" w:cs="Arial" w:eastAsia="Arial" w:hAnsi="Arial"/>
          <w:sz w:val="18"/>
          <w:szCs w:val="18"/>
          <w:color w:val="auto"/>
        </w:rPr>
        <w:t>. On the date of delivery of a notice from the Company terminating the Executive’s employment for Cause. For purposes of this Agreement, the Company shall have “Cause” to terminate the Executive’s employment hereunder in the event: (i) the Executive shall have willfully failed and continued to fail substantially to perform the duties (other than due to Disability or any failure that the Company anticipated or had reason to anticipate after the issuance by the Executive of a notice of termination) for thirty (30) days after a written demand for performance is delivered to the Executive on behalf of the Company which specifically identifies the manner in which it is alleged that the Executive has not substantially performed her duties, provided that the Company's economic performance or failure to meet any specific projection shall not, in and of itself, constitute “Cause”; (ii) the Executive shall have engaged in (A) any material misappropriation of funds, properties, or assets of the Company, it being understood that “material” for these purposes shall take into account both the amount of funds, properties or assets misappropriated, and the circumstances thereof (including the intent of the Executive in connection therewith); (iii) any malicious damage or destruction of any property or assets of the Company, whether resulting from the Executive's willful actions or omissions or the Executive's gross negligence; (iv) the Executive shall (A) have been convicted of a crime involving moral turpitude or constituting a felony relating to the Company or (B) entered a plea of nolo contendere to any such crime, either of which has had a material adverse effect upon the business of the Company; (v) the Executive</w:t>
      </w:r>
    </w:p>
    <w:p>
      <w:pPr>
        <w:spacing w:after="0" w:line="5" w:lineRule="exact"/>
        <w:rPr>
          <w:rFonts w:ascii="Arial" w:cs="Arial" w:eastAsia="Arial" w:hAnsi="Arial"/>
          <w:sz w:val="19"/>
          <w:szCs w:val="19"/>
          <w:color w:val="auto"/>
        </w:rPr>
      </w:pPr>
    </w:p>
    <w:p>
      <w:pPr>
        <w:jc w:val="both"/>
        <w:ind w:left="409"/>
        <w:spacing w:after="0" w:line="303" w:lineRule="auto"/>
        <w:rPr>
          <w:rFonts w:ascii="Arial" w:cs="Arial" w:eastAsia="Arial" w:hAnsi="Arial"/>
          <w:sz w:val="19"/>
          <w:szCs w:val="19"/>
          <w:color w:val="auto"/>
        </w:rPr>
      </w:pPr>
      <w:r>
        <w:rPr>
          <w:rFonts w:ascii="Arial" w:cs="Arial" w:eastAsia="Arial" w:hAnsi="Arial"/>
          <w:sz w:val="18"/>
          <w:szCs w:val="18"/>
          <w:color w:val="auto"/>
        </w:rPr>
        <w:t xml:space="preserve">shall have (A) materially breached her obligations under </w:t>
      </w:r>
      <w:r>
        <w:rPr>
          <w:rFonts w:ascii="Arial" w:cs="Arial" w:eastAsia="Arial" w:hAnsi="Arial"/>
          <w:sz w:val="18"/>
          <w:szCs w:val="18"/>
          <w:u w:val="single" w:color="auto"/>
          <w:color w:val="auto"/>
        </w:rPr>
        <w:t>Sections 10, 11 and 13</w:t>
      </w:r>
      <w:r>
        <w:rPr>
          <w:rFonts w:ascii="Arial" w:cs="Arial" w:eastAsia="Arial" w:hAnsi="Arial"/>
          <w:sz w:val="18"/>
          <w:szCs w:val="18"/>
          <w:color w:val="auto"/>
        </w:rPr>
        <w:t xml:space="preserve"> hereof or (B) breached any of the other material provisions of this Agreement and such breach shall remain uncured by the Executive within 30 days following receipt of notice from the Company specifying such breach; and/or (vi) (AA) the Executive is sanctioned by a federal or state government or agency with material violations, provided that such violations are willful and knowing violations on the Executive’s part, of federal or state securities laws relating to the Company and for which the Executive is directly responsible, or (BB) the Executive is found by any court, or by any judicial or administrative process or proceeding, to have committed any such violation, provided that any such violation has had a material adverse effect upon the business of the Company. In the event of the termination of the Executive’s employment for Cause pursuant to this </w:t>
      </w:r>
      <w:r>
        <w:rPr>
          <w:rFonts w:ascii="Arial" w:cs="Arial" w:eastAsia="Arial" w:hAnsi="Arial"/>
          <w:sz w:val="18"/>
          <w:szCs w:val="18"/>
          <w:u w:val="single" w:color="auto"/>
          <w:color w:val="auto"/>
        </w:rPr>
        <w:t>Section 8(c)</w:t>
      </w:r>
      <w:r>
        <w:rPr>
          <w:rFonts w:ascii="Arial" w:cs="Arial" w:eastAsia="Arial" w:hAnsi="Arial"/>
          <w:sz w:val="18"/>
          <w:szCs w:val="18"/>
          <w:color w:val="auto"/>
        </w:rPr>
        <w:t>, the Company shall pay to the Executive Accrued Benefits that had been earned but unpaid as of the date of the termination, and the Executive shall receive no further payments of any kind.</w:t>
      </w:r>
    </w:p>
    <w:p>
      <w:pPr>
        <w:spacing w:after="0" w:line="173" w:lineRule="exact"/>
        <w:rPr>
          <w:rFonts w:ascii="Arial" w:cs="Arial" w:eastAsia="Arial" w:hAnsi="Arial"/>
          <w:sz w:val="19"/>
          <w:szCs w:val="19"/>
          <w:color w:val="auto"/>
        </w:rPr>
      </w:pPr>
    </w:p>
    <w:p>
      <w:pPr>
        <w:jc w:val="both"/>
        <w:ind w:left="409" w:hanging="409"/>
        <w:spacing w:after="0" w:line="282" w:lineRule="auto"/>
        <w:tabs>
          <w:tab w:leader="none" w:pos="409" w:val="left"/>
        </w:tabs>
        <w:numPr>
          <w:ilvl w:val="0"/>
          <w:numId w:val="72"/>
        </w:numPr>
        <w:rPr>
          <w:rFonts w:ascii="Arial" w:cs="Arial" w:eastAsia="Arial" w:hAnsi="Arial"/>
          <w:sz w:val="21"/>
          <w:szCs w:val="21"/>
          <w:color w:val="auto"/>
        </w:rPr>
      </w:pPr>
      <w:r>
        <w:rPr>
          <w:rFonts w:ascii="Arial" w:cs="Arial" w:eastAsia="Arial" w:hAnsi="Arial"/>
          <w:sz w:val="19"/>
          <w:szCs w:val="19"/>
          <w:u w:val="single" w:color="auto"/>
          <w:color w:val="auto"/>
        </w:rPr>
        <w:t>Without Cause</w:t>
      </w:r>
      <w:r>
        <w:rPr>
          <w:rFonts w:ascii="Arial" w:cs="Arial" w:eastAsia="Arial" w:hAnsi="Arial"/>
          <w:sz w:val="19"/>
          <w:szCs w:val="19"/>
          <w:color w:val="auto"/>
        </w:rPr>
        <w:t>. On the date specified in a written notice from the Company terminating the Executive’s employment Without Cause, or in the event no date is specified in the notice, on the date on which the notice is delivered to the Executive, provided that such termination may take place no earlier than thirty (30) days after the Company has provided written notice to the Executive of the Company’s intent to terminate employment. The Company reserves the right to provide payment at the Executive’s then-current Base Salary in lieu of all or any portion of such notice period. For purposes of this Agreement, “</w:t>
      </w:r>
      <w:r>
        <w:rPr>
          <w:rFonts w:ascii="Arial" w:cs="Arial" w:eastAsia="Arial" w:hAnsi="Arial"/>
          <w:sz w:val="19"/>
          <w:szCs w:val="19"/>
          <w:u w:val="single" w:color="auto"/>
          <w:color w:val="auto"/>
        </w:rPr>
        <w:t>Without Cause</w:t>
      </w:r>
      <w:r>
        <w:rPr>
          <w:rFonts w:ascii="Arial" w:cs="Arial" w:eastAsia="Arial" w:hAnsi="Arial"/>
          <w:sz w:val="19"/>
          <w:szCs w:val="19"/>
          <w:color w:val="auto"/>
        </w:rPr>
        <w:t xml:space="preserve">” shall mean any reason for the Company’s decision to terminate the Executive’s employment other than by reason of the Executive’s death, Disability, or for Cause, as provided in subsections (a) through (c) above. In the event of the termination of the Executive’s employment Without Cause pursuant to this </w:t>
      </w:r>
      <w:r>
        <w:rPr>
          <w:rFonts w:ascii="Arial" w:cs="Arial" w:eastAsia="Arial" w:hAnsi="Arial"/>
          <w:sz w:val="19"/>
          <w:szCs w:val="19"/>
          <w:u w:val="single" w:color="auto"/>
          <w:color w:val="auto"/>
        </w:rPr>
        <w:t>Section 8(d)</w:t>
      </w:r>
      <w:r>
        <w:rPr>
          <w:rFonts w:ascii="Arial" w:cs="Arial" w:eastAsia="Arial" w:hAnsi="Arial"/>
          <w:sz w:val="19"/>
          <w:szCs w:val="19"/>
          <w:color w:val="auto"/>
        </w:rPr>
        <w:t>, the Company shall pay to the Executive all Accrued Benefits through the date of such termination, and Severance Benefits (as defined below).</w:t>
      </w:r>
    </w:p>
    <w:p>
      <w:pPr>
        <w:spacing w:after="0" w:line="200" w:lineRule="exact"/>
        <w:rPr>
          <w:sz w:val="20"/>
          <w:szCs w:val="20"/>
          <w:color w:val="auto"/>
        </w:rPr>
      </w:pPr>
    </w:p>
    <w:p>
      <w:pPr>
        <w:spacing w:after="0" w:line="226" w:lineRule="exact"/>
        <w:rPr>
          <w:sz w:val="20"/>
          <w:szCs w:val="20"/>
          <w:color w:val="auto"/>
        </w:rPr>
      </w:pPr>
    </w:p>
    <w:p>
      <w:pPr>
        <w:jc w:val="center"/>
        <w:ind w:right="23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69"/>
          </w:cols>
          <w:pgMar w:left="491" w:top="126" w:right="239" w:bottom="1440" w:gutter="0" w:footer="0" w:header="0"/>
        </w:sectPr>
      </w:pPr>
    </w:p>
    <w:bookmarkStart w:id="95" w:name="page96"/>
    <w:bookmarkEnd w:id="95"/>
    <w:p>
      <w:pPr>
        <w:ind w:left="9189"/>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14" w:lineRule="exact"/>
        <w:rPr>
          <w:sz w:val="20"/>
          <w:szCs w:val="20"/>
          <w:color w:val="auto"/>
        </w:rPr>
      </w:pPr>
    </w:p>
    <w:p>
      <w:pPr>
        <w:jc w:val="both"/>
        <w:ind w:left="409" w:hanging="409"/>
        <w:spacing w:after="0" w:line="297" w:lineRule="auto"/>
        <w:tabs>
          <w:tab w:leader="none" w:pos="409" w:val="left"/>
        </w:tabs>
        <w:numPr>
          <w:ilvl w:val="0"/>
          <w:numId w:val="73"/>
        </w:numPr>
        <w:rPr>
          <w:rFonts w:ascii="Arial" w:cs="Arial" w:eastAsia="Arial" w:hAnsi="Arial"/>
          <w:sz w:val="19"/>
          <w:szCs w:val="19"/>
          <w:color w:val="auto"/>
        </w:rPr>
      </w:pPr>
      <w:r>
        <w:rPr>
          <w:rFonts w:ascii="Arial" w:cs="Arial" w:eastAsia="Arial" w:hAnsi="Arial"/>
          <w:sz w:val="18"/>
          <w:szCs w:val="18"/>
          <w:u w:val="single" w:color="auto"/>
          <w:color w:val="auto"/>
        </w:rPr>
        <w:t>For Good Reason</w:t>
      </w:r>
      <w:r>
        <w:rPr>
          <w:rFonts w:ascii="Arial" w:cs="Arial" w:eastAsia="Arial" w:hAnsi="Arial"/>
          <w:sz w:val="18"/>
          <w:szCs w:val="18"/>
          <w:color w:val="auto"/>
        </w:rPr>
        <w:t>. By the Executive for Good Reason as set forth herein. “</w:t>
      </w:r>
      <w:r>
        <w:rPr>
          <w:rFonts w:ascii="Arial" w:cs="Arial" w:eastAsia="Arial" w:hAnsi="Arial"/>
          <w:sz w:val="18"/>
          <w:szCs w:val="18"/>
          <w:u w:val="single" w:color="auto"/>
          <w:color w:val="auto"/>
        </w:rPr>
        <w:t>Good Reason</w:t>
      </w:r>
      <w:r>
        <w:rPr>
          <w:rFonts w:ascii="Arial" w:cs="Arial" w:eastAsia="Arial" w:hAnsi="Arial"/>
          <w:sz w:val="18"/>
          <w:szCs w:val="18"/>
          <w:color w:val="auto"/>
        </w:rPr>
        <w:t>” for purposes of this Agreement shall mean the occurrence of any of the following events without the Executive’s consent: (i) any material reduction in the Executive’s then current Base Salary; (ii) the assignment to the Executive of any duties inconsistent with her status as Chief Financial Officer of the Company,</w:t>
      </w:r>
    </w:p>
    <w:p>
      <w:pPr>
        <w:jc w:val="both"/>
        <w:ind w:left="409"/>
        <w:spacing w:after="0" w:line="285" w:lineRule="auto"/>
        <w:rPr>
          <w:rFonts w:ascii="Arial" w:cs="Arial" w:eastAsia="Arial" w:hAnsi="Arial"/>
          <w:sz w:val="19"/>
          <w:szCs w:val="19"/>
          <w:color w:val="auto"/>
        </w:rPr>
      </w:pPr>
      <w:r>
        <w:rPr>
          <w:rFonts w:ascii="Arial" w:cs="Arial" w:eastAsia="Arial" w:hAnsi="Arial"/>
          <w:sz w:val="19"/>
          <w:szCs w:val="19"/>
          <w:color w:val="auto"/>
        </w:rPr>
        <w:t xml:space="preserve">her removal from the position of Chief Financial Officer of the Company, or a material diminution in the Executive’s duties, title, or reporting relationship; (iii) the relocation of the Executive’s work location to a location that is more than thirty (30) miles from the Executive’s then-current principal work location, provided, however, that travel during the ordinary course of performance of the Executive’s duties will not constitute Good Reason; and/or (iv) the Company ceasing to provide, in the aggregate, substantially the same employee benefits that are set forth in </w:t>
      </w:r>
      <w:r>
        <w:rPr>
          <w:rFonts w:ascii="Arial" w:cs="Arial" w:eastAsia="Arial" w:hAnsi="Arial"/>
          <w:sz w:val="19"/>
          <w:szCs w:val="19"/>
          <w:u w:val="single" w:color="auto"/>
          <w:color w:val="auto"/>
        </w:rPr>
        <w:t>Section 5(a)</w:t>
      </w:r>
      <w:r>
        <w:rPr>
          <w:rFonts w:ascii="Arial" w:cs="Arial" w:eastAsia="Arial" w:hAnsi="Arial"/>
          <w:sz w:val="19"/>
          <w:szCs w:val="19"/>
          <w:color w:val="auto"/>
        </w:rPr>
        <w:t xml:space="preserve"> of this Agreement or a material breach by the Company of any other provision of this Agreement; provided that, in each case, (A) within sixty (60) days of the first occurrence of such event, the Executive must give written notice to the Board stating in reasonable detail the actions or omissions purported to constitute Good Reason, (B) such event is not corrected within thirty (30) days after receiving the Executive’s written notice (the “</w:t>
      </w:r>
      <w:r>
        <w:rPr>
          <w:rFonts w:ascii="Arial" w:cs="Arial" w:eastAsia="Arial" w:hAnsi="Arial"/>
          <w:sz w:val="19"/>
          <w:szCs w:val="19"/>
          <w:u w:val="single" w:color="auto"/>
          <w:color w:val="auto"/>
        </w:rPr>
        <w:t>Cure Period</w:t>
      </w:r>
      <w:r>
        <w:rPr>
          <w:rFonts w:ascii="Arial" w:cs="Arial" w:eastAsia="Arial" w:hAnsi="Arial"/>
          <w:sz w:val="19"/>
          <w:szCs w:val="19"/>
          <w:color w:val="auto"/>
        </w:rPr>
        <w:t xml:space="preserve">”), and (C) the Executive terminates the Executive’s employment within thirty (30) days following the end of the Cure Period. In the event of the termination by the Executive for Good Reason pursuant to this </w:t>
      </w:r>
      <w:r>
        <w:rPr>
          <w:rFonts w:ascii="Arial" w:cs="Arial" w:eastAsia="Arial" w:hAnsi="Arial"/>
          <w:sz w:val="19"/>
          <w:szCs w:val="19"/>
          <w:u w:val="single" w:color="auto"/>
          <w:color w:val="auto"/>
        </w:rPr>
        <w:t>Section 8(e)</w:t>
      </w:r>
      <w:r>
        <w:rPr>
          <w:rFonts w:ascii="Arial" w:cs="Arial" w:eastAsia="Arial" w:hAnsi="Arial"/>
          <w:sz w:val="19"/>
          <w:szCs w:val="19"/>
          <w:color w:val="auto"/>
        </w:rPr>
        <w:t>, the Company shall pay to the Executive all Accrued Benefits through the date of such termination, and Severance Benefits.</w:t>
      </w:r>
    </w:p>
    <w:p>
      <w:pPr>
        <w:spacing w:after="0" w:line="184" w:lineRule="exact"/>
        <w:rPr>
          <w:rFonts w:ascii="Arial" w:cs="Arial" w:eastAsia="Arial" w:hAnsi="Arial"/>
          <w:sz w:val="19"/>
          <w:szCs w:val="19"/>
          <w:color w:val="auto"/>
        </w:rPr>
      </w:pPr>
    </w:p>
    <w:p>
      <w:pPr>
        <w:jc w:val="both"/>
        <w:ind w:left="409" w:hanging="409"/>
        <w:spacing w:after="0" w:line="265" w:lineRule="auto"/>
        <w:tabs>
          <w:tab w:leader="none" w:pos="409" w:val="left"/>
        </w:tabs>
        <w:numPr>
          <w:ilvl w:val="0"/>
          <w:numId w:val="73"/>
        </w:numPr>
        <w:rPr>
          <w:rFonts w:ascii="Arial" w:cs="Arial" w:eastAsia="Arial" w:hAnsi="Arial"/>
          <w:sz w:val="22"/>
          <w:szCs w:val="22"/>
          <w:color w:val="auto"/>
        </w:rPr>
      </w:pPr>
      <w:r>
        <w:rPr>
          <w:rFonts w:ascii="Arial" w:cs="Arial" w:eastAsia="Arial" w:hAnsi="Arial"/>
          <w:sz w:val="20"/>
          <w:szCs w:val="20"/>
          <w:u w:val="single" w:color="auto"/>
          <w:color w:val="auto"/>
        </w:rPr>
        <w:t>Severance Benefits</w:t>
      </w:r>
      <w:r>
        <w:rPr>
          <w:rFonts w:ascii="Arial" w:cs="Arial" w:eastAsia="Arial" w:hAnsi="Arial"/>
          <w:sz w:val="20"/>
          <w:szCs w:val="20"/>
          <w:color w:val="auto"/>
        </w:rPr>
        <w:t xml:space="preserve">. In the event of the termination of the Executive’s employment by the Company under </w:t>
      </w:r>
      <w:r>
        <w:rPr>
          <w:rFonts w:ascii="Arial" w:cs="Arial" w:eastAsia="Arial" w:hAnsi="Arial"/>
          <w:sz w:val="20"/>
          <w:szCs w:val="20"/>
          <w:u w:val="single" w:color="auto"/>
          <w:color w:val="auto"/>
        </w:rPr>
        <w:t>Section 8(d)</w:t>
      </w:r>
      <w:r>
        <w:rPr>
          <w:rFonts w:ascii="Arial" w:cs="Arial" w:eastAsia="Arial" w:hAnsi="Arial"/>
          <w:sz w:val="20"/>
          <w:szCs w:val="20"/>
          <w:color w:val="auto"/>
        </w:rPr>
        <w:t xml:space="preserve"> (Without Cause) and/or by the Executive under </w:t>
      </w:r>
      <w:r>
        <w:rPr>
          <w:rFonts w:ascii="Arial" w:cs="Arial" w:eastAsia="Arial" w:hAnsi="Arial"/>
          <w:sz w:val="20"/>
          <w:szCs w:val="20"/>
          <w:u w:val="single" w:color="auto"/>
          <w:color w:val="auto"/>
        </w:rPr>
        <w:t>Section 8(e)</w:t>
      </w:r>
      <w:r>
        <w:rPr>
          <w:rFonts w:ascii="Arial" w:cs="Arial" w:eastAsia="Arial" w:hAnsi="Arial"/>
          <w:sz w:val="20"/>
          <w:szCs w:val="20"/>
          <w:color w:val="auto"/>
        </w:rPr>
        <w:t xml:space="preserve"> (for Good Reason) (each, a “</w:t>
      </w:r>
      <w:r>
        <w:rPr>
          <w:rFonts w:ascii="Arial" w:cs="Arial" w:eastAsia="Arial" w:hAnsi="Arial"/>
          <w:sz w:val="20"/>
          <w:szCs w:val="20"/>
          <w:u w:val="single" w:color="auto"/>
          <w:color w:val="auto"/>
        </w:rPr>
        <w:t>Qualifying Termination</w:t>
      </w:r>
      <w:r>
        <w:rPr>
          <w:rFonts w:ascii="Arial" w:cs="Arial" w:eastAsia="Arial" w:hAnsi="Arial"/>
          <w:sz w:val="20"/>
          <w:szCs w:val="20"/>
          <w:color w:val="auto"/>
        </w:rPr>
        <w:t>”), the Company shall pay the Executive each of the following benefits (“</w:t>
      </w:r>
      <w:r>
        <w:rPr>
          <w:rFonts w:ascii="Arial" w:cs="Arial" w:eastAsia="Arial" w:hAnsi="Arial"/>
          <w:sz w:val="20"/>
          <w:szCs w:val="20"/>
          <w:u w:val="single" w:color="auto"/>
          <w:color w:val="auto"/>
        </w:rPr>
        <w:t>Severance Benefits</w:t>
      </w:r>
      <w:r>
        <w:rPr>
          <w:rFonts w:ascii="Arial" w:cs="Arial" w:eastAsia="Arial" w:hAnsi="Arial"/>
          <w:sz w:val="20"/>
          <w:szCs w:val="20"/>
          <w:color w:val="auto"/>
        </w:rPr>
        <w:t>”):</w:t>
      </w:r>
    </w:p>
    <w:p>
      <w:pPr>
        <w:spacing w:after="0" w:line="198" w:lineRule="exact"/>
        <w:rPr>
          <w:rFonts w:ascii="Arial" w:cs="Arial" w:eastAsia="Arial" w:hAnsi="Arial"/>
          <w:sz w:val="22"/>
          <w:szCs w:val="22"/>
          <w:color w:val="auto"/>
        </w:rPr>
      </w:pPr>
    </w:p>
    <w:p>
      <w:pPr>
        <w:ind w:left="469" w:hanging="212"/>
        <w:spacing w:after="0"/>
        <w:tabs>
          <w:tab w:leader="none" w:pos="469" w:val="left"/>
        </w:tabs>
        <w:numPr>
          <w:ilvl w:val="1"/>
          <w:numId w:val="73"/>
        </w:numPr>
        <w:rPr>
          <w:rFonts w:ascii="Arial" w:cs="Arial" w:eastAsia="Arial" w:hAnsi="Arial"/>
          <w:sz w:val="19"/>
          <w:szCs w:val="19"/>
          <w:color w:val="auto"/>
        </w:rPr>
      </w:pPr>
      <w:r>
        <w:rPr>
          <w:rFonts w:ascii="Arial" w:cs="Arial" w:eastAsia="Arial" w:hAnsi="Arial"/>
          <w:sz w:val="18"/>
          <w:szCs w:val="18"/>
          <w:color w:val="auto"/>
        </w:rPr>
        <w:t>The Company shall pay the Executive a lump sum amount of severance equal to the product of: (A) the Multiplier; and (B) the sum of</w:t>
      </w:r>
    </w:p>
    <w:p>
      <w:pPr>
        <w:spacing w:after="0" w:line="51" w:lineRule="exact"/>
        <w:rPr>
          <w:rFonts w:ascii="Arial" w:cs="Arial" w:eastAsia="Arial" w:hAnsi="Arial"/>
          <w:sz w:val="19"/>
          <w:szCs w:val="19"/>
          <w:color w:val="auto"/>
        </w:rPr>
      </w:pPr>
    </w:p>
    <w:p>
      <w:pPr>
        <w:jc w:val="both"/>
        <w:ind w:left="729" w:hanging="4"/>
        <w:spacing w:after="0" w:line="301" w:lineRule="auto"/>
        <w:tabs>
          <w:tab w:leader="none" w:pos="1107"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Executive’s then-current Base Salary, and (bb) the Annual Bonus earned by the Executive for the preceding fiscal year (“</w:t>
      </w:r>
      <w:r>
        <w:rPr>
          <w:rFonts w:ascii="Arial" w:cs="Arial" w:eastAsia="Arial" w:hAnsi="Arial"/>
          <w:sz w:val="18"/>
          <w:szCs w:val="18"/>
          <w:u w:val="single" w:color="auto"/>
          <w:color w:val="auto"/>
        </w:rPr>
        <w:t>Prior Annual Bonus</w:t>
      </w:r>
      <w:r>
        <w:rPr>
          <w:rFonts w:ascii="Arial" w:cs="Arial" w:eastAsia="Arial" w:hAnsi="Arial"/>
          <w:sz w:val="18"/>
          <w:szCs w:val="18"/>
          <w:color w:val="auto"/>
        </w:rPr>
        <w:t>”). For purposes of this Agreement, the “</w:t>
      </w:r>
      <w:r>
        <w:rPr>
          <w:rFonts w:ascii="Arial" w:cs="Arial" w:eastAsia="Arial" w:hAnsi="Arial"/>
          <w:sz w:val="18"/>
          <w:szCs w:val="18"/>
          <w:u w:val="single" w:color="auto"/>
          <w:color w:val="auto"/>
        </w:rPr>
        <w:t>Multiplier</w:t>
      </w:r>
      <w:r>
        <w:rPr>
          <w:rFonts w:ascii="Arial" w:cs="Arial" w:eastAsia="Arial" w:hAnsi="Arial"/>
          <w:sz w:val="18"/>
          <w:szCs w:val="18"/>
          <w:color w:val="auto"/>
        </w:rPr>
        <w:t>” shall equal one (1), provided, however, that the Multiplier shall equal two (2) if (x) the Qualifying Termination occurs within the first anniversary of a Change in Control event, (y) the Executive did not vote in favor of such Change in Control, and (z) the Company’s net assets are greater than one hundred million dollars ($100,000,000) as determined by the Board in good faith. This severance amount shall be paid to the Executive within thirty (30) days following the effective date of the release as set forth in subsection (i). For the avoidance of doubt and for purposes of calculating severance under this Section, (1) if the Qualifying Termination occurs during fiscal year 2019, the Prior Annual Bonus shall equal the Executive’s then-current Base Salary; and (2) if the Qualifying Termination occurs during fiscal year 2020, the Prior Annual Bonus shall equal the annualized rate of the Annual Bonus earned for fiscal year 2019.</w:t>
      </w:r>
    </w:p>
    <w:p>
      <w:pPr>
        <w:spacing w:after="0" w:line="171" w:lineRule="exact"/>
        <w:rPr>
          <w:sz w:val="20"/>
          <w:szCs w:val="20"/>
          <w:color w:val="auto"/>
        </w:rPr>
      </w:pPr>
    </w:p>
    <w:p>
      <w:pPr>
        <w:jc w:val="both"/>
        <w:ind w:left="769" w:hanging="521"/>
        <w:spacing w:after="0" w:line="262" w:lineRule="auto"/>
        <w:rPr>
          <w:sz w:val="20"/>
          <w:szCs w:val="20"/>
          <w:color w:val="auto"/>
        </w:rPr>
      </w:pPr>
      <w:r>
        <w:rPr>
          <w:rFonts w:ascii="Arial" w:cs="Arial" w:eastAsia="Arial" w:hAnsi="Arial"/>
          <w:sz w:val="22"/>
          <w:szCs w:val="22"/>
          <w:color w:val="auto"/>
        </w:rPr>
        <w:t>(ii)</w:t>
      </w:r>
      <w:r>
        <w:rPr>
          <w:rFonts w:ascii="Arial" w:cs="Arial" w:eastAsia="Arial" w:hAnsi="Arial"/>
          <w:sz w:val="19"/>
          <w:szCs w:val="19"/>
          <w:color w:val="auto"/>
        </w:rPr>
        <w:t>Notwithstanding anything in the applicable equity incentive plan and/or equity award agreement to the contrary, any unvested portion</w:t>
      </w:r>
      <w:r>
        <w:rPr>
          <w:rFonts w:ascii="Arial" w:cs="Arial" w:eastAsia="Arial" w:hAnsi="Arial"/>
          <w:sz w:val="22"/>
          <w:szCs w:val="22"/>
          <w:color w:val="auto"/>
        </w:rPr>
        <w:t xml:space="preserve"> </w:t>
      </w:r>
      <w:r>
        <w:rPr>
          <w:rFonts w:ascii="Arial" w:cs="Arial" w:eastAsia="Arial" w:hAnsi="Arial"/>
          <w:sz w:val="19"/>
          <w:szCs w:val="19"/>
          <w:color w:val="auto"/>
        </w:rPr>
        <w:t xml:space="preserve">of any equity awards held by the Executive shall vest in full and become exercisable and free from forfeiture or repurchase, as applicable, as of the date of the effective date of the release as set forth in </w:t>
      </w:r>
      <w:r>
        <w:rPr>
          <w:rFonts w:ascii="Arial" w:cs="Arial" w:eastAsia="Arial" w:hAnsi="Arial"/>
          <w:sz w:val="19"/>
          <w:szCs w:val="19"/>
          <w:u w:val="single" w:color="auto"/>
          <w:color w:val="auto"/>
        </w:rPr>
        <w:t>Section 8(i)</w:t>
      </w:r>
      <w:r>
        <w:rPr>
          <w:rFonts w:ascii="Arial" w:cs="Arial" w:eastAsia="Arial" w:hAnsi="Arial"/>
          <w:sz w:val="19"/>
          <w:szCs w:val="19"/>
          <w:color w:val="auto"/>
        </w:rPr>
        <w:t>.</w:t>
      </w:r>
    </w:p>
    <w:p>
      <w:pPr>
        <w:spacing w:after="0" w:line="195" w:lineRule="exact"/>
        <w:rPr>
          <w:sz w:val="20"/>
          <w:szCs w:val="20"/>
          <w:color w:val="auto"/>
        </w:rPr>
      </w:pPr>
    </w:p>
    <w:p>
      <w:pPr>
        <w:jc w:val="both"/>
        <w:ind w:left="829" w:hanging="575"/>
        <w:spacing w:after="0" w:line="245" w:lineRule="auto"/>
        <w:rPr>
          <w:sz w:val="20"/>
          <w:szCs w:val="20"/>
          <w:color w:val="auto"/>
        </w:rPr>
      </w:pPr>
      <w:r>
        <w:rPr>
          <w:rFonts w:ascii="Arial" w:cs="Arial" w:eastAsia="Arial" w:hAnsi="Arial"/>
          <w:sz w:val="22"/>
          <w:szCs w:val="22"/>
          <w:color w:val="auto"/>
        </w:rPr>
        <w:t>(iii)</w:t>
      </w:r>
      <w:r>
        <w:rPr>
          <w:rFonts w:ascii="Arial" w:cs="Arial" w:eastAsia="Arial" w:hAnsi="Arial"/>
          <w:sz w:val="19"/>
          <w:szCs w:val="19"/>
          <w:color w:val="auto"/>
        </w:rPr>
        <w:t>Notwithstanding the provisions of Section 4(c), the Company shall pay the Executive any unpaid Sign-On Bonus amounts as if the</w:t>
      </w:r>
      <w:r>
        <w:rPr>
          <w:rFonts w:ascii="Arial" w:cs="Arial" w:eastAsia="Arial" w:hAnsi="Arial"/>
          <w:sz w:val="22"/>
          <w:szCs w:val="22"/>
          <w:color w:val="auto"/>
        </w:rPr>
        <w:t xml:space="preserve"> </w:t>
      </w:r>
      <w:r>
        <w:rPr>
          <w:rFonts w:ascii="Arial" w:cs="Arial" w:eastAsia="Arial" w:hAnsi="Arial"/>
          <w:sz w:val="19"/>
          <w:szCs w:val="19"/>
          <w:color w:val="auto"/>
        </w:rPr>
        <w:t>Executive has been employed through the Sign-On Bonus Payment Date.</w:t>
      </w:r>
    </w:p>
    <w:p>
      <w:pPr>
        <w:spacing w:after="0" w:line="200" w:lineRule="exact"/>
        <w:rPr>
          <w:sz w:val="20"/>
          <w:szCs w:val="20"/>
          <w:color w:val="auto"/>
        </w:rPr>
      </w:pPr>
    </w:p>
    <w:p>
      <w:pPr>
        <w:spacing w:after="0" w:line="256" w:lineRule="exact"/>
        <w:rPr>
          <w:sz w:val="20"/>
          <w:szCs w:val="20"/>
          <w:color w:val="auto"/>
        </w:rPr>
      </w:pPr>
    </w:p>
    <w:p>
      <w:pPr>
        <w:jc w:val="center"/>
        <w:ind w:right="231"/>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69"/>
          </w:cols>
          <w:pgMar w:left="491" w:top="125" w:right="239" w:bottom="1440" w:gutter="0" w:footer="0" w:header="0"/>
        </w:sectPr>
      </w:pPr>
    </w:p>
    <w:bookmarkStart w:id="96" w:name="page97"/>
    <w:bookmarkEnd w:id="96"/>
    <w:p>
      <w:pPr>
        <w:ind w:left="918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14" w:lineRule="exact"/>
        <w:rPr>
          <w:sz w:val="20"/>
          <w:szCs w:val="20"/>
          <w:color w:val="auto"/>
        </w:rPr>
      </w:pPr>
    </w:p>
    <w:p>
      <w:pPr>
        <w:ind w:left="820" w:hanging="572"/>
        <w:spacing w:after="0" w:line="266" w:lineRule="auto"/>
        <w:tabs>
          <w:tab w:leader="none" w:pos="568" w:val="left"/>
        </w:tabs>
        <w:numPr>
          <w:ilvl w:val="0"/>
          <w:numId w:val="74"/>
        </w:numPr>
        <w:rPr>
          <w:rFonts w:ascii="Arial" w:cs="Arial" w:eastAsia="Arial" w:hAnsi="Arial"/>
          <w:sz w:val="22"/>
          <w:szCs w:val="22"/>
          <w:color w:val="auto"/>
        </w:rPr>
      </w:pPr>
      <w:r>
        <w:rPr>
          <w:rFonts w:ascii="Arial" w:cs="Arial" w:eastAsia="Arial" w:hAnsi="Arial"/>
          <w:sz w:val="20"/>
          <w:szCs w:val="20"/>
          <w:color w:val="auto"/>
        </w:rPr>
        <w:t>The Company shall provide, at the Company’s cost, continuation health insurance coverage under the Consolidated Omnibus Budget Reconciliation Act of 1985 (“</w:t>
      </w:r>
      <w:r>
        <w:rPr>
          <w:rFonts w:ascii="Arial" w:cs="Arial" w:eastAsia="Arial" w:hAnsi="Arial"/>
          <w:sz w:val="20"/>
          <w:szCs w:val="20"/>
          <w:u w:val="single" w:color="auto"/>
          <w:color w:val="auto"/>
        </w:rPr>
        <w:t>COBRA</w:t>
      </w:r>
      <w:r>
        <w:rPr>
          <w:rFonts w:ascii="Arial" w:cs="Arial" w:eastAsia="Arial" w:hAnsi="Arial"/>
          <w:sz w:val="20"/>
          <w:szCs w:val="20"/>
          <w:color w:val="auto"/>
        </w:rPr>
        <w:t>”) during the twelve (12) months following the date of termination (“</w:t>
      </w:r>
      <w:r>
        <w:rPr>
          <w:rFonts w:ascii="Arial" w:cs="Arial" w:eastAsia="Arial" w:hAnsi="Arial"/>
          <w:sz w:val="20"/>
          <w:szCs w:val="20"/>
          <w:u w:val="single" w:color="auto"/>
          <w:color w:val="auto"/>
        </w:rPr>
        <w:t>COBRA Coverage</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Period</w:t>
      </w:r>
      <w:r>
        <w:rPr>
          <w:rFonts w:ascii="Arial" w:cs="Arial" w:eastAsia="Arial" w:hAnsi="Arial"/>
          <w:sz w:val="20"/>
          <w:szCs w:val="20"/>
          <w:color w:val="auto"/>
        </w:rPr>
        <w:t>”), provided that, these payments for continuation coverage under COBRA shall cease prior to the end of the COBRA Coverage Period if the Executive becomes eligible for other group health insurance coverage from a new employer, and provided further that such coverage provided during the COBRA Coverage Period shall be included in (and not in addition to) the continuation period under COBRA.</w:t>
      </w:r>
    </w:p>
    <w:p>
      <w:pPr>
        <w:spacing w:after="0" w:line="196" w:lineRule="exact"/>
        <w:rPr>
          <w:sz w:val="20"/>
          <w:szCs w:val="20"/>
          <w:color w:val="auto"/>
        </w:rPr>
      </w:pPr>
    </w:p>
    <w:p>
      <w:pPr>
        <w:ind w:left="760" w:hanging="507"/>
        <w:spacing w:after="0" w:line="245" w:lineRule="auto"/>
        <w:rPr>
          <w:sz w:val="20"/>
          <w:szCs w:val="20"/>
          <w:color w:val="auto"/>
        </w:rPr>
      </w:pPr>
      <w:r>
        <w:rPr>
          <w:rFonts w:ascii="Arial" w:cs="Arial" w:eastAsia="Arial" w:hAnsi="Arial"/>
          <w:sz w:val="22"/>
          <w:szCs w:val="22"/>
          <w:color w:val="auto"/>
        </w:rPr>
        <w:t>(v)</w:t>
      </w:r>
      <w:r>
        <w:rPr>
          <w:rFonts w:ascii="Arial" w:cs="Arial" w:eastAsia="Arial" w:hAnsi="Arial"/>
          <w:sz w:val="19"/>
          <w:szCs w:val="19"/>
          <w:color w:val="auto"/>
        </w:rPr>
        <w:t>The Executive shall receive any unpaid Annual Bonus for the preceding fiscal year and the Pro-Rated Bonus, payable in accordance</w:t>
      </w:r>
      <w:r>
        <w:rPr>
          <w:rFonts w:ascii="Arial" w:cs="Arial" w:eastAsia="Arial" w:hAnsi="Arial"/>
          <w:sz w:val="22"/>
          <w:szCs w:val="22"/>
          <w:color w:val="auto"/>
        </w:rPr>
        <w:t xml:space="preserve"> </w:t>
      </w:r>
      <w:r>
        <w:rPr>
          <w:rFonts w:ascii="Arial" w:cs="Arial" w:eastAsia="Arial" w:hAnsi="Arial"/>
          <w:sz w:val="19"/>
          <w:szCs w:val="19"/>
          <w:color w:val="auto"/>
        </w:rPr>
        <w:t xml:space="preserve">with the timing as set forth in </w:t>
      </w:r>
      <w:r>
        <w:rPr>
          <w:rFonts w:ascii="Arial" w:cs="Arial" w:eastAsia="Arial" w:hAnsi="Arial"/>
          <w:sz w:val="19"/>
          <w:szCs w:val="19"/>
          <w:u w:val="single" w:color="auto"/>
          <w:color w:val="auto"/>
        </w:rPr>
        <w:t>Section 8(h)</w:t>
      </w:r>
      <w:r>
        <w:rPr>
          <w:rFonts w:ascii="Arial" w:cs="Arial" w:eastAsia="Arial" w:hAnsi="Arial"/>
          <w:sz w:val="19"/>
          <w:szCs w:val="19"/>
          <w:color w:val="auto"/>
        </w:rPr>
        <w:t>.</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purposes of this Agreement,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the occurrence of any of the following events during the Term:</w:t>
      </w:r>
    </w:p>
    <w:p>
      <w:pPr>
        <w:spacing w:after="0" w:line="252" w:lineRule="exact"/>
        <w:rPr>
          <w:sz w:val="20"/>
          <w:szCs w:val="20"/>
          <w:color w:val="auto"/>
        </w:rPr>
      </w:pPr>
    </w:p>
    <w:p>
      <w:pPr>
        <w:ind w:left="640" w:hanging="392"/>
        <w:spacing w:after="0"/>
        <w:tabs>
          <w:tab w:leader="none" w:pos="6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a majority of the Board ceases to be comprised of Incumbent Directors (as defined below); or</w:t>
      </w:r>
    </w:p>
    <w:p>
      <w:pPr>
        <w:spacing w:after="0" w:line="229" w:lineRule="exact"/>
        <w:rPr>
          <w:rFonts w:ascii="Arial" w:cs="Arial" w:eastAsia="Arial" w:hAnsi="Arial"/>
          <w:sz w:val="20"/>
          <w:szCs w:val="20"/>
          <w:color w:val="auto"/>
        </w:rPr>
      </w:pPr>
    </w:p>
    <w:p>
      <w:pPr>
        <w:ind w:left="640" w:hanging="392"/>
        <w:spacing w:after="0"/>
        <w:tabs>
          <w:tab w:leader="none" w:pos="6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any individual, entity or group (within the meaning of Section 13(d)(3) or 14(d)(2) of the Securities Exchange Act of 1934, as</w:t>
      </w:r>
    </w:p>
    <w:p>
      <w:pPr>
        <w:spacing w:after="0" w:line="27" w:lineRule="exact"/>
        <w:rPr>
          <w:rFonts w:ascii="Arial" w:cs="Arial" w:eastAsia="Arial" w:hAnsi="Arial"/>
          <w:sz w:val="19"/>
          <w:szCs w:val="19"/>
          <w:color w:val="auto"/>
        </w:rPr>
      </w:pPr>
    </w:p>
    <w:p>
      <w:pPr>
        <w:ind w:left="1160" w:right="360"/>
        <w:spacing w:after="0" w:line="241" w:lineRule="auto"/>
        <w:rPr>
          <w:rFonts w:ascii="Arial" w:cs="Arial" w:eastAsia="Arial" w:hAnsi="Arial"/>
          <w:sz w:val="19"/>
          <w:szCs w:val="19"/>
          <w:color w:val="auto"/>
        </w:rPr>
      </w:pPr>
      <w:r>
        <w:rPr>
          <w:rFonts w:ascii="Arial" w:cs="Arial" w:eastAsia="Arial" w:hAnsi="Arial"/>
          <w:sz w:val="20"/>
          <w:szCs w:val="20"/>
          <w:color w:val="auto"/>
        </w:rPr>
        <w:t>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xml:space="preserve"> (a “</w:t>
      </w:r>
      <w:r>
        <w:rPr>
          <w:rFonts w:ascii="Arial" w:cs="Arial" w:eastAsia="Arial" w:hAnsi="Arial"/>
          <w:sz w:val="20"/>
          <w:szCs w:val="20"/>
          <w:u w:val="single" w:color="auto"/>
          <w:color w:val="auto"/>
        </w:rPr>
        <w:t>Person</w:t>
      </w:r>
      <w:r>
        <w:rPr>
          <w:rFonts w:ascii="Arial" w:cs="Arial" w:eastAsia="Arial" w:hAnsi="Arial"/>
          <w:sz w:val="20"/>
          <w:szCs w:val="20"/>
          <w:color w:val="auto"/>
        </w:rPr>
        <w:t>”) is or becomes the beneficial owner (within the meaning of Rule 13d-3 promulgated under the Securities Exchange Act) of more than 25% of the combined voting power of the then-outstanding voting stock of the Company; or</w:t>
      </w:r>
    </w:p>
    <w:p>
      <w:pPr>
        <w:spacing w:after="0" w:line="101" w:lineRule="exact"/>
        <w:rPr>
          <w:rFonts w:ascii="Arial" w:cs="Arial" w:eastAsia="Arial" w:hAnsi="Arial"/>
          <w:sz w:val="19"/>
          <w:szCs w:val="19"/>
          <w:color w:val="auto"/>
        </w:rPr>
      </w:pPr>
    </w:p>
    <w:p>
      <w:pPr>
        <w:ind w:left="640" w:right="60" w:hanging="392"/>
        <w:spacing w:after="0" w:line="257" w:lineRule="auto"/>
        <w:tabs>
          <w:tab w:leader="none" w:pos="6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consummation of a consolidation, merger, stock sale or similar transaction or series of related transactions (or a sale or transfer of all or substantially all of the Company's assets) (each, a "</w:t>
      </w:r>
      <w:r>
        <w:rPr>
          <w:rFonts w:ascii="Arial" w:cs="Arial" w:eastAsia="Arial" w:hAnsi="Arial"/>
          <w:sz w:val="19"/>
          <w:szCs w:val="19"/>
          <w:u w:val="single" w:color="auto"/>
          <w:color w:val="auto"/>
        </w:rPr>
        <w:t>Business Transaction</w:t>
      </w:r>
      <w:r>
        <w:rPr>
          <w:rFonts w:ascii="Arial" w:cs="Arial" w:eastAsia="Arial" w:hAnsi="Arial"/>
          <w:sz w:val="19"/>
          <w:szCs w:val="19"/>
          <w:color w:val="auto"/>
        </w:rPr>
        <w:t>"),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25% or more of the combined voting power of the then-outstanding shares of voting stock of the entity resulting from such Business Transaction or, if it is such entity, the Company, and (B) at least one-half of the members of the Board of Directors of the entity resulting from such Business Transaction were Incumbent Directors at the time of the execution of the initial agreement providing for such Business Transaction; or</w:t>
      </w:r>
    </w:p>
    <w:p>
      <w:pPr>
        <w:spacing w:after="0" w:line="86" w:lineRule="exact"/>
        <w:rPr>
          <w:rFonts w:ascii="Arial" w:cs="Arial" w:eastAsia="Arial" w:hAnsi="Arial"/>
          <w:sz w:val="19"/>
          <w:szCs w:val="19"/>
          <w:color w:val="auto"/>
        </w:rPr>
      </w:pPr>
    </w:p>
    <w:p>
      <w:pPr>
        <w:ind w:left="640" w:hanging="392"/>
        <w:spacing w:after="0"/>
        <w:tabs>
          <w:tab w:leader="none" w:pos="6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dissolution or liquidation of the Company.</w:t>
      </w:r>
    </w:p>
    <w:p>
      <w:pPr>
        <w:spacing w:after="0" w:line="216" w:lineRule="exact"/>
        <w:rPr>
          <w:sz w:val="20"/>
          <w:szCs w:val="20"/>
          <w:color w:val="auto"/>
        </w:rPr>
      </w:pPr>
    </w:p>
    <w:p>
      <w:pPr>
        <w:ind w:left="260" w:right="20"/>
        <w:spacing w:after="0" w:line="242" w:lineRule="auto"/>
        <w:rPr>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u w:val="single" w:color="auto"/>
          <w:color w:val="auto"/>
        </w:rPr>
        <w:t>Incumbent Directors</w:t>
      </w:r>
      <w:r>
        <w:rPr>
          <w:rFonts w:ascii="Arial" w:cs="Arial" w:eastAsia="Arial" w:hAnsi="Arial"/>
          <w:sz w:val="20"/>
          <w:szCs w:val="20"/>
          <w:color w:val="auto"/>
        </w:rPr>
        <w:t xml:space="preserve">” shall mean individuals who, as of the date hereof,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247" w:lineRule="exact"/>
        <w:rPr>
          <w:sz w:val="20"/>
          <w:szCs w:val="20"/>
          <w:color w:val="auto"/>
        </w:rPr>
      </w:pPr>
    </w:p>
    <w:p>
      <w:pPr>
        <w:ind w:left="480" w:hanging="485"/>
        <w:spacing w:after="0" w:line="245" w:lineRule="auto"/>
        <w:rPr>
          <w:sz w:val="20"/>
          <w:szCs w:val="20"/>
          <w:color w:val="auto"/>
        </w:rPr>
      </w:pPr>
      <w:r>
        <w:rPr>
          <w:rFonts w:ascii="Arial" w:cs="Arial" w:eastAsia="Arial" w:hAnsi="Arial"/>
          <w:sz w:val="22"/>
          <w:szCs w:val="22"/>
          <w:color w:val="auto"/>
        </w:rPr>
        <w:t>g.</w:t>
      </w:r>
      <w:r>
        <w:rPr>
          <w:rFonts w:ascii="Arial" w:cs="Arial" w:eastAsia="Arial" w:hAnsi="Arial"/>
          <w:sz w:val="19"/>
          <w:szCs w:val="19"/>
          <w:u w:val="single" w:color="auto"/>
          <w:color w:val="auto"/>
        </w:rPr>
        <w:t>By the Executive</w:t>
      </w:r>
      <w:r>
        <w:rPr>
          <w:rFonts w:ascii="Arial" w:cs="Arial" w:eastAsia="Arial" w:hAnsi="Arial"/>
          <w:sz w:val="19"/>
          <w:szCs w:val="19"/>
          <w:color w:val="auto"/>
        </w:rPr>
        <w:t>. Notwithstanding the foregoing, the Executive may terminate the Executive’s employment under this Agreement,</w:t>
      </w:r>
      <w:r>
        <w:rPr>
          <w:rFonts w:ascii="Arial" w:cs="Arial" w:eastAsia="Arial" w:hAnsi="Arial"/>
          <w:sz w:val="22"/>
          <w:szCs w:val="22"/>
          <w:color w:val="auto"/>
        </w:rPr>
        <w:t xml:space="preserve"> </w:t>
      </w:r>
      <w:r>
        <w:rPr>
          <w:rFonts w:ascii="Arial" w:cs="Arial" w:eastAsia="Arial" w:hAnsi="Arial"/>
          <w:sz w:val="19"/>
          <w:szCs w:val="19"/>
          <w:color w:val="auto"/>
        </w:rPr>
        <w:t>provided that such termination may take place no earlier than</w:t>
      </w:r>
    </w:p>
    <w:p>
      <w:pPr>
        <w:spacing w:after="0" w:line="200" w:lineRule="exact"/>
        <w:rPr>
          <w:sz w:val="20"/>
          <w:szCs w:val="20"/>
          <w:color w:val="auto"/>
        </w:rPr>
      </w:pPr>
    </w:p>
    <w:p>
      <w:pPr>
        <w:spacing w:after="0" w:line="256"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60"/>
          </w:cols>
          <w:pgMar w:left="500" w:top="126" w:right="239" w:bottom="1440" w:gutter="0" w:footer="0" w:header="0"/>
        </w:sectPr>
      </w:pPr>
    </w:p>
    <w:bookmarkStart w:id="97" w:name="page98"/>
    <w:bookmarkEnd w:id="97"/>
    <w:p>
      <w:pPr>
        <w:ind w:left="944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14" w:lineRule="exact"/>
        <w:rPr>
          <w:sz w:val="20"/>
          <w:szCs w:val="20"/>
          <w:color w:val="auto"/>
        </w:rPr>
      </w:pPr>
    </w:p>
    <w:p>
      <w:pPr>
        <w:jc w:val="both"/>
        <w:ind w:left="660"/>
        <w:spacing w:after="0" w:line="274" w:lineRule="auto"/>
        <w:rPr>
          <w:sz w:val="20"/>
          <w:szCs w:val="20"/>
          <w:color w:val="auto"/>
        </w:rPr>
      </w:pPr>
      <w:r>
        <w:rPr>
          <w:rFonts w:ascii="Arial" w:cs="Arial" w:eastAsia="Arial" w:hAnsi="Arial"/>
          <w:sz w:val="20"/>
          <w:szCs w:val="20"/>
          <w:color w:val="auto"/>
        </w:rPr>
        <w:t xml:space="preserve">thirty (30) days after the Executive has provided written notice to the Company of the Executive’s intent to terminate employment. The Company reserves the right to provide payment at the Executive’s then-current Base Salary in lieu of all or any portion of such notice period. In the event Executive terminates the Executive’s employment under this </w:t>
      </w:r>
      <w:r>
        <w:rPr>
          <w:rFonts w:ascii="Arial" w:cs="Arial" w:eastAsia="Arial" w:hAnsi="Arial"/>
          <w:sz w:val="20"/>
          <w:szCs w:val="20"/>
          <w:u w:val="single" w:color="auto"/>
          <w:color w:val="auto"/>
        </w:rPr>
        <w:t>Section 8(g)</w:t>
      </w:r>
      <w:r>
        <w:rPr>
          <w:rFonts w:ascii="Arial" w:cs="Arial" w:eastAsia="Arial" w:hAnsi="Arial"/>
          <w:sz w:val="20"/>
          <w:szCs w:val="20"/>
          <w:color w:val="auto"/>
        </w:rPr>
        <w:t>, the Executive shall receive all Accrued Benefits through the date of such termination.</w:t>
      </w:r>
    </w:p>
    <w:p>
      <w:pPr>
        <w:spacing w:after="0" w:line="188" w:lineRule="exact"/>
        <w:rPr>
          <w:sz w:val="20"/>
          <w:szCs w:val="20"/>
          <w:color w:val="auto"/>
        </w:rPr>
      </w:pPr>
    </w:p>
    <w:p>
      <w:pPr>
        <w:jc w:val="both"/>
        <w:ind w:left="740" w:hanging="485"/>
        <w:spacing w:after="0" w:line="274" w:lineRule="auto"/>
        <w:rPr>
          <w:sz w:val="20"/>
          <w:szCs w:val="20"/>
          <w:color w:val="auto"/>
        </w:rPr>
      </w:pPr>
      <w:r>
        <w:rPr>
          <w:rFonts w:ascii="Arial" w:cs="Arial" w:eastAsia="Arial" w:hAnsi="Arial"/>
          <w:sz w:val="22"/>
          <w:szCs w:val="22"/>
          <w:color w:val="auto"/>
        </w:rPr>
        <w:t>h.</w:t>
      </w:r>
      <w:r>
        <w:rPr>
          <w:rFonts w:ascii="Arial" w:cs="Arial" w:eastAsia="Arial" w:hAnsi="Arial"/>
          <w:sz w:val="19"/>
          <w:szCs w:val="19"/>
          <w:u w:val="single" w:color="auto"/>
          <w:color w:val="auto"/>
        </w:rPr>
        <w:t>Bonus Payment Timing</w:t>
      </w:r>
      <w:r>
        <w:rPr>
          <w:rFonts w:ascii="Arial" w:cs="Arial" w:eastAsia="Arial" w:hAnsi="Arial"/>
          <w:sz w:val="19"/>
          <w:szCs w:val="19"/>
          <w:color w:val="auto"/>
        </w:rPr>
        <w:t>. Subject to the execution and non-revocation of a release as set forth in</w:t>
      </w:r>
      <w:r>
        <w:rPr>
          <w:rFonts w:ascii="Arial" w:cs="Arial" w:eastAsia="Arial" w:hAnsi="Arial"/>
          <w:sz w:val="22"/>
          <w:szCs w:val="22"/>
          <w:color w:val="auto"/>
        </w:rPr>
        <w:t xml:space="preserve"> </w:t>
      </w:r>
      <w:r>
        <w:rPr>
          <w:rFonts w:ascii="Arial" w:cs="Arial" w:eastAsia="Arial" w:hAnsi="Arial"/>
          <w:sz w:val="19"/>
          <w:szCs w:val="19"/>
          <w:u w:val="single" w:color="auto"/>
          <w:color w:val="auto"/>
        </w:rPr>
        <w:t>Section 8(i)</w:t>
      </w:r>
      <w:r>
        <w:rPr>
          <w:rFonts w:ascii="Arial" w:cs="Arial" w:eastAsia="Arial" w:hAnsi="Arial"/>
          <w:sz w:val="22"/>
          <w:szCs w:val="22"/>
          <w:color w:val="auto"/>
        </w:rPr>
        <w:t xml:space="preserve"> </w:t>
      </w:r>
      <w:r>
        <w:rPr>
          <w:rFonts w:ascii="Arial" w:cs="Arial" w:eastAsia="Arial" w:hAnsi="Arial"/>
          <w:sz w:val="19"/>
          <w:szCs w:val="19"/>
          <w:color w:val="auto"/>
        </w:rPr>
        <w:t>and in substantially similar to</w:t>
      </w:r>
      <w:r>
        <w:rPr>
          <w:rFonts w:ascii="Arial" w:cs="Arial" w:eastAsia="Arial" w:hAnsi="Arial"/>
          <w:sz w:val="22"/>
          <w:szCs w:val="22"/>
          <w:color w:val="auto"/>
        </w:rPr>
        <w:t xml:space="preserve"> </w:t>
      </w:r>
      <w:r>
        <w:rPr>
          <w:rFonts w:ascii="Arial" w:cs="Arial" w:eastAsia="Arial" w:hAnsi="Arial"/>
          <w:sz w:val="19"/>
          <w:szCs w:val="19"/>
          <w:color w:val="auto"/>
        </w:rPr>
        <w:t xml:space="preserve">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Company shall (A) pay any unpaid Annual Bonus for the preceding fiscal year otherwise payable under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within thirty (30) days following the date of the effective date of such release; and (B) subject to the execution and non-revocation of an additional release of claims substantially similar to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pay the Pro-Rated Bonus otherwise payable under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in accordance with the Company’s regular bonus payment schedule for the Annual Bonus for that calendar year, as otherwise payable to similarly situated active employees of the Company, but no later than 2.5 months following the end of the calendar year in which it was earned.</w:t>
      </w:r>
    </w:p>
    <w:p>
      <w:pPr>
        <w:spacing w:after="0" w:line="186" w:lineRule="exact"/>
        <w:rPr>
          <w:sz w:val="20"/>
          <w:szCs w:val="20"/>
          <w:color w:val="auto"/>
        </w:rPr>
      </w:pPr>
    </w:p>
    <w:p>
      <w:pPr>
        <w:jc w:val="both"/>
        <w:ind w:left="700" w:hanging="445"/>
        <w:spacing w:after="0" w:line="270" w:lineRule="auto"/>
        <w:rPr>
          <w:sz w:val="20"/>
          <w:szCs w:val="20"/>
          <w:color w:val="auto"/>
        </w:rPr>
      </w:pPr>
      <w:r>
        <w:rPr>
          <w:rFonts w:ascii="Arial" w:cs="Arial" w:eastAsia="Arial" w:hAnsi="Arial"/>
          <w:sz w:val="22"/>
          <w:szCs w:val="22"/>
          <w:color w:val="auto"/>
        </w:rPr>
        <w:t>i.</w:t>
      </w:r>
      <w:r>
        <w:rPr>
          <w:rFonts w:ascii="Arial" w:cs="Arial" w:eastAsia="Arial" w:hAnsi="Arial"/>
          <w:sz w:val="19"/>
          <w:szCs w:val="19"/>
          <w:b w:val="1"/>
          <w:bCs w:val="1"/>
          <w:u w:val="single" w:color="auto"/>
          <w:color w:val="auto"/>
        </w:rPr>
        <w:t>Release</w:t>
      </w:r>
      <w:r>
        <w:rPr>
          <w:rFonts w:ascii="Arial" w:cs="Arial" w:eastAsia="Arial" w:hAnsi="Arial"/>
          <w:sz w:val="19"/>
          <w:szCs w:val="19"/>
          <w:b w:val="1"/>
          <w:bCs w:val="1"/>
          <w:color w:val="auto"/>
        </w:rPr>
        <w:t>. As a precondition to the payment of any amounts or benefits in addition to earned but unpaid Base Salary upon</w:t>
      </w:r>
      <w:r>
        <w:rPr>
          <w:rFonts w:ascii="Arial" w:cs="Arial" w:eastAsia="Arial" w:hAnsi="Arial"/>
          <w:sz w:val="22"/>
          <w:szCs w:val="22"/>
          <w:color w:val="auto"/>
        </w:rPr>
        <w:t xml:space="preserve"> </w:t>
      </w:r>
      <w:r>
        <w:rPr>
          <w:rFonts w:ascii="Arial" w:cs="Arial" w:eastAsia="Arial" w:hAnsi="Arial"/>
          <w:sz w:val="19"/>
          <w:szCs w:val="19"/>
          <w:b w:val="1"/>
          <w:bCs w:val="1"/>
          <w:color w:val="auto"/>
        </w:rPr>
        <w:t xml:space="preserve">termination of the Executive’s employment under this Agreement, including but not limited to each Severance Benefit, the Executive or the Estate, as applicable, shall be required to execute one or more release of any claims against the Company, Affiliates, and their employee, officers, directors, and shareholders arising out of the Executive’s employment or termination in a form attached hereto as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w:t>
      </w:r>
    </w:p>
    <w:p>
      <w:pPr>
        <w:spacing w:after="0" w:line="193" w:lineRule="exact"/>
        <w:rPr>
          <w:sz w:val="20"/>
          <w:szCs w:val="20"/>
          <w:color w:val="auto"/>
        </w:rPr>
      </w:pPr>
    </w:p>
    <w:p>
      <w:pPr>
        <w:jc w:val="both"/>
        <w:ind w:left="340" w:hanging="332"/>
        <w:spacing w:after="0" w:line="300" w:lineRule="auto"/>
        <w:tabs>
          <w:tab w:leader="none" w:pos="340" w:val="left"/>
        </w:tabs>
        <w:numPr>
          <w:ilvl w:val="0"/>
          <w:numId w:val="76"/>
        </w:numPr>
        <w:rPr>
          <w:rFonts w:ascii="Arial" w:cs="Arial" w:eastAsia="Arial" w:hAnsi="Arial"/>
          <w:sz w:val="19"/>
          <w:szCs w:val="19"/>
          <w:color w:val="auto"/>
        </w:rPr>
      </w:pPr>
      <w:r>
        <w:rPr>
          <w:rFonts w:ascii="Arial" w:cs="Arial" w:eastAsia="Arial" w:hAnsi="Arial"/>
          <w:sz w:val="18"/>
          <w:szCs w:val="18"/>
          <w:b w:val="1"/>
          <w:bCs w:val="1"/>
          <w:color w:val="auto"/>
        </w:rPr>
        <w:t xml:space="preserve">Intellectual Property. </w:t>
      </w:r>
      <w:r>
        <w:rPr>
          <w:rFonts w:ascii="Arial" w:cs="Arial" w:eastAsia="Arial" w:hAnsi="Arial"/>
          <w:sz w:val="18"/>
          <w:szCs w:val="18"/>
          <w:color w:val="auto"/>
        </w:rPr>
        <w:t>All inventions, technology, processes, innovations, ideas, improvements, developments, methods, designs, analyses,</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trademarks, service marks, and other indicia of origin, writings, audiovisual works, concepts, drawings, reports and all similar, related, or derivative information or works (whether or not patentable or subject to copyright), including but not limited to all patents, copyrights, copyright registrations, trademarks, and trademark registrations in and to any of the foregoing, along with the right to practice, employ, exploit, use, develop, reproduce, copy, distribute copies, publish, license, or create works derivative of any of the foregoing, and the right to choose not to do or permit any of the aforementioned actions, which relate to the Company’s actual or anticipated business, research and development or existing or future products or services and which are conceived, developed or made by the Executive while employed by the Company or any of their predecessors (collectively, the “</w:t>
      </w:r>
      <w:r>
        <w:rPr>
          <w:rFonts w:ascii="Arial" w:cs="Arial" w:eastAsia="Arial" w:hAnsi="Arial"/>
          <w:sz w:val="18"/>
          <w:szCs w:val="18"/>
          <w:u w:val="single" w:color="auto"/>
          <w:color w:val="auto"/>
        </w:rPr>
        <w:t>Work Product</w:t>
      </w:r>
      <w:r>
        <w:rPr>
          <w:rFonts w:ascii="Arial" w:cs="Arial" w:eastAsia="Arial" w:hAnsi="Arial"/>
          <w:sz w:val="18"/>
          <w:szCs w:val="18"/>
          <w:color w:val="auto"/>
        </w:rPr>
        <w:t>”) belong to the Company. All Work Product created by the Executive while employed by the Company or any of its predecessors will be considered “work made for hire,” and as such, the Company is the sole owner of all rights, title, and interests therein. All other rights to any new Work Product and all rights to any existing Work Product, including but not limited to all of the Executive’s rights to any copyrights or copyright registrations related thereto, are conveyed, assigned and transferred to the Company pursuant to this Agreement. The Executive will promptly disclose and deliver such Work Product to the Company and, at the Company’s expense, perform all actions reasonably requested by the Company (whether during or after the Executive’s employment with the Company) to establish, confirm and protect such ownership (including, without limitation, the execution of assignments, copyright registrations, consents, licenses, powers of attorney and other instruments).</w:t>
      </w:r>
    </w:p>
    <w:p>
      <w:pPr>
        <w:spacing w:after="0" w:line="162" w:lineRule="exact"/>
        <w:rPr>
          <w:rFonts w:ascii="Arial" w:cs="Arial" w:eastAsia="Arial" w:hAnsi="Arial"/>
          <w:sz w:val="19"/>
          <w:szCs w:val="19"/>
          <w:color w:val="auto"/>
        </w:rPr>
      </w:pPr>
    </w:p>
    <w:p>
      <w:pPr>
        <w:jc w:val="both"/>
        <w:ind w:left="340"/>
        <w:spacing w:after="0" w:line="291" w:lineRule="auto"/>
        <w:rPr>
          <w:rFonts w:ascii="Arial" w:cs="Arial" w:eastAsia="Arial" w:hAnsi="Arial"/>
          <w:sz w:val="19"/>
          <w:szCs w:val="19"/>
          <w:color w:val="auto"/>
        </w:rPr>
      </w:pPr>
      <w:r>
        <w:rPr>
          <w:rFonts w:ascii="Arial" w:cs="Arial" w:eastAsia="Arial" w:hAnsi="Arial"/>
          <w:sz w:val="18"/>
          <w:szCs w:val="18"/>
          <w:color w:val="auto"/>
        </w:rPr>
        <w:t xml:space="preserve">Notwithstanding the foregoing, to the extent required under California Labor Code Sections 2870-2872, nothing in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apply to any invention that the Executive developed entirely on the Executive’s own time, without using the Company’s equipment, supplies, facilities, or trade secret information except for those inventions that either: (i) relate to the Company business at the time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26" w:right="239" w:bottom="1440" w:gutter="0" w:footer="0" w:header="0"/>
        </w:sectPr>
      </w:pPr>
    </w:p>
    <w:bookmarkStart w:id="98" w:name="page99"/>
    <w:bookmarkEnd w:id="98"/>
    <w:p>
      <w:pPr>
        <w:ind w:left="944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00" w:lineRule="exact"/>
        <w:rPr>
          <w:sz w:val="20"/>
          <w:szCs w:val="20"/>
          <w:color w:val="auto"/>
        </w:rPr>
      </w:pPr>
    </w:p>
    <w:p>
      <w:pPr>
        <w:ind w:left="340"/>
        <w:spacing w:after="0" w:line="260" w:lineRule="auto"/>
        <w:rPr>
          <w:sz w:val="20"/>
          <w:szCs w:val="20"/>
          <w:color w:val="auto"/>
        </w:rPr>
      </w:pPr>
      <w:r>
        <w:rPr>
          <w:rFonts w:ascii="Arial" w:cs="Arial" w:eastAsia="Arial" w:hAnsi="Arial"/>
          <w:sz w:val="20"/>
          <w:szCs w:val="20"/>
          <w:color w:val="auto"/>
        </w:rPr>
        <w:t>conception or reduction to practice, or to actual or demonstrably anticipated research or development of the Company; or (ii) result from any work performed by the Executive for the Company.</w:t>
      </w:r>
    </w:p>
    <w:p>
      <w:pPr>
        <w:spacing w:after="0" w:line="184" w:lineRule="exact"/>
        <w:rPr>
          <w:sz w:val="20"/>
          <w:szCs w:val="20"/>
          <w:color w:val="auto"/>
        </w:rPr>
      </w:pPr>
    </w:p>
    <w:p>
      <w:pPr>
        <w:jc w:val="both"/>
        <w:ind w:left="340" w:hanging="332"/>
        <w:spacing w:after="0" w:line="268" w:lineRule="auto"/>
        <w:tabs>
          <w:tab w:leader="none" w:pos="340" w:val="left"/>
        </w:tabs>
        <w:numPr>
          <w:ilvl w:val="0"/>
          <w:numId w:val="77"/>
        </w:numPr>
        <w:rPr>
          <w:rFonts w:ascii="Arial" w:cs="Arial" w:eastAsia="Arial" w:hAnsi="Arial"/>
          <w:sz w:val="22"/>
          <w:szCs w:val="22"/>
          <w:color w:val="auto"/>
        </w:rPr>
      </w:pPr>
      <w:r>
        <w:rPr>
          <w:rFonts w:ascii="Arial" w:cs="Arial" w:eastAsia="Arial" w:hAnsi="Arial"/>
          <w:sz w:val="20"/>
          <w:szCs w:val="20"/>
          <w:b w:val="1"/>
          <w:bCs w:val="1"/>
          <w:color w:val="auto"/>
        </w:rPr>
        <w:t xml:space="preserve">Confidential Information. </w:t>
      </w:r>
      <w:r>
        <w:rPr>
          <w:rFonts w:ascii="Arial" w:cs="Arial" w:eastAsia="Arial" w:hAnsi="Arial"/>
          <w:sz w:val="20"/>
          <w:szCs w:val="20"/>
          <w:color w:val="auto"/>
        </w:rPr>
        <w:t>The Executive agrees that, during the Executive’s employment with the Company or its Affiliates and</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termination of the Executive’s employment, except as required by law, the Executive will not, directly or indirectly, at any time, disclose to any third person or use in any way any non-public information or Confidential Information.</w:t>
      </w:r>
    </w:p>
    <w:p>
      <w:pPr>
        <w:spacing w:after="0" w:line="195" w:lineRule="exact"/>
        <w:rPr>
          <w:rFonts w:ascii="Arial" w:cs="Arial" w:eastAsia="Arial" w:hAnsi="Arial"/>
          <w:sz w:val="22"/>
          <w:szCs w:val="22"/>
          <w:color w:val="auto"/>
        </w:rPr>
      </w:pPr>
    </w:p>
    <w:p>
      <w:pPr>
        <w:ind w:left="660" w:right="60" w:hanging="409"/>
        <w:spacing w:after="0" w:line="282" w:lineRule="auto"/>
        <w:tabs>
          <w:tab w:leader="none" w:pos="660" w:val="left"/>
        </w:tabs>
        <w:numPr>
          <w:ilvl w:val="1"/>
          <w:numId w:val="77"/>
        </w:numPr>
        <w:rPr>
          <w:rFonts w:ascii="Arial" w:cs="Arial" w:eastAsia="Arial" w:hAnsi="Arial"/>
          <w:sz w:val="21"/>
          <w:szCs w:val="21"/>
          <w:color w:val="auto"/>
        </w:rPr>
      </w:pPr>
      <w:r>
        <w:rPr>
          <w:rFonts w:ascii="Arial" w:cs="Arial" w:eastAsia="Arial" w:hAnsi="Arial"/>
          <w:sz w:val="19"/>
          <w:szCs w:val="19"/>
          <w:u w:val="single" w:color="auto"/>
          <w:color w:val="auto"/>
        </w:rPr>
        <w:t>Definition</w:t>
      </w:r>
      <w:r>
        <w:rPr>
          <w:rFonts w:ascii="Arial" w:cs="Arial" w:eastAsia="Arial" w:hAnsi="Arial"/>
          <w:sz w:val="19"/>
          <w:szCs w:val="19"/>
          <w:color w:val="auto"/>
        </w:rPr>
        <w:t>. For purposes of this Agreement, “Confidential Information” shall mean any confidential or proprietary information, including but not limited to: (a) technical, operational and financial information, data, Trade Secrets, formulae, processes, techniques, formats, specifications, manufacturing methods, treatment methods, designs, sketches, photographs, plans, drawings, specifications, samples, reports, pricing information, studies, findings, marketing plans or proposals, inventions, ideas, customer and client lists, information related to business opportunities and business development, and confidential programs or procedures; (b) any intellectual property owned or licensed by the Company or its Affiliates; (c) any information maintained by the Company or its Affiliates as confidential or proprietary information, whether or not it is marked as confidential; and (d) information received by the Company or its Affiliates from third parties under confidential conditions.</w:t>
      </w:r>
    </w:p>
    <w:p>
      <w:pPr>
        <w:spacing w:after="0" w:line="201" w:lineRule="exact"/>
        <w:rPr>
          <w:rFonts w:ascii="Arial" w:cs="Arial" w:eastAsia="Arial" w:hAnsi="Arial"/>
          <w:sz w:val="21"/>
          <w:szCs w:val="21"/>
          <w:color w:val="auto"/>
        </w:rPr>
      </w:pPr>
    </w:p>
    <w:p>
      <w:pPr>
        <w:ind w:left="660" w:right="20" w:hanging="409"/>
        <w:spacing w:after="0" w:line="282" w:lineRule="auto"/>
        <w:tabs>
          <w:tab w:leader="none" w:pos="660" w:val="left"/>
        </w:tabs>
        <w:numPr>
          <w:ilvl w:val="1"/>
          <w:numId w:val="77"/>
        </w:numPr>
        <w:rPr>
          <w:rFonts w:ascii="Arial" w:cs="Arial" w:eastAsia="Arial" w:hAnsi="Arial"/>
          <w:sz w:val="21"/>
          <w:szCs w:val="21"/>
          <w:color w:val="auto"/>
        </w:rPr>
      </w:pPr>
      <w:r>
        <w:rPr>
          <w:rFonts w:ascii="Arial" w:cs="Arial" w:eastAsia="Arial" w:hAnsi="Arial"/>
          <w:sz w:val="19"/>
          <w:szCs w:val="19"/>
          <w:color w:val="auto"/>
        </w:rPr>
        <w:t>Notwithstanding the foregoing, Confidential Information shall not include information: (i) that at the date hereof is in the public domain; (ii) that has come within the public domain through no fault or action of the Executive that has the obligation of confidentiality (provided, however, that the fact that general information may be in or become part of the public domain, in and of itself, does not exclude any specific information from the obligations of this Agreement); (iii) that after the date hereof has been obtained lawfully from any third party which was entitled to disclose such information; and/or (iv) that the Executive is compelled to disclose by any judicial or administrative order after having given prompt notice of such order to the Company.</w:t>
      </w:r>
    </w:p>
    <w:p>
      <w:pPr>
        <w:spacing w:after="0" w:line="201" w:lineRule="exact"/>
        <w:rPr>
          <w:rFonts w:ascii="Arial" w:cs="Arial" w:eastAsia="Arial" w:hAnsi="Arial"/>
          <w:sz w:val="21"/>
          <w:szCs w:val="21"/>
          <w:color w:val="auto"/>
        </w:rPr>
      </w:pPr>
    </w:p>
    <w:p>
      <w:pPr>
        <w:ind w:left="660" w:hanging="409"/>
        <w:spacing w:after="0"/>
        <w:tabs>
          <w:tab w:leader="none" w:pos="660" w:val="left"/>
        </w:tabs>
        <w:numPr>
          <w:ilvl w:val="1"/>
          <w:numId w:val="77"/>
        </w:numPr>
        <w:rPr>
          <w:rFonts w:ascii="Arial" w:cs="Arial" w:eastAsia="Arial" w:hAnsi="Arial"/>
          <w:sz w:val="19"/>
          <w:szCs w:val="19"/>
          <w:color w:val="auto"/>
        </w:rPr>
      </w:pPr>
      <w:r>
        <w:rPr>
          <w:rFonts w:ascii="Arial" w:cs="Arial" w:eastAsia="Arial" w:hAnsi="Arial"/>
          <w:sz w:val="18"/>
          <w:szCs w:val="18"/>
          <w:u w:val="single" w:color="auto"/>
          <w:color w:val="auto"/>
        </w:rPr>
        <w:t>Obligations with respect to Confidential Information</w:t>
      </w:r>
      <w:r>
        <w:rPr>
          <w:rFonts w:ascii="Arial" w:cs="Arial" w:eastAsia="Arial" w:hAnsi="Arial"/>
          <w:sz w:val="18"/>
          <w:szCs w:val="18"/>
          <w:color w:val="auto"/>
        </w:rPr>
        <w:t>. The Executive agrees that, during the Term and thereafter, the Executive will:</w:t>
      </w:r>
    </w:p>
    <w:p>
      <w:pPr>
        <w:spacing w:after="0" w:line="265" w:lineRule="exact"/>
        <w:rPr>
          <w:rFonts w:ascii="Arial" w:cs="Arial" w:eastAsia="Arial" w:hAnsi="Arial"/>
          <w:sz w:val="19"/>
          <w:szCs w:val="19"/>
          <w:color w:val="auto"/>
        </w:rPr>
      </w:pPr>
    </w:p>
    <w:p>
      <w:pPr>
        <w:ind w:left="720" w:hanging="212"/>
        <w:spacing w:after="0"/>
        <w:tabs>
          <w:tab w:leader="none" w:pos="720" w:val="left"/>
        </w:tabs>
        <w:numPr>
          <w:ilvl w:val="2"/>
          <w:numId w:val="77"/>
        </w:numPr>
        <w:rPr>
          <w:rFonts w:ascii="Arial" w:cs="Arial" w:eastAsia="Arial" w:hAnsi="Arial"/>
          <w:sz w:val="22"/>
          <w:szCs w:val="22"/>
          <w:color w:val="auto"/>
        </w:rPr>
      </w:pPr>
      <w:r>
        <w:rPr>
          <w:rFonts w:ascii="Arial" w:cs="Arial" w:eastAsia="Arial" w:hAnsi="Arial"/>
          <w:sz w:val="20"/>
          <w:szCs w:val="20"/>
          <w:color w:val="auto"/>
        </w:rPr>
        <w:t>hold the Confidential Information in strict confidence; and</w:t>
      </w:r>
    </w:p>
    <w:p>
      <w:pPr>
        <w:spacing w:after="0" w:line="231" w:lineRule="exact"/>
        <w:rPr>
          <w:sz w:val="20"/>
          <w:szCs w:val="20"/>
          <w:color w:val="auto"/>
        </w:rPr>
      </w:pPr>
    </w:p>
    <w:p>
      <w:pPr>
        <w:ind w:left="1020" w:right="280" w:hanging="521"/>
        <w:spacing w:after="0" w:line="245" w:lineRule="auto"/>
        <w:rPr>
          <w:sz w:val="20"/>
          <w:szCs w:val="20"/>
          <w:color w:val="auto"/>
        </w:rPr>
      </w:pPr>
      <w:r>
        <w:rPr>
          <w:rFonts w:ascii="Arial" w:cs="Arial" w:eastAsia="Arial" w:hAnsi="Arial"/>
          <w:sz w:val="22"/>
          <w:szCs w:val="22"/>
          <w:color w:val="auto"/>
        </w:rPr>
        <w:t>(ii)</w:t>
      </w:r>
      <w:r>
        <w:rPr>
          <w:rFonts w:ascii="Arial" w:cs="Arial" w:eastAsia="Arial" w:hAnsi="Arial"/>
          <w:sz w:val="19"/>
          <w:szCs w:val="19"/>
          <w:color w:val="auto"/>
        </w:rPr>
        <w:t>not give, sell or disclose Confidential Information to any other third party, unless such party is an auditor or contractor hired by the</w:t>
      </w:r>
      <w:r>
        <w:rPr>
          <w:rFonts w:ascii="Arial" w:cs="Arial" w:eastAsia="Arial" w:hAnsi="Arial"/>
          <w:sz w:val="22"/>
          <w:szCs w:val="22"/>
          <w:color w:val="auto"/>
        </w:rPr>
        <w:t xml:space="preserve"> </w:t>
      </w:r>
      <w:r>
        <w:rPr>
          <w:rFonts w:ascii="Arial" w:cs="Arial" w:eastAsia="Arial" w:hAnsi="Arial"/>
          <w:sz w:val="19"/>
          <w:szCs w:val="19"/>
          <w:color w:val="auto"/>
        </w:rPr>
        <w:t>Company and then only upon written approval of the Board.</w:t>
      </w:r>
    </w:p>
    <w:p>
      <w:pPr>
        <w:spacing w:after="0" w:line="217"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color w:val="auto"/>
        </w:rPr>
        <w:t>For avoidance of doubt, nothing in this Agreement shall prevent the Executive from sharing any Confidential Information or other information with regulators or appropriate governmental agencies without notice to the Company, whether in response to subpoena or otherwise, under the whistleblower provisions of federal law or regulation, and no prior authorization or notification is required prior to the Executive making any such reports or disclosures, provided, that no attorney client privilege shall be waived.</w:t>
      </w:r>
    </w:p>
    <w:p>
      <w:pPr>
        <w:spacing w:after="0" w:line="183" w:lineRule="exact"/>
        <w:rPr>
          <w:sz w:val="20"/>
          <w:szCs w:val="20"/>
          <w:color w:val="auto"/>
        </w:rPr>
      </w:pPr>
    </w:p>
    <w:p>
      <w:pPr>
        <w:jc w:val="both"/>
        <w:ind w:left="340" w:hanging="332"/>
        <w:spacing w:after="0" w:line="268" w:lineRule="auto"/>
        <w:tabs>
          <w:tab w:leader="none" w:pos="340" w:val="left"/>
        </w:tabs>
        <w:numPr>
          <w:ilvl w:val="0"/>
          <w:numId w:val="78"/>
        </w:numPr>
        <w:rPr>
          <w:rFonts w:ascii="Arial" w:cs="Arial" w:eastAsia="Arial" w:hAnsi="Arial"/>
          <w:sz w:val="22"/>
          <w:szCs w:val="22"/>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The Executive acknowledges that the Executive’s obligations under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w:t>
      </w:r>
      <w:r>
        <w:rPr>
          <w:rFonts w:ascii="Arial" w:cs="Arial" w:eastAsia="Arial" w:hAnsi="Arial"/>
          <w:sz w:val="20"/>
          <w:szCs w:val="20"/>
          <w:b w:val="1"/>
          <w:bCs w:val="1"/>
          <w:color w:val="auto"/>
        </w:rPr>
        <w:t xml:space="preserve"> </w:t>
      </w:r>
      <w:r>
        <w:rPr>
          <w:rFonts w:ascii="Arial" w:cs="Arial" w:eastAsia="Arial" w:hAnsi="Arial"/>
          <w:sz w:val="20"/>
          <w:szCs w:val="20"/>
          <w:color w:val="auto"/>
        </w:rPr>
        <w:t>are separate and distinct from the</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Executive’s promise and obligation, affirmed by this Agreement, not to disclose or use the Company’s or its Affiliates’ “Trade Secrets,” as defined by the applicable federal and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2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14" w:lineRule="exact"/>
        <w:rPr>
          <w:sz w:val="20"/>
          <w:szCs w:val="20"/>
          <w:color w:val="auto"/>
        </w:rPr>
      </w:pPr>
    </w:p>
    <w:p>
      <w:pPr>
        <w:jc w:val="both"/>
        <w:ind w:left="340"/>
        <w:spacing w:after="0" w:line="278" w:lineRule="auto"/>
        <w:rPr>
          <w:sz w:val="20"/>
          <w:szCs w:val="20"/>
          <w:color w:val="auto"/>
        </w:rPr>
      </w:pPr>
      <w:r>
        <w:rPr>
          <w:rFonts w:ascii="Arial" w:cs="Arial" w:eastAsia="Arial" w:hAnsi="Arial"/>
          <w:sz w:val="20"/>
          <w:szCs w:val="20"/>
          <w:color w:val="auto"/>
        </w:rPr>
        <w:t xml:space="preserve">state laws. During and at all times after the Term, Trade Secrets of the Company shall be subject to the maximum protections available under applicable law and no less protection than that provided by this Agreement applicable to “Confidential Information,” as described in </w:t>
      </w:r>
      <w:r>
        <w:rPr>
          <w:rFonts w:ascii="Arial" w:cs="Arial" w:eastAsia="Arial" w:hAnsi="Arial"/>
          <w:sz w:val="20"/>
          <w:szCs w:val="20"/>
          <w:u w:val="single" w:color="auto"/>
          <w:color w:val="auto"/>
        </w:rPr>
        <w:t>Section 10</w:t>
      </w:r>
      <w:r>
        <w:rPr>
          <w:rFonts w:ascii="Arial" w:cs="Arial" w:eastAsia="Arial" w:hAnsi="Arial"/>
          <w:sz w:val="20"/>
          <w:szCs w:val="20"/>
          <w:color w:val="auto"/>
        </w:rPr>
        <w:t>.</w:t>
      </w:r>
    </w:p>
    <w:p>
      <w:pPr>
        <w:spacing w:after="0" w:line="181" w:lineRule="exact"/>
        <w:rPr>
          <w:sz w:val="20"/>
          <w:szCs w:val="20"/>
          <w:color w:val="auto"/>
        </w:rPr>
      </w:pPr>
    </w:p>
    <w:p>
      <w:pPr>
        <w:jc w:val="both"/>
        <w:ind w:left="340" w:hanging="332"/>
        <w:spacing w:after="0" w:line="285" w:lineRule="auto"/>
        <w:tabs>
          <w:tab w:leader="none" w:pos="340" w:val="left"/>
        </w:tabs>
        <w:numPr>
          <w:ilvl w:val="0"/>
          <w:numId w:val="79"/>
        </w:numPr>
        <w:rPr>
          <w:rFonts w:ascii="Arial" w:cs="Arial" w:eastAsia="Arial" w:hAnsi="Arial"/>
          <w:sz w:val="21"/>
          <w:szCs w:val="21"/>
          <w:color w:val="auto"/>
        </w:rPr>
      </w:pPr>
      <w:r>
        <w:rPr>
          <w:rFonts w:ascii="Arial" w:cs="Arial" w:eastAsia="Arial" w:hAnsi="Arial"/>
          <w:sz w:val="19"/>
          <w:szCs w:val="19"/>
          <w:b w:val="1"/>
          <w:bCs w:val="1"/>
          <w:color w:val="auto"/>
        </w:rPr>
        <w:t xml:space="preserve">Protected Rights. </w:t>
      </w:r>
      <w:r>
        <w:rPr>
          <w:rFonts w:ascii="Arial" w:cs="Arial" w:eastAsia="Arial" w:hAnsi="Arial"/>
          <w:sz w:val="19"/>
          <w:szCs w:val="19"/>
          <w:color w:val="auto"/>
        </w:rPr>
        <w:t>Nothing in this Agreement prohibits the Executive from reporting to any governmental authority information concerning</w:t>
      </w:r>
      <w:r>
        <w:rPr>
          <w:rFonts w:ascii="Arial" w:cs="Arial" w:eastAsia="Arial" w:hAnsi="Arial"/>
          <w:sz w:val="19"/>
          <w:szCs w:val="19"/>
          <w:b w:val="1"/>
          <w:bCs w:val="1"/>
          <w:color w:val="auto"/>
        </w:rPr>
        <w:t xml:space="preserve"> </w:t>
      </w:r>
      <w:r>
        <w:rPr>
          <w:rFonts w:ascii="Arial" w:cs="Arial" w:eastAsia="Arial" w:hAnsi="Arial"/>
          <w:sz w:val="19"/>
          <w:szCs w:val="19"/>
          <w:color w:val="auto"/>
        </w:rPr>
        <w:t>possible violations of law or regulation. Provided the Executive does so consistent with 18 U.S.C. § 1833, the Executive may disclose Trade Secret information to a government official or to an attorney for the purposes of obtaining legal advice or use it in certain court proceedings without fear of prosecution or liability if the Trade Secret information is filed under seal.</w:t>
      </w:r>
    </w:p>
    <w:p>
      <w:pPr>
        <w:spacing w:after="0" w:line="177" w:lineRule="exact"/>
        <w:rPr>
          <w:rFonts w:ascii="Arial" w:cs="Arial" w:eastAsia="Arial" w:hAnsi="Arial"/>
          <w:sz w:val="21"/>
          <w:szCs w:val="21"/>
          <w:color w:val="auto"/>
        </w:rPr>
      </w:pPr>
    </w:p>
    <w:p>
      <w:pPr>
        <w:jc w:val="both"/>
        <w:ind w:left="340" w:hanging="332"/>
        <w:spacing w:after="0" w:line="267" w:lineRule="auto"/>
        <w:tabs>
          <w:tab w:leader="none" w:pos="340" w:val="left"/>
        </w:tabs>
        <w:numPr>
          <w:ilvl w:val="0"/>
          <w:numId w:val="79"/>
        </w:numPr>
        <w:rPr>
          <w:rFonts w:ascii="Arial" w:cs="Arial" w:eastAsia="Arial" w:hAnsi="Arial"/>
          <w:sz w:val="22"/>
          <w:szCs w:val="22"/>
          <w:color w:val="auto"/>
        </w:rPr>
      </w:pPr>
      <w:r>
        <w:rPr>
          <w:rFonts w:ascii="Arial" w:cs="Arial" w:eastAsia="Arial" w:hAnsi="Arial"/>
          <w:sz w:val="20"/>
          <w:szCs w:val="20"/>
          <w:b w:val="1"/>
          <w:bCs w:val="1"/>
          <w:color w:val="auto"/>
        </w:rPr>
        <w:t xml:space="preserve">Non-Disparagement. </w:t>
      </w:r>
      <w:r>
        <w:rPr>
          <w:rFonts w:ascii="Arial" w:cs="Arial" w:eastAsia="Arial" w:hAnsi="Arial"/>
          <w:sz w:val="20"/>
          <w:szCs w:val="20"/>
          <w:color w:val="auto"/>
        </w:rPr>
        <w:t>The Executive and the Company each agrees that during the Term and thereafter, neither party will disparage the</w:t>
      </w:r>
      <w:r>
        <w:rPr>
          <w:rFonts w:ascii="Arial" w:cs="Arial" w:eastAsia="Arial" w:hAnsi="Arial"/>
          <w:sz w:val="20"/>
          <w:szCs w:val="20"/>
          <w:b w:val="1"/>
          <w:bCs w:val="1"/>
          <w:color w:val="auto"/>
        </w:rPr>
        <w:t xml:space="preserve"> </w:t>
      </w:r>
      <w:r>
        <w:rPr>
          <w:rFonts w:ascii="Arial" w:cs="Arial" w:eastAsia="Arial" w:hAnsi="Arial"/>
          <w:sz w:val="20"/>
          <w:szCs w:val="20"/>
          <w:color w:val="auto"/>
        </w:rPr>
        <w:t>other, including any products, services or practices, any affiliates, directors, officers, agents, representatives, stockholders or affiliates of the Company, either orally or in writing at any time. For the avoidance of doubt, nothing in this Agreement shall prohibit the either the Company or the Executive from making truthful statements (a) in the course of sworn testimony in administrative, judicial or arbitral proceedings (including, without limitation, depositions in connection with such proceedings), or (b) to regulators or appropriate government agencies in fulfillment of their statutory or regulatory obligations.</w:t>
      </w:r>
    </w:p>
    <w:p>
      <w:pPr>
        <w:spacing w:after="0" w:line="195" w:lineRule="exact"/>
        <w:rPr>
          <w:rFonts w:ascii="Arial" w:cs="Arial" w:eastAsia="Arial" w:hAnsi="Arial"/>
          <w:sz w:val="22"/>
          <w:szCs w:val="22"/>
          <w:color w:val="auto"/>
        </w:rPr>
      </w:pPr>
    </w:p>
    <w:p>
      <w:pPr>
        <w:jc w:val="both"/>
        <w:ind w:left="340" w:hanging="332"/>
        <w:spacing w:after="0" w:line="284" w:lineRule="auto"/>
        <w:tabs>
          <w:tab w:leader="none" w:pos="340" w:val="left"/>
        </w:tabs>
        <w:numPr>
          <w:ilvl w:val="0"/>
          <w:numId w:val="79"/>
        </w:numPr>
        <w:rPr>
          <w:rFonts w:ascii="Arial" w:cs="Arial" w:eastAsia="Arial" w:hAnsi="Arial"/>
          <w:sz w:val="21"/>
          <w:szCs w:val="21"/>
          <w:color w:val="auto"/>
        </w:rPr>
      </w:pPr>
      <w:r>
        <w:rPr>
          <w:rFonts w:ascii="Arial" w:cs="Arial" w:eastAsia="Arial" w:hAnsi="Arial"/>
          <w:sz w:val="19"/>
          <w:szCs w:val="19"/>
          <w:b w:val="1"/>
          <w:bCs w:val="1"/>
          <w:color w:val="auto"/>
        </w:rPr>
        <w:t xml:space="preserve">Company Property. </w:t>
      </w:r>
      <w:r>
        <w:rPr>
          <w:rFonts w:ascii="Arial" w:cs="Arial" w:eastAsia="Arial" w:hAnsi="Arial"/>
          <w:sz w:val="19"/>
          <w:szCs w:val="19"/>
          <w:color w:val="auto"/>
        </w:rPr>
        <w:t>All information, materials, documents, supplies, equipment, and other property furnished to the Executive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in connection with performance of services under this Agreement will be and remain the sole property of the Company. On the date of the termination of the Executive’s employment under this Agreement for any reason, or at any other time at the Company’s request, the Executive must return to the Company all tangible and intellectual property in whatever form belonging to the Company (including, but not limited to, Confidential Information, Company vehicles, laptops, computers, cell phones, wireless electronic mail devices, code, and other equipment, information, documents, and property).</w:t>
      </w:r>
    </w:p>
    <w:p>
      <w:pPr>
        <w:spacing w:after="0" w:line="177" w:lineRule="exact"/>
        <w:rPr>
          <w:rFonts w:ascii="Arial" w:cs="Arial" w:eastAsia="Arial" w:hAnsi="Arial"/>
          <w:sz w:val="21"/>
          <w:szCs w:val="21"/>
          <w:color w:val="auto"/>
        </w:rPr>
      </w:pPr>
    </w:p>
    <w:p>
      <w:pPr>
        <w:jc w:val="both"/>
        <w:ind w:left="340" w:hanging="332"/>
        <w:spacing w:after="0" w:line="267" w:lineRule="auto"/>
        <w:tabs>
          <w:tab w:leader="none" w:pos="340" w:val="left"/>
        </w:tabs>
        <w:numPr>
          <w:ilvl w:val="0"/>
          <w:numId w:val="79"/>
        </w:numPr>
        <w:rPr>
          <w:rFonts w:ascii="Arial" w:cs="Arial" w:eastAsia="Arial" w:hAnsi="Arial"/>
          <w:sz w:val="22"/>
          <w:szCs w:val="22"/>
          <w:color w:val="auto"/>
        </w:rPr>
      </w:pPr>
      <w:r>
        <w:rPr>
          <w:rFonts w:ascii="Arial" w:cs="Arial" w:eastAsia="Arial" w:hAnsi="Arial"/>
          <w:sz w:val="20"/>
          <w:szCs w:val="20"/>
          <w:b w:val="1"/>
          <w:bCs w:val="1"/>
          <w:color w:val="auto"/>
        </w:rPr>
        <w:t xml:space="preserve">Non-Disclosure. </w:t>
      </w:r>
      <w:r>
        <w:rPr>
          <w:rFonts w:ascii="Arial" w:cs="Arial" w:eastAsia="Arial" w:hAnsi="Arial"/>
          <w:sz w:val="20"/>
          <w:szCs w:val="20"/>
          <w:color w:val="auto"/>
        </w:rPr>
        <w:t>Except as otherwise required by law (including, without limitation, in all required filings with the Securities and</w:t>
      </w:r>
      <w:r>
        <w:rPr>
          <w:rFonts w:ascii="Arial" w:cs="Arial" w:eastAsia="Arial" w:hAnsi="Arial"/>
          <w:sz w:val="20"/>
          <w:szCs w:val="20"/>
          <w:b w:val="1"/>
          <w:bCs w:val="1"/>
          <w:color w:val="auto"/>
        </w:rPr>
        <w:t xml:space="preserve"> </w:t>
      </w:r>
      <w:r>
        <w:rPr>
          <w:rFonts w:ascii="Arial" w:cs="Arial" w:eastAsia="Arial" w:hAnsi="Arial"/>
          <w:sz w:val="20"/>
          <w:szCs w:val="20"/>
          <w:color w:val="auto"/>
        </w:rPr>
        <w:t>Exchange Commission), the Executive shall not disclose the financial terms of this Agreement to any person or entity, except that the financial terms of this Agreement may be disclosed to: (a) the Executive’s attorneys, accountants, or financial or tax advisors, and (b) members of the Executive’s immediate family; provided, in the case of each of (a) and (b), that such persons agree not to reveal the financial terms of this Agreement any further.</w:t>
      </w:r>
    </w:p>
    <w:p>
      <w:pPr>
        <w:spacing w:after="0" w:line="194" w:lineRule="exact"/>
        <w:rPr>
          <w:rFonts w:ascii="Arial" w:cs="Arial" w:eastAsia="Arial" w:hAnsi="Arial"/>
          <w:sz w:val="22"/>
          <w:szCs w:val="22"/>
          <w:color w:val="auto"/>
        </w:rPr>
      </w:pPr>
    </w:p>
    <w:p>
      <w:pPr>
        <w:jc w:val="both"/>
        <w:ind w:left="340" w:hanging="332"/>
        <w:spacing w:after="0" w:line="284" w:lineRule="auto"/>
        <w:tabs>
          <w:tab w:leader="none" w:pos="340" w:val="left"/>
        </w:tabs>
        <w:numPr>
          <w:ilvl w:val="0"/>
          <w:numId w:val="79"/>
        </w:numPr>
        <w:rPr>
          <w:rFonts w:ascii="Arial" w:cs="Arial" w:eastAsia="Arial" w:hAnsi="Arial"/>
          <w:sz w:val="21"/>
          <w:szCs w:val="21"/>
          <w:color w:val="auto"/>
        </w:rPr>
      </w:pPr>
      <w:r>
        <w:rPr>
          <w:rFonts w:ascii="Arial" w:cs="Arial" w:eastAsia="Arial" w:hAnsi="Arial"/>
          <w:sz w:val="19"/>
          <w:szCs w:val="19"/>
          <w:b w:val="1"/>
          <w:bCs w:val="1"/>
          <w:color w:val="auto"/>
        </w:rPr>
        <w:t xml:space="preserve">Successors and Assigns, No Third Party Beneficiaries. </w:t>
      </w:r>
      <w:r>
        <w:rPr>
          <w:rFonts w:ascii="Arial" w:cs="Arial" w:eastAsia="Arial" w:hAnsi="Arial"/>
          <w:sz w:val="19"/>
          <w:szCs w:val="19"/>
          <w:color w:val="auto"/>
        </w:rPr>
        <w:t>The rights and obligations of the Company under this Agreement shall be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on and inure to the benefit of the Company, its successors and permitted assigns. The rights and obligations of the Executive under this Agreement shall be binding on and inure to the benefit of the heirs and legal representatives of the Executive. Neither party may assign this Agreement without the prior written consent of the other, except that the Company may assign the Agreement to any entity acquiring all or substantially all of the assets or the business of the Company.</w:t>
      </w:r>
    </w:p>
    <w:p>
      <w:pPr>
        <w:spacing w:after="0" w:line="179" w:lineRule="exact"/>
        <w:rPr>
          <w:rFonts w:ascii="Arial" w:cs="Arial" w:eastAsia="Arial" w:hAnsi="Arial"/>
          <w:sz w:val="21"/>
          <w:szCs w:val="21"/>
          <w:color w:val="auto"/>
        </w:rPr>
      </w:pPr>
    </w:p>
    <w:p>
      <w:pPr>
        <w:jc w:val="both"/>
        <w:ind w:left="340" w:hanging="332"/>
        <w:spacing w:after="0" w:line="307" w:lineRule="auto"/>
        <w:tabs>
          <w:tab w:leader="none" w:pos="340" w:val="left"/>
        </w:tabs>
        <w:numPr>
          <w:ilvl w:val="0"/>
          <w:numId w:val="79"/>
        </w:numPr>
        <w:rPr>
          <w:rFonts w:ascii="Arial" w:cs="Arial" w:eastAsia="Arial" w:hAnsi="Arial"/>
          <w:sz w:val="19"/>
          <w:szCs w:val="19"/>
          <w:color w:val="auto"/>
        </w:rPr>
      </w:pPr>
      <w:r>
        <w:rPr>
          <w:rFonts w:ascii="Arial" w:cs="Arial" w:eastAsia="Arial" w:hAnsi="Arial"/>
          <w:sz w:val="18"/>
          <w:szCs w:val="18"/>
          <w:b w:val="1"/>
          <w:bCs w:val="1"/>
          <w:color w:val="auto"/>
        </w:rPr>
        <w:t xml:space="preserve">Waiver or Modification. </w:t>
      </w:r>
      <w:r>
        <w:rPr>
          <w:rFonts w:ascii="Arial" w:cs="Arial" w:eastAsia="Arial" w:hAnsi="Arial"/>
          <w:sz w:val="18"/>
          <w:szCs w:val="18"/>
          <w:color w:val="auto"/>
        </w:rPr>
        <w:t>Any waiver by the Company of a breach of any provision of this Agreement shall not operate as, or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a waiver of any other breach of such provision of this Agreement. The failure of the Company to insist on strict adherence to any term of this Agreement on one or more occasions shall not be considered a waiver or deprive the Company of the right thereafter to insist on strict adherence to that term or any other term of this Agreement. Neither this Agreement nor any part of it may be waived, changed or terminated orally, and any waiver, amendment or modification must be in writing signed by the Executive and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26"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08" w:lineRule="exact"/>
        <w:rPr>
          <w:sz w:val="20"/>
          <w:szCs w:val="20"/>
          <w:color w:val="auto"/>
        </w:rPr>
      </w:pPr>
    </w:p>
    <w:p>
      <w:pPr>
        <w:jc w:val="both"/>
        <w:ind w:left="340" w:hanging="332"/>
        <w:spacing w:after="0" w:line="300" w:lineRule="auto"/>
        <w:tabs>
          <w:tab w:leader="none" w:pos="340" w:val="left"/>
        </w:tabs>
        <w:numPr>
          <w:ilvl w:val="0"/>
          <w:numId w:val="80"/>
        </w:numPr>
        <w:rPr>
          <w:rFonts w:ascii="Arial" w:cs="Arial" w:eastAsia="Arial" w:hAnsi="Arial"/>
          <w:sz w:val="19"/>
          <w:szCs w:val="19"/>
          <w:color w:val="auto"/>
        </w:rPr>
      </w:pPr>
      <w:r>
        <w:rPr>
          <w:rFonts w:ascii="Arial" w:cs="Arial" w:eastAsia="Arial" w:hAnsi="Arial"/>
          <w:sz w:val="18"/>
          <w:szCs w:val="18"/>
          <w:b w:val="1"/>
          <w:bCs w:val="1"/>
          <w:color w:val="auto"/>
        </w:rPr>
        <w:t xml:space="preserve">Choice of Law; Arbitration; Choice of Forum. </w:t>
      </w:r>
      <w:r>
        <w:rPr>
          <w:rFonts w:ascii="Arial" w:cs="Arial" w:eastAsia="Arial" w:hAnsi="Arial"/>
          <w:sz w:val="18"/>
          <w:szCs w:val="18"/>
          <w:color w:val="auto"/>
        </w:rPr>
        <w:t>This Agreement will be governed and construed and enforced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California without regard to its conflicts of law rules. Any controversy, dispute or claim arising out of this Agreement or relating to the Executive’s employment with Company shall first be settled through good faith negotiation. If the parties are unsuccessful at resolving the dispute through negotiation, except for injunctive or other equitable relief or as otherwise provided in this Agreement, any and all legal proceedings arising out of or relating to this Agreement or relating to the Executive’s employment with Company, whether sounding in contract, tort or statute, shall be resolved through a confidential arbitration administered by Judicial Arbitration &amp; Mediation Services, Inc. (“</w:t>
      </w:r>
      <w:r>
        <w:rPr>
          <w:rFonts w:ascii="Arial" w:cs="Arial" w:eastAsia="Arial" w:hAnsi="Arial"/>
          <w:sz w:val="18"/>
          <w:szCs w:val="18"/>
          <w:u w:val="single" w:color="auto"/>
          <w:color w:val="auto"/>
        </w:rPr>
        <w:t>JAMS</w:t>
      </w:r>
      <w:r>
        <w:rPr>
          <w:rFonts w:ascii="Arial" w:cs="Arial" w:eastAsia="Arial" w:hAnsi="Arial"/>
          <w:sz w:val="18"/>
          <w:szCs w:val="18"/>
          <w:color w:val="auto"/>
        </w:rPr>
        <w:t>”) pursuant to the JAMS Employment Arbitration Rules and Procedures, or successor rules then in effect and to the extent permitted by law. The rules and further information are available at www.jamsadr.com. The Federal Arbitration Act, as then in effect, shall govern the interpretation and enforcement of such arbitration proceeding. The arbitrator shall apply California State law to the merits of any dispute or claim, without reference to rules of conflict of law. Any determination or decision by the arbitrator will be final and binding upon the parties and may be enforced in any court of law. The parties agree that any arbitration will take place on an individual, and not on a class, basis. Subject to the provisions of this Section regarding arbitration, the Executive and the Company hereby submit to the exclusive jurisdiction and venue of the federal and state courts located in California for the resolution of any and all claims, causes of action or disputes arising out of, related to the enforcement, if necessary, of any arbitral award made pursuant to the provisions of this Section, and the Executive agrees to waive any claim relating to forum non conveniens.</w:t>
      </w:r>
    </w:p>
    <w:p>
      <w:pPr>
        <w:spacing w:after="0" w:line="156" w:lineRule="exact"/>
        <w:rPr>
          <w:sz w:val="20"/>
          <w:szCs w:val="20"/>
          <w:color w:val="auto"/>
        </w:rPr>
      </w:pPr>
    </w:p>
    <w:p>
      <w:pPr>
        <w:spacing w:after="0"/>
        <w:tabs>
          <w:tab w:leader="none" w:pos="2440" w:val="left"/>
        </w:tabs>
        <w:rPr>
          <w:sz w:val="20"/>
          <w:szCs w:val="20"/>
          <w:color w:val="auto"/>
        </w:rPr>
      </w:pPr>
      <w:r>
        <w:rPr>
          <w:rFonts w:ascii="Arial" w:cs="Arial" w:eastAsia="Arial" w:hAnsi="Arial"/>
          <w:sz w:val="20"/>
          <w:szCs w:val="20"/>
          <w:b w:val="1"/>
          <w:bCs w:val="1"/>
          <w:color w:val="auto"/>
        </w:rPr>
        <w:t>Executive Initials /s/ AG</w:t>
      </w:r>
      <w:r>
        <w:rPr>
          <w:sz w:val="20"/>
          <w:szCs w:val="20"/>
          <w:color w:val="auto"/>
        </w:rPr>
        <w:tab/>
      </w:r>
      <w:r>
        <w:rPr>
          <w:rFonts w:ascii="Arial" w:cs="Arial" w:eastAsia="Arial" w:hAnsi="Arial"/>
          <w:sz w:val="18"/>
          <w:szCs w:val="18"/>
          <w:b w:val="1"/>
          <w:bCs w:val="1"/>
          <w:color w:val="auto"/>
        </w:rPr>
        <w:t>Company Representative /s/ MK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-10795</wp:posOffset>
            </wp:positionV>
            <wp:extent cx="4641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464185" cy="8890"/>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-10795</wp:posOffset>
            </wp:positionV>
            <wp:extent cx="4921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492125" cy="8890"/>
                    </a:xfrm>
                    <a:prstGeom prst="rect">
                      <a:avLst/>
                    </a:prstGeom>
                    <a:noFill/>
                  </pic:spPr>
                </pic:pic>
              </a:graphicData>
            </a:graphic>
          </wp:anchor>
        </w:drawing>
      </w:r>
    </w:p>
    <w:p>
      <w:pPr>
        <w:spacing w:after="0" w:line="277" w:lineRule="exact"/>
        <w:rPr>
          <w:sz w:val="20"/>
          <w:szCs w:val="20"/>
          <w:color w:val="auto"/>
        </w:rPr>
      </w:pPr>
    </w:p>
    <w:p>
      <w:pPr>
        <w:jc w:val="both"/>
        <w:ind w:left="340" w:hanging="332"/>
        <w:spacing w:after="0" w:line="302" w:lineRule="auto"/>
        <w:tabs>
          <w:tab w:leader="none" w:pos="340" w:val="left"/>
        </w:tabs>
        <w:numPr>
          <w:ilvl w:val="0"/>
          <w:numId w:val="81"/>
        </w:numPr>
        <w:rPr>
          <w:rFonts w:ascii="Arial" w:cs="Arial" w:eastAsia="Arial" w:hAnsi="Arial"/>
          <w:sz w:val="19"/>
          <w:szCs w:val="19"/>
          <w:color w:val="auto"/>
        </w:rPr>
      </w:pPr>
      <w:r>
        <w:rPr>
          <w:rFonts w:ascii="Arial" w:cs="Arial" w:eastAsia="Arial" w:hAnsi="Arial"/>
          <w:sz w:val="18"/>
          <w:szCs w:val="18"/>
          <w:b w:val="1"/>
          <w:bCs w:val="1"/>
          <w:color w:val="auto"/>
        </w:rPr>
        <w:t xml:space="preserve">Entire Agreement; Construction. </w:t>
      </w:r>
      <w:r>
        <w:rPr>
          <w:rFonts w:ascii="Arial" w:cs="Arial" w:eastAsia="Arial" w:hAnsi="Arial"/>
          <w:sz w:val="18"/>
          <w:szCs w:val="18"/>
          <w:color w:val="auto"/>
        </w:rPr>
        <w:t>This Agreement contains the entire understanding of the parties relating to the subject matter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supersedes all other prior written or oral agreements, understandings or arrangements between the parties relating to the subject matter hereof. The Executive acknowledges and agrees that the compensation paid under the terms of this Agreement shall be in full satisfaction of any amounts due in connection with the Executive’s employment with the Company except as otherwise expressly agreed to in writing. The Executive acknowledges that, in entering into this Agreement, the Executive did not rely and has not relied on any statements or representations not contained in this Agreement. The parties acknowledge and agree that they have been represented by counsel and that each of the parties has participated in the drafting of this Agreement. Accordingly, it is the intention and agreement of the parties that the language, terms and conditions of this Agreement are not to be construed in any way against or in favor of any party hereto by reason of the responsibilities in connection with the preparation of this Agreement.</w:t>
      </w:r>
    </w:p>
    <w:p>
      <w:pPr>
        <w:spacing w:after="0" w:line="166" w:lineRule="exact"/>
        <w:rPr>
          <w:rFonts w:ascii="Arial" w:cs="Arial" w:eastAsia="Arial" w:hAnsi="Arial"/>
          <w:sz w:val="19"/>
          <w:szCs w:val="19"/>
          <w:color w:val="auto"/>
        </w:rPr>
      </w:pPr>
    </w:p>
    <w:p>
      <w:pPr>
        <w:jc w:val="both"/>
        <w:ind w:left="340" w:hanging="332"/>
        <w:spacing w:after="0" w:line="267" w:lineRule="auto"/>
        <w:tabs>
          <w:tab w:leader="none" w:pos="340" w:val="left"/>
        </w:tabs>
        <w:numPr>
          <w:ilvl w:val="0"/>
          <w:numId w:val="81"/>
        </w:numPr>
        <w:rPr>
          <w:rFonts w:ascii="Arial" w:cs="Arial" w:eastAsia="Arial" w:hAnsi="Arial"/>
          <w:sz w:val="22"/>
          <w:szCs w:val="22"/>
          <w:color w:val="auto"/>
        </w:rPr>
      </w:pPr>
      <w:r>
        <w:rPr>
          <w:rFonts w:ascii="Arial" w:cs="Arial" w:eastAsia="Arial" w:hAnsi="Arial"/>
          <w:sz w:val="20"/>
          <w:szCs w:val="20"/>
          <w:b w:val="1"/>
          <w:bCs w:val="1"/>
          <w:color w:val="auto"/>
        </w:rPr>
        <w:t xml:space="preserve">Severability. </w:t>
      </w:r>
      <w:r>
        <w:rPr>
          <w:rFonts w:ascii="Arial" w:cs="Arial" w:eastAsia="Arial" w:hAnsi="Arial"/>
          <w:sz w:val="20"/>
          <w:szCs w:val="20"/>
          <w:color w:val="auto"/>
        </w:rPr>
        <w:t>Any term or provision of this Agreement that is determined to be invalid or unenforceable by any court of competent</w:t>
      </w:r>
      <w:r>
        <w:rPr>
          <w:rFonts w:ascii="Arial" w:cs="Arial" w:eastAsia="Arial" w:hAnsi="Arial"/>
          <w:sz w:val="20"/>
          <w:szCs w:val="20"/>
          <w:b w:val="1"/>
          <w:bCs w:val="1"/>
          <w:color w:val="auto"/>
        </w:rPr>
        <w:t xml:space="preserve"> </w:t>
      </w:r>
      <w:r>
        <w:rPr>
          <w:rFonts w:ascii="Arial" w:cs="Arial" w:eastAsia="Arial" w:hAnsi="Arial"/>
          <w:sz w:val="20"/>
          <w:szCs w:val="20"/>
          <w:color w:val="auto"/>
        </w:rPr>
        <w:t>jurisdiction in any jurisdiction shall, as to such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and such invalid or unenforceable provision shall be modified by such court so that it is enforceable to the extent permitted by applicable law.</w:t>
      </w:r>
    </w:p>
    <w:p>
      <w:pPr>
        <w:spacing w:after="0" w:line="194" w:lineRule="exact"/>
        <w:rPr>
          <w:rFonts w:ascii="Arial" w:cs="Arial" w:eastAsia="Arial" w:hAnsi="Arial"/>
          <w:sz w:val="22"/>
          <w:szCs w:val="22"/>
          <w:color w:val="auto"/>
        </w:rPr>
      </w:pPr>
    </w:p>
    <w:p>
      <w:pPr>
        <w:jc w:val="both"/>
        <w:ind w:left="340" w:hanging="332"/>
        <w:spacing w:after="0" w:line="268" w:lineRule="auto"/>
        <w:tabs>
          <w:tab w:leader="none" w:pos="340" w:val="left"/>
        </w:tabs>
        <w:numPr>
          <w:ilvl w:val="0"/>
          <w:numId w:val="81"/>
        </w:numPr>
        <w:rPr>
          <w:rFonts w:ascii="Arial" w:cs="Arial" w:eastAsia="Arial" w:hAnsi="Arial"/>
          <w:sz w:val="22"/>
          <w:szCs w:val="22"/>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requests, claims, demands and other communications hereunder shall be in writing and shall be given or made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have been duly given or made upon receipt) by delivery in person, by an internationally recognized overnight courier service, by facsimile or registered or certified mail (postage prepaid, return receipt requested) to the respective parties hereto at the latest addresses provided to the other party.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26"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08" w:lineRule="exact"/>
        <w:rPr>
          <w:sz w:val="20"/>
          <w:szCs w:val="20"/>
          <w:color w:val="auto"/>
        </w:rPr>
      </w:pPr>
    </w:p>
    <w:p>
      <w:pPr>
        <w:jc w:val="both"/>
        <w:ind w:left="340" w:right="340" w:hanging="332"/>
        <w:spacing w:after="0" w:line="268" w:lineRule="auto"/>
        <w:tabs>
          <w:tab w:leader="none" w:pos="340" w:val="left"/>
        </w:tabs>
        <w:numPr>
          <w:ilvl w:val="0"/>
          <w:numId w:val="82"/>
        </w:numPr>
        <w:rPr>
          <w:rFonts w:ascii="Arial" w:cs="Arial" w:eastAsia="Arial" w:hAnsi="Arial"/>
          <w:sz w:val="22"/>
          <w:szCs w:val="22"/>
          <w:color w:val="auto"/>
        </w:rPr>
      </w:pPr>
      <w:r>
        <w:rPr>
          <w:rFonts w:ascii="Arial" w:cs="Arial" w:eastAsia="Arial" w:hAnsi="Arial"/>
          <w:sz w:val="20"/>
          <w:szCs w:val="20"/>
          <w:b w:val="1"/>
          <w:bCs w:val="1"/>
          <w:color w:val="auto"/>
        </w:rPr>
        <w:t xml:space="preserve">Affiliates. </w:t>
      </w:r>
      <w:r>
        <w:rPr>
          <w:rFonts w:ascii="Arial" w:cs="Arial" w:eastAsia="Arial" w:hAnsi="Arial"/>
          <w:sz w:val="20"/>
          <w:szCs w:val="20"/>
          <w:color w:val="auto"/>
        </w:rPr>
        <w:t>Whenever used in the Agreement, the term “Affiliates” shall refer to any parent, subsidiary, or other entity (including but not</w:t>
      </w:r>
      <w:r>
        <w:rPr>
          <w:rFonts w:ascii="Arial" w:cs="Arial" w:eastAsia="Arial" w:hAnsi="Arial"/>
          <w:sz w:val="20"/>
          <w:szCs w:val="20"/>
          <w:b w:val="1"/>
          <w:bCs w:val="1"/>
          <w:color w:val="auto"/>
        </w:rPr>
        <w:t xml:space="preserve"> </w:t>
      </w:r>
      <w:r>
        <w:rPr>
          <w:rFonts w:ascii="Arial" w:cs="Arial" w:eastAsia="Arial" w:hAnsi="Arial"/>
          <w:sz w:val="20"/>
          <w:szCs w:val="20"/>
          <w:color w:val="auto"/>
        </w:rPr>
        <w:t>limited to any parent or subsidiary of any such parent, subsidiary or other entity) connected to the Company by common ownership and control, regardless of corporate form.</w:t>
      </w:r>
    </w:p>
    <w:p>
      <w:pPr>
        <w:spacing w:after="0" w:line="203" w:lineRule="exact"/>
        <w:rPr>
          <w:rFonts w:ascii="Arial" w:cs="Arial" w:eastAsia="Arial" w:hAnsi="Arial"/>
          <w:sz w:val="22"/>
          <w:szCs w:val="22"/>
          <w:color w:val="auto"/>
        </w:rPr>
      </w:pPr>
    </w:p>
    <w:p>
      <w:pPr>
        <w:ind w:left="340" w:right="80" w:hanging="332"/>
        <w:spacing w:after="0" w:line="267" w:lineRule="auto"/>
        <w:tabs>
          <w:tab w:leader="none" w:pos="340" w:val="left"/>
        </w:tabs>
        <w:numPr>
          <w:ilvl w:val="0"/>
          <w:numId w:val="82"/>
        </w:numPr>
        <w:rPr>
          <w:rFonts w:ascii="Arial" w:cs="Arial" w:eastAsia="Arial" w:hAnsi="Arial"/>
          <w:sz w:val="22"/>
          <w:szCs w:val="22"/>
          <w:color w:val="auto"/>
        </w:rPr>
      </w:pPr>
      <w:r>
        <w:rPr>
          <w:rFonts w:ascii="Arial" w:cs="Arial" w:eastAsia="Arial" w:hAnsi="Arial"/>
          <w:sz w:val="20"/>
          <w:szCs w:val="20"/>
          <w:b w:val="1"/>
          <w:bCs w:val="1"/>
          <w:color w:val="auto"/>
        </w:rPr>
        <w:t xml:space="preserve">Section 409A Compliance. </w:t>
      </w:r>
      <w:r>
        <w:rPr>
          <w:rFonts w:ascii="Arial" w:cs="Arial" w:eastAsia="Arial" w:hAnsi="Arial"/>
          <w:sz w:val="20"/>
          <w:szCs w:val="20"/>
          <w:color w:val="auto"/>
        </w:rPr>
        <w:t>Except as otherwise expressly provided in this Agreement, any payment that would otherwise constitute</w:t>
      </w:r>
      <w:r>
        <w:rPr>
          <w:rFonts w:ascii="Arial" w:cs="Arial" w:eastAsia="Arial" w:hAnsi="Arial"/>
          <w:sz w:val="20"/>
          <w:szCs w:val="20"/>
          <w:b w:val="1"/>
          <w:bCs w:val="1"/>
          <w:color w:val="auto"/>
        </w:rPr>
        <w:t xml:space="preserve"> </w:t>
      </w:r>
      <w:r>
        <w:rPr>
          <w:rFonts w:ascii="Arial" w:cs="Arial" w:eastAsia="Arial" w:hAnsi="Arial"/>
          <w:sz w:val="20"/>
          <w:szCs w:val="20"/>
          <w:color w:val="auto"/>
        </w:rPr>
        <w:t>deferred compensation within the meaning of Section 409A of the Internal Revenue Code of 1986 (the “Code”), as amended (“Section 409A”), shall be paid within 2 ½ months following the end of the year in which such amount has been earned, but in no case later than the December 31st following the calendar year in which such compensation is otherwise earned. Although the Company makes no guarantee with respect to the tax or other treatment of payments or benefits under this Agreement and shall not be responsible in any event with regard to this Agreement’s compliance with Section 409A, payments under this Agreement are intended to be exempt from or comply with the applicable requirements of Section 409A and will be limited, construed and interpreted in a manner so as to comply therewith. In furtherance of the foregoing:</w:t>
      </w:r>
    </w:p>
    <w:p>
      <w:pPr>
        <w:spacing w:after="0" w:line="216" w:lineRule="exact"/>
        <w:rPr>
          <w:rFonts w:ascii="Arial" w:cs="Arial" w:eastAsia="Arial" w:hAnsi="Arial"/>
          <w:sz w:val="22"/>
          <w:szCs w:val="22"/>
          <w:color w:val="auto"/>
        </w:rPr>
      </w:pPr>
    </w:p>
    <w:p>
      <w:pPr>
        <w:jc w:val="both"/>
        <w:ind w:left="660" w:hanging="409"/>
        <w:spacing w:after="0" w:line="266" w:lineRule="auto"/>
        <w:tabs>
          <w:tab w:leader="none" w:pos="660" w:val="left"/>
        </w:tabs>
        <w:numPr>
          <w:ilvl w:val="1"/>
          <w:numId w:val="82"/>
        </w:numPr>
        <w:rPr>
          <w:rFonts w:ascii="Arial" w:cs="Arial" w:eastAsia="Arial" w:hAnsi="Arial"/>
          <w:sz w:val="22"/>
          <w:szCs w:val="22"/>
          <w:color w:val="auto"/>
        </w:rPr>
      </w:pPr>
      <w:r>
        <w:rPr>
          <w:rFonts w:ascii="Arial" w:cs="Arial" w:eastAsia="Arial" w:hAnsi="Arial"/>
          <w:sz w:val="20"/>
          <w:szCs w:val="20"/>
          <w:color w:val="auto"/>
        </w:rPr>
        <w:t>notwithstanding any provision of this Agreement to the contrary, if the Executive is a “specified employee” as defined for purposes of Section 409A, then all payments to be made to the Executive hereunder due to the termination of employment will be paid, or commence to be paid, on the earlier of the date which is six (6) months after (x) the date that the Executive’s employment with the Company is terminated; or (y) the date of death;</w:t>
      </w:r>
    </w:p>
    <w:p>
      <w:pPr>
        <w:spacing w:after="0" w:line="197" w:lineRule="exact"/>
        <w:rPr>
          <w:rFonts w:ascii="Arial" w:cs="Arial" w:eastAsia="Arial" w:hAnsi="Arial"/>
          <w:sz w:val="22"/>
          <w:szCs w:val="22"/>
          <w:color w:val="auto"/>
        </w:rPr>
      </w:pPr>
    </w:p>
    <w:p>
      <w:pPr>
        <w:ind w:left="660" w:hanging="409"/>
        <w:spacing w:after="0" w:line="334" w:lineRule="auto"/>
        <w:tabs>
          <w:tab w:leader="none" w:pos="660" w:val="left"/>
        </w:tabs>
        <w:numPr>
          <w:ilvl w:val="1"/>
          <w:numId w:val="82"/>
        </w:numPr>
        <w:rPr>
          <w:rFonts w:ascii="Arial" w:cs="Arial" w:eastAsia="Arial" w:hAnsi="Arial"/>
          <w:sz w:val="19"/>
          <w:szCs w:val="19"/>
          <w:color w:val="auto"/>
        </w:rPr>
      </w:pPr>
      <w:r>
        <w:rPr>
          <w:rFonts w:ascii="Arial" w:cs="Arial" w:eastAsia="Arial" w:hAnsi="Arial"/>
          <w:sz w:val="18"/>
          <w:szCs w:val="18"/>
          <w:color w:val="auto"/>
        </w:rPr>
        <w:t>notwithstanding any provision of this Agreement to the contrary, the Executive’s employment with the Company will not be deemed to have been terminated unless and until the Executive has had a “separation from service,” as determined under Section 409A; and</w:t>
      </w:r>
    </w:p>
    <w:p>
      <w:pPr>
        <w:spacing w:after="0" w:line="134" w:lineRule="exact"/>
        <w:rPr>
          <w:rFonts w:ascii="Arial" w:cs="Arial" w:eastAsia="Arial" w:hAnsi="Arial"/>
          <w:sz w:val="19"/>
          <w:szCs w:val="19"/>
          <w:color w:val="auto"/>
        </w:rPr>
      </w:pPr>
    </w:p>
    <w:p>
      <w:pPr>
        <w:ind w:left="660" w:hanging="409"/>
        <w:spacing w:after="0"/>
        <w:tabs>
          <w:tab w:leader="none" w:pos="660" w:val="left"/>
        </w:tabs>
        <w:numPr>
          <w:ilvl w:val="1"/>
          <w:numId w:val="82"/>
        </w:numPr>
        <w:rPr>
          <w:rFonts w:ascii="Arial" w:cs="Arial" w:eastAsia="Arial" w:hAnsi="Arial"/>
          <w:sz w:val="22"/>
          <w:szCs w:val="22"/>
          <w:color w:val="auto"/>
        </w:rPr>
      </w:pPr>
      <w:r>
        <w:rPr>
          <w:rFonts w:ascii="Arial" w:cs="Arial" w:eastAsia="Arial" w:hAnsi="Arial"/>
          <w:sz w:val="20"/>
          <w:szCs w:val="20"/>
          <w:color w:val="auto"/>
        </w:rPr>
        <w:t>each payment that is part of a series of payment will be a single payment for purposes of Section 409A.</w:t>
      </w:r>
    </w:p>
    <w:p>
      <w:pPr>
        <w:spacing w:after="0" w:line="216" w:lineRule="exact"/>
        <w:rPr>
          <w:rFonts w:ascii="Arial" w:cs="Arial" w:eastAsia="Arial" w:hAnsi="Arial"/>
          <w:sz w:val="22"/>
          <w:szCs w:val="22"/>
          <w:color w:val="auto"/>
        </w:rPr>
      </w:pPr>
    </w:p>
    <w:p>
      <w:pPr>
        <w:jc w:val="both"/>
        <w:ind w:left="340" w:hanging="332"/>
        <w:spacing w:after="0" w:line="282" w:lineRule="auto"/>
        <w:tabs>
          <w:tab w:leader="none" w:pos="340" w:val="left"/>
        </w:tabs>
        <w:numPr>
          <w:ilvl w:val="0"/>
          <w:numId w:val="82"/>
        </w:numPr>
        <w:rPr>
          <w:rFonts w:ascii="Arial" w:cs="Arial" w:eastAsia="Arial" w:hAnsi="Arial"/>
          <w:sz w:val="21"/>
          <w:szCs w:val="21"/>
          <w:color w:val="auto"/>
        </w:rPr>
      </w:pPr>
      <w:r>
        <w:rPr>
          <w:rFonts w:ascii="Arial" w:cs="Arial" w:eastAsia="Arial" w:hAnsi="Arial"/>
          <w:sz w:val="19"/>
          <w:szCs w:val="19"/>
          <w:b w:val="1"/>
          <w:bCs w:val="1"/>
          <w:color w:val="auto"/>
        </w:rPr>
        <w:t xml:space="preserve">Section 280G. </w:t>
      </w:r>
      <w:r>
        <w:rPr>
          <w:rFonts w:ascii="Arial" w:cs="Arial" w:eastAsia="Arial" w:hAnsi="Arial"/>
          <w:sz w:val="19"/>
          <w:szCs w:val="19"/>
          <w:color w:val="auto"/>
        </w:rPr>
        <w:t>If any payment(s) or benefit(s) the Executive would receive pursuant to this Agreement and/or pursuant to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arrangement would (a) constitute a “parachute payment” within the meaning of Section 280G of the Code, (b) but for this Section,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and (c) if the net-after tax amount (taking into account all applicable taxes payable by the Executive, including any Excise Tax) that the Executive would receive with respect to such payments or benefits does not exceed the Reduced Amount, then such payment(s) or benefit(s) (collectively, “</w:t>
      </w:r>
      <w:r>
        <w:rPr>
          <w:rFonts w:ascii="Arial" w:cs="Arial" w:eastAsia="Arial" w:hAnsi="Arial"/>
          <w:sz w:val="19"/>
          <w:szCs w:val="19"/>
          <w:u w:val="single" w:color="auto"/>
          <w:color w:val="auto"/>
        </w:rPr>
        <w:t>Payments</w:t>
      </w:r>
      <w:r>
        <w:rPr>
          <w:rFonts w:ascii="Arial" w:cs="Arial" w:eastAsia="Arial" w:hAnsi="Arial"/>
          <w:sz w:val="19"/>
          <w:szCs w:val="19"/>
          <w:color w:val="auto"/>
        </w:rPr>
        <w:t>”) shall be reduced to the Reduced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shall be the largest portion of the Payments that can be paid or provided without causing any portion of the Payments being subject to the Excise Tax. If a reduction in payments or benefits constituting “parachute payments” is necessary so that the Payments equal the Reduced Amount, reduction shall occur in the following order: (i) first, any severance payments; (ii) second, any other cash payments due under any other agreement between the Company and the Executive; (iii) third, cancellation of the acceleration of vesting of any stock options; (iv) fourth, cancellation of the acceleration of vesting of any restricted stock and restricted stock units; and (v) lastly, other non-cash forms of benefits. Calculations of the foregoing will be performed at the expense of the Company by an accounting firm selected by the Company. The determinations of such accounting firm shall be final, binding and conclusive upon the Company and the Executive.</w:t>
      </w:r>
    </w:p>
    <w:p>
      <w:pPr>
        <w:spacing w:after="0" w:line="187" w:lineRule="exact"/>
        <w:rPr>
          <w:rFonts w:ascii="Arial" w:cs="Arial" w:eastAsia="Arial" w:hAnsi="Arial"/>
          <w:sz w:val="21"/>
          <w:szCs w:val="21"/>
          <w:color w:val="auto"/>
        </w:rPr>
      </w:pPr>
    </w:p>
    <w:p>
      <w:pPr>
        <w:ind w:left="340" w:hanging="332"/>
        <w:spacing w:after="0" w:line="271" w:lineRule="auto"/>
        <w:tabs>
          <w:tab w:leader="none" w:pos="340" w:val="left"/>
        </w:tabs>
        <w:numPr>
          <w:ilvl w:val="0"/>
          <w:numId w:val="82"/>
        </w:numPr>
        <w:rPr>
          <w:rFonts w:ascii="Arial" w:cs="Arial" w:eastAsia="Arial" w:hAnsi="Arial"/>
          <w:sz w:val="22"/>
          <w:szCs w:val="22"/>
          <w:color w:val="auto"/>
        </w:rPr>
      </w:pPr>
      <w:r>
        <w:rPr>
          <w:rFonts w:ascii="Arial" w:cs="Arial" w:eastAsia="Arial" w:hAnsi="Arial"/>
          <w:sz w:val="20"/>
          <w:szCs w:val="20"/>
          <w:b w:val="1"/>
          <w:bCs w:val="1"/>
          <w:color w:val="auto"/>
        </w:rPr>
        <w:t xml:space="preserve">Indemnification. </w:t>
      </w:r>
      <w:r>
        <w:rPr>
          <w:rFonts w:ascii="Arial" w:cs="Arial" w:eastAsia="Arial" w:hAnsi="Arial"/>
          <w:sz w:val="20"/>
          <w:szCs w:val="20"/>
          <w:color w:val="auto"/>
        </w:rPr>
        <w:t>The Executive shall not be liable to the Company for any loss, damage or claim incurred by reason of any act or omission</w:t>
      </w:r>
      <w:r>
        <w:rPr>
          <w:rFonts w:ascii="Arial" w:cs="Arial" w:eastAsia="Arial" w:hAnsi="Arial"/>
          <w:sz w:val="20"/>
          <w:szCs w:val="20"/>
          <w:b w:val="1"/>
          <w:bCs w:val="1"/>
          <w:color w:val="auto"/>
        </w:rPr>
        <w:t xml:space="preserve"> </w:t>
      </w:r>
      <w:r>
        <w:rPr>
          <w:rFonts w:ascii="Arial" w:cs="Arial" w:eastAsia="Arial" w:hAnsi="Arial"/>
          <w:sz w:val="20"/>
          <w:szCs w:val="20"/>
          <w:color w:val="auto"/>
        </w:rPr>
        <w:t>performed or omitted by the Executive in good faith on behalf</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26"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14" w:lineRule="exact"/>
        <w:rPr>
          <w:sz w:val="20"/>
          <w:szCs w:val="20"/>
          <w:color w:val="auto"/>
        </w:rPr>
      </w:pPr>
    </w:p>
    <w:p>
      <w:pPr>
        <w:jc w:val="both"/>
        <w:ind w:left="340"/>
        <w:spacing w:after="0" w:line="284" w:lineRule="auto"/>
        <w:rPr>
          <w:sz w:val="20"/>
          <w:szCs w:val="20"/>
          <w:color w:val="auto"/>
        </w:rPr>
      </w:pPr>
      <w:r>
        <w:rPr>
          <w:rFonts w:ascii="Arial" w:cs="Arial" w:eastAsia="Arial" w:hAnsi="Arial"/>
          <w:sz w:val="19"/>
          <w:szCs w:val="19"/>
          <w:color w:val="auto"/>
        </w:rPr>
        <w:t xml:space="preserve">of the Company and in a manner reasonably believed by the Executive to be within the scope of the authority conferred on the Executive by this Agreement, except that the Executive shall be liable for any such loss, damage or claim incurred by reason of the Executive’s fraud or intentional malfeasance. To the fullest extent permitted by applicable law, the Company shall indemnify the Executive for any loss, damage or claim incurred by the Executive by reason of any act or omission performed or omitted by the Executive in good faith on behalf of the Company and in a manner reasonably believed by the Executive to be within the scope of the authority conferred on the Executive by this Agreement, except that the Executive shall not be entitled to be indemnified in respect of any loss, damage or claim incurred by the Executive by reason of the Executive’s gross negligence or willful misconduct with respect to such acts or omissions, as determined by a final and non-appealable arbitration adjudication pursuant to the provisions of </w:t>
      </w:r>
      <w:r>
        <w:rPr>
          <w:rFonts w:ascii="Arial" w:cs="Arial" w:eastAsia="Arial" w:hAnsi="Arial"/>
          <w:sz w:val="19"/>
          <w:szCs w:val="19"/>
          <w:u w:val="single" w:color="auto"/>
          <w:color w:val="auto"/>
        </w:rPr>
        <w:t>Section 18</w:t>
      </w:r>
      <w:r>
        <w:rPr>
          <w:rFonts w:ascii="Arial" w:cs="Arial" w:eastAsia="Arial" w:hAnsi="Arial"/>
          <w:sz w:val="19"/>
          <w:szCs w:val="19"/>
          <w:color w:val="auto"/>
        </w:rPr>
        <w:t>; provided, however, that, for the avoidance of doubt, any indemnity under this Section shall be provided out of and to the extent of Company assets only, and the members of the Company shall have no personal liability on account thereof. To the fullest extent permitted by applicable law, expenses (including reasonable and documented legal fees) incurred by the Executive in defending any claim, demand, action, suit or proceeding brought by any person or entity other than Company or any Affiliate shall, from time to time, be advanced by the Company prior to the final disposition of such claim, demand, action, suit or proceeding upon receipt by the Company of an undertaking by or on behalf of the Executive to repay such amount if it shall ultimately be determined that the Executive is not entitled to be indemnified as authorized in this Section.</w:t>
      </w:r>
    </w:p>
    <w:p>
      <w:pPr>
        <w:spacing w:after="0" w:line="181" w:lineRule="exact"/>
        <w:rPr>
          <w:sz w:val="20"/>
          <w:szCs w:val="20"/>
          <w:color w:val="auto"/>
        </w:rPr>
      </w:pPr>
    </w:p>
    <w:p>
      <w:pPr>
        <w:ind w:left="340" w:hanging="332"/>
        <w:spacing w:after="0" w:line="298" w:lineRule="auto"/>
        <w:tabs>
          <w:tab w:leader="none" w:pos="340" w:val="left"/>
        </w:tabs>
        <w:numPr>
          <w:ilvl w:val="0"/>
          <w:numId w:val="83"/>
        </w:numPr>
        <w:rPr>
          <w:rFonts w:ascii="Arial" w:cs="Arial" w:eastAsia="Arial" w:hAnsi="Arial"/>
          <w:sz w:val="21"/>
          <w:szCs w:val="21"/>
          <w:color w:val="auto"/>
        </w:rPr>
      </w:pPr>
      <w:r>
        <w:rPr>
          <w:rFonts w:ascii="Arial" w:cs="Arial" w:eastAsia="Arial" w:hAnsi="Arial"/>
          <w:sz w:val="19"/>
          <w:szCs w:val="19"/>
          <w:b w:val="1"/>
          <w:bCs w:val="1"/>
          <w:color w:val="auto"/>
        </w:rPr>
        <w:t xml:space="preserve">Legal Fees of the Executive. </w:t>
      </w:r>
      <w:r>
        <w:rPr>
          <w:rFonts w:ascii="Arial" w:cs="Arial" w:eastAsia="Arial" w:hAnsi="Arial"/>
          <w:sz w:val="19"/>
          <w:szCs w:val="19"/>
          <w:color w:val="auto"/>
        </w:rPr>
        <w:t>The Company will pay, or reimburse the Executive, for the reasonable legal fees and expenses incurred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legal counsel in connection with entering into this Agreement up to fifteen thousand dollars ($15,000).</w:t>
      </w:r>
    </w:p>
    <w:p>
      <w:pPr>
        <w:spacing w:after="0" w:line="158" w:lineRule="exact"/>
        <w:rPr>
          <w:rFonts w:ascii="Arial" w:cs="Arial" w:eastAsia="Arial" w:hAnsi="Arial"/>
          <w:sz w:val="21"/>
          <w:szCs w:val="21"/>
          <w:color w:val="auto"/>
        </w:rPr>
      </w:pPr>
    </w:p>
    <w:p>
      <w:pPr>
        <w:ind w:left="340" w:right="20" w:hanging="332"/>
        <w:spacing w:after="0" w:line="298" w:lineRule="auto"/>
        <w:tabs>
          <w:tab w:leader="none" w:pos="340" w:val="left"/>
        </w:tabs>
        <w:numPr>
          <w:ilvl w:val="0"/>
          <w:numId w:val="83"/>
        </w:numPr>
        <w:rPr>
          <w:rFonts w:ascii="Arial" w:cs="Arial" w:eastAsia="Arial" w:hAnsi="Arial"/>
          <w:sz w:val="21"/>
          <w:szCs w:val="21"/>
          <w:color w:val="auto"/>
        </w:rPr>
      </w:pPr>
      <w:r>
        <w:rPr>
          <w:rFonts w:ascii="Arial" w:cs="Arial" w:eastAsia="Arial" w:hAnsi="Arial"/>
          <w:sz w:val="19"/>
          <w:szCs w:val="19"/>
          <w:b w:val="1"/>
          <w:bCs w:val="1"/>
          <w:color w:val="auto"/>
        </w:rPr>
        <w:t xml:space="preserve">Survival. </w:t>
      </w:r>
      <w:r>
        <w:rPr>
          <w:rFonts w:ascii="Arial" w:cs="Arial" w:eastAsia="Arial" w:hAnsi="Arial"/>
          <w:sz w:val="19"/>
          <w:szCs w:val="19"/>
          <w:color w:val="auto"/>
        </w:rPr>
        <w:t>The covenants, agreements, representations and warranties contained in this Agreement shall survive the termination of the Term</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Executive’s termination of employment with the Company or its Affiliates at any time and for any reason.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this Agreement has been executed and delivered by the parties as of the first date written above.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60" w:type="dxa"/>
            <w:vAlign w:val="bottom"/>
          </w:tcPr>
          <w:p>
            <w:pPr>
              <w:spacing w:after="0"/>
              <w:rPr>
                <w:sz w:val="20"/>
                <w:szCs w:val="20"/>
                <w:color w:val="auto"/>
              </w:rPr>
            </w:pPr>
            <w:r>
              <w:rPr>
                <w:rFonts w:ascii="Arial" w:cs="Arial" w:eastAsia="Arial" w:hAnsi="Arial"/>
                <w:sz w:val="20"/>
                <w:szCs w:val="20"/>
                <w:b w:val="1"/>
                <w:bCs w:val="1"/>
                <w:color w:val="auto"/>
              </w:rPr>
              <w:t>EXECUTIVE</w:t>
            </w:r>
            <w:r>
              <w:rPr>
                <w:rFonts w:ascii="Arial" w:cs="Arial" w:eastAsia="Arial" w:hAnsi="Arial"/>
                <w:sz w:val="20"/>
                <w:szCs w:val="20"/>
                <w:color w:val="auto"/>
              </w:rPr>
              <w:t>:</w:t>
            </w:r>
          </w:p>
        </w:tc>
        <w:tc>
          <w:tcPr>
            <w:tcW w:w="7000" w:type="dxa"/>
            <w:vAlign w:val="bottom"/>
            <w:gridSpan w:val="8"/>
          </w:tcPr>
          <w:p>
            <w:pPr>
              <w:ind w:left="1260"/>
              <w:spacing w:after="0"/>
              <w:rPr>
                <w:sz w:val="20"/>
                <w:szCs w:val="20"/>
                <w:color w:val="auto"/>
              </w:rPr>
            </w:pPr>
            <w:r>
              <w:rPr>
                <w:rFonts w:ascii="Arial" w:cs="Arial" w:eastAsia="Arial" w:hAnsi="Arial"/>
                <w:sz w:val="20"/>
                <w:szCs w:val="20"/>
                <w:b w:val="1"/>
                <w:bCs w:val="1"/>
                <w:color w:val="auto"/>
              </w:rPr>
              <w:t>GSV CAPITAL CORP.</w:t>
            </w:r>
          </w:p>
        </w:tc>
        <w:tc>
          <w:tcPr>
            <w:tcW w:w="0" w:type="dxa"/>
            <w:vAlign w:val="bottom"/>
          </w:tcPr>
          <w:p>
            <w:pPr>
              <w:spacing w:after="0"/>
              <w:rPr>
                <w:sz w:val="1"/>
                <w:szCs w:val="1"/>
                <w:color w:val="auto"/>
              </w:rPr>
            </w:pPr>
          </w:p>
        </w:tc>
      </w:tr>
      <w:tr>
        <w:trPr>
          <w:trHeight w:val="415"/>
        </w:trPr>
        <w:tc>
          <w:tcPr>
            <w:tcW w:w="3540" w:type="dxa"/>
            <w:vAlign w:val="bottom"/>
            <w:gridSpan w:val="2"/>
          </w:tcPr>
          <w:p>
            <w:pPr>
              <w:spacing w:after="0"/>
              <w:rPr>
                <w:sz w:val="20"/>
                <w:szCs w:val="20"/>
                <w:color w:val="auto"/>
              </w:rPr>
            </w:pPr>
            <w:r>
              <w:rPr>
                <w:rFonts w:ascii="Arial" w:cs="Arial" w:eastAsia="Arial" w:hAnsi="Arial"/>
                <w:sz w:val="20"/>
                <w:szCs w:val="20"/>
                <w:color w:val="auto"/>
              </w:rPr>
              <w:t>/s/ Allison Green__________________</w:t>
            </w:r>
          </w:p>
        </w:tc>
        <w:tc>
          <w:tcPr>
            <w:tcW w:w="4820" w:type="dxa"/>
            <w:vAlign w:val="bottom"/>
            <w:gridSpan w:val="7"/>
          </w:tcPr>
          <w:p>
            <w:pPr>
              <w:ind w:left="400"/>
              <w:spacing w:after="0"/>
              <w:rPr>
                <w:sz w:val="20"/>
                <w:szCs w:val="20"/>
                <w:color w:val="auto"/>
              </w:rPr>
            </w:pPr>
            <w:r>
              <w:rPr>
                <w:rFonts w:ascii="Arial" w:cs="Arial" w:eastAsia="Arial" w:hAnsi="Arial"/>
                <w:sz w:val="20"/>
                <w:szCs w:val="20"/>
                <w:color w:val="auto"/>
              </w:rPr>
              <w:t>By: /s/ Mark D. Klein_______________</w:t>
            </w: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360" w:type="dxa"/>
            <w:vAlign w:val="bottom"/>
          </w:tcPr>
          <w:p>
            <w:pPr>
              <w:spacing w:after="0"/>
              <w:rPr>
                <w:sz w:val="20"/>
                <w:szCs w:val="20"/>
                <w:color w:val="auto"/>
              </w:rPr>
            </w:pPr>
            <w:r>
              <w:rPr>
                <w:rFonts w:ascii="Arial" w:cs="Arial" w:eastAsia="Arial" w:hAnsi="Arial"/>
                <w:sz w:val="20"/>
                <w:szCs w:val="20"/>
                <w:color w:val="auto"/>
              </w:rPr>
              <w:t>Allison Green</w:t>
            </w:r>
          </w:p>
        </w:tc>
        <w:tc>
          <w:tcPr>
            <w:tcW w:w="2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100" w:type="dxa"/>
            <w:vAlign w:val="bottom"/>
            <w:gridSpan w:val="6"/>
            <w:vMerge w:val="restart"/>
          </w:tcPr>
          <w:p>
            <w:pPr>
              <w:ind w:left="940"/>
              <w:spacing w:after="0"/>
              <w:rPr>
                <w:sz w:val="20"/>
                <w:szCs w:val="20"/>
                <w:color w:val="auto"/>
              </w:rPr>
            </w:pPr>
            <w:r>
              <w:rPr>
                <w:rFonts w:ascii="Arial" w:cs="Arial" w:eastAsia="Arial" w:hAnsi="Arial"/>
                <w:sz w:val="20"/>
                <w:szCs w:val="20"/>
                <w:color w:val="auto"/>
              </w:rPr>
              <w:t>Name: Mark D. Klein ____</w:t>
            </w:r>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00" w:type="dxa"/>
            <w:vAlign w:val="bottom"/>
            <w:gridSpan w:val="6"/>
          </w:tcPr>
          <w:p>
            <w:pPr>
              <w:ind w:left="940"/>
              <w:spacing w:after="0"/>
              <w:rPr>
                <w:sz w:val="20"/>
                <w:szCs w:val="20"/>
                <w:color w:val="auto"/>
              </w:rPr>
            </w:pPr>
            <w:r>
              <w:rPr>
                <w:rFonts w:ascii="Arial" w:cs="Arial" w:eastAsia="Arial" w:hAnsi="Arial"/>
                <w:sz w:val="20"/>
                <w:szCs w:val="20"/>
                <w:color w:val="auto"/>
                <w:w w:val="91"/>
              </w:rPr>
              <w:t>Title: _Chief Executive Officer_______</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25"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Permitted Activities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page has been intentionally left blank.</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9019"/>
          </w:cols>
          <w:pgMar w:left="1440" w:top="616" w:right="1440"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FORM RELEASE AGREEMENT</w:t>
      </w:r>
    </w:p>
    <w:p>
      <w:pPr>
        <w:spacing w:after="0" w:line="229"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This Release Agreement (“</w:t>
      </w:r>
      <w:r>
        <w:rPr>
          <w:rFonts w:ascii="Arial" w:cs="Arial" w:eastAsia="Arial" w:hAnsi="Arial"/>
          <w:sz w:val="18"/>
          <w:szCs w:val="18"/>
          <w:b w:val="1"/>
          <w:bCs w:val="1"/>
          <w:color w:val="auto"/>
        </w:rPr>
        <w:t>Release</w:t>
      </w:r>
      <w:r>
        <w:rPr>
          <w:rFonts w:ascii="Arial" w:cs="Arial" w:eastAsia="Arial" w:hAnsi="Arial"/>
          <w:sz w:val="18"/>
          <w:szCs w:val="18"/>
          <w:color w:val="auto"/>
        </w:rPr>
        <w:t>”) is entered into by and between GSV Capital Corp., together with its parents, subsidiaries, predecessors, successors and affiliates (the “</w:t>
      </w:r>
      <w:r>
        <w:rPr>
          <w:rFonts w:ascii="Arial" w:cs="Arial" w:eastAsia="Arial" w:hAnsi="Arial"/>
          <w:sz w:val="18"/>
          <w:szCs w:val="18"/>
          <w:b w:val="1"/>
          <w:bCs w:val="1"/>
          <w:color w:val="auto"/>
        </w:rPr>
        <w:t>Company</w:t>
      </w:r>
      <w:r>
        <w:rPr>
          <w:rFonts w:ascii="Arial" w:cs="Arial" w:eastAsia="Arial" w:hAnsi="Arial"/>
          <w:sz w:val="18"/>
          <w:szCs w:val="18"/>
          <w:color w:val="auto"/>
        </w:rPr>
        <w:t>”) and Allison Green (the “</w:t>
      </w:r>
      <w:r>
        <w:rPr>
          <w:rFonts w:ascii="Arial" w:cs="Arial" w:eastAsia="Arial" w:hAnsi="Arial"/>
          <w:sz w:val="18"/>
          <w:szCs w:val="18"/>
          <w:b w:val="1"/>
          <w:bCs w:val="1"/>
          <w:color w:val="auto"/>
        </w:rPr>
        <w:t>Executive</w:t>
      </w:r>
      <w:r>
        <w:rPr>
          <w:rFonts w:ascii="Arial" w:cs="Arial" w:eastAsia="Arial" w:hAnsi="Arial"/>
          <w:sz w:val="18"/>
          <w:szCs w:val="18"/>
          <w:color w:val="auto"/>
        </w:rPr>
        <w:t>”) (each a “</w:t>
      </w:r>
      <w:r>
        <w:rPr>
          <w:rFonts w:ascii="Arial" w:cs="Arial" w:eastAsia="Arial" w:hAnsi="Arial"/>
          <w:sz w:val="18"/>
          <w:szCs w:val="18"/>
          <w:b w:val="1"/>
          <w:bCs w:val="1"/>
          <w:color w:val="auto"/>
        </w:rPr>
        <w:t>Party</w:t>
      </w:r>
      <w:r>
        <w:rPr>
          <w:rFonts w:ascii="Arial" w:cs="Arial" w:eastAsia="Arial" w:hAnsi="Arial"/>
          <w:sz w:val="18"/>
          <w:szCs w:val="18"/>
          <w:color w:val="auto"/>
        </w:rPr>
        <w:t>,”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WHEREAS, the Executive is currently employed by the Company as the ______________ of the Company;</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WHEREAS, the Parties have entered into that certain employment agreement effective as of </w:t>
      </w:r>
      <w:r>
        <w:rPr>
          <w:rFonts w:ascii="Arial" w:cs="Arial" w:eastAsia="Arial" w:hAnsi="Arial"/>
          <w:sz w:val="18"/>
          <w:szCs w:val="18"/>
          <w:u w:val="single" w:color="auto"/>
          <w:color w:val="auto"/>
        </w:rPr>
        <w:t>__________________</w:t>
      </w:r>
      <w:r>
        <w:rPr>
          <w:rFonts w:ascii="Arial" w:cs="Arial" w:eastAsia="Arial" w:hAnsi="Arial"/>
          <w:sz w:val="18"/>
          <w:szCs w:val="18"/>
          <w:color w:val="auto"/>
        </w:rPr>
        <w:t xml:space="preserve"> (the “</w:t>
      </w:r>
      <w:r>
        <w:rPr>
          <w:rFonts w:ascii="Arial" w:cs="Arial" w:eastAsia="Arial" w:hAnsi="Arial"/>
          <w:sz w:val="18"/>
          <w:szCs w:val="18"/>
          <w:b w:val="1"/>
          <w:bCs w:val="1"/>
          <w:color w:val="auto"/>
        </w:rPr>
        <w:t>Employment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20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8"/>
          <w:szCs w:val="18"/>
          <w:color w:val="auto"/>
        </w:rPr>
        <w:t xml:space="preserve">WHEREAS, [the Company wishes to terminate the Executive’s employment without Cause </w:t>
      </w:r>
      <w:r>
        <w:rPr>
          <w:rFonts w:ascii="Arial" w:cs="Arial" w:eastAsia="Arial" w:hAnsi="Arial"/>
          <w:sz w:val="18"/>
          <w:szCs w:val="18"/>
          <w:b w:val="1"/>
          <w:bCs w:val="1"/>
          <w:color w:val="auto"/>
        </w:rPr>
        <w:t>OR</w:t>
      </w:r>
      <w:r>
        <w:rPr>
          <w:rFonts w:ascii="Arial" w:cs="Arial" w:eastAsia="Arial" w:hAnsi="Arial"/>
          <w:sz w:val="18"/>
          <w:szCs w:val="18"/>
          <w:color w:val="auto"/>
        </w:rPr>
        <w:t xml:space="preserve"> the Executive wishes to terminate employment for Good Reason (each as defined in the Employment Agreement) </w:t>
      </w:r>
      <w:r>
        <w:rPr>
          <w:rFonts w:ascii="Arial" w:cs="Arial" w:eastAsia="Arial" w:hAnsi="Arial"/>
          <w:sz w:val="18"/>
          <w:szCs w:val="18"/>
          <w:b w:val="1"/>
          <w:bCs w:val="1"/>
          <w:color w:val="auto"/>
        </w:rPr>
        <w:t>OR</w:t>
      </w:r>
      <w:r>
        <w:rPr>
          <w:rFonts w:ascii="Arial" w:cs="Arial" w:eastAsia="Arial" w:hAnsi="Arial"/>
          <w:sz w:val="18"/>
          <w:szCs w:val="18"/>
          <w:color w:val="auto"/>
        </w:rPr>
        <w:t xml:space="preserve"> the Executive’s employment has been terminated due to Disability (as defined in the Employment Agreement) </w:t>
      </w:r>
      <w:r>
        <w:rPr>
          <w:rFonts w:ascii="Arial" w:cs="Arial" w:eastAsia="Arial" w:hAnsi="Arial"/>
          <w:sz w:val="18"/>
          <w:szCs w:val="18"/>
          <w:b w:val="1"/>
          <w:bCs w:val="1"/>
          <w:color w:val="auto"/>
        </w:rPr>
        <w:t>OR</w:t>
      </w:r>
      <w:r>
        <w:rPr>
          <w:rFonts w:ascii="Arial" w:cs="Arial" w:eastAsia="Arial" w:hAnsi="Arial"/>
          <w:sz w:val="18"/>
          <w:szCs w:val="18"/>
          <w:color w:val="auto"/>
        </w:rPr>
        <w:t xml:space="preserve"> the Executive’s employment has been terminated due to the Executive’s death]; and</w:t>
      </w:r>
    </w:p>
    <w:p>
      <w:pPr>
        <w:spacing w:after="0" w:line="16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WHEREAS, the Executive’s right to receive certain severance benefits as set forth in the Employment Agreement is conditioned on the Executive executing this Release.</w:t>
      </w:r>
    </w:p>
    <w:p>
      <w:pPr>
        <w:spacing w:after="0" w:line="1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 consideration of the mutual covenants and promises each Party has made to the other as set forth in this Release and the Employment Agreement, the Parties agree as follows:</w:t>
      </w:r>
    </w:p>
    <w:p>
      <w:pPr>
        <w:spacing w:after="0" w:line="190" w:lineRule="exact"/>
        <w:rPr>
          <w:sz w:val="20"/>
          <w:szCs w:val="20"/>
          <w:color w:val="auto"/>
        </w:rPr>
      </w:pPr>
    </w:p>
    <w:p>
      <w:pPr>
        <w:jc w:val="both"/>
        <w:ind w:left="340" w:hanging="332"/>
        <w:spacing w:after="0" w:line="260" w:lineRule="auto"/>
        <w:tabs>
          <w:tab w:leader="none" w:pos="34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Separation Date</w:t>
      </w:r>
      <w:r>
        <w:rPr>
          <w:rFonts w:ascii="Arial" w:cs="Arial" w:eastAsia="Arial" w:hAnsi="Arial"/>
          <w:sz w:val="19"/>
          <w:szCs w:val="19"/>
          <w:color w:val="auto"/>
        </w:rPr>
        <w:t>. The Executive agrees that the Executive’s employment with the Company shall end as of [_____________________] (the “</w:t>
      </w:r>
      <w:r>
        <w:rPr>
          <w:rFonts w:ascii="Arial" w:cs="Arial" w:eastAsia="Arial" w:hAnsi="Arial"/>
          <w:sz w:val="19"/>
          <w:szCs w:val="19"/>
          <w:b w:val="1"/>
          <w:bCs w:val="1"/>
          <w:color w:val="auto"/>
        </w:rPr>
        <w:t>Separation Date</w:t>
      </w:r>
      <w:r>
        <w:rPr>
          <w:rFonts w:ascii="Arial" w:cs="Arial" w:eastAsia="Arial" w:hAnsi="Arial"/>
          <w:sz w:val="19"/>
          <w:szCs w:val="19"/>
          <w:color w:val="auto"/>
        </w:rPr>
        <w:t>”). As of the Separation Date, the Executive (a) shall cease to be an employee of the Company, and (b) shall no longer be authorized to bind the Company or to hold himself or herself out as an employee or agent of the Company. [During the Executive’s employment through the Separation Date, the Executive agrees that the Executive will reasonably assist in the transition of his or her duties and responsibilities as reasonably directed by the Company.]</w:t>
      </w:r>
    </w:p>
    <w:p>
      <w:pPr>
        <w:spacing w:after="0" w:line="194" w:lineRule="exact"/>
        <w:rPr>
          <w:rFonts w:ascii="Arial" w:cs="Arial" w:eastAsia="Arial" w:hAnsi="Arial"/>
          <w:sz w:val="19"/>
          <w:szCs w:val="19"/>
          <w:color w:val="auto"/>
        </w:rPr>
      </w:pPr>
    </w:p>
    <w:p>
      <w:pPr>
        <w:ind w:left="340" w:hanging="332"/>
        <w:spacing w:after="0"/>
        <w:tabs>
          <w:tab w:leader="none" w:pos="340"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Accrued Compensation and Benefits</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jc w:val="both"/>
        <w:ind w:left="660" w:hanging="409"/>
        <w:spacing w:after="0" w:line="290" w:lineRule="auto"/>
        <w:tabs>
          <w:tab w:leader="none" w:pos="660" w:val="left"/>
        </w:tabs>
        <w:numPr>
          <w:ilvl w:val="1"/>
          <w:numId w:val="84"/>
        </w:numPr>
        <w:rPr>
          <w:rFonts w:ascii="Arial" w:cs="Arial" w:eastAsia="Arial" w:hAnsi="Arial"/>
          <w:sz w:val="21"/>
          <w:szCs w:val="21"/>
          <w:color w:val="auto"/>
        </w:rPr>
      </w:pPr>
      <w:r>
        <w:rPr>
          <w:rFonts w:ascii="Arial" w:cs="Arial" w:eastAsia="Arial" w:hAnsi="Arial"/>
          <w:sz w:val="19"/>
          <w:szCs w:val="19"/>
          <w:color w:val="auto"/>
        </w:rPr>
        <w:t xml:space="preserve">Even if the Executive does not sign this Agreement, (A) the Company shall pay the Executive, through the Separation Date, </w:t>
      </w:r>
      <w:r>
        <w:rPr>
          <w:rFonts w:ascii="Arial" w:cs="Arial" w:eastAsia="Arial" w:hAnsi="Arial"/>
          <w:sz w:val="20"/>
          <w:szCs w:val="20"/>
          <w:color w:val="auto"/>
        </w:rPr>
        <w:t>the</w:t>
      </w:r>
      <w:r>
        <w:rPr>
          <w:rFonts w:ascii="Arial" w:cs="Arial" w:eastAsia="Arial" w:hAnsi="Arial"/>
          <w:sz w:val="19"/>
          <w:szCs w:val="19"/>
          <w:color w:val="auto"/>
        </w:rPr>
        <w:t xml:space="preserve"> Executive’s Accrued Benefits (as defined in the Employment Agreement), and (B) (a) the Company shall offer the Executive benefits to which the Executive is entitled under the Consolidated Omnibus Budget Reconciliation Act of 1985 ("COBRA"), and (b) the Executive shall retain all benefits under the Company's 401(k) plan in accordance with terms of such plan.</w:t>
      </w:r>
    </w:p>
    <w:p>
      <w:pPr>
        <w:spacing w:after="0" w:line="190" w:lineRule="exact"/>
        <w:rPr>
          <w:rFonts w:ascii="Arial" w:cs="Arial" w:eastAsia="Arial" w:hAnsi="Arial"/>
          <w:sz w:val="21"/>
          <w:szCs w:val="21"/>
          <w:color w:val="auto"/>
        </w:rPr>
      </w:pPr>
    </w:p>
    <w:p>
      <w:pPr>
        <w:jc w:val="both"/>
        <w:ind w:left="660" w:hanging="409"/>
        <w:spacing w:after="0" w:line="265" w:lineRule="auto"/>
        <w:tabs>
          <w:tab w:leader="none" w:pos="660" w:val="left"/>
        </w:tabs>
        <w:numPr>
          <w:ilvl w:val="1"/>
          <w:numId w:val="84"/>
        </w:numPr>
        <w:rPr>
          <w:rFonts w:ascii="Arial" w:cs="Arial" w:eastAsia="Arial" w:hAnsi="Arial"/>
          <w:sz w:val="22"/>
          <w:szCs w:val="22"/>
          <w:color w:val="auto"/>
        </w:rPr>
      </w:pPr>
      <w:r>
        <w:rPr>
          <w:rFonts w:ascii="Arial" w:cs="Arial" w:eastAsia="Arial" w:hAnsi="Arial"/>
          <w:sz w:val="20"/>
          <w:szCs w:val="20"/>
          <w:color w:val="auto"/>
        </w:rPr>
        <w:t>As of the Separation Date, the Executive shall cease to be entitled to any further compensation, monies or other benefits from the Company, including coverage under any benefits plans or programs sponsored by the Company as of the Separation Date, except as otherwise expressly provided in this Release or otherwise required by law.</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616" w:right="239" w:bottom="1440" w:gutter="0" w:footer="0" w:header="0"/>
        </w:sectPr>
      </w:pPr>
    </w:p>
    <w:bookmarkStart w:id="105" w:name="page106"/>
    <w:bookmarkEnd w:id="105"/>
    <w:p>
      <w:pPr>
        <w:spacing w:after="0" w:line="385" w:lineRule="exact"/>
        <w:rPr>
          <w:sz w:val="20"/>
          <w:szCs w:val="20"/>
          <w:color w:val="auto"/>
        </w:rPr>
      </w:pPr>
    </w:p>
    <w:p>
      <w:pPr>
        <w:ind w:left="332" w:hanging="332"/>
        <w:spacing w:after="0"/>
        <w:tabs>
          <w:tab w:leader="none" w:pos="332"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Severance Benefits.</w:t>
      </w:r>
    </w:p>
    <w:p>
      <w:pPr>
        <w:spacing w:after="0" w:line="242" w:lineRule="exact"/>
        <w:rPr>
          <w:rFonts w:ascii="Arial" w:cs="Arial" w:eastAsia="Arial" w:hAnsi="Arial"/>
          <w:sz w:val="20"/>
          <w:szCs w:val="20"/>
          <w:color w:val="auto"/>
        </w:rPr>
      </w:pPr>
    </w:p>
    <w:p>
      <w:pPr>
        <w:jc w:val="both"/>
        <w:ind w:left="652" w:hanging="409"/>
        <w:spacing w:after="0" w:line="266" w:lineRule="auto"/>
        <w:tabs>
          <w:tab w:leader="none" w:pos="652" w:val="left"/>
        </w:tabs>
        <w:numPr>
          <w:ilvl w:val="1"/>
          <w:numId w:val="85"/>
        </w:numPr>
        <w:rPr>
          <w:rFonts w:ascii="Arial" w:cs="Arial" w:eastAsia="Arial" w:hAnsi="Arial"/>
          <w:sz w:val="22"/>
          <w:szCs w:val="22"/>
          <w:color w:val="auto"/>
        </w:rPr>
      </w:pPr>
      <w:r>
        <w:rPr>
          <w:rFonts w:ascii="Arial" w:cs="Arial" w:eastAsia="Arial" w:hAnsi="Arial"/>
          <w:sz w:val="20"/>
          <w:szCs w:val="20"/>
          <w:color w:val="auto"/>
        </w:rPr>
        <w:t xml:space="preserve">Subject to the execution [and non-revocation] of this Release, and following the Effective Date of this Release (as defined below), the Company will pay the Executive the [(Severance Benefits as defined in, and in the accordance with the terms set forth in, the Employment Agreement) </w:t>
      </w:r>
      <w:r>
        <w:rPr>
          <w:rFonts w:ascii="Arial" w:cs="Arial" w:eastAsia="Arial" w:hAnsi="Arial"/>
          <w:sz w:val="20"/>
          <w:szCs w:val="20"/>
          <w:b w:val="1"/>
          <w:bCs w:val="1"/>
          <w:color w:val="auto"/>
        </w:rPr>
        <w:t>OR</w:t>
      </w:r>
      <w:r>
        <w:rPr>
          <w:rFonts w:ascii="Arial" w:cs="Arial" w:eastAsia="Arial" w:hAnsi="Arial"/>
          <w:sz w:val="20"/>
          <w:szCs w:val="20"/>
          <w:color w:val="auto"/>
        </w:rPr>
        <w:t xml:space="preserve"> (the Annual Bonus, Pro-Rated Bonus, and accelerated vesting of equity as set forth in Section 8(a) OR Section 8(b) of the Employment Agreement (“Severance Payment”)].</w:t>
      </w:r>
    </w:p>
    <w:p>
      <w:pPr>
        <w:spacing w:after="0" w:line="204" w:lineRule="exact"/>
        <w:rPr>
          <w:rFonts w:ascii="Arial" w:cs="Arial" w:eastAsia="Arial" w:hAnsi="Arial"/>
          <w:sz w:val="22"/>
          <w:szCs w:val="22"/>
          <w:color w:val="auto"/>
        </w:rPr>
      </w:pPr>
    </w:p>
    <w:p>
      <w:pPr>
        <w:jc w:val="both"/>
        <w:ind w:left="652" w:hanging="409"/>
        <w:spacing w:after="0" w:line="267" w:lineRule="auto"/>
        <w:tabs>
          <w:tab w:leader="none" w:pos="652" w:val="left"/>
        </w:tabs>
        <w:numPr>
          <w:ilvl w:val="1"/>
          <w:numId w:val="85"/>
        </w:numPr>
        <w:rPr>
          <w:rFonts w:ascii="Arial" w:cs="Arial" w:eastAsia="Arial" w:hAnsi="Arial"/>
          <w:sz w:val="22"/>
          <w:szCs w:val="22"/>
          <w:color w:val="auto"/>
        </w:rPr>
      </w:pPr>
      <w:r>
        <w:rPr>
          <w:rFonts w:ascii="Arial" w:cs="Arial" w:eastAsia="Arial" w:hAnsi="Arial"/>
          <w:sz w:val="20"/>
          <w:szCs w:val="20"/>
          <w:color w:val="auto"/>
        </w:rPr>
        <w:t xml:space="preserve">The Executive acknowledges and agrees that the [Severance Benefits </w:t>
      </w:r>
      <w:r>
        <w:rPr>
          <w:rFonts w:ascii="Arial" w:cs="Arial" w:eastAsia="Arial" w:hAnsi="Arial"/>
          <w:sz w:val="20"/>
          <w:szCs w:val="20"/>
          <w:b w:val="1"/>
          <w:bCs w:val="1"/>
          <w:color w:val="auto"/>
        </w:rPr>
        <w:t>OR</w:t>
      </w:r>
      <w:r>
        <w:rPr>
          <w:rFonts w:ascii="Arial" w:cs="Arial" w:eastAsia="Arial" w:hAnsi="Arial"/>
          <w:sz w:val="20"/>
          <w:szCs w:val="20"/>
          <w:color w:val="auto"/>
        </w:rPr>
        <w:t xml:space="preserve"> Severance Payment] (except the payments set forth in Section 2(a) hereof) are in lieu of any other compensation due or payable to the Executive in connection with his or her termination of employment, including, without limitation, any severance, bonus, pay in lieu of notice, short or long-term incentive or any other compensation or remuneration of any type. The Executive further acknowledges and agrees that the compensation set forth in this Section is sufficient consideration for the releases set forth herein, and that the Executive is not otherwise entitled to this consideration. In the event that the Executive does not sign[, or revokes,] this Release, the Executive shall not be entitled to any portion of the [Severance Benefits </w:t>
      </w:r>
      <w:r>
        <w:rPr>
          <w:rFonts w:ascii="Arial" w:cs="Arial" w:eastAsia="Arial" w:hAnsi="Arial"/>
          <w:sz w:val="20"/>
          <w:szCs w:val="20"/>
          <w:b w:val="1"/>
          <w:bCs w:val="1"/>
          <w:color w:val="auto"/>
        </w:rPr>
        <w:t>OR</w:t>
      </w:r>
      <w:r>
        <w:rPr>
          <w:rFonts w:ascii="Arial" w:cs="Arial" w:eastAsia="Arial" w:hAnsi="Arial"/>
          <w:sz w:val="20"/>
          <w:szCs w:val="20"/>
          <w:color w:val="auto"/>
        </w:rPr>
        <w:t xml:space="preserve"> Severance Payment].</w:t>
      </w:r>
    </w:p>
    <w:p>
      <w:pPr>
        <w:spacing w:after="0" w:line="201" w:lineRule="exact"/>
        <w:rPr>
          <w:rFonts w:ascii="Arial" w:cs="Arial" w:eastAsia="Arial" w:hAnsi="Arial"/>
          <w:sz w:val="22"/>
          <w:szCs w:val="22"/>
          <w:color w:val="auto"/>
        </w:rPr>
      </w:pPr>
    </w:p>
    <w:p>
      <w:pPr>
        <w:jc w:val="both"/>
        <w:ind w:left="332" w:hanging="332"/>
        <w:spacing w:after="0" w:line="268" w:lineRule="auto"/>
        <w:tabs>
          <w:tab w:leader="none" w:pos="33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In exchange for the consideration provided in this Release, the Executive, on behalf of the Executive and the Executive’s heirs, executors, representatives, agents, insurers, administrators, successors and assigns, irrevocably and unconditionally fully and forever waives, releases and discharges the Company and its current and former parent companies, subsidiaries and any affiliated companies as well as any of their respective current and former insurers, directors, officers, agents, shareholders, and employees, or any of their predecessors, successors or assigns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from any and all claims, demands, actions, causes of actions, obligations, judgments, rights, fees, damages, debts, obligations, liabilities and expenses (inclusive of attorneys’ fees) of any kind whatsoever (collectively, “</w:t>
      </w:r>
      <w:r>
        <w:rPr>
          <w:rFonts w:ascii="Arial" w:cs="Arial" w:eastAsia="Arial" w:hAnsi="Arial"/>
          <w:sz w:val="18"/>
          <w:szCs w:val="18"/>
          <w:b w:val="1"/>
          <w:bCs w:val="1"/>
          <w:color w:val="auto"/>
        </w:rPr>
        <w:t>Claims</w:t>
      </w:r>
      <w:r>
        <w:rPr>
          <w:rFonts w:ascii="Arial" w:cs="Arial" w:eastAsia="Arial" w:hAnsi="Arial"/>
          <w:sz w:val="18"/>
          <w:szCs w:val="18"/>
          <w:color w:val="auto"/>
        </w:rPr>
        <w:t>”), whether known or unknown, from the beginning of time to the date of the Executive’s execution of this Release, including, without limitation, any claims under any federal, state, local or foreign law, that the Executive may have, have ever had or may in the future have arising out of, or in any way related to, including but not limited to, (i) the Executive’s hire, benefits, employment, termination or separation from employment with the Company and any actual or alleged act, omission, transaction, practice, conduct, occurrence or other matter; (ii) any and all claims for compensation of any type whatsoever, including but not limited to claims for salary, wages, bonuses, commissions, incentive compensation, vacation and/or severance (excluding claims under any tax-qualified retirement plan or fully-insured welfare benefit plan); and (iii) any and all claims arising under tort, contract and/or quasi-contract law, including but not limited to claims of breach of an expressed or implied contract, tortious interference with contract or prospective business advantage, breach of the covenant of good faith and fair dealing, promissory estoppel, detrimental reliance, invasion of privacy, nonphysical injury, personal injury or sickness or any other harm, wrongful or retaliatory discharge, fraud, defamation, slander, libel, false imprisonment, negligent or intentional infliction of emotional distress. The Executive acknowledges and agrees that the Executive is releasing the Released Parties from all claims relating to or arising from the Executive’s employment with the Company to the fullest extent permitted by law. The Executive further acknowledges and agrees that this release provision includes, but is not limited to, rights and claims arising under Title VII of the Civil Rights Act, the Age Discrimination in Employment Act, the Older Workers Benefit Protection Act, the Americans with Disabilities Act, the Genetic Information Nondiscrimination Act, the Family and Medical Leave Act, and any state, municipal, or</w:t>
      </w:r>
    </w:p>
    <w:p>
      <w:pPr>
        <w:spacing w:after="0" w:line="218" w:lineRule="exact"/>
        <w:rPr>
          <w:rFonts w:ascii="Arial" w:cs="Arial" w:eastAsia="Arial" w:hAnsi="Arial"/>
          <w:sz w:val="18"/>
          <w:szCs w:val="18"/>
          <w:color w:val="auto"/>
        </w:rPr>
      </w:pPr>
    </w:p>
    <w:p>
      <w:pPr>
        <w:ind w:left="4332" w:hanging="118"/>
        <w:spacing w:after="0"/>
        <w:tabs>
          <w:tab w:leader="none" w:pos="4332" w:val="left"/>
        </w:tabs>
        <w:numPr>
          <w:ilvl w:val="2"/>
          <w:numId w:val="85"/>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412"/>
          </w:cols>
          <w:pgMar w:left="248" w:top="1440" w:right="239" w:bottom="1440" w:gutter="0" w:footer="0" w:header="0"/>
        </w:sectPr>
      </w:pPr>
    </w:p>
    <w:bookmarkStart w:id="106" w:name="page107"/>
    <w:bookmarkEnd w:id="106"/>
    <w:p>
      <w:pPr>
        <w:ind w:left="332"/>
        <w:spacing w:after="0"/>
        <w:rPr>
          <w:sz w:val="20"/>
          <w:szCs w:val="20"/>
          <w:color w:val="auto"/>
        </w:rPr>
      </w:pPr>
      <w:r>
        <w:rPr>
          <w:rFonts w:ascii="Arial" w:cs="Arial" w:eastAsia="Arial" w:hAnsi="Arial"/>
          <w:sz w:val="20"/>
          <w:szCs w:val="20"/>
          <w:color w:val="auto"/>
        </w:rPr>
        <w:t>local statute, law, regulation or ordinance relating to employment, disputed wages, discrimination, retaliation, or leave.</w:t>
      </w:r>
    </w:p>
    <w:p>
      <w:pPr>
        <w:spacing w:after="0" w:line="243" w:lineRule="exact"/>
        <w:rPr>
          <w:sz w:val="20"/>
          <w:szCs w:val="20"/>
          <w:color w:val="auto"/>
        </w:rPr>
      </w:pPr>
    </w:p>
    <w:p>
      <w:pPr>
        <w:jc w:val="both"/>
        <w:ind w:left="332" w:hanging="332"/>
        <w:spacing w:after="0" w:line="257" w:lineRule="auto"/>
        <w:tabs>
          <w:tab w:leader="none" w:pos="332"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Release of Unknown Claims</w:t>
      </w:r>
      <w:r>
        <w:rPr>
          <w:rFonts w:ascii="Arial" w:cs="Arial" w:eastAsia="Arial" w:hAnsi="Arial"/>
          <w:sz w:val="19"/>
          <w:szCs w:val="19"/>
          <w:color w:val="auto"/>
        </w:rPr>
        <w:t>. For the purpose of implementing a full and complete release, the Executive expressly acknowledges that the release in this Release is intended to include in its effect, without limitation, claims that the Executive did not know or suspect to exist in his or her favor at the time of the execution of this Release, regardless of whether the knowledge of such claims, or the facts upon which they might be based, would materially have affected this Release, and that the consideration given under this Release was also for the release of those claims and contemplates the extinguishment of any such unknown claims. The Executive does hereby specifically assume such risk and agrees that this Release and, except as otherwise set forth in the Release, the releases contained herein shall and do apply to all unknown or unanticipated results of any and all matters caused by or connected with his or her employment with and separation from the Company, as well as those currently known or anticipated.</w:t>
      </w:r>
    </w:p>
    <w:p>
      <w:pPr>
        <w:spacing w:after="0" w:line="194" w:lineRule="exact"/>
        <w:rPr>
          <w:rFonts w:ascii="Arial" w:cs="Arial" w:eastAsia="Arial" w:hAnsi="Arial"/>
          <w:sz w:val="19"/>
          <w:szCs w:val="19"/>
          <w:color w:val="auto"/>
        </w:rPr>
      </w:pPr>
    </w:p>
    <w:p>
      <w:pPr>
        <w:ind w:left="332" w:hanging="332"/>
        <w:spacing w:after="0"/>
        <w:tabs>
          <w:tab w:leader="none" w:pos="332"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Waiver of Rights and Excluded Claims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52" w:hanging="409"/>
        <w:spacing w:after="0" w:line="266" w:lineRule="auto"/>
        <w:tabs>
          <w:tab w:leader="none" w:pos="652" w:val="left"/>
        </w:tabs>
        <w:numPr>
          <w:ilvl w:val="1"/>
          <w:numId w:val="86"/>
        </w:numPr>
        <w:rPr>
          <w:rFonts w:ascii="Arial" w:cs="Arial" w:eastAsia="Arial" w:hAnsi="Arial"/>
          <w:sz w:val="22"/>
          <w:szCs w:val="22"/>
          <w:color w:val="auto"/>
        </w:rPr>
      </w:pPr>
      <w:r>
        <w:rPr>
          <w:rFonts w:ascii="Arial" w:cs="Arial" w:eastAsia="Arial" w:hAnsi="Arial"/>
          <w:sz w:val="20"/>
          <w:szCs w:val="20"/>
          <w:color w:val="auto"/>
        </w:rPr>
        <w:t>The Executive waives any right to recover in a civil suit or proceeding brought by any governmental agency or other individual on the Executive’s behalf against the Company based on any act or omission arising or occurring prior to the date of the execution of this Release, whether known or unknown at the time of execution, or to participate in any such action brought by another individual. The Executive acknowledges and agrees that under no circumstances will the Executive be entitled to recover money damages or any other monies from the Company other than those described in this Release. The Executive waives all rights to monetary damages or individual relief resulting from any such charge or complaint brought before the EEOC or equivalent state or local employment rights agency.</w:t>
      </w:r>
    </w:p>
    <w:p>
      <w:pPr>
        <w:spacing w:after="0" w:line="216" w:lineRule="exact"/>
        <w:rPr>
          <w:rFonts w:ascii="Arial" w:cs="Arial" w:eastAsia="Arial" w:hAnsi="Arial"/>
          <w:sz w:val="22"/>
          <w:szCs w:val="22"/>
          <w:color w:val="auto"/>
        </w:rPr>
      </w:pPr>
    </w:p>
    <w:p>
      <w:pPr>
        <w:jc w:val="both"/>
        <w:ind w:left="652" w:hanging="409"/>
        <w:spacing w:after="0" w:line="289" w:lineRule="auto"/>
        <w:tabs>
          <w:tab w:leader="none" w:pos="652" w:val="left"/>
        </w:tabs>
        <w:numPr>
          <w:ilvl w:val="1"/>
          <w:numId w:val="86"/>
        </w:numPr>
        <w:rPr>
          <w:rFonts w:ascii="Arial" w:cs="Arial" w:eastAsia="Arial" w:hAnsi="Arial"/>
          <w:sz w:val="19"/>
          <w:szCs w:val="19"/>
          <w:color w:val="auto"/>
        </w:rPr>
      </w:pPr>
      <w:r>
        <w:rPr>
          <w:rFonts w:ascii="Arial" w:cs="Arial" w:eastAsia="Arial" w:hAnsi="Arial"/>
          <w:sz w:val="18"/>
          <w:szCs w:val="18"/>
          <w:color w:val="auto"/>
        </w:rPr>
        <w:t>Notwithstanding the foregoing or anything to the contrary in this Release, nothing contained in this Release (A) waives or releases the Executive’s right to (i) file a charge or complaint, participate in proceedings conducted by, or communicate with a government agency,</w:t>
      </w:r>
    </w:p>
    <w:p>
      <w:pPr>
        <w:ind w:left="932" w:hanging="284"/>
        <w:spacing w:after="0"/>
        <w:tabs>
          <w:tab w:leader="none" w:pos="932" w:val="left"/>
        </w:tabs>
        <w:numPr>
          <w:ilvl w:val="2"/>
          <w:numId w:val="86"/>
        </w:numPr>
        <w:rPr>
          <w:rFonts w:ascii="Arial" w:cs="Arial" w:eastAsia="Arial" w:hAnsi="Arial"/>
          <w:sz w:val="18"/>
          <w:szCs w:val="18"/>
          <w:color w:val="auto"/>
        </w:rPr>
      </w:pPr>
      <w:r>
        <w:rPr>
          <w:rFonts w:ascii="Arial" w:cs="Arial" w:eastAsia="Arial" w:hAnsi="Arial"/>
          <w:sz w:val="18"/>
          <w:szCs w:val="18"/>
          <w:color w:val="auto"/>
        </w:rPr>
        <w:t>to bring future claims arising after the Separation Date, and/or (B) limits the Executive’s right to enforce the terms of this Release.</w:t>
      </w:r>
    </w:p>
    <w:p>
      <w:pPr>
        <w:spacing w:after="0" w:line="265" w:lineRule="exact"/>
        <w:rPr>
          <w:rFonts w:ascii="Arial" w:cs="Arial" w:eastAsia="Arial" w:hAnsi="Arial"/>
          <w:sz w:val="18"/>
          <w:szCs w:val="18"/>
          <w:color w:val="auto"/>
        </w:rPr>
      </w:pPr>
    </w:p>
    <w:p>
      <w:pPr>
        <w:jc w:val="both"/>
        <w:ind w:left="332" w:hanging="332"/>
        <w:spacing w:after="0" w:line="246" w:lineRule="auto"/>
        <w:tabs>
          <w:tab w:leader="none" w:pos="332"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Return of Property</w:t>
      </w:r>
      <w:r>
        <w:rPr>
          <w:rFonts w:ascii="Arial" w:cs="Arial" w:eastAsia="Arial" w:hAnsi="Arial"/>
          <w:sz w:val="20"/>
          <w:szCs w:val="20"/>
          <w:color w:val="auto"/>
        </w:rPr>
        <w:t>. By signing this Release, the Executive represents that the Executive has returned all Company property, including car, identification cards or badges, access codes or devices, keys, laptops, computers, telephones, mobile phones, hand-held electronic devices, credit cards, electronically stored documents or files, physical files and any other Company property previously in the Executive’s possession.</w:t>
      </w:r>
    </w:p>
    <w:p>
      <w:pPr>
        <w:spacing w:after="0" w:line="205" w:lineRule="exact"/>
        <w:rPr>
          <w:rFonts w:ascii="Arial" w:cs="Arial" w:eastAsia="Arial" w:hAnsi="Arial"/>
          <w:sz w:val="20"/>
          <w:szCs w:val="20"/>
          <w:color w:val="auto"/>
        </w:rPr>
      </w:pPr>
    </w:p>
    <w:p>
      <w:pPr>
        <w:jc w:val="both"/>
        <w:ind w:left="332" w:hanging="332"/>
        <w:spacing w:after="0" w:line="244" w:lineRule="auto"/>
        <w:tabs>
          <w:tab w:leader="none" w:pos="332"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Representations</w:t>
      </w:r>
      <w:r>
        <w:rPr>
          <w:rFonts w:ascii="Arial" w:cs="Arial" w:eastAsia="Arial" w:hAnsi="Arial"/>
          <w:sz w:val="20"/>
          <w:szCs w:val="20"/>
          <w:color w:val="auto"/>
        </w:rPr>
        <w:t>. The Executive represents that the Executive is the only person able to assert any right or claim arising out of the Executive’s employment with or separation from the Company. The Executive represents that the Executive has not: (i) brought a charge or suit against the Company in connection with any of the Claims, including, but not limited to, any claim or charge before the EEOC, or (ii) assigned or transferred or purported to assign or transfer, to any person or entity, any Claim or any portion thereof or interest therein which the Executive may have against the Company.</w:t>
      </w:r>
    </w:p>
    <w:p>
      <w:pPr>
        <w:spacing w:after="0" w:line="208" w:lineRule="exact"/>
        <w:rPr>
          <w:rFonts w:ascii="Arial" w:cs="Arial" w:eastAsia="Arial" w:hAnsi="Arial"/>
          <w:sz w:val="20"/>
          <w:szCs w:val="20"/>
          <w:color w:val="auto"/>
        </w:rPr>
      </w:pPr>
    </w:p>
    <w:p>
      <w:pPr>
        <w:ind w:left="332" w:hanging="332"/>
        <w:spacing w:after="0"/>
        <w:tabs>
          <w:tab w:leader="none" w:pos="332"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Notice and Revocation</w:t>
      </w:r>
      <w:r>
        <w:rPr>
          <w:rFonts w:ascii="Arial" w:cs="Arial" w:eastAsia="Arial" w:hAnsi="Arial"/>
          <w:sz w:val="20"/>
          <w:szCs w:val="20"/>
          <w:color w:val="auto"/>
        </w:rPr>
        <w:t>.</w:t>
      </w:r>
    </w:p>
    <w:p>
      <w:pPr>
        <w:spacing w:after="0" w:line="223" w:lineRule="exact"/>
        <w:rPr>
          <w:rFonts w:ascii="Arial" w:cs="Arial" w:eastAsia="Arial" w:hAnsi="Arial"/>
          <w:sz w:val="20"/>
          <w:szCs w:val="20"/>
          <w:color w:val="auto"/>
        </w:rPr>
      </w:pPr>
    </w:p>
    <w:p>
      <w:pPr>
        <w:ind w:left="652" w:right="20" w:hanging="409"/>
        <w:spacing w:after="0" w:line="267" w:lineRule="auto"/>
        <w:tabs>
          <w:tab w:leader="none" w:pos="652" w:val="left"/>
        </w:tabs>
        <w:numPr>
          <w:ilvl w:val="1"/>
          <w:numId w:val="86"/>
        </w:numPr>
        <w:rPr>
          <w:rFonts w:ascii="Arial" w:cs="Arial" w:eastAsia="Arial" w:hAnsi="Arial"/>
          <w:sz w:val="20"/>
          <w:szCs w:val="20"/>
          <w:color w:val="auto"/>
        </w:rPr>
      </w:pPr>
      <w:r>
        <w:rPr>
          <w:rFonts w:ascii="Arial" w:cs="Arial" w:eastAsia="Arial" w:hAnsi="Arial"/>
          <w:sz w:val="20"/>
          <w:szCs w:val="20"/>
          <w:color w:val="auto"/>
        </w:rPr>
        <w:t xml:space="preserve">The Executive acknowledges that the Executive was given at least [twenty-one (21) </w:t>
      </w:r>
      <w:r>
        <w:rPr>
          <w:rFonts w:ascii="Arial" w:cs="Arial" w:eastAsia="Arial" w:hAnsi="Arial"/>
          <w:sz w:val="20"/>
          <w:szCs w:val="20"/>
          <w:b w:val="1"/>
          <w:bCs w:val="1"/>
          <w:color w:val="auto"/>
        </w:rPr>
        <w:t>OR</w:t>
      </w:r>
      <w:r>
        <w:rPr>
          <w:rFonts w:ascii="Arial" w:cs="Arial" w:eastAsia="Arial" w:hAnsi="Arial"/>
          <w:sz w:val="20"/>
          <w:szCs w:val="20"/>
          <w:color w:val="auto"/>
        </w:rPr>
        <w:t xml:space="preserve"> forty-five (45)] days to consider the terms of this Release and consult with an attorney of the Executive’s</w:t>
      </w:r>
    </w:p>
    <w:p>
      <w:pPr>
        <w:spacing w:after="0" w:line="205" w:lineRule="exact"/>
        <w:rPr>
          <w:rFonts w:ascii="Arial" w:cs="Arial" w:eastAsia="Arial" w:hAnsi="Arial"/>
          <w:sz w:val="20"/>
          <w:szCs w:val="20"/>
          <w:color w:val="auto"/>
        </w:rPr>
      </w:pPr>
    </w:p>
    <w:p>
      <w:pPr>
        <w:ind w:left="4332" w:hanging="118"/>
        <w:spacing w:after="0"/>
        <w:tabs>
          <w:tab w:leader="none" w:pos="4332" w:val="left"/>
        </w:tabs>
        <w:numPr>
          <w:ilvl w:val="3"/>
          <w:numId w:val="86"/>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412"/>
          </w:cols>
          <w:pgMar w:left="248" w:top="1149" w:right="239" w:bottom="1440" w:gutter="0" w:footer="0" w:header="0"/>
        </w:sectPr>
      </w:pPr>
    </w:p>
    <w:bookmarkStart w:id="107" w:name="page108"/>
    <w:bookmarkEnd w:id="107"/>
    <w:p>
      <w:pPr>
        <w:jc w:val="both"/>
        <w:ind w:left="652"/>
        <w:spacing w:after="0" w:line="295" w:lineRule="auto"/>
        <w:rPr>
          <w:sz w:val="20"/>
          <w:szCs w:val="20"/>
          <w:color w:val="auto"/>
        </w:rPr>
      </w:pPr>
      <w:r>
        <w:rPr>
          <w:rFonts w:ascii="Arial" w:cs="Arial" w:eastAsia="Arial" w:hAnsi="Arial"/>
          <w:sz w:val="18"/>
          <w:szCs w:val="18"/>
          <w:color w:val="auto"/>
        </w:rPr>
        <w:t xml:space="preserve">choice. To the extent that the Executive elects to enter into this Release prior to the expiration of such period, the Executive acknowledges that the Executive has done so voluntarily and has knowingly waived the balance of such consideration period.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Executive understands that, to be eligible for the [Severance Benefits OR Severance Payment</w:t>
      </w:r>
      <w:r>
        <w:rPr>
          <w:rFonts w:ascii="Arial" w:cs="Arial" w:eastAsia="Arial" w:hAnsi="Arial"/>
          <w:sz w:val="18"/>
          <w:szCs w:val="18"/>
          <w:color w:val="auto"/>
        </w:rPr>
        <w:t>]</w:t>
      </w:r>
      <w:r>
        <w:rPr>
          <w:rFonts w:ascii="Arial" w:cs="Arial" w:eastAsia="Arial" w:hAnsi="Arial"/>
          <w:sz w:val="18"/>
          <w:szCs w:val="18"/>
          <w:b w:val="1"/>
          <w:bCs w:val="1"/>
          <w:color w:val="auto"/>
        </w:rPr>
        <w:t>, the Executive must return this</w:t>
      </w:r>
    </w:p>
    <w:p>
      <w:pPr>
        <w:jc w:val="both"/>
        <w:ind w:left="652" w:right="20"/>
        <w:spacing w:after="0" w:line="238" w:lineRule="auto"/>
        <w:rPr>
          <w:sz w:val="20"/>
          <w:szCs w:val="20"/>
          <w:color w:val="auto"/>
        </w:rPr>
      </w:pPr>
      <w:r>
        <w:rPr>
          <w:rFonts w:ascii="Arial" w:cs="Arial" w:eastAsia="Arial" w:hAnsi="Arial"/>
          <w:sz w:val="20"/>
          <w:szCs w:val="20"/>
          <w:b w:val="1"/>
          <w:bCs w:val="1"/>
          <w:color w:val="auto"/>
        </w:rPr>
        <w:t>Release, signed and dated, no later than 11:59pm ET on the [twenty-first (21</w:t>
      </w:r>
      <w:r>
        <w:rPr>
          <w:rFonts w:ascii="Arial" w:cs="Arial" w:eastAsia="Arial" w:hAnsi="Arial"/>
          <w:sz w:val="25"/>
          <w:szCs w:val="25"/>
          <w:b w:val="1"/>
          <w:bCs w:val="1"/>
          <w:color w:val="auto"/>
          <w:vertAlign w:val="superscript"/>
        </w:rPr>
        <w:t>st</w:t>
      </w:r>
      <w:r>
        <w:rPr>
          <w:rFonts w:ascii="Arial" w:cs="Arial" w:eastAsia="Arial" w:hAnsi="Arial"/>
          <w:sz w:val="20"/>
          <w:szCs w:val="20"/>
          <w:b w:val="1"/>
          <w:bCs w:val="1"/>
          <w:color w:val="auto"/>
        </w:rPr>
        <w:t>) OR forty-fifth (45</w:t>
      </w:r>
      <w:r>
        <w:rPr>
          <w:rFonts w:ascii="Arial" w:cs="Arial" w:eastAsia="Arial" w:hAnsi="Arial"/>
          <w:sz w:val="25"/>
          <w:szCs w:val="25"/>
          <w:b w:val="1"/>
          <w:bCs w:val="1"/>
          <w:color w:val="auto"/>
          <w:vertAlign w:val="superscript"/>
        </w:rPr>
        <w:t>th</w:t>
      </w:r>
      <w:r>
        <w:rPr>
          <w:rFonts w:ascii="Arial" w:cs="Arial" w:eastAsia="Arial" w:hAnsi="Arial"/>
          <w:sz w:val="20"/>
          <w:szCs w:val="20"/>
          <w:b w:val="1"/>
          <w:bCs w:val="1"/>
          <w:color w:val="auto"/>
        </w:rPr>
        <w:t>)] day after Executive receives this Release, to the Company at: [ADDRESS].</w:t>
      </w:r>
    </w:p>
    <w:p>
      <w:pPr>
        <w:spacing w:after="0" w:line="216" w:lineRule="exact"/>
        <w:rPr>
          <w:sz w:val="20"/>
          <w:szCs w:val="20"/>
          <w:color w:val="auto"/>
        </w:rPr>
      </w:pPr>
    </w:p>
    <w:p>
      <w:pPr>
        <w:jc w:val="both"/>
        <w:ind w:left="652" w:hanging="409"/>
        <w:spacing w:after="0" w:line="232" w:lineRule="auto"/>
        <w:tabs>
          <w:tab w:leader="none" w:pos="652" w:val="left"/>
        </w:tabs>
        <w:numPr>
          <w:ilvl w:val="1"/>
          <w:numId w:val="87"/>
        </w:numPr>
        <w:rPr>
          <w:rFonts w:ascii="Arial" w:cs="Arial" w:eastAsia="Arial" w:hAnsi="Arial"/>
          <w:sz w:val="20"/>
          <w:szCs w:val="20"/>
          <w:color w:val="auto"/>
        </w:rPr>
      </w:pPr>
      <w:r>
        <w:rPr>
          <w:rFonts w:ascii="Arial" w:cs="Arial" w:eastAsia="Arial" w:hAnsi="Arial"/>
          <w:sz w:val="20"/>
          <w:szCs w:val="20"/>
          <w:b w:val="1"/>
          <w:bCs w:val="1"/>
          <w:color w:val="auto"/>
        </w:rPr>
        <w:t xml:space="preserve">The Executive understands that Executive has seven (7) days from the date the Executive signs this Release to revoke the Release by delivering notice of revocation by 11:59pm ET to [ADDRESS] before the end of such seven-day period, </w:t>
      </w:r>
      <w:r>
        <w:rPr>
          <w:rFonts w:ascii="Arial" w:cs="Arial" w:eastAsia="Arial" w:hAnsi="Arial"/>
          <w:sz w:val="20"/>
          <w:szCs w:val="20"/>
          <w:color w:val="auto"/>
        </w:rPr>
        <w:t>and that this</w:t>
      </w:r>
      <w:r>
        <w:rPr>
          <w:rFonts w:ascii="Arial" w:cs="Arial" w:eastAsia="Arial" w:hAnsi="Arial"/>
          <w:sz w:val="20"/>
          <w:szCs w:val="20"/>
          <w:b w:val="1"/>
          <w:bCs w:val="1"/>
          <w:color w:val="auto"/>
        </w:rPr>
        <w:t xml:space="preserve"> </w:t>
      </w:r>
      <w:r>
        <w:rPr>
          <w:rFonts w:ascii="Arial" w:cs="Arial" w:eastAsia="Arial" w:hAnsi="Arial"/>
          <w:sz w:val="20"/>
          <w:szCs w:val="20"/>
          <w:color w:val="auto"/>
        </w:rPr>
        <w:t>Release will not become effective until the eighth (8</w:t>
      </w:r>
      <w:r>
        <w:rPr>
          <w:rFonts w:ascii="Arial" w:cs="Arial" w:eastAsia="Arial" w:hAnsi="Arial"/>
          <w:sz w:val="25"/>
          <w:szCs w:val="25"/>
          <w:color w:val="auto"/>
          <w:vertAlign w:val="superscript"/>
        </w:rPr>
        <w:t>th</w:t>
      </w:r>
      <w:r>
        <w:rPr>
          <w:rFonts w:ascii="Arial" w:cs="Arial" w:eastAsia="Arial" w:hAnsi="Arial"/>
          <w:sz w:val="20"/>
          <w:szCs w:val="20"/>
          <w:color w:val="auto"/>
        </w:rPr>
        <w:t>) day after the Executive has delivered this Release, signed and dated, to the Company without revoking the Release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203" w:lineRule="exact"/>
        <w:rPr>
          <w:rFonts w:ascii="Arial" w:cs="Arial" w:eastAsia="Arial" w:hAnsi="Arial"/>
          <w:sz w:val="20"/>
          <w:szCs w:val="20"/>
          <w:color w:val="auto"/>
        </w:rPr>
      </w:pPr>
    </w:p>
    <w:p>
      <w:pPr>
        <w:jc w:val="both"/>
        <w:ind w:left="332" w:hanging="332"/>
        <w:spacing w:after="0" w:line="253" w:lineRule="auto"/>
        <w:tabs>
          <w:tab w:leader="none" w:pos="332"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 xml:space="preserve">. The Executive acknowledges that, as a condition of receipt of the [Severance Benefits </w:t>
      </w:r>
      <w:r>
        <w:rPr>
          <w:rFonts w:ascii="Arial" w:cs="Arial" w:eastAsia="Arial" w:hAnsi="Arial"/>
          <w:sz w:val="20"/>
          <w:szCs w:val="20"/>
          <w:b w:val="1"/>
          <w:bCs w:val="1"/>
          <w:color w:val="auto"/>
        </w:rPr>
        <w:t>OR</w:t>
      </w:r>
      <w:r>
        <w:rPr>
          <w:rFonts w:ascii="Arial" w:cs="Arial" w:eastAsia="Arial" w:hAnsi="Arial"/>
          <w:sz w:val="20"/>
          <w:szCs w:val="20"/>
          <w:color w:val="auto"/>
        </w:rPr>
        <w:t xml:space="preserve"> Severance Payment], the Executive shall continue to be bound by the covenants and obligations in the Employment Agreement, to the extent that such covenants and obligations are meant to survive the termination of the Executive’s employment.</w:t>
      </w:r>
    </w:p>
    <w:p>
      <w:pPr>
        <w:spacing w:after="0" w:line="197" w:lineRule="exact"/>
        <w:rPr>
          <w:rFonts w:ascii="Arial" w:cs="Arial" w:eastAsia="Arial" w:hAnsi="Arial"/>
          <w:sz w:val="20"/>
          <w:szCs w:val="20"/>
          <w:color w:val="auto"/>
        </w:rPr>
      </w:pPr>
    </w:p>
    <w:p>
      <w:pPr>
        <w:jc w:val="both"/>
        <w:ind w:left="332" w:hanging="332"/>
        <w:spacing w:after="0" w:line="250" w:lineRule="auto"/>
        <w:tabs>
          <w:tab w:leader="none" w:pos="332"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Confidentiality of Release</w:t>
      </w:r>
      <w:r>
        <w:rPr>
          <w:rFonts w:ascii="Arial" w:cs="Arial" w:eastAsia="Arial" w:hAnsi="Arial"/>
          <w:sz w:val="20"/>
          <w:szCs w:val="20"/>
          <w:color w:val="auto"/>
        </w:rPr>
        <w:t>. The Executive understands and agrees that the terms of this Release are strictly confidential and shall not be disclosed to any third party (other than the Executive’s immediate family, the Company, or legal advisors or as required by law) without the prior written consent of the Company.</w:t>
      </w:r>
    </w:p>
    <w:p>
      <w:pPr>
        <w:spacing w:after="0" w:line="199" w:lineRule="exact"/>
        <w:rPr>
          <w:rFonts w:ascii="Arial" w:cs="Arial" w:eastAsia="Arial" w:hAnsi="Arial"/>
          <w:sz w:val="20"/>
          <w:szCs w:val="20"/>
          <w:color w:val="auto"/>
        </w:rPr>
      </w:pPr>
    </w:p>
    <w:p>
      <w:pPr>
        <w:jc w:val="both"/>
        <w:ind w:left="332" w:hanging="332"/>
        <w:spacing w:after="0" w:line="246" w:lineRule="auto"/>
        <w:tabs>
          <w:tab w:leader="none" w:pos="332"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No Admission of Liability.</w:t>
      </w:r>
      <w:r>
        <w:rPr>
          <w:rFonts w:ascii="Arial" w:cs="Arial" w:eastAsia="Arial" w:hAnsi="Arial"/>
          <w:sz w:val="20"/>
          <w:szCs w:val="20"/>
          <w:color w:val="auto"/>
        </w:rPr>
        <w:t xml:space="preserve"> The Executive agrees that the Company does not admit any allegations made against it in any claims, charges, complaints, actions, causes of action, suits, grievances, controversies, disputes, or demands. Nothing contained in this Release, nor any of the acts taken thereunder, will be deemed or construed as an admission of liability of any violation of any applicable law, statute, ordinance, order, regulation, or constitution of any kind.</w:t>
      </w:r>
    </w:p>
    <w:p>
      <w:pPr>
        <w:spacing w:after="0" w:line="205" w:lineRule="exact"/>
        <w:rPr>
          <w:rFonts w:ascii="Arial" w:cs="Arial" w:eastAsia="Arial" w:hAnsi="Arial"/>
          <w:sz w:val="20"/>
          <w:szCs w:val="20"/>
          <w:color w:val="auto"/>
        </w:rPr>
      </w:pPr>
    </w:p>
    <w:p>
      <w:pPr>
        <w:jc w:val="both"/>
        <w:ind w:left="332" w:hanging="332"/>
        <w:spacing w:after="0" w:line="291" w:lineRule="auto"/>
        <w:tabs>
          <w:tab w:leader="none" w:pos="33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Reimbursement of Costs</w:t>
      </w:r>
      <w:r>
        <w:rPr>
          <w:rFonts w:ascii="Arial" w:cs="Arial" w:eastAsia="Arial" w:hAnsi="Arial"/>
          <w:sz w:val="18"/>
          <w:szCs w:val="18"/>
          <w:color w:val="auto"/>
        </w:rPr>
        <w:t>. The Executive agrees that, if the Executive violates the terms of this release or brings suit against the Company based on events occurring prior to the Executive signing this Release (other than to enforce the terms of this Release), the Executive will reimburse the Company for any attorney fees, costs, or other damages arising from the Executive’s breach of the release.</w:t>
      </w:r>
    </w:p>
    <w:p>
      <w:pPr>
        <w:spacing w:after="0" w:line="165" w:lineRule="exact"/>
        <w:rPr>
          <w:rFonts w:ascii="Arial" w:cs="Arial" w:eastAsia="Arial" w:hAnsi="Arial"/>
          <w:sz w:val="18"/>
          <w:szCs w:val="18"/>
          <w:color w:val="auto"/>
        </w:rPr>
      </w:pPr>
    </w:p>
    <w:p>
      <w:pPr>
        <w:jc w:val="both"/>
        <w:ind w:left="332" w:hanging="332"/>
        <w:spacing w:after="0" w:line="255" w:lineRule="auto"/>
        <w:tabs>
          <w:tab w:leader="none" w:pos="332"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Governing Law, Arbitration, and Forum</w:t>
      </w:r>
      <w:r>
        <w:rPr>
          <w:rFonts w:ascii="Arial" w:cs="Arial" w:eastAsia="Arial" w:hAnsi="Arial"/>
          <w:sz w:val="19"/>
          <w:szCs w:val="19"/>
          <w:color w:val="auto"/>
        </w:rPr>
        <w:t>. This Release will be governed and construed and enforced in accordance with the laws of the State of California without regard to its conflicts of law rules. Any controversy, dispute or claim arising out of this Release shall first be settled through good faith negotiation. If the parties are unsuccessful at resolving the dispute through negotiation, except for injunctive or other equitable relief or as otherwise provided in this Release, any and all legal proceedings arising out of or relating to this Release shall be resolved through a confidential arbitration administered by Judicial Arbitration &amp; Mediation Services, Inc. (“</w:t>
      </w:r>
      <w:r>
        <w:rPr>
          <w:rFonts w:ascii="Arial" w:cs="Arial" w:eastAsia="Arial" w:hAnsi="Arial"/>
          <w:sz w:val="19"/>
          <w:szCs w:val="19"/>
          <w:u w:val="single" w:color="auto"/>
          <w:color w:val="auto"/>
        </w:rPr>
        <w:t>JAMS</w:t>
      </w:r>
      <w:r>
        <w:rPr>
          <w:rFonts w:ascii="Arial" w:cs="Arial" w:eastAsia="Arial" w:hAnsi="Arial"/>
          <w:sz w:val="19"/>
          <w:szCs w:val="19"/>
          <w:color w:val="auto"/>
        </w:rPr>
        <w:t>”) pursuant to the JAMS Employment Arbitration Rules and Procedures, or successor rules then in effect and to the extent permitted by law. The rules and further information are available at www.jamsadr.com. The Federal Arbitration Act, as then in effect, shall govern the interpretation and enforcement of such arbitration proceeding. The arbitrator shall apply California State law to the merits of any dispute or claim, without reference to rules of conflict of law. Any determination or decision by the arbitrator will be final and binding upon the parties and may be enforced in any court of law. The parties agree that any arbitration will take place on an individual, and not on a class, basis. Subject to the provisions of this Section regarding arbitration, the Executive and the Company hereby submit to the exclusive jurisdiction and venue of the federal and</w:t>
      </w:r>
    </w:p>
    <w:p>
      <w:pPr>
        <w:spacing w:after="0" w:line="221" w:lineRule="exact"/>
        <w:rPr>
          <w:rFonts w:ascii="Arial" w:cs="Arial" w:eastAsia="Arial" w:hAnsi="Arial"/>
          <w:sz w:val="19"/>
          <w:szCs w:val="19"/>
          <w:color w:val="auto"/>
        </w:rPr>
      </w:pPr>
    </w:p>
    <w:p>
      <w:pPr>
        <w:ind w:left="4332" w:hanging="118"/>
        <w:spacing w:after="0"/>
        <w:tabs>
          <w:tab w:leader="none" w:pos="4332" w:val="left"/>
        </w:tabs>
        <w:numPr>
          <w:ilvl w:val="2"/>
          <w:numId w:val="88"/>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412"/>
          </w:cols>
          <w:pgMar w:left="248" w:top="1149" w:right="239" w:bottom="1440" w:gutter="0" w:footer="0" w:header="0"/>
        </w:sectPr>
      </w:pPr>
    </w:p>
    <w:bookmarkStart w:id="108" w:name="page109"/>
    <w:bookmarkEnd w:id="108"/>
    <w:p>
      <w:pPr>
        <w:jc w:val="both"/>
        <w:ind w:left="340"/>
        <w:spacing w:after="0" w:line="278" w:lineRule="auto"/>
        <w:rPr>
          <w:sz w:val="20"/>
          <w:szCs w:val="20"/>
          <w:color w:val="auto"/>
        </w:rPr>
      </w:pPr>
      <w:r>
        <w:rPr>
          <w:rFonts w:ascii="Arial" w:cs="Arial" w:eastAsia="Arial" w:hAnsi="Arial"/>
          <w:sz w:val="20"/>
          <w:szCs w:val="20"/>
          <w:color w:val="auto"/>
        </w:rPr>
        <w:t>state courts located in California for the resolution of any and all claims, causes of action or disputes arising out of, related to the enforcement, if necessary, of any arbitral award made pursuant to the provisions of this Section, and the Executive agrees to waive any claim relating to forum non conveniens.</w:t>
      </w:r>
    </w:p>
    <w:p>
      <w:pPr>
        <w:spacing w:after="0" w:line="181" w:lineRule="exact"/>
        <w:rPr>
          <w:sz w:val="20"/>
          <w:szCs w:val="20"/>
          <w:color w:val="auto"/>
        </w:rPr>
      </w:pPr>
    </w:p>
    <w:p>
      <w:pPr>
        <w:spacing w:after="0"/>
        <w:tabs>
          <w:tab w:leader="none" w:pos="1900" w:val="left"/>
        </w:tabs>
        <w:rPr>
          <w:sz w:val="20"/>
          <w:szCs w:val="20"/>
          <w:color w:val="auto"/>
        </w:rPr>
      </w:pPr>
      <w:r>
        <w:rPr>
          <w:rFonts w:ascii="Arial" w:cs="Arial" w:eastAsia="Arial" w:hAnsi="Arial"/>
          <w:sz w:val="20"/>
          <w:szCs w:val="20"/>
          <w:b w:val="1"/>
          <w:bCs w:val="1"/>
          <w:color w:val="auto"/>
        </w:rPr>
        <w:t>Executive Initials</w:t>
      </w:r>
      <w:r>
        <w:rPr>
          <w:sz w:val="20"/>
          <w:szCs w:val="20"/>
          <w:color w:val="auto"/>
        </w:rPr>
        <w:tab/>
      </w:r>
      <w:r>
        <w:rPr>
          <w:rFonts w:ascii="Arial" w:cs="Arial" w:eastAsia="Arial" w:hAnsi="Arial"/>
          <w:sz w:val="16"/>
          <w:szCs w:val="16"/>
          <w:b w:val="1"/>
          <w:bCs w:val="1"/>
          <w:color w:val="auto"/>
        </w:rPr>
        <w:t>Company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-10795</wp:posOffset>
            </wp:positionV>
            <wp:extent cx="1257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-10795</wp:posOffset>
            </wp:positionV>
            <wp:extent cx="1257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69" w:lineRule="exact"/>
        <w:rPr>
          <w:sz w:val="20"/>
          <w:szCs w:val="20"/>
          <w:color w:val="auto"/>
        </w:rPr>
      </w:pPr>
    </w:p>
    <w:p>
      <w:pPr>
        <w:jc w:val="both"/>
        <w:ind w:left="340" w:hanging="332"/>
        <w:spacing w:after="0" w:line="244" w:lineRule="auto"/>
        <w:tabs>
          <w:tab w:leader="none" w:pos="340"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term or provision of this Release that is determined to be invalid or unenforceable by any court of competent jurisdiction in any jurisdiction shall, as to such jurisdiction, be ineffective to the extent of such invalidity or unenforceability without rendering invalid or unenforceable the remaining terms and provisions of this Release or affecting the validity or enforceability of any of the terms or provisions of this Release in any other jurisdiction, and such invalid or unenforceable provision shall be modified by such court so that it is enforceable to the extent permitted by applicable law.</w:t>
      </w:r>
    </w:p>
    <w:p>
      <w:pPr>
        <w:spacing w:after="0" w:line="208" w:lineRule="exact"/>
        <w:rPr>
          <w:rFonts w:ascii="Arial" w:cs="Arial" w:eastAsia="Arial" w:hAnsi="Arial"/>
          <w:sz w:val="20"/>
          <w:szCs w:val="20"/>
          <w:color w:val="auto"/>
        </w:rPr>
      </w:pPr>
    </w:p>
    <w:p>
      <w:pPr>
        <w:jc w:val="both"/>
        <w:ind w:left="340" w:hanging="332"/>
        <w:spacing w:after="0" w:line="244" w:lineRule="auto"/>
        <w:tabs>
          <w:tab w:leader="none" w:pos="340"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Counterpart</w:t>
      </w:r>
      <w:r>
        <w:rPr>
          <w:rFonts w:ascii="Arial" w:cs="Arial" w:eastAsia="Arial" w:hAnsi="Arial"/>
          <w:sz w:val="20"/>
          <w:szCs w:val="20"/>
          <w:color w:val="auto"/>
        </w:rPr>
        <w:t>s. This Release may be executed in one or more counterparts, each of which shall be deemed an original but all of which shall together be one and the same agreement. The Parties agree that signatures transmitted by facsimile or electronic mail will be deemed originals and that a facsimile, photocopy, or scanned image of this Release, including without limitation counterparts and any signature(s) or other marks thereon, shall be admissible in any legal, administrative, or other proceeding related to this Release with the same weight and binding effect as an original.</w:t>
      </w:r>
    </w:p>
    <w:p>
      <w:pPr>
        <w:spacing w:after="0" w:line="208" w:lineRule="exact"/>
        <w:rPr>
          <w:rFonts w:ascii="Arial" w:cs="Arial" w:eastAsia="Arial" w:hAnsi="Arial"/>
          <w:sz w:val="20"/>
          <w:szCs w:val="20"/>
          <w:color w:val="auto"/>
        </w:rPr>
      </w:pPr>
    </w:p>
    <w:p>
      <w:pPr>
        <w:jc w:val="both"/>
        <w:ind w:left="340" w:hanging="332"/>
        <w:spacing w:after="0" w:line="260" w:lineRule="auto"/>
        <w:tabs>
          <w:tab w:leader="none" w:pos="340"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Waiver; Amendments</w:t>
      </w:r>
      <w:r>
        <w:rPr>
          <w:rFonts w:ascii="Arial" w:cs="Arial" w:eastAsia="Arial" w:hAnsi="Arial"/>
          <w:sz w:val="19"/>
          <w:szCs w:val="19"/>
          <w:color w:val="auto"/>
        </w:rPr>
        <w:t>. Any waiver by either Party of a breach of any provision of this Release will not operate as, or be construed to be, a waiver of any other breach of such provision of this Release. The failure of either Party to insist on strict adherence to any term of this Release on one or more occasions will not be considered a waiver or deprive either Party of the right thereafter to insist on strict adherence to that term or any other term of this Release. Neither this Release nor any part of it may be waived, changed, or terminated orally. Any waiver, amendment or modification must be in a writing signed by both the Executive and the Company.</w:t>
      </w:r>
    </w:p>
    <w:p>
      <w:pPr>
        <w:spacing w:after="0" w:line="194" w:lineRule="exact"/>
        <w:rPr>
          <w:rFonts w:ascii="Arial" w:cs="Arial" w:eastAsia="Arial" w:hAnsi="Arial"/>
          <w:sz w:val="19"/>
          <w:szCs w:val="19"/>
          <w:color w:val="auto"/>
        </w:rPr>
      </w:pPr>
    </w:p>
    <w:p>
      <w:pPr>
        <w:jc w:val="both"/>
        <w:ind w:left="340" w:hanging="332"/>
        <w:spacing w:after="0" w:line="263" w:lineRule="auto"/>
        <w:tabs>
          <w:tab w:leader="none" w:pos="340"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Entire Agreement; Construction</w:t>
      </w:r>
      <w:r>
        <w:rPr>
          <w:rFonts w:ascii="Arial" w:cs="Arial" w:eastAsia="Arial" w:hAnsi="Arial"/>
          <w:sz w:val="19"/>
          <w:szCs w:val="19"/>
          <w:color w:val="auto"/>
        </w:rPr>
        <w:t>. This Release, together with the Employment Agreement, contains the entire understanding of the Parties relating to the subject matter of this Release and supersedes all other prior written or oral agreements, understandings or arrangements between the Parties relating to the subject matter of this Release. The Executive acknowledges that, in entering into this Release, the Executive did not rely and has not relied on any statements or representations not contained in this Release.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8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420"/>
          </w:cols>
          <w:pgMar w:left="240" w:top="1149" w:right="239" w:bottom="1440" w:gutter="0" w:footer="0" w:header="0"/>
        </w:sectPr>
      </w:pPr>
    </w:p>
    <w:bookmarkStart w:id="109" w:name="page110"/>
    <w:bookmarkEnd w:id="109"/>
    <w:p>
      <w:pPr>
        <w:spacing w:after="0" w:line="136"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Executive’s Acknowledgment of Knowing and Voluntary Release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BY EXECUTING THIS RELEASE, I ACKNOWLEDGE: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 HAVE CAREFULLY READ THIS RELEASE AND I FULLY UNDERSTAND ALL OF THE PROVISIONS OF THIS RELEASE.</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 HAVE BEEN ENCOURAGED AND ADVISED IN WRITING TO SEEK ADVICE FROM COUNSEL OF MY CHOOSING REGARDING THIS RELEASE AND HAVE DONE SO TO THE EXTENT I DEEM APPROPRIATE.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 HAVE BEEN GIVEN ADEQUATE TIME, TWENTY ONE (21) BUSINESS DAYS, TO REVIEW THE RELEASE.]</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SIGNING THIS RELEASE, I AM NOT RELYING ON ANY REPRESENTATION OR STATEMENT (WRITTEN OR ORAL) NOT SPECIFICALLY SET FORTH HEREIN BY THE EMPLOYER OR ANY OF ITS REPRESENTATIVES WITH REGARD TO THE SUBJECT MATTER, BASIS, OR EFFECT OF THIS RELEASE OR OTHERWISE.</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 WAS NOT COERCED, THREATENED, OR OTHERWISE FORCED TO SIGN THIS RELEASE. I AM VOLUNTARILY SIGNING AND DELIVERING THIS RELEASE.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 UNDERSTAND THAT BY SIGNING THIS RELEASE I ACCEPT THE EMPLOYER’S OFFER.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have executed this Release Agreement.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AGREED TO AND ACCEPTED:</w:t>
      </w:r>
    </w:p>
    <w:p>
      <w:pPr>
        <w:sectPr>
          <w:pgSz w:w="11900" w:h="16838" w:orient="portrait"/>
          <w:cols w:equalWidth="0" w:num="1">
            <w:col w:w="11420"/>
          </w:cols>
          <w:pgMar w:left="240" w:top="1440" w:right="239" w:bottom="1440" w:gutter="0" w:footer="0" w:header="0"/>
        </w:sectPr>
      </w:pPr>
    </w:p>
    <w:p>
      <w:pPr>
        <w:spacing w:after="0" w:line="39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By Executive: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Company:</w:t>
      </w:r>
    </w:p>
    <w:p>
      <w:pPr>
        <w:spacing w:after="0" w:line="200" w:lineRule="exact"/>
        <w:rPr>
          <w:sz w:val="20"/>
          <w:szCs w:val="20"/>
          <w:color w:val="auto"/>
        </w:rPr>
      </w:pPr>
    </w:p>
    <w:p>
      <w:pPr>
        <w:sectPr>
          <w:pgSz w:w="11900" w:h="16838" w:orient="portrait"/>
          <w:cols w:equalWidth="0" w:num="2">
            <w:col w:w="4740" w:space="720"/>
            <w:col w:w="5960"/>
          </w:cols>
          <w:pgMar w:left="240" w:top="1440" w:right="239" w:bottom="1440" w:gutter="0" w:footer="0" w:header="0"/>
          <w:type w:val="continuous"/>
        </w:sectPr>
      </w:pPr>
    </w:p>
    <w:p>
      <w:pPr>
        <w:spacing w:after="0" w:line="58"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By:</w:t>
      </w:r>
    </w:p>
    <w:p>
      <w:pPr>
        <w:sectPr>
          <w:pgSz w:w="11900" w:h="16838" w:orient="portrait"/>
          <w:cols w:equalWidth="0" w:num="1">
            <w:col w:w="11420"/>
          </w:cols>
          <w:pgMar w:left="240" w:top="1440" w:right="239" w:bottom="1440" w:gutter="0" w:footer="0" w:header="0"/>
          <w:type w:val="continuous"/>
        </w:sectPr>
      </w:pPr>
    </w:p>
    <w:p>
      <w:pPr>
        <w:spacing w:after="0" w:line="241" w:lineRule="exact"/>
        <w:rPr>
          <w:sz w:val="20"/>
          <w:szCs w:val="20"/>
          <w:color w:val="auto"/>
        </w:rPr>
      </w:pPr>
    </w:p>
    <w:p>
      <w:pPr>
        <w:ind w:left="120" w:right="860"/>
        <w:spacing w:after="0" w:line="386" w:lineRule="auto"/>
        <w:rPr>
          <w:sz w:val="20"/>
          <w:szCs w:val="20"/>
          <w:color w:val="auto"/>
        </w:rPr>
      </w:pPr>
      <w:r>
        <w:rPr>
          <w:rFonts w:ascii="Arial" w:cs="Arial" w:eastAsia="Arial" w:hAnsi="Arial"/>
          <w:sz w:val="16"/>
          <w:szCs w:val="16"/>
          <w:color w:val="auto"/>
        </w:rPr>
        <w:t>______________________________________ Allison Green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Representative’s Signature</w:t>
      </w:r>
    </w:p>
    <w:p>
      <w:pPr>
        <w:spacing w:after="0" w:line="213" w:lineRule="exact"/>
        <w:rPr>
          <w:sz w:val="20"/>
          <w:szCs w:val="20"/>
          <w:color w:val="auto"/>
        </w:rPr>
      </w:pPr>
    </w:p>
    <w:p>
      <w:pPr>
        <w:sectPr>
          <w:pgSz w:w="11900" w:h="16838" w:orient="portrait"/>
          <w:cols w:equalWidth="0" w:num="2">
            <w:col w:w="4740" w:space="720"/>
            <w:col w:w="5960"/>
          </w:cols>
          <w:pgMar w:left="240" w:top="1440" w:right="239" w:bottom="1440" w:gutter="0" w:footer="0" w:header="0"/>
          <w:type w:val="continuous"/>
        </w:sect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Name, Title</w:t>
      </w:r>
    </w:p>
    <w:p>
      <w:pPr>
        <w:spacing w:after="0" w:line="200" w:lineRule="exact"/>
        <w:rPr>
          <w:sz w:val="20"/>
          <w:szCs w:val="20"/>
          <w:color w:val="auto"/>
        </w:rPr>
      </w:pPr>
    </w:p>
    <w:p>
      <w:pPr>
        <w:sectPr>
          <w:pgSz w:w="11900" w:h="16838" w:orient="portrait"/>
          <w:cols w:equalWidth="0" w:num="2">
            <w:col w:w="4740" w:space="720"/>
            <w:col w:w="5960"/>
          </w:cols>
          <w:pgMar w:left="240" w:top="1440" w:right="239" w:bottom="1440" w:gutter="0" w:footer="0" w:header="0"/>
          <w:type w:val="continuous"/>
        </w:sectPr>
      </w:pPr>
    </w:p>
    <w:p>
      <w:pPr>
        <w:spacing w:after="0" w:line="24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DATE: _____________________________</w:t>
      </w:r>
    </w:p>
    <w:p>
      <w:pPr>
        <w:sectPr>
          <w:pgSz w:w="11900" w:h="16838" w:orient="portrait"/>
          <w:cols w:equalWidth="0" w:num="1">
            <w:col w:w="11420"/>
          </w:cols>
          <w:pgMar w:left="240" w:top="14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- 6 -</w:t>
      </w:r>
    </w:p>
    <w:p>
      <w:pPr>
        <w:sectPr>
          <w:pgSz w:w="11900" w:h="16838" w:orient="portrait"/>
          <w:cols w:equalWidth="0" w:num="1">
            <w:col w:w="11420"/>
          </w:cols>
          <w:pgMar w:left="240" w:top="1440" w:right="2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of GSV Capital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 Klein, certify that:</w:t>
      </w:r>
    </w:p>
    <w:p>
      <w:pPr>
        <w:spacing w:after="0" w:line="225"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480" w:hanging="328"/>
        <w:spacing w:after="0" w:line="26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9th day of May, 2019.</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31750</wp:posOffset>
            </wp:positionV>
            <wp:extent cx="14408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Mark D. Klein</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of 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Allison Green, certify that:</w:t>
      </w:r>
    </w:p>
    <w:p>
      <w:pPr>
        <w:spacing w:after="0" w:line="225"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480" w:hanging="328"/>
        <w:spacing w:after="0" w:line="26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9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9th day of May, 2019.</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31750</wp:posOffset>
            </wp:positionV>
            <wp:extent cx="17068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Allison Green</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In connection with the quarterly report on Form 10-Q for the three months ended March 31, 2019 (the “Report”) of GSV Capital Corp. (the “Registrant”), as filed with the Securities and Exchange Commission on the date hereof, I, Mark D. Klein, the Chief Executive Officer of the Registrant, hereby certify, to the best of my knowledge, that:</w:t>
      </w:r>
    </w:p>
    <w:p>
      <w:pPr>
        <w:spacing w:after="0" w:line="181"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31750</wp:posOffset>
            </wp:positionV>
            <wp:extent cx="35591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Name: Mark D. Klein</w:t>
      </w:r>
    </w:p>
    <w:p>
      <w:pPr>
        <w:spacing w:after="0" w:line="6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Date: May 9, 2019</w:t>
      </w:r>
    </w:p>
    <w:p>
      <w:pPr>
        <w:sectPr>
          <w:pgSz w:w="11900" w:h="16838" w:orient="portrait"/>
          <w:cols w:equalWidth="0" w:num="1">
            <w:col w:w="11420"/>
          </w:cols>
          <w:pgMar w:left="240" w:top="58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for the three months ended March 31, 2019 (the “Report”) of GSV Capital Corp. (the “Registrant”), as filed with the Securities and Exchange Commission on the date hereof, I, Allison Green, the Chief Financial Officer of the Registrant, hereby certify, to the best of my knowledge, that:</w:t>
      </w:r>
    </w:p>
    <w:p>
      <w:pPr>
        <w:spacing w:after="0" w:line="181"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Name: Allison Green</w:t>
      </w:r>
    </w:p>
    <w:p>
      <w:pPr>
        <w:spacing w:after="0" w:line="6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 May 9,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1)"/>
      <w:numFmt w:val="decimal"/>
      <w:start w:val="1"/>
    </w:lvl>
  </w:abstractNum>
  <w:abstractNum w:abstractNumId="2">
    <w:nsid w:val="7644A45C"/>
    <w:multiLevelType w:val="hybridMultilevel"/>
    <w:lvl w:ilvl="0">
      <w:lvlJc w:val="left"/>
      <w:lvlText w:val="(%1)"/>
      <w:numFmt w:val="decimal"/>
      <w:start w:val="1"/>
    </w:lvl>
  </w:abstractNum>
  <w:abstractNum w:abstractNumId="3">
    <w:nsid w:val="32FFF902"/>
    <w:multiLevelType w:val="hybridMultilevel"/>
    <w:lvl w:ilvl="0">
      <w:lvlJc w:val="left"/>
      <w:lvlText w:val="(%1)"/>
      <w:numFmt w:val="decimal"/>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1)"/>
      <w:numFmt w:val="decimal"/>
      <w:start w:val="1"/>
    </w:lvl>
  </w:abstractNum>
  <w:abstractNum w:abstractNumId="8">
    <w:nsid w:val="1BA026FA"/>
    <w:multiLevelType w:val="hybridMultilevel"/>
    <w:lvl w:ilvl="0">
      <w:lvlJc w:val="left"/>
      <w:lvlText w:val="(%1)"/>
      <w:numFmt w:val="decimal"/>
      <w:start w:val="2"/>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1)"/>
      <w:numFmt w:val="decimal"/>
      <w:start w:val="1"/>
    </w:lvl>
  </w:abstractNum>
  <w:abstractNum w:abstractNumId="13">
    <w:nsid w:val="520EEDD1"/>
    <w:multiLevelType w:val="hybridMultilevel"/>
    <w:lvl w:ilvl="0">
      <w:lvlJc w:val="left"/>
      <w:lvlText w:val="(%1)"/>
      <w:numFmt w:val="decimal"/>
      <w:start w:val="14"/>
    </w:lvl>
  </w:abstractNum>
  <w:abstractNum w:abstractNumId="14">
    <w:nsid w:val="374A3FE6"/>
    <w:multiLevelType w:val="hybridMultilevel"/>
    <w:lvl w:ilvl="0">
      <w:lvlJc w:val="left"/>
      <w:lvlText w:val="%1."/>
      <w:numFmt w:val="decimal"/>
      <w:start w:val="1"/>
    </w:lvl>
  </w:abstractNum>
  <w:abstractNum w:abstractNumId="15">
    <w:nsid w:val="4F4EF005"/>
    <w:multiLevelType w:val="hybridMultilevel"/>
    <w:lvl w:ilvl="0">
      <w:lvlJc w:val="left"/>
      <w:lvlText w:val="(%1)"/>
      <w:numFmt w:val="decimal"/>
      <w:start w:val="1"/>
    </w:lvl>
  </w:abstractNum>
  <w:abstractNum w:abstractNumId="16">
    <w:nsid w:val="23F9C13C"/>
    <w:multiLevelType w:val="hybridMultilevel"/>
    <w:lvl w:ilvl="0">
      <w:lvlJc w:val="left"/>
      <w:lvlText w:val="(%1)"/>
      <w:numFmt w:val="decimal"/>
      <w:start w:val="1"/>
    </w:lvl>
  </w:abstractNum>
  <w:abstractNum w:abstractNumId="17">
    <w:nsid w:val="649BB77C"/>
    <w:multiLevelType w:val="hybridMultilevel"/>
    <w:lvl w:ilvl="0">
      <w:lvlJc w:val="left"/>
      <w:lvlText w:val="(%1)"/>
      <w:numFmt w:val="decimal"/>
      <w:start w:val="1"/>
    </w:lvl>
  </w:abstractNum>
  <w:abstractNum w:abstractNumId="18">
    <w:nsid w:val="275AC794"/>
    <w:multiLevelType w:val="hybridMultilevel"/>
    <w:lvl w:ilvl="0">
      <w:lvlJc w:val="left"/>
      <w:lvlText w:val="(%1)"/>
      <w:numFmt w:val="decimal"/>
      <w:start w:val="2"/>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1)"/>
      <w:numFmt w:val="decimal"/>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1)"/>
      <w:numFmt w:val="decimal"/>
      <w:start w:val="1"/>
    </w:lvl>
  </w:abstractNum>
  <w:abstractNum w:abstractNumId="27">
    <w:nsid w:val="D34B6A8"/>
    <w:multiLevelType w:val="hybridMultilevel"/>
    <w:lvl w:ilvl="0">
      <w:lvlJc w:val="left"/>
      <w:lvlText w:val="(%1)"/>
      <w:numFmt w:val="decimal"/>
      <w:start w:val="4"/>
    </w:lvl>
  </w:abstractNum>
  <w:abstractNum w:abstractNumId="28">
    <w:nsid w:val="10233C99"/>
    <w:multiLevelType w:val="hybridMultilevel"/>
    <w:lvl w:ilvl="0">
      <w:lvlJc w:val="left"/>
      <w:lvlText w:val="(%1)"/>
      <w:numFmt w:val="decimal"/>
      <w:start w:val="1"/>
    </w:lvl>
  </w:abstractNum>
  <w:abstractNum w:abstractNumId="29">
    <w:nsid w:val="3F6AB60F"/>
    <w:multiLevelType w:val="hybridMultilevel"/>
    <w:lvl w:ilvl="0">
      <w:lvlJc w:val="left"/>
      <w:lvlText w:val="(%1)"/>
      <w:numFmt w:val="decimal"/>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1)"/>
      <w:numFmt w:val="decimal"/>
      <w:start w:val="1"/>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1)"/>
      <w:numFmt w:val="decimal"/>
      <w:start w:val="1"/>
    </w:lvl>
  </w:abstractNum>
  <w:abstractNum w:abstractNumId="35">
    <w:nsid w:val="5FF87E05"/>
    <w:multiLevelType w:val="hybridMultilevel"/>
    <w:lvl w:ilvl="0">
      <w:lvlJc w:val="left"/>
      <w:lvlText w:val="(%1)"/>
      <w:numFmt w:val="decimal"/>
      <w:start w:val="1"/>
    </w:lvl>
  </w:abstractNum>
  <w:abstractNum w:abstractNumId="36">
    <w:nsid w:val="2F305DEF"/>
    <w:multiLevelType w:val="hybridMultilevel"/>
    <w:lvl w:ilvl="0">
      <w:lvlJc w:val="left"/>
      <w:lvlText w:val="(%1)"/>
      <w:numFmt w:val="decimal"/>
      <w:start w:val="1"/>
    </w:lvl>
  </w:abstractNum>
  <w:abstractNum w:abstractNumId="37">
    <w:nsid w:val="25A70BF7"/>
    <w:multiLevelType w:val="hybridMultilevel"/>
    <w:lvl w:ilvl="0">
      <w:lvlJc w:val="left"/>
      <w:lvlText w:val="(%1)"/>
      <w:numFmt w:val="decimal"/>
      <w:start w:val="1"/>
    </w:lvl>
  </w:abstractNum>
  <w:abstractNum w:abstractNumId="38">
    <w:nsid w:val="1DBABF00"/>
    <w:multiLevelType w:val="hybridMultilevel"/>
    <w:lvl w:ilvl="0">
      <w:lvlJc w:val="left"/>
      <w:lvlText w:val="(%1)"/>
      <w:numFmt w:val="decimal"/>
      <w:start w:val="1"/>
    </w:lvl>
  </w:abstractNum>
  <w:abstractNum w:abstractNumId="39">
    <w:nsid w:val="4AD084E9"/>
    <w:multiLevelType w:val="hybridMultilevel"/>
    <w:lvl w:ilvl="0">
      <w:lvlJc w:val="left"/>
      <w:lvlText w:val="(%1)"/>
      <w:numFmt w:val="decimal"/>
      <w:start w:val="1"/>
    </w:lvl>
  </w:abstractNum>
  <w:abstractNum w:abstractNumId="40">
    <w:nsid w:val="1F48EAA1"/>
    <w:multiLevelType w:val="hybridMultilevel"/>
    <w:lvl w:ilvl="0">
      <w:lvlJc w:val="left"/>
      <w:lvlText w:val="(%1)"/>
      <w:numFmt w:val="decimal"/>
      <w:start w:val="1"/>
    </w:lvl>
  </w:abstractNum>
  <w:abstractNum w:abstractNumId="41">
    <w:nsid w:val="1381823A"/>
    <w:multiLevelType w:val="hybridMultilevel"/>
    <w:lvl w:ilvl="0">
      <w:lvlJc w:val="left"/>
      <w:lvlText w:val="(%1)"/>
      <w:numFmt w:val="decimal"/>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1."/>
      <w:numFmt w:val="decimal"/>
      <w:start w:val="1"/>
    </w:lvl>
    <w:lvl w:ilvl="1">
      <w:lvlJc w:val="left"/>
      <w:lvlText w:val="%2."/>
      <w:numFmt w:val="lowerLetter"/>
      <w:start w:val="1"/>
    </w:lvl>
  </w:abstractNum>
  <w:abstractNum w:abstractNumId="44">
    <w:nsid w:val="6590700B"/>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5">
    <w:nsid w:val="15014AC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6">
    <w:nsid w:val="5F5E7FD0"/>
    <w:multiLevelType w:val="hybridMultilevel"/>
    <w:lvl w:ilvl="0">
      <w:lvlJc w:val="left"/>
      <w:lvlText w:val="%1."/>
      <w:numFmt w:val="lowerLetter"/>
      <w:start w:val="1"/>
    </w:lvl>
    <w:lvl w:ilvl="1">
      <w:lvlJc w:val="left"/>
      <w:lvlText w:val="-"/>
      <w:numFmt w:val="bullet"/>
      <w:start w:val="1"/>
    </w:lvl>
  </w:abstractNum>
  <w:abstractNum w:abstractNumId="47">
    <w:nsid w:val="98A3148"/>
    <w:multiLevelType w:val="hybridMultilevel"/>
    <w:lvl w:ilvl="0">
      <w:lvlJc w:val="left"/>
      <w:lvlText w:val="%1."/>
      <w:numFmt w:val="lowerLetter"/>
      <w:start w:val="4"/>
    </w:lvl>
    <w:lvl w:ilvl="1">
      <w:lvlJc w:val="left"/>
      <w:lvlText w:val="-"/>
      <w:numFmt w:val="bullet"/>
      <w:start w:val="1"/>
    </w:lvl>
  </w:abstractNum>
  <w:abstractNum w:abstractNumId="48">
    <w:nsid w:val="799D0247"/>
    <w:multiLevelType w:val="hybridMultilevel"/>
    <w:lvl w:ilvl="0">
      <w:lvlJc w:val="left"/>
      <w:lvlText w:val="%1."/>
      <w:numFmt w:val="lowerLetter"/>
      <w:start w:val="6"/>
    </w:lvl>
    <w:lvl w:ilvl="1">
      <w:lvlJc w:val="left"/>
      <w:lvlText w:val="(%2)"/>
      <w:numFmt w:val="lowerLetter"/>
      <w:start w:val="9"/>
    </w:lvl>
    <w:lvl w:ilvl="2">
      <w:lvlJc w:val="left"/>
      <w:lvlText w:val="(%3)"/>
      <w:numFmt w:val="lowerLetter"/>
      <w:start w:val="27"/>
    </w:lvl>
  </w:abstractNum>
  <w:abstractNum w:abstractNumId="49">
    <w:nsid w:val="6B9476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5"/>
    </w:lvl>
  </w:abstractNum>
  <w:abstractNum w:abstractNumId="50">
    <w:nsid w:val="42C296BD"/>
    <w:multiLevelType w:val="hybridMultilevel"/>
    <w:lvl w:ilvl="0">
      <w:lvlJc w:val="left"/>
      <w:lvlText w:val="(%1)"/>
      <w:numFmt w:val="lowerRoman"/>
      <w:start w:val="4"/>
    </w:lvl>
  </w:abstractNum>
  <w:abstractNum w:abstractNumId="51">
    <w:nsid w:val="168E121F"/>
    <w:multiLevelType w:val="hybridMultilevel"/>
    <w:lvl w:ilvl="0">
      <w:lvlJc w:val="left"/>
      <w:lvlText w:val="(%1)"/>
      <w:numFmt w:val="lowerRoman"/>
      <w:start w:val="1"/>
    </w:lvl>
    <w:lvl w:ilvl="1">
      <w:lvlJc w:val="left"/>
      <w:lvlText w:val="-"/>
      <w:numFmt w:val="bullet"/>
      <w:start w:val="1"/>
    </w:lvl>
  </w:abstractNum>
  <w:abstractNum w:abstractNumId="52">
    <w:nsid w:val="1EBA5D23"/>
    <w:multiLevelType w:val="hybridMultilevel"/>
    <w:lvl w:ilvl="0">
      <w:lvlJc w:val="left"/>
      <w:lvlText w:val="(%1)"/>
      <w:numFmt w:val="lowerRoman"/>
      <w:start w:val="3"/>
    </w:lvl>
  </w:abstractNum>
  <w:abstractNum w:abstractNumId="53">
    <w:nsid w:val="661E3F1E"/>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54">
    <w:nsid w:val="5DC79EA8"/>
    <w:multiLevelType w:val="hybridMultilevel"/>
    <w:lvl w:ilvl="0">
      <w:lvlJc w:val="left"/>
      <w:lvlText w:val="%1."/>
      <w:numFmt w:val="lowerLetter"/>
      <w:start w:val="2"/>
    </w:lvl>
    <w:lvl w:ilvl="1">
      <w:lvlJc w:val="left"/>
      <w:lvlText w:val="(%2)"/>
      <w:numFmt w:val="lowerRoman"/>
      <w:start w:val="1"/>
    </w:lvl>
  </w:abstractNum>
  <w:abstractNum w:abstractNumId="55">
    <w:nsid w:val="540A471C"/>
    <w:multiLevelType w:val="hybridMultilevel"/>
    <w:lvl w:ilvl="0">
      <w:lvlJc w:val="left"/>
      <w:lvlText w:val="%1."/>
      <w:numFmt w:val="decimal"/>
      <w:start w:val="7"/>
    </w:lvl>
    <w:lvl w:ilvl="1">
      <w:lvlJc w:val="left"/>
      <w:lvlText w:val="-"/>
      <w:numFmt w:val="bullet"/>
      <w:start w:val="1"/>
    </w:lvl>
  </w:abstractNum>
  <w:abstractNum w:abstractNumId="56">
    <w:nsid w:val="7BD3EE7B"/>
    <w:multiLevelType w:val="hybridMultilevel"/>
    <w:lvl w:ilvl="0">
      <w:lvlJc w:val="left"/>
      <w:lvlText w:val="%1."/>
      <w:numFmt w:val="decimal"/>
      <w:start w:val="11"/>
    </w:lvl>
    <w:lvl w:ilvl="1">
      <w:lvlJc w:val="left"/>
      <w:lvlText w:val="-"/>
      <w:numFmt w:val="bullet"/>
      <w:start w:val="1"/>
    </w:lvl>
  </w:abstractNum>
  <w:abstractNum w:abstractNumId="57">
    <w:nsid w:val="51D9C564"/>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58">
    <w:nsid w:val="613EFDC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59">
    <w:nsid w:val="BF72B14"/>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60">
    <w:nsid w:val="11447B73"/>
    <w:multiLevelType w:val="hybridMultilevel"/>
    <w:lvl w:ilvl="0">
      <w:lvlJc w:val="left"/>
      <w:lvlText w:val="%1."/>
      <w:numFmt w:val="decimal"/>
      <w:start w:val="22"/>
    </w:lvl>
  </w:abstractNum>
  <w:abstractNum w:abstractNumId="61">
    <w:nsid w:val="42963E5A"/>
    <w:multiLevelType w:val="hybridMultilevel"/>
    <w:lvl w:ilvl="0">
      <w:lvlJc w:val="left"/>
      <w:lvlText w:val="%1."/>
      <w:numFmt w:val="decimal"/>
      <w:start w:val="1"/>
    </w:lvl>
    <w:lvl w:ilvl="1">
      <w:lvlJc w:val="left"/>
      <w:lvlText w:val="%2."/>
      <w:numFmt w:val="lowerLetter"/>
      <w:start w:val="1"/>
    </w:lvl>
  </w:abstractNum>
  <w:abstractNum w:abstractNumId="62">
    <w:nsid w:val="A0382C5"/>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63">
    <w:nsid w:val="8F2B15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64">
    <w:nsid w:val="1A32234B"/>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65">
    <w:nsid w:val="3B0FD379"/>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66">
    <w:nsid w:val="68EB2F63"/>
    <w:multiLevelType w:val="hybridMultilevel"/>
    <w:lvl w:ilvl="0">
      <w:lvlJc w:val="left"/>
      <w:lvlText w:val="%1."/>
      <w:numFmt w:val="decimal"/>
      <w:start w:val="15"/>
    </w:lvl>
  </w:abstractNum>
  <w:abstractNum w:abstractNumId="67">
    <w:nsid w:val="4962813B"/>
    <w:multiLevelType w:val="hybridMultilevel"/>
    <w:lvl w:ilvl="0">
      <w:lvlJc w:val="left"/>
      <w:lvlText w:val="%1."/>
      <w:numFmt w:val="decimal"/>
      <w:start w:val="1"/>
    </w:lvl>
  </w:abstractNum>
  <w:abstractNum w:abstractNumId="68">
    <w:nsid w:val="60B6DF70"/>
    <w:multiLevelType w:val="hybridMultilevel"/>
    <w:lvl w:ilvl="0">
      <w:lvlJc w:val="left"/>
      <w:lvlText w:val="%1"/>
      <w:numFmt w:val="decimal"/>
      <w:start w:val="1"/>
    </w:lvl>
    <w:lvl w:ilvl="1">
      <w:lvlJc w:val="left"/>
      <w:lvlText w:val="%2."/>
      <w:numFmt w:val="lowerLetter"/>
      <w:start w:val="1"/>
    </w:lvl>
  </w:abstractNum>
  <w:abstractNum w:abstractNumId="69">
    <w:nsid w:val="6A5EE64"/>
    <w:multiLevelType w:val="hybridMultilevel"/>
    <w:lvl w:ilvl="0">
      <w:lvlJc w:val="left"/>
      <w:lvlText w:val="%1."/>
      <w:numFmt w:val="decimal"/>
      <w:start w:val="1"/>
    </w:lvl>
    <w:lvl w:ilvl="1">
      <w:lvlJc w:val="left"/>
      <w:lvlText w:val="%2."/>
      <w:numFmt w:val="lowerLetter"/>
      <w:start w:val="1"/>
    </w:lvl>
  </w:abstractNum>
  <w:abstractNum w:abstractNumId="70">
    <w:nsid w:val="14330624"/>
    <w:multiLevelType w:val="hybridMultilevel"/>
    <w:lvl w:ilvl="0">
      <w:lvlJc w:val="left"/>
      <w:lvlText w:val="%1."/>
      <w:numFmt w:val="decimal"/>
      <w:start w:val="3"/>
    </w:lvl>
    <w:lvl w:ilvl="1">
      <w:lvlJc w:val="left"/>
      <w:lvlText w:val="%2."/>
      <w:numFmt w:val="lowerLetter"/>
      <w:start w:val="1"/>
    </w:lvl>
  </w:abstractNum>
  <w:abstractNum w:abstractNumId="71">
    <w:nsid w:val="7FFFCA11"/>
    <w:multiLevelType w:val="hybridMultilevel"/>
    <w:lvl w:ilvl="0">
      <w:lvlJc w:val="left"/>
      <w:lvlText w:val="%1."/>
      <w:numFmt w:val="lowerLetter"/>
      <w:start w:val="3"/>
    </w:lvl>
  </w:abstractNum>
  <w:abstractNum w:abstractNumId="72">
    <w:nsid w:val="1A27709E"/>
    <w:multiLevelType w:val="hybridMultilevel"/>
    <w:lvl w:ilvl="0">
      <w:lvlJc w:val="left"/>
      <w:lvlText w:val="%1."/>
      <w:numFmt w:val="lowerLetter"/>
      <w:start w:val="5"/>
    </w:lvl>
    <w:lvl w:ilvl="1">
      <w:lvlJc w:val="left"/>
      <w:lvlText w:val="(%2)"/>
      <w:numFmt w:val="lowerLetter"/>
      <w:start w:val="9"/>
    </w:lvl>
    <w:lvl w:ilvl="2">
      <w:lvlJc w:val="left"/>
      <w:lvlText w:val="(%3)"/>
      <w:numFmt w:val="lowerLetter"/>
      <w:start w:val="27"/>
    </w:lvl>
  </w:abstractNum>
  <w:abstractNum w:abstractNumId="73">
    <w:nsid w:val="71EA1109"/>
    <w:multiLevelType w:val="hybridMultilevel"/>
    <w:lvl w:ilvl="0">
      <w:lvlJc w:val="left"/>
      <w:lvlText w:val="(%1)"/>
      <w:numFmt w:val="lowerRoman"/>
      <w:start w:val="4"/>
    </w:lvl>
  </w:abstractNum>
  <w:abstractNum w:abstractNumId="74">
    <w:nsid w:val="100F59DC"/>
    <w:multiLevelType w:val="hybridMultilevel"/>
    <w:lvl w:ilvl="0">
      <w:lvlJc w:val="left"/>
      <w:lvlText w:val="(%1)"/>
      <w:numFmt w:val="lowerRoman"/>
      <w:start w:val="1"/>
    </w:lvl>
  </w:abstractNum>
  <w:abstractNum w:abstractNumId="75">
    <w:nsid w:val="7FB7E0AA"/>
    <w:multiLevelType w:val="hybridMultilevel"/>
    <w:lvl w:ilvl="0">
      <w:lvlJc w:val="left"/>
      <w:lvlText w:val="%1."/>
      <w:numFmt w:val="decimal"/>
      <w:start w:val="5"/>
    </w:lvl>
  </w:abstractNum>
  <w:abstractNum w:abstractNumId="76">
    <w:nsid w:val="6EB5BD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7">
    <w:nsid w:val="6F6DD9AC"/>
    <w:multiLevelType w:val="hybridMultilevel"/>
    <w:lvl w:ilvl="0">
      <w:lvlJc w:val="left"/>
      <w:lvlText w:val="%1."/>
      <w:numFmt w:val="decimal"/>
      <w:start w:val="7"/>
    </w:lvl>
  </w:abstractNum>
  <w:abstractNum w:abstractNumId="78">
    <w:nsid w:val="94211F2"/>
    <w:multiLevelType w:val="hybridMultilevel"/>
    <w:lvl w:ilvl="0">
      <w:lvlJc w:val="left"/>
      <w:lvlText w:val="%1."/>
      <w:numFmt w:val="decimal"/>
      <w:start w:val="8"/>
    </w:lvl>
  </w:abstractNum>
  <w:abstractNum w:abstractNumId="79">
    <w:nsid w:val="885E1B"/>
    <w:multiLevelType w:val="hybridMultilevel"/>
    <w:lvl w:ilvl="0">
      <w:lvlJc w:val="left"/>
      <w:lvlText w:val="%1."/>
      <w:numFmt w:val="decimal"/>
      <w:start w:val="14"/>
    </w:lvl>
  </w:abstractNum>
  <w:abstractNum w:abstractNumId="80">
    <w:nsid w:val="76272110"/>
    <w:multiLevelType w:val="hybridMultilevel"/>
    <w:lvl w:ilvl="0">
      <w:lvlJc w:val="left"/>
      <w:lvlText w:val="%1."/>
      <w:numFmt w:val="decimal"/>
      <w:start w:val="15"/>
    </w:lvl>
  </w:abstractNum>
  <w:abstractNum w:abstractNumId="81">
    <w:nsid w:val="4C04A8AF"/>
    <w:multiLevelType w:val="hybridMultilevel"/>
    <w:lvl w:ilvl="0">
      <w:lvlJc w:val="left"/>
      <w:lvlText w:val="%1."/>
      <w:numFmt w:val="decimal"/>
      <w:start w:val="18"/>
    </w:lvl>
    <w:lvl w:ilvl="1">
      <w:lvlJc w:val="left"/>
      <w:lvlText w:val="%2."/>
      <w:numFmt w:val="lowerLetter"/>
      <w:start w:val="1"/>
    </w:lvl>
  </w:abstractNum>
  <w:abstractNum w:abstractNumId="82">
    <w:nsid w:val="1716703B"/>
    <w:multiLevelType w:val="hybridMultilevel"/>
    <w:lvl w:ilvl="0">
      <w:lvlJc w:val="left"/>
      <w:lvlText w:val="%1."/>
      <w:numFmt w:val="decimal"/>
      <w:start w:val="22"/>
    </w:lvl>
  </w:abstractNum>
  <w:abstractNum w:abstractNumId="83">
    <w:nsid w:val="14E17E33"/>
    <w:multiLevelType w:val="hybridMultilevel"/>
    <w:lvl w:ilvl="0">
      <w:lvlJc w:val="left"/>
      <w:lvlText w:val="%1."/>
      <w:numFmt w:val="decimal"/>
      <w:start w:val="1"/>
    </w:lvl>
    <w:lvl w:ilvl="1">
      <w:lvlJc w:val="left"/>
      <w:lvlText w:val="%2."/>
      <w:numFmt w:val="lowerLetter"/>
      <w:start w:val="1"/>
    </w:lvl>
  </w:abstractNum>
  <w:abstractNum w:abstractNumId="84">
    <w:nsid w:val="3222E7CD"/>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85">
    <w:nsid w:val="74DE0EE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86">
    <w:nsid w:val="68EBC550"/>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87">
    <w:nsid w:val="2DF6D648"/>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88">
    <w:nsid w:val="46B7D447"/>
    <w:multiLevelType w:val="hybridMultilevel"/>
    <w:lvl w:ilvl="0">
      <w:lvlJc w:val="left"/>
      <w:lvlText w:val="%1."/>
      <w:numFmt w:val="decimal"/>
      <w:start w:val="15"/>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75" Type="http://schemas.openxmlformats.org/officeDocument/2006/relationships/hyperlink" Target="http://www.sec.gov/Archives/edgar/data/1509470/000113379611000069/k216228_ex99-2a.htm" TargetMode="External"/><Relationship Id="rId76" Type="http://schemas.openxmlformats.org/officeDocument/2006/relationships/hyperlink" Target="http://www.sec.gov/Archives/edgar/data/1509470/000114420411033389/v224342_ex3-1.htm" TargetMode="External"/><Relationship Id="rId77" Type="http://schemas.openxmlformats.org/officeDocument/2006/relationships/hyperlink" Target="http://www.sec.gov/Archives/edgar/data/1509470/000113379611000069/k216228_ex99-2b.htm" TargetMode="External"/><Relationship Id="rId78" Type="http://schemas.openxmlformats.org/officeDocument/2006/relationships/hyperlink" Target="http://www.sec.gov/Archives/edgar/data/1509470/000114420419014017/tv516273_ex10-1.htm" TargetMode="External"/><Relationship Id="rId79" Type="http://schemas.openxmlformats.org/officeDocument/2006/relationships/hyperlink" Target="http://www.sec.gov/Archives/edgar/data/1509470/000114420419014017/tv516273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2019-12-28T12:37:57Z</dcterms:created>
  <dcterms:modified xsi:type="dcterms:W3CDTF">2019-12-28T12:37:57Z</dcterms:modified>
</cp:coreProperties>
</file>