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410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200660</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354965</wp:posOffset>
            </wp:positionV>
            <wp:extent cx="4081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120" w:hanging="685"/>
        <w:spacing w:after="0"/>
        <w:tabs>
          <w:tab w:leader="none" w:pos="11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w:t>
      </w:r>
    </w:p>
    <w:p>
      <w:pPr>
        <w:spacing w:after="0" w:line="9"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4081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151" w:lineRule="exact"/>
        <w:rPr>
          <w:sz w:val="24"/>
          <w:szCs w:val="24"/>
          <w:color w:val="auto"/>
        </w:rPr>
      </w:pPr>
    </w:p>
    <w:p>
      <w:pPr>
        <w:ind w:left="1120" w:hanging="685"/>
        <w:spacing w:after="0"/>
        <w:tabs>
          <w:tab w:leader="none" w:pos="11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27"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1080" w:type="dxa"/>
        <w:tblCellMar>
          <w:top w:w="0" w:type="dxa"/>
          <w:left w:w="0" w:type="dxa"/>
          <w:bottom w:w="0" w:type="dxa"/>
          <w:right w:w="0" w:type="dxa"/>
        </w:tblCellMar>
      </w:tblPr>
      <w:tr>
        <w:trPr>
          <w:trHeight w:val="421"/>
        </w:trPr>
        <w:tc>
          <w:tcPr>
            <w:tcW w:w="2320" w:type="dxa"/>
            <w:vAlign w:val="bottom"/>
          </w:tcPr>
          <w:p>
            <w:pPr>
              <w:spacing w:after="0"/>
              <w:rPr>
                <w:sz w:val="24"/>
                <w:szCs w:val="24"/>
                <w:color w:val="auto"/>
              </w:rPr>
            </w:pPr>
          </w:p>
        </w:tc>
        <w:tc>
          <w:tcPr>
            <w:tcW w:w="4480" w:type="dxa"/>
            <w:vAlign w:val="bottom"/>
            <w:gridSpan w:val="3"/>
          </w:tcPr>
          <w:p>
            <w:pPr>
              <w:jc w:val="center"/>
              <w:ind w:right="1668"/>
              <w:spacing w:after="0"/>
              <w:rPr>
                <w:sz w:val="20"/>
                <w:szCs w:val="20"/>
                <w:color w:val="auto"/>
              </w:rPr>
            </w:pPr>
            <w:r>
              <w:rPr>
                <w:rFonts w:ascii="Arial" w:cs="Arial" w:eastAsia="Arial" w:hAnsi="Arial"/>
                <w:sz w:val="32"/>
                <w:szCs w:val="32"/>
                <w:b w:val="1"/>
                <w:bCs w:val="1"/>
                <w:color w:val="auto"/>
                <w:w w:val="96"/>
              </w:rPr>
              <w:t>GSV Capital Corp.</w:t>
            </w:r>
          </w:p>
        </w:tc>
      </w:tr>
      <w:tr>
        <w:trPr>
          <w:trHeight w:val="257"/>
        </w:trPr>
        <w:tc>
          <w:tcPr>
            <w:tcW w:w="6800" w:type="dxa"/>
            <w:vAlign w:val="bottom"/>
            <w:gridSpan w:val="4"/>
          </w:tcPr>
          <w:p>
            <w:pPr>
              <w:ind w:left="2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03"/>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481"/>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4480" w:type="dxa"/>
            <w:vAlign w:val="bottom"/>
            <w:gridSpan w:val="3"/>
          </w:tcPr>
          <w:p>
            <w:pPr>
              <w:jc w:val="right"/>
              <w:ind w:right="528"/>
              <w:spacing w:after="0"/>
              <w:rPr>
                <w:sz w:val="20"/>
                <w:szCs w:val="20"/>
                <w:color w:val="auto"/>
              </w:rPr>
            </w:pPr>
            <w:r>
              <w:rPr>
                <w:rFonts w:ascii="Arial" w:cs="Arial" w:eastAsia="Arial" w:hAnsi="Arial"/>
                <w:sz w:val="18"/>
                <w:szCs w:val="18"/>
                <w:b w:val="1"/>
                <w:bCs w:val="1"/>
                <w:color w:val="auto"/>
              </w:rPr>
              <w:t>27-4443543</w:t>
            </w: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5"/>
              </w:rPr>
              <w:t>(State of incorporation)</w:t>
            </w:r>
          </w:p>
        </w:tc>
        <w:tc>
          <w:tcPr>
            <w:tcW w:w="160" w:type="dxa"/>
            <w:vAlign w:val="bottom"/>
          </w:tcPr>
          <w:p>
            <w:pPr>
              <w:spacing w:after="0"/>
              <w:rPr>
                <w:sz w:val="15"/>
                <w:szCs w:val="15"/>
                <w:color w:val="auto"/>
              </w:rPr>
            </w:pPr>
          </w:p>
        </w:tc>
        <w:tc>
          <w:tcPr>
            <w:tcW w:w="4320" w:type="dxa"/>
            <w:vAlign w:val="bottom"/>
            <w:gridSpan w:val="2"/>
          </w:tcPr>
          <w:p>
            <w:pPr>
              <w:jc w:val="center"/>
              <w:ind w:left="2168"/>
              <w:spacing w:after="0"/>
              <w:rPr>
                <w:sz w:val="20"/>
                <w:szCs w:val="20"/>
                <w:color w:val="auto"/>
              </w:rPr>
            </w:pPr>
            <w:r>
              <w:rPr>
                <w:rFonts w:ascii="Arial" w:cs="Arial" w:eastAsia="Arial" w:hAnsi="Arial"/>
                <w:sz w:val="14"/>
                <w:szCs w:val="14"/>
                <w:color w:val="auto"/>
                <w:w w:val="96"/>
              </w:rPr>
              <w:t>(I.R.S. Employer Identification No.)</w:t>
            </w:r>
          </w:p>
        </w:tc>
      </w:tr>
      <w:tr>
        <w:trPr>
          <w:trHeight w:val="277"/>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8"/>
              </w:rPr>
              <w:t>2925 Woodside Road</w:t>
            </w: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Woodside, CA</w:t>
            </w:r>
          </w:p>
        </w:tc>
        <w:tc>
          <w:tcPr>
            <w:tcW w:w="4480" w:type="dxa"/>
            <w:vAlign w:val="bottom"/>
            <w:gridSpan w:val="3"/>
          </w:tcPr>
          <w:p>
            <w:pPr>
              <w:jc w:val="right"/>
              <w:ind w:right="748"/>
              <w:spacing w:after="0"/>
              <w:rPr>
                <w:sz w:val="20"/>
                <w:szCs w:val="20"/>
                <w:color w:val="auto"/>
              </w:rPr>
            </w:pPr>
            <w:r>
              <w:rPr>
                <w:rFonts w:ascii="Arial" w:cs="Arial" w:eastAsia="Arial" w:hAnsi="Arial"/>
                <w:sz w:val="18"/>
                <w:szCs w:val="18"/>
                <w:b w:val="1"/>
                <w:bCs w:val="1"/>
                <w:color w:val="auto"/>
              </w:rPr>
              <w:t>94062</w:t>
            </w: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900" w:type="dxa"/>
            <w:vAlign w:val="bottom"/>
          </w:tcPr>
          <w:p>
            <w:pPr>
              <w:jc w:val="center"/>
              <w:ind w:right="108"/>
              <w:spacing w:after="0"/>
              <w:rPr>
                <w:sz w:val="20"/>
                <w:szCs w:val="20"/>
                <w:color w:val="auto"/>
              </w:rPr>
            </w:pPr>
            <w:r>
              <w:rPr>
                <w:rFonts w:ascii="Arial" w:cs="Arial" w:eastAsia="Arial" w:hAnsi="Arial"/>
                <w:sz w:val="14"/>
                <w:szCs w:val="14"/>
                <w:color w:val="auto"/>
                <w:w w:val="96"/>
              </w:rPr>
              <w:t>(Zip Code)</w:t>
            </w:r>
          </w:p>
        </w:tc>
      </w:tr>
      <w:tr>
        <w:trPr>
          <w:trHeight w:val="417"/>
        </w:trPr>
        <w:tc>
          <w:tcPr>
            <w:tcW w:w="2320" w:type="dxa"/>
            <w:vAlign w:val="bottom"/>
          </w:tcPr>
          <w:p>
            <w:pPr>
              <w:spacing w:after="0"/>
              <w:rPr>
                <w:sz w:val="24"/>
                <w:szCs w:val="24"/>
                <w:color w:val="auto"/>
              </w:rPr>
            </w:pPr>
          </w:p>
        </w:tc>
        <w:tc>
          <w:tcPr>
            <w:tcW w:w="258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(650) 235-4769</w:t>
            </w:r>
          </w:p>
        </w:tc>
        <w:tc>
          <w:tcPr>
            <w:tcW w:w="19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-985520</wp:posOffset>
            </wp:positionV>
            <wp:extent cx="574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-694055</wp:posOffset>
            </wp:positionV>
            <wp:extent cx="574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83"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201295</wp:posOffset>
            </wp:positionV>
            <wp:extent cx="1543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73" w:lineRule="exact"/>
        <w:rPr>
          <w:sz w:val="24"/>
          <w:szCs w:val="24"/>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39" w:lineRule="exact"/>
        <w:rPr>
          <w:sz w:val="24"/>
          <w:szCs w:val="24"/>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52825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126" w:lineRule="exact"/>
        <w:rPr>
          <w:sz w:val="24"/>
          <w:szCs w:val="24"/>
          <w:color w:val="auto"/>
        </w:rPr>
      </w:pPr>
    </w:p>
    <w:p>
      <w:pPr>
        <w:sectPr>
          <w:pgSz w:w="11900" w:h="16838" w:orient="portrait"/>
          <w:cols w:equalWidth="0" w:num="2">
            <w:col w:w="5320" w:space="720"/>
            <w:col w:w="4039"/>
          </w:cols>
          <w:pgMar w:left="380" w:top="1440" w:right="1440" w:bottom="1440" w:gutter="0" w:footer="0" w:header="0"/>
          <w:type w:val="continuous"/>
        </w:sectPr>
      </w:pPr>
    </w:p>
    <w:p>
      <w:pPr>
        <w:ind w:left="3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Act).Yes o No x</w:t>
      </w:r>
    </w:p>
    <w:p>
      <w:pPr>
        <w:spacing w:after="0" w:line="140" w:lineRule="exact"/>
        <w:rPr>
          <w:sz w:val="24"/>
          <w:szCs w:val="24"/>
          <w:color w:val="auto"/>
        </w:rPr>
      </w:pPr>
    </w:p>
    <w:p>
      <w:pPr>
        <w:ind w:left="320"/>
        <w:spacing w:after="0"/>
        <w:rPr>
          <w:sz w:val="20"/>
          <w:szCs w:val="20"/>
          <w:color w:val="auto"/>
        </w:rPr>
      </w:pPr>
      <w:r>
        <w:rPr>
          <w:rFonts w:ascii="Arial" w:cs="Arial" w:eastAsia="Arial" w:hAnsi="Arial"/>
          <w:sz w:val="16"/>
          <w:szCs w:val="16"/>
          <w:color w:val="auto"/>
        </w:rPr>
        <w:t>The number of shares of the issuer’s Common Stock, $0.01 par value, outstanding as of November 9, 2015 was 19,320,100.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814070</wp:posOffset>
            </wp:positionV>
            <wp:extent cx="611441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63500</wp:posOffset>
            </wp:positionV>
            <wp:extent cx="6071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89535</wp:posOffset>
            </wp:positionV>
            <wp:extent cx="6071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type w:val="continuous"/>
        </w:sectPr>
      </w:pPr>
    </w:p>
    <w:bookmarkStart w:id="1" w:name="page2"/>
    <w:bookmarkEnd w:id="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GSV CAPITAL CORP.</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PAGE</w:t>
            </w:r>
          </w:p>
        </w:tc>
      </w:tr>
      <w:tr>
        <w:trPr>
          <w:trHeight w:val="210"/>
        </w:trPr>
        <w:tc>
          <w:tcPr>
            <w:tcW w:w="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6900" w:type="dxa"/>
            <w:vAlign w:val="bottom"/>
            <w:gridSpan w:val="35"/>
            <w:shd w:val="clear" w:color="auto" w:fill="CCEEFF"/>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780" w:type="dxa"/>
            <w:vAlign w:val="bottom"/>
            <w:gridSpan w:val="3"/>
          </w:tcPr>
          <w:p>
            <w:pPr>
              <w:ind w:lef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900" w:type="dxa"/>
            <w:vAlign w:val="bottom"/>
            <w:gridSpan w:val="35"/>
          </w:tcPr>
          <w:p>
            <w:pPr>
              <w:ind w:left="14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30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Assets and Liabilities as of September 30, 2015</w:t>
              </w:r>
            </w:hyperlink>
          </w:p>
        </w:tc>
        <w:tc>
          <w:tcPr>
            <w:tcW w:w="460" w:type="dxa"/>
            <w:vAlign w:val="bottom"/>
            <w:tcBorders>
              <w:bottom w:val="single" w:sz="8" w:color="CCEEFF"/>
            </w:tcBorders>
            <w:gridSpan w:val="4"/>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760" w:type="dxa"/>
            <w:vAlign w:val="bottom"/>
            <w:gridSpan w:val="34"/>
            <w:shd w:val="clear" w:color="auto" w:fill="CCEEFF"/>
          </w:tcPr>
          <w:p>
            <w:pPr>
              <w:ind w:left="18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and December 31, 2014</w:t>
              </w:r>
            </w:hyperlink>
          </w:p>
        </w:tc>
        <w:tc>
          <w:tcPr>
            <w:tcW w:w="540" w:type="dxa"/>
            <w:vAlign w:val="bottom"/>
            <w:gridSpan w:val="4"/>
            <w:shd w:val="clear" w:color="auto" w:fill="CCEEFF"/>
          </w:tcPr>
          <w:p>
            <w:pPr>
              <w:jc w:val="right"/>
              <w:ind w:right="10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760" w:type="dxa"/>
            <w:vAlign w:val="bottom"/>
            <w:gridSpan w:val="34"/>
          </w:tcPr>
          <w:p>
            <w:pPr>
              <w:spacing w:after="0" w:line="17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Operations for the three and nine months ended</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80" w:type="dxa"/>
            <w:vAlign w:val="bottom"/>
            <w:tcBorders>
              <w:top w:val="single" w:sz="8" w:color="0000EE"/>
            </w:tcBorders>
            <w:gridSpan w:val="29"/>
          </w:tcPr>
          <w:p>
            <w:pPr>
              <w:ind w:left="18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2015 and 2014 (unaudited)</w:t>
              </w:r>
            </w:hyperlink>
          </w:p>
        </w:tc>
        <w:tc>
          <w:tcPr>
            <w:tcW w:w="480" w:type="dxa"/>
            <w:vAlign w:val="bottom"/>
            <w:gridSpan w:val="5"/>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20" w:type="dxa"/>
            <w:vAlign w:val="bottom"/>
            <w:tcBorders>
              <w:bottom w:val="single" w:sz="8" w:color="0000EE"/>
            </w:tcBorders>
            <w:gridSpan w:val="31"/>
            <w:shd w:val="clear" w:color="auto" w:fill="CCEEFF"/>
          </w:tcPr>
          <w:p>
            <w:pPr>
              <w:spacing w:after="0" w:line="17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Changes in Net Assets for the nine months ended</w:t>
              </w:r>
            </w:hyperlink>
          </w:p>
        </w:tc>
        <w:tc>
          <w:tcPr>
            <w:tcW w:w="340" w:type="dxa"/>
            <w:vAlign w:val="bottom"/>
            <w:tcBorders>
              <w:bottom w:val="single" w:sz="8" w:color="CCEEFF"/>
            </w:tcBorders>
            <w:gridSpan w:val="3"/>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760" w:type="dxa"/>
            <w:vAlign w:val="bottom"/>
            <w:gridSpan w:val="34"/>
            <w:shd w:val="clear" w:color="auto" w:fill="CCEEFF"/>
          </w:tcPr>
          <w:p>
            <w:pPr>
              <w:ind w:left="18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30, 2015 and 2014 (unaudited)</w:t>
              </w:r>
            </w:hyperlink>
          </w:p>
        </w:tc>
        <w:tc>
          <w:tcPr>
            <w:tcW w:w="540" w:type="dxa"/>
            <w:vAlign w:val="bottom"/>
            <w:gridSpan w:val="4"/>
            <w:shd w:val="clear" w:color="auto" w:fill="CCEEFF"/>
          </w:tcPr>
          <w:p>
            <w:pPr>
              <w:jc w:val="right"/>
              <w:ind w:right="10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760" w:type="dxa"/>
            <w:vAlign w:val="bottom"/>
            <w:gridSpan w:val="34"/>
          </w:tcPr>
          <w:p>
            <w:pPr>
              <w:spacing w:after="0" w:line="17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Statements of Cash Flows for the nine months ended September</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40" w:type="dxa"/>
            <w:vAlign w:val="bottom"/>
            <w:tcBorders>
              <w:top w:val="single" w:sz="8" w:color="0000EE"/>
            </w:tcBorders>
            <w:gridSpan w:val="32"/>
          </w:tcPr>
          <w:p>
            <w:pPr>
              <w:ind w:left="18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30, 2015 and 2014 (unaudited)</w:t>
              </w:r>
            </w:hyperlink>
          </w:p>
        </w:tc>
        <w:tc>
          <w:tcPr>
            <w:tcW w:w="320" w:type="dxa"/>
            <w:vAlign w:val="bottom"/>
            <w:gridSpan w:val="2"/>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760" w:type="dxa"/>
            <w:vAlign w:val="bottom"/>
            <w:gridSpan w:val="34"/>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Schedule of Investments as of September 30, 2015</w:t>
              </w:r>
            </w:hyperlink>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80" w:type="dxa"/>
            <w:vAlign w:val="bottom"/>
            <w:tcBorders>
              <w:top w:val="single" w:sz="8" w:color="0000EE"/>
            </w:tcBorders>
            <w:gridSpan w:val="26"/>
            <w:shd w:val="clear" w:color="auto" w:fill="CCEEFF"/>
          </w:tcPr>
          <w:p>
            <w:pPr>
              <w:ind w:left="18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(unaudited)</w:t>
              </w:r>
            </w:hyperlink>
          </w:p>
        </w:tc>
        <w:tc>
          <w:tcPr>
            <w:tcW w:w="1280" w:type="dxa"/>
            <w:vAlign w:val="bottom"/>
            <w:tcBorders>
              <w:top w:val="single" w:sz="8" w:color="CCEEFF"/>
            </w:tcBorders>
            <w:gridSpan w:val="8"/>
            <w:shd w:val="clear" w:color="auto" w:fill="CCEEFF"/>
          </w:tcPr>
          <w:p>
            <w:pPr>
              <w:spacing w:after="0"/>
              <w:rPr>
                <w:sz w:val="17"/>
                <w:szCs w:val="17"/>
                <w:color w:val="auto"/>
              </w:rPr>
            </w:pPr>
          </w:p>
        </w:tc>
        <w:tc>
          <w:tcPr>
            <w:tcW w:w="540" w:type="dxa"/>
            <w:vAlign w:val="bottom"/>
            <w:tcBorders>
              <w:top w:val="single" w:sz="8" w:color="CCEEFF"/>
            </w:tcBorders>
            <w:gridSpan w:val="4"/>
            <w:shd w:val="clear" w:color="auto" w:fill="CCEEFF"/>
          </w:tcPr>
          <w:p>
            <w:pPr>
              <w:jc w:val="right"/>
              <w:ind w:right="10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6</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760" w:type="dxa"/>
            <w:vAlign w:val="bottom"/>
            <w:gridSpan w:val="34"/>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Condensed Consolidated Schedule of Investments as of December 31, 2014</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140" w:type="dxa"/>
            <w:vAlign w:val="bottom"/>
            <w:tcBorders>
              <w:bottom w:val="single" w:sz="8" w:color="0000EE"/>
            </w:tcBorders>
            <w:gridSpan w:val="28"/>
            <w:shd w:val="clear" w:color="auto" w:fill="CCEEFF"/>
          </w:tcPr>
          <w:p>
            <w:pPr>
              <w:spacing w:after="0" w:line="17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Notes to the Condensed Consolidated Financial Statements as of September 30, 2015</w:t>
              </w:r>
            </w:hyperlink>
          </w:p>
        </w:tc>
        <w:tc>
          <w:tcPr>
            <w:tcW w:w="620" w:type="dxa"/>
            <w:vAlign w:val="bottom"/>
            <w:tcBorders>
              <w:bottom w:val="single" w:sz="8" w:color="CCEEFF"/>
            </w:tcBorders>
            <w:gridSpan w:val="6"/>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760" w:type="dxa"/>
            <w:vAlign w:val="bottom"/>
            <w:gridSpan w:val="34"/>
            <w:shd w:val="clear" w:color="auto" w:fill="CCEEFF"/>
          </w:tcPr>
          <w:p>
            <w:pPr>
              <w:ind w:left="18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(unaudited)</w:t>
              </w:r>
            </w:hyperlink>
          </w:p>
        </w:tc>
        <w:tc>
          <w:tcPr>
            <w:tcW w:w="540" w:type="dxa"/>
            <w:vAlign w:val="bottom"/>
            <w:gridSpan w:val="4"/>
            <w:shd w:val="clear" w:color="auto" w:fill="CCEEFF"/>
          </w:tcPr>
          <w:p>
            <w:pPr>
              <w:jc w:val="right"/>
              <w:ind w:right="10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760" w:type="dxa"/>
            <w:vAlign w:val="bottom"/>
            <w:gridSpan w:val="34"/>
          </w:tcPr>
          <w:p>
            <w:pPr>
              <w:ind w:left="18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Note 1 — Nature of Operations and Significant Accounting Policies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760" w:type="dxa"/>
            <w:vAlign w:val="bottom"/>
            <w:gridSpan w:val="34"/>
            <w:shd w:val="clear" w:color="auto" w:fill="CCEEFF"/>
          </w:tcPr>
          <w:p>
            <w:pPr>
              <w:ind w:left="1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Note 2 — Related-Party Arrangements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760" w:type="dxa"/>
            <w:vAlign w:val="bottom"/>
            <w:gridSpan w:val="34"/>
          </w:tcPr>
          <w:p>
            <w:pPr>
              <w:ind w:left="1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Note 3 — Investments at Fair Value</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760" w:type="dxa"/>
            <w:vAlign w:val="bottom"/>
            <w:gridSpan w:val="34"/>
            <w:shd w:val="clear" w:color="auto" w:fill="CCEEFF"/>
          </w:tcPr>
          <w:p>
            <w:pPr>
              <w:ind w:left="18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Note 4 — Equity Offerings and Related Expenses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760" w:type="dxa"/>
            <w:vAlign w:val="bottom"/>
            <w:gridSpan w:val="34"/>
          </w:tcPr>
          <w:p>
            <w:pPr>
              <w:ind w:left="18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Note 5 — Net Increase in Net Assets Resulting from Operations per Common</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20" w:type="dxa"/>
            <w:vAlign w:val="bottom"/>
            <w:tcBorders>
              <w:top w:val="single" w:sz="8" w:color="0000EE"/>
            </w:tcBorders>
            <w:gridSpan w:val="26"/>
          </w:tcPr>
          <w:p>
            <w:pPr>
              <w:ind w:left="18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Share — Basic and Diluted</w:t>
              </w:r>
            </w:hyperlink>
          </w:p>
        </w:tc>
        <w:tc>
          <w:tcPr>
            <w:tcW w:w="960" w:type="dxa"/>
            <w:vAlign w:val="bottom"/>
            <w:gridSpan w:val="7"/>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760" w:type="dxa"/>
            <w:vAlign w:val="bottom"/>
            <w:gridSpan w:val="34"/>
            <w:shd w:val="clear" w:color="auto" w:fill="CCEEFF"/>
          </w:tcPr>
          <w:p>
            <w:pPr>
              <w:ind w:left="18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Note 6 — Commitments and Contingencies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760" w:type="dxa"/>
            <w:vAlign w:val="bottom"/>
            <w:gridSpan w:val="34"/>
          </w:tcPr>
          <w:p>
            <w:pPr>
              <w:ind w:left="18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Note 7 — Financial Highlights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760" w:type="dxa"/>
            <w:vAlign w:val="bottom"/>
            <w:gridSpan w:val="34"/>
            <w:shd w:val="clear" w:color="auto" w:fill="CCEEFF"/>
          </w:tcPr>
          <w:p>
            <w:pPr>
              <w:ind w:left="1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Note 8 — Income Taxes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760" w:type="dxa"/>
            <w:vAlign w:val="bottom"/>
            <w:gridSpan w:val="34"/>
          </w:tcPr>
          <w:p>
            <w:pPr>
              <w:ind w:left="18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Note 9 — Long Term Liabilities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760" w:type="dxa"/>
            <w:vAlign w:val="bottom"/>
            <w:gridSpan w:val="34"/>
            <w:shd w:val="clear" w:color="auto" w:fill="CCEEFF"/>
          </w:tcPr>
          <w:p>
            <w:pPr>
              <w:ind w:left="18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Note 10 — Subsequent Events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gridSpan w:val="3"/>
          </w:tcPr>
          <w:p>
            <w:pPr>
              <w:ind w:left="2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2.</w:t>
              </w:r>
            </w:hyperlink>
          </w:p>
        </w:tc>
        <w:tc>
          <w:tcPr>
            <w:tcW w:w="6900" w:type="dxa"/>
            <w:vAlign w:val="bottom"/>
            <w:gridSpan w:val="35"/>
          </w:tcPr>
          <w:p>
            <w:pPr>
              <w:ind w:left="140"/>
              <w:spacing w:after="0" w:line="176" w:lineRule="exact"/>
              <w:rPr>
                <w:rFonts w:ascii="Arial" w:cs="Arial" w:eastAsia="Arial" w:hAnsi="Arial"/>
                <w:sz w:val="18"/>
                <w:szCs w:val="18"/>
                <w:color w:val="0000EE"/>
                <w:w w:val="95"/>
              </w:rPr>
            </w:pPr>
            <w:hyperlink w:anchor="page47">
              <w:r>
                <w:rPr>
                  <w:rFonts w:ascii="Arial" w:cs="Arial" w:eastAsia="Arial" w:hAnsi="Arial"/>
                  <w:sz w:val="18"/>
                  <w:szCs w:val="18"/>
                  <w:color w:val="0000EE"/>
                  <w:w w:val="95"/>
                </w:rPr>
                <w:t>Management’s Discussion and Analysis of Financial Condition and Results of Operations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760" w:type="dxa"/>
            <w:vAlign w:val="bottom"/>
            <w:gridSpan w:val="34"/>
            <w:shd w:val="clear" w:color="auto" w:fill="CCEEFF"/>
          </w:tcPr>
          <w:p>
            <w:pPr>
              <w:ind w:left="1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Forward-Looking Statements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760" w:type="dxa"/>
            <w:vAlign w:val="bottom"/>
            <w:gridSpan w:val="34"/>
          </w:tcPr>
          <w:p>
            <w:pPr>
              <w:ind w:left="1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Overview</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3"/>
            <w:shd w:val="clear" w:color="auto" w:fill="CCEEFF"/>
          </w:tcPr>
          <w:p>
            <w:pPr>
              <w:ind w:left="1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Investments — (Portfolio Activity)</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760" w:type="dxa"/>
            <w:vAlign w:val="bottom"/>
            <w:gridSpan w:val="34"/>
          </w:tcPr>
          <w:p>
            <w:pPr>
              <w:ind w:left="1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Results of Operations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760" w:type="dxa"/>
            <w:vAlign w:val="bottom"/>
            <w:gridSpan w:val="34"/>
            <w:shd w:val="clear" w:color="auto" w:fill="CCEEFF"/>
          </w:tcPr>
          <w:p>
            <w:pPr>
              <w:ind w:left="18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Liquidity and Capital Resources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3"/>
          </w:tcPr>
          <w:p>
            <w:pPr>
              <w:ind w:left="18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Equity Issuances &amp; Debt Capital Activities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3"/>
            <w:shd w:val="clear" w:color="auto" w:fill="CCEEFF"/>
          </w:tcPr>
          <w:p>
            <w:pPr>
              <w:ind w:left="18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Contractual Obligations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3"/>
          </w:tcPr>
          <w:p>
            <w:pPr>
              <w:ind w:left="18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Off-Balance Sheet Arrangements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3"/>
            <w:shd w:val="clear" w:color="auto" w:fill="CCEEFF"/>
          </w:tcPr>
          <w:p>
            <w:pPr>
              <w:ind w:left="18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Distribution Policy</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3"/>
          </w:tcPr>
          <w:p>
            <w:pPr>
              <w:ind w:left="18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Borrowings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760" w:type="dxa"/>
            <w:vAlign w:val="bottom"/>
            <w:gridSpan w:val="34"/>
            <w:shd w:val="clear" w:color="auto" w:fill="CCEEFF"/>
          </w:tcPr>
          <w:p>
            <w:pPr>
              <w:ind w:left="18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Related-Party Transactions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7680" w:type="dxa"/>
            <w:vAlign w:val="bottom"/>
            <w:gridSpan w:val="21"/>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5"/>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PAGE</w:t>
            </w:r>
          </w:p>
        </w:tc>
      </w:tr>
      <w:tr>
        <w:trPr>
          <w:trHeight w:val="169"/>
        </w:trPr>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760" w:type="dxa"/>
            <w:vAlign w:val="bottom"/>
            <w:gridSpan w:val="16"/>
            <w:shd w:val="clear" w:color="auto" w:fill="CCEEFF"/>
          </w:tcPr>
          <w:p>
            <w:pPr>
              <w:ind w:left="180"/>
              <w:spacing w:after="0" w:line="170" w:lineRule="exact"/>
              <w:rPr>
                <w:rFonts w:ascii="Arial" w:cs="Arial" w:eastAsia="Arial" w:hAnsi="Arial"/>
                <w:sz w:val="18"/>
                <w:szCs w:val="18"/>
                <w:color w:val="0000EE"/>
              </w:rPr>
            </w:pPr>
            <w:hyperlink w:anchor="page62">
              <w:r>
                <w:rPr>
                  <w:rFonts w:ascii="Arial" w:cs="Arial" w:eastAsia="Arial" w:hAnsi="Arial"/>
                  <w:sz w:val="18"/>
                  <w:szCs w:val="18"/>
                  <w:color w:val="0000EE"/>
                </w:rPr>
                <w:t>Critical Accounting Policies</w:t>
              </w:r>
            </w:hyperlink>
          </w:p>
        </w:tc>
        <w:tc>
          <w:tcPr>
            <w:tcW w:w="540" w:type="dxa"/>
            <w:vAlign w:val="bottom"/>
            <w:gridSpan w:val="3"/>
            <w:shd w:val="clear" w:color="auto" w:fill="CCEEFF"/>
          </w:tcPr>
          <w:p>
            <w:pPr>
              <w:jc w:val="right"/>
              <w:ind w:right="100"/>
              <w:spacing w:after="0" w:line="170"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760" w:type="dxa"/>
            <w:vAlign w:val="bottom"/>
            <w:gridSpan w:val="16"/>
          </w:tcPr>
          <w:p>
            <w:pPr>
              <w:ind w:left="18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Recent Developments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3.</w:t>
              </w:r>
            </w:hyperlink>
          </w:p>
        </w:tc>
        <w:tc>
          <w:tcPr>
            <w:tcW w:w="686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Quantitative and Qualitative Disclosures About Market Risk</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gridSpan w:val="4"/>
          </w:tcPr>
          <w:p>
            <w:pPr>
              <w:ind w:left="2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4.</w:t>
              </w:r>
            </w:hyperlink>
          </w:p>
        </w:tc>
        <w:tc>
          <w:tcPr>
            <w:tcW w:w="6860" w:type="dxa"/>
            <w:vAlign w:val="bottom"/>
            <w:gridSpan w:val="17"/>
          </w:tcPr>
          <w:p>
            <w:pPr>
              <w:ind w:lef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Controls and Procedures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2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6860" w:type="dxa"/>
            <w:vAlign w:val="bottom"/>
            <w:gridSpan w:val="17"/>
            <w:shd w:val="clear" w:color="auto" w:fill="CCEEFF"/>
          </w:tcPr>
          <w:p>
            <w:pPr>
              <w:ind w:left="100"/>
              <w:spacing w:after="0"/>
              <w:rPr>
                <w:sz w:val="20"/>
                <w:szCs w:val="20"/>
                <w:color w:val="auto"/>
              </w:rPr>
            </w:pPr>
            <w:r>
              <w:rPr>
                <w:rFonts w:ascii="Arial" w:cs="Arial" w:eastAsia="Arial" w:hAnsi="Arial"/>
                <w:sz w:val="18"/>
                <w:szCs w:val="18"/>
                <w:b w:val="1"/>
                <w:bCs w:val="1"/>
                <w:color w:val="auto"/>
              </w:rPr>
              <w:t>OTHER INFORMATION</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820" w:type="dxa"/>
            <w:vAlign w:val="bottom"/>
            <w:gridSpan w:val="4"/>
          </w:tcPr>
          <w:p>
            <w:pPr>
              <w:ind w:left="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1.</w:t>
              </w:r>
            </w:hyperlink>
          </w:p>
        </w:tc>
        <w:tc>
          <w:tcPr>
            <w:tcW w:w="6860" w:type="dxa"/>
            <w:vAlign w:val="bottom"/>
            <w:gridSpan w:val="17"/>
          </w:tcPr>
          <w:p>
            <w:pPr>
              <w:ind w:lef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Legal Proceedings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1A.</w:t>
              </w:r>
            </w:hyperlink>
          </w:p>
        </w:tc>
        <w:tc>
          <w:tcPr>
            <w:tcW w:w="686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Risk Factors</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gridSpan w:val="4"/>
          </w:tcPr>
          <w:p>
            <w:pPr>
              <w:ind w:left="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2.</w:t>
              </w:r>
            </w:hyperlink>
          </w:p>
        </w:tc>
        <w:tc>
          <w:tcPr>
            <w:tcW w:w="6860" w:type="dxa"/>
            <w:vAlign w:val="bottom"/>
            <w:gridSpan w:val="17"/>
          </w:tcPr>
          <w:p>
            <w:pPr>
              <w:ind w:lef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Unregistered Sales of Equity Securities and Use of Proceeds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3.</w:t>
              </w:r>
            </w:hyperlink>
          </w:p>
        </w:tc>
        <w:tc>
          <w:tcPr>
            <w:tcW w:w="686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Defaults Upon Senior Securities</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gridSpan w:val="4"/>
          </w:tcPr>
          <w:p>
            <w:pPr>
              <w:ind w:left="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4.</w:t>
              </w:r>
            </w:hyperlink>
          </w:p>
        </w:tc>
        <w:tc>
          <w:tcPr>
            <w:tcW w:w="6860" w:type="dxa"/>
            <w:vAlign w:val="bottom"/>
            <w:gridSpan w:val="17"/>
          </w:tcPr>
          <w:p>
            <w:pPr>
              <w:ind w:lef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Mine Safety Disclosure</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5.</w:t>
              </w:r>
            </w:hyperlink>
          </w:p>
        </w:tc>
        <w:tc>
          <w:tcPr>
            <w:tcW w:w="686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gridSpan w:val="4"/>
          </w:tcPr>
          <w:p>
            <w:pPr>
              <w:ind w:left="2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6.</w:t>
              </w:r>
            </w:hyperlink>
          </w:p>
        </w:tc>
        <w:tc>
          <w:tcPr>
            <w:tcW w:w="6860" w:type="dxa"/>
            <w:vAlign w:val="bottom"/>
            <w:gridSpan w:val="17"/>
          </w:tcPr>
          <w:p>
            <w:pPr>
              <w:ind w:left="10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760" w:type="dxa"/>
            <w:vAlign w:val="bottom"/>
            <w:gridSpan w:val="16"/>
            <w:shd w:val="clear" w:color="auto" w:fill="CCEEFF"/>
          </w:tcPr>
          <w:p>
            <w:pPr>
              <w:spacing w:after="0" w:line="17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Schedules of Investments in and Advances to Affiliates (Schedules 12-14) as of September</w:t>
              </w:r>
            </w:hyperlink>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540" w:type="dxa"/>
            <w:vAlign w:val="bottom"/>
            <w:tcBorders>
              <w:top w:val="single" w:sz="8" w:color="0000EE"/>
            </w:tcBorders>
            <w:gridSpan w:val="15"/>
            <w:shd w:val="clear" w:color="auto" w:fill="CCEEFF"/>
          </w:tcPr>
          <w:p>
            <w:pPr>
              <w:ind w:left="180"/>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30, 2015 (unaudited) and December 31, 2014</w:t>
              </w:r>
            </w:hyperlink>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gridSpan w:val="3"/>
            <w:shd w:val="clear" w:color="auto" w:fill="CCEEFF"/>
          </w:tcPr>
          <w:p>
            <w:pPr>
              <w:jc w:val="right"/>
              <w:ind w:right="100"/>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4"/>
          </w:tcPr>
          <w:p>
            <w:pPr>
              <w:spacing w:after="0" w:line="176" w:lineRule="exact"/>
              <w:rPr>
                <w:rFonts w:ascii="Arial" w:cs="Arial" w:eastAsia="Arial" w:hAnsi="Arial"/>
                <w:sz w:val="18"/>
                <w:szCs w:val="18"/>
                <w:color w:val="0000EE"/>
                <w:w w:val="85"/>
              </w:rPr>
            </w:pPr>
            <w:hyperlink w:anchor="page72">
              <w:r>
                <w:rPr>
                  <w:rFonts w:ascii="Arial" w:cs="Arial" w:eastAsia="Arial" w:hAnsi="Arial"/>
                  <w:sz w:val="18"/>
                  <w:szCs w:val="18"/>
                  <w:color w:val="0000EE"/>
                  <w:w w:val="85"/>
                </w:rPr>
                <w:t>Signatures</w:t>
              </w:r>
            </w:hyperlink>
          </w:p>
        </w:tc>
        <w:tc>
          <w:tcPr>
            <w:tcW w:w="6000" w:type="dxa"/>
            <w:vAlign w:val="bottom"/>
            <w:gridSpan w:val="12"/>
          </w:tcPr>
          <w:p>
            <w:pPr>
              <w:spacing w:after="0"/>
              <w:rPr>
                <w:sz w:val="15"/>
                <w:szCs w:val="15"/>
                <w:color w:val="auto"/>
              </w:rPr>
            </w:pPr>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-2254885</wp:posOffset>
            </wp:positionV>
            <wp:extent cx="52139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3" w:name="page4"/>
    <w:bookmarkEnd w:id="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CONDENSED 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(Unaudited)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1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Investments at fair value:</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Investments in controlled securities (cost of $20,631,912 and $17,933,651 respectively)</w:t>
            </w:r>
            <w:r>
              <w:rPr>
                <w:rFonts w:ascii="Arial" w:cs="Arial" w:eastAsia="Arial" w:hAnsi="Arial"/>
                <w:sz w:val="21"/>
                <w:szCs w:val="2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22,986,021</w:t>
            </w:r>
          </w:p>
        </w:tc>
        <w:tc>
          <w:tcPr>
            <w:tcW w:w="10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18,819,335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08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3"/>
                <w:szCs w:val="13"/>
                <w:color w:val="auto"/>
              </w:rPr>
              <w:t>Investments in affiliated securities (cost of $71,650,488 and $80,760,208 respectively)</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66,865,382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70,172,313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080" w:type="dxa"/>
            <w:vAlign w:val="bottom"/>
            <w:gridSpan w:val="2"/>
          </w:tcPr>
          <w:p>
            <w:pPr>
              <w:ind w:left="180"/>
              <w:spacing w:after="0" w:line="130" w:lineRule="exact"/>
              <w:rPr>
                <w:sz w:val="20"/>
                <w:szCs w:val="20"/>
                <w:color w:val="auto"/>
              </w:rPr>
            </w:pPr>
            <w:r>
              <w:rPr>
                <w:rFonts w:ascii="Arial" w:cs="Arial" w:eastAsia="Arial" w:hAnsi="Arial"/>
                <w:sz w:val="14"/>
                <w:szCs w:val="14"/>
                <w:color w:val="auto"/>
              </w:rPr>
              <w:t>Investments in non-controlled/non-affiliated securities (cost of $187,578,628 and $202,417,830</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80" w:type="dxa"/>
            <w:vAlign w:val="bottom"/>
            <w:gridSpan w:val="2"/>
          </w:tcPr>
          <w:p>
            <w:pPr>
              <w:ind w:left="360"/>
              <w:spacing w:after="0"/>
              <w:rPr>
                <w:sz w:val="20"/>
                <w:szCs w:val="20"/>
                <w:color w:val="auto"/>
              </w:rPr>
            </w:pPr>
            <w:r>
              <w:rPr>
                <w:rFonts w:ascii="Arial" w:cs="Arial" w:eastAsia="Arial" w:hAnsi="Arial"/>
                <w:sz w:val="14"/>
                <w:szCs w:val="14"/>
                <w:color w:val="auto"/>
              </w:rPr>
              <w:t>respectively)</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5"/>
              </w:rPr>
              <w:t>259,938,971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281,992,669</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60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Investments in treasury bill (cost of $25,000,604 and $100,001,692 respectively)</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25,000,604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100,000,056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Investments owned and pledged (amortized cost of $3,669,246 and $7,286,332 respectively)</w:t>
            </w:r>
            <w:r>
              <w:rPr>
                <w:rFonts w:ascii="Arial" w:cs="Arial" w:eastAsia="Arial" w:hAnsi="Arial"/>
                <w:sz w:val="21"/>
                <w:szCs w:val="21"/>
                <w:color w:val="auto"/>
                <w:vertAlign w:val="superscript"/>
              </w:rPr>
              <w:t>(2)</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3,680,616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7,298,042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608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Total Investments (cost of $308,530,878 and $408,399,713 respectively)</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378,471,594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478,282,415</w:t>
            </w:r>
          </w:p>
        </w:tc>
        <w:tc>
          <w:tcPr>
            <w:tcW w:w="0" w:type="dxa"/>
            <w:vAlign w:val="bottom"/>
          </w:tcPr>
          <w:p>
            <w:pPr>
              <w:spacing w:after="0"/>
              <w:rPr>
                <w:sz w:val="1"/>
                <w:szCs w:val="1"/>
                <w:color w:val="auto"/>
              </w:rPr>
            </w:pPr>
          </w:p>
        </w:tc>
      </w:tr>
      <w:tr>
        <w:trPr>
          <w:trHeight w:val="149"/>
        </w:trPr>
        <w:tc>
          <w:tcPr>
            <w:tcW w:w="6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Cash</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56,844,097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3,472,880</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Restricted cash</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48,889</w:t>
            </w:r>
          </w:p>
        </w:tc>
        <w:tc>
          <w:tcPr>
            <w:tcW w:w="0" w:type="dxa"/>
            <w:vAlign w:val="bottom"/>
          </w:tcPr>
          <w:p>
            <w:pPr>
              <w:spacing w:after="0"/>
              <w:rPr>
                <w:sz w:val="1"/>
                <w:szCs w:val="1"/>
                <w:color w:val="auto"/>
              </w:rPr>
            </w:pPr>
          </w:p>
        </w:tc>
      </w:tr>
      <w:tr>
        <w:trPr>
          <w:trHeight w:val="149"/>
        </w:trPr>
        <w:tc>
          <w:tcPr>
            <w:tcW w:w="6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Due from:</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08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3"/>
                <w:szCs w:val="13"/>
                <w:color w:val="auto"/>
              </w:rPr>
              <w:t>GSV Asset Management</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205,472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204,825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Portfolio companies</w:t>
            </w:r>
            <w:r>
              <w:rPr>
                <w:rFonts w:ascii="Arial" w:cs="Arial" w:eastAsia="Arial" w:hAnsi="Arial"/>
                <w:sz w:val="21"/>
                <w:szCs w:val="21"/>
                <w:color w:val="auto"/>
                <w:vertAlign w:val="superscript"/>
              </w:rPr>
              <w:t>(1)</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60,371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85,356</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Interest and dividends receivable</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128,747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26,671</w:t>
            </w:r>
          </w:p>
        </w:tc>
        <w:tc>
          <w:tcPr>
            <w:tcW w:w="0" w:type="dxa"/>
            <w:vAlign w:val="bottom"/>
          </w:tcPr>
          <w:p>
            <w:pPr>
              <w:spacing w:after="0"/>
              <w:rPr>
                <w:sz w:val="1"/>
                <w:szCs w:val="1"/>
                <w:color w:val="auto"/>
              </w:rPr>
            </w:pPr>
          </w:p>
        </w:tc>
      </w:tr>
      <w:tr>
        <w:trPr>
          <w:trHeight w:val="149"/>
        </w:trPr>
        <w:tc>
          <w:tcPr>
            <w:tcW w:w="6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Prepaid expenses and other assets</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346,985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596,926</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Deferred financing costs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2,299,565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2,928,134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Total Assets</w:t>
            </w: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w w:val="95"/>
              </w:rPr>
              <w:t>438,409,762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485,646,096</w:t>
            </w:r>
          </w:p>
        </w:tc>
        <w:tc>
          <w:tcPr>
            <w:tcW w:w="0" w:type="dxa"/>
            <w:vAlign w:val="bottom"/>
          </w:tcPr>
          <w:p>
            <w:pPr>
              <w:spacing w:after="0"/>
              <w:rPr>
                <w:sz w:val="1"/>
                <w:szCs w:val="1"/>
                <w:color w:val="auto"/>
              </w:rPr>
            </w:pPr>
          </w:p>
        </w:tc>
      </w:tr>
      <w:tr>
        <w:trPr>
          <w:trHeight w:val="142"/>
        </w:trPr>
        <w:tc>
          <w:tcPr>
            <w:tcW w:w="610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LIABILITIES</w:t>
            </w: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Due to:</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08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3"/>
                <w:szCs w:val="13"/>
                <w:color w:val="auto"/>
              </w:rPr>
              <w:t>GSV Asset Management</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23,396</w:t>
            </w:r>
          </w:p>
        </w:tc>
        <w:tc>
          <w:tcPr>
            <w:tcW w:w="0" w:type="dxa"/>
            <w:vAlign w:val="bottom"/>
          </w:tcPr>
          <w:p>
            <w:pPr>
              <w:spacing w:after="0"/>
              <w:rPr>
                <w:sz w:val="1"/>
                <w:szCs w:val="1"/>
                <w:color w:val="auto"/>
              </w:rPr>
            </w:pPr>
          </w:p>
        </w:tc>
      </w:tr>
      <w:tr>
        <w:trPr>
          <w:trHeight w:val="149"/>
        </w:trPr>
        <w:tc>
          <w:tcPr>
            <w:tcW w:w="6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Accounts payable and accrued expenses</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67,863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292,950</w:t>
            </w:r>
          </w:p>
        </w:tc>
        <w:tc>
          <w:tcPr>
            <w:tcW w:w="0" w:type="dxa"/>
            <w:vAlign w:val="bottom"/>
          </w:tcPr>
          <w:p>
            <w:pPr>
              <w:spacing w:after="0"/>
              <w:rPr>
                <w:sz w:val="1"/>
                <w:szCs w:val="1"/>
                <w:color w:val="auto"/>
              </w:rPr>
            </w:pPr>
          </w:p>
        </w:tc>
      </w:tr>
      <w:tr>
        <w:trPr>
          <w:trHeight w:val="189"/>
        </w:trPr>
        <w:tc>
          <w:tcPr>
            <w:tcW w:w="610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Accrued incentive fees</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24,977,501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14,137,899</w:t>
            </w:r>
          </w:p>
        </w:tc>
        <w:tc>
          <w:tcPr>
            <w:tcW w:w="0" w:type="dxa"/>
            <w:vAlign w:val="bottom"/>
          </w:tcPr>
          <w:p>
            <w:pPr>
              <w:spacing w:after="0"/>
              <w:rPr>
                <w:sz w:val="1"/>
                <w:szCs w:val="1"/>
                <w:color w:val="auto"/>
              </w:rPr>
            </w:pPr>
          </w:p>
        </w:tc>
      </w:tr>
      <w:tr>
        <w:trPr>
          <w:trHeight w:val="189"/>
        </w:trPr>
        <w:tc>
          <w:tcPr>
            <w:tcW w:w="6100" w:type="dxa"/>
            <w:vAlign w:val="bottom"/>
            <w:gridSpan w:val="3"/>
          </w:tcPr>
          <w:p>
            <w:pPr>
              <w:ind w:left="20"/>
              <w:spacing w:after="0" w:line="189" w:lineRule="exact"/>
              <w:rPr>
                <w:sz w:val="20"/>
                <w:szCs w:val="20"/>
                <w:color w:val="auto"/>
              </w:rPr>
            </w:pPr>
            <w:r>
              <w:rPr>
                <w:rFonts w:ascii="Arial" w:cs="Arial" w:eastAsia="Arial" w:hAnsi="Arial"/>
                <w:sz w:val="13"/>
                <w:szCs w:val="13"/>
                <w:color w:val="auto"/>
              </w:rPr>
              <w:t>Accrued management fees</w:t>
            </w:r>
            <w:r>
              <w:rPr>
                <w:rFonts w:ascii="Arial" w:cs="Arial" w:eastAsia="Arial" w:hAnsi="Arial"/>
                <w:sz w:val="21"/>
                <w:szCs w:val="21"/>
                <w:color w:val="auto"/>
                <w:vertAlign w:val="superscript"/>
              </w:rPr>
              <w:t>(1)</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687,672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641,276</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Accrued interest payable</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150,938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1,139,458</w:t>
            </w:r>
          </w:p>
        </w:tc>
        <w:tc>
          <w:tcPr>
            <w:tcW w:w="0" w:type="dxa"/>
            <w:vAlign w:val="bottom"/>
          </w:tcPr>
          <w:p>
            <w:pPr>
              <w:spacing w:after="0"/>
              <w:rPr>
                <w:sz w:val="1"/>
                <w:szCs w:val="1"/>
                <w:color w:val="auto"/>
              </w:rPr>
            </w:pPr>
          </w:p>
        </w:tc>
      </w:tr>
      <w:tr>
        <w:trPr>
          <w:trHeight w:val="149"/>
        </w:trPr>
        <w:tc>
          <w:tcPr>
            <w:tcW w:w="6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Payable for securities purchased</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22,000,596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90,001,692</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Current taxes payable</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134,733</w:t>
            </w:r>
          </w:p>
        </w:tc>
        <w:tc>
          <w:tcPr>
            <w:tcW w:w="0" w:type="dxa"/>
            <w:vAlign w:val="bottom"/>
          </w:tcPr>
          <w:p>
            <w:pPr>
              <w:spacing w:after="0"/>
              <w:rPr>
                <w:sz w:val="1"/>
                <w:szCs w:val="1"/>
                <w:color w:val="auto"/>
              </w:rPr>
            </w:pPr>
          </w:p>
        </w:tc>
      </w:tr>
      <w:tr>
        <w:trPr>
          <w:trHeight w:val="149"/>
        </w:trPr>
        <w:tc>
          <w:tcPr>
            <w:tcW w:w="6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Deferred tax liability</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9,408,847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6,907,666</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Line of credit payable</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18,000,000</w:t>
            </w:r>
          </w:p>
        </w:tc>
        <w:tc>
          <w:tcPr>
            <w:tcW w:w="0" w:type="dxa"/>
            <w:vAlign w:val="bottom"/>
          </w:tcPr>
          <w:p>
            <w:pPr>
              <w:spacing w:after="0"/>
              <w:rPr>
                <w:sz w:val="1"/>
                <w:szCs w:val="1"/>
                <w:color w:val="auto"/>
              </w:rPr>
            </w:pPr>
          </w:p>
        </w:tc>
      </w:tr>
      <w:tr>
        <w:trPr>
          <w:trHeight w:val="149"/>
        </w:trPr>
        <w:tc>
          <w:tcPr>
            <w:tcW w:w="6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Convertible Senior Notes embedded derivative liability</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Convertible Senior Notes payable 5.25% due September 15, 2018</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68,562,077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68,462,353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Total Liabilities</w:t>
            </w: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w w:val="95"/>
              </w:rPr>
              <w:t>125,907,275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199,742,423</w:t>
            </w:r>
          </w:p>
        </w:tc>
        <w:tc>
          <w:tcPr>
            <w:tcW w:w="0" w:type="dxa"/>
            <w:vAlign w:val="bottom"/>
          </w:tcPr>
          <w:p>
            <w:pPr>
              <w:spacing w:after="0"/>
              <w:rPr>
                <w:sz w:val="1"/>
                <w:szCs w:val="1"/>
                <w:color w:val="auto"/>
              </w:rPr>
            </w:pPr>
          </w:p>
        </w:tc>
      </w:tr>
      <w:tr>
        <w:trPr>
          <w:trHeight w:val="142"/>
        </w:trPr>
        <w:tc>
          <w:tcPr>
            <w:tcW w:w="610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Commitments and contingencies (Note 6)</w:t>
            </w: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Net Assets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5"/>
              </w:rPr>
              <w:t>312,502,487</w:t>
            </w:r>
          </w:p>
        </w:tc>
        <w:tc>
          <w:tcPr>
            <w:tcW w:w="10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285,903,673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610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ASSETS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3"/>
              </w:rPr>
              <w:t>Common stock, par value $0.01 per share (100,000,000 authorized; 19,320,100 issued and outstanding)</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193,201</w:t>
            </w:r>
          </w:p>
        </w:tc>
        <w:tc>
          <w:tcPr>
            <w:tcW w:w="10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193,201</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Paid-in capital in excess of par</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275,837,514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275,837,514</w:t>
            </w:r>
          </w:p>
        </w:tc>
        <w:tc>
          <w:tcPr>
            <w:tcW w:w="0" w:type="dxa"/>
            <w:vAlign w:val="bottom"/>
          </w:tcPr>
          <w:p>
            <w:pPr>
              <w:spacing w:after="0"/>
              <w:rPr>
                <w:sz w:val="1"/>
                <w:szCs w:val="1"/>
                <w:color w:val="auto"/>
              </w:rPr>
            </w:pPr>
          </w:p>
        </w:tc>
      </w:tr>
      <w:tr>
        <w:trPr>
          <w:trHeight w:val="149"/>
        </w:trPr>
        <w:tc>
          <w:tcPr>
            <w:tcW w:w="6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Accumulated net investment loss</w:t>
            </w:r>
          </w:p>
        </w:tc>
        <w:tc>
          <w:tcPr>
            <w:tcW w:w="1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(75,941,010)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(31,972,292)</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Accumulated net realized gains on investments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54,984,417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496,782</w:t>
            </w:r>
          </w:p>
        </w:tc>
        <w:tc>
          <w:tcPr>
            <w:tcW w:w="0" w:type="dxa"/>
            <w:vAlign w:val="bottom"/>
          </w:tcPr>
          <w:p>
            <w:pPr>
              <w:spacing w:after="0"/>
              <w:rPr>
                <w:sz w:val="1"/>
                <w:szCs w:val="1"/>
                <w:color w:val="auto"/>
              </w:rPr>
            </w:pPr>
          </w:p>
        </w:tc>
      </w:tr>
      <w:tr>
        <w:trPr>
          <w:trHeight w:val="149"/>
        </w:trPr>
        <w:tc>
          <w:tcPr>
            <w:tcW w:w="6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Accumulated net unrealized appreciation of investments</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57,428,365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41,348,468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080" w:type="dxa"/>
            <w:vAlign w:val="bottom"/>
            <w:gridSpan w:val="2"/>
            <w:shd w:val="clear" w:color="auto" w:fill="CCEEFF"/>
          </w:tcPr>
          <w:p>
            <w:pPr>
              <w:ind w:left="360"/>
              <w:spacing w:after="0" w:line="142" w:lineRule="exact"/>
              <w:rPr>
                <w:sz w:val="20"/>
                <w:szCs w:val="20"/>
                <w:color w:val="auto"/>
              </w:rPr>
            </w:pPr>
            <w:r>
              <w:rPr>
                <w:rFonts w:ascii="Arial" w:cs="Arial" w:eastAsia="Arial" w:hAnsi="Arial"/>
                <w:sz w:val="14"/>
                <w:szCs w:val="14"/>
                <w:b w:val="1"/>
                <w:bCs w:val="1"/>
                <w:color w:val="auto"/>
              </w:rPr>
              <w:t>Net Assets</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312,502,487</w:t>
            </w:r>
          </w:p>
        </w:tc>
        <w:tc>
          <w:tcPr>
            <w:tcW w:w="1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285,903,673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Net Asset Value Per Share</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16.17</w:t>
            </w:r>
          </w:p>
        </w:tc>
        <w:tc>
          <w:tcPr>
            <w:tcW w:w="10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14.80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-2769235</wp:posOffset>
            </wp:positionV>
            <wp:extent cx="5213985" cy="111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-1354455</wp:posOffset>
            </wp:positionV>
            <wp:extent cx="5213985" cy="111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-351155</wp:posOffset>
            </wp:positionV>
            <wp:extent cx="521398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240" w:lineRule="exact"/>
        <w:rPr>
          <w:sz w:val="20"/>
          <w:szCs w:val="20"/>
          <w:color w:val="auto"/>
        </w:rPr>
      </w:pPr>
    </w:p>
    <w:p>
      <w:pPr>
        <w:ind w:left="300" w:hanging="272"/>
        <w:spacing w:after="0"/>
        <w:tabs>
          <w:tab w:leader="none" w:pos="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balance is a related-party transaction. Refer to “Note 2 — Related-Party Arrangements” for more detail.</w:t>
      </w:r>
    </w:p>
    <w:p>
      <w:pPr>
        <w:spacing w:after="0" w:line="113" w:lineRule="exact"/>
        <w:rPr>
          <w:rFonts w:ascii="Arial" w:cs="Arial" w:eastAsia="Arial" w:hAnsi="Arial"/>
          <w:sz w:val="16"/>
          <w:szCs w:val="16"/>
          <w:color w:val="auto"/>
        </w:rPr>
      </w:pPr>
    </w:p>
    <w:p>
      <w:pPr>
        <w:jc w:val="both"/>
        <w:ind w:left="300" w:right="519" w:hanging="272"/>
        <w:spacing w:after="0" w:line="252" w:lineRule="auto"/>
        <w:tabs>
          <w:tab w:leader="none" w:pos="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Refer to “Note 9 — Long Term Liabilities.” In accordance with the terms of the Company’s Convertible Senior Notes payable, the Company deposited $10,867,500 in an escrow account with U.S. Bank National Association, the trustee. These funds were used to purchase six U.S. Treasury Strips with an original cost of $10,845,236. As of September 30, 2015, four of the government securities purchased had matured and the proceeds were used by the trustee in accordance with the terms of the escrow agreement. At September 30, 2015, the remaining government securities are shown on the Condensed Consolidated Statements of Assets and Liabilities as “Investments owned and pledged” with an amortized cost of $3,669,246.</w:t>
      </w:r>
    </w:p>
    <w:p>
      <w:pPr>
        <w:spacing w:after="0" w:line="200" w:lineRule="exact"/>
        <w:rPr>
          <w:sz w:val="20"/>
          <w:szCs w:val="20"/>
          <w:color w:val="auto"/>
        </w:rPr>
      </w:pPr>
    </w:p>
    <w:p>
      <w:pPr>
        <w:spacing w:after="0" w:line="311"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 w:name="page5"/>
    <w:bookmarkEnd w:id="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INVESTMENT INCOME</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0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Interest income from controlled securities</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4,083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9,816</w:t>
            </w:r>
          </w:p>
        </w:tc>
        <w:tc>
          <w:tcPr>
            <w:tcW w:w="0" w:type="dxa"/>
            <w:vAlign w:val="bottom"/>
          </w:tcPr>
          <w:p>
            <w:pPr>
              <w:spacing w:after="0"/>
              <w:rPr>
                <w:sz w:val="1"/>
                <w:szCs w:val="1"/>
                <w:color w:val="auto"/>
              </w:rPr>
            </w:pPr>
          </w:p>
        </w:tc>
      </w:tr>
      <w:tr>
        <w:trPr>
          <w:trHeight w:val="189"/>
        </w:trPr>
        <w:tc>
          <w:tcPr>
            <w:tcW w:w="4200" w:type="dxa"/>
            <w:vAlign w:val="bottom"/>
            <w:gridSpan w:val="3"/>
          </w:tcPr>
          <w:p>
            <w:pPr>
              <w:ind w:left="20"/>
              <w:spacing w:after="0" w:line="189" w:lineRule="exact"/>
              <w:rPr>
                <w:sz w:val="20"/>
                <w:szCs w:val="20"/>
                <w:color w:val="auto"/>
              </w:rPr>
            </w:pPr>
            <w:r>
              <w:rPr>
                <w:rFonts w:ascii="Arial" w:cs="Arial" w:eastAsia="Arial" w:hAnsi="Arial"/>
                <w:sz w:val="13"/>
                <w:szCs w:val="13"/>
                <w:color w:val="auto"/>
              </w:rPr>
              <w:t>Interest income from affiliated securities</w:t>
            </w:r>
            <w:r>
              <w:rPr>
                <w:rFonts w:ascii="Arial" w:cs="Arial" w:eastAsia="Arial" w:hAnsi="Arial"/>
                <w:sz w:val="21"/>
                <w:szCs w:val="21"/>
                <w:color w:val="auto"/>
                <w:vertAlign w:val="superscript"/>
              </w:rPr>
              <w:t>(1)</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31,992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9,294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152,388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112,747</w:t>
            </w:r>
          </w:p>
        </w:tc>
        <w:tc>
          <w:tcPr>
            <w:tcW w:w="0" w:type="dxa"/>
            <w:vAlign w:val="bottom"/>
          </w:tcPr>
          <w:p>
            <w:pPr>
              <w:spacing w:after="0"/>
              <w:rPr>
                <w:sz w:val="1"/>
                <w:szCs w:val="1"/>
                <w:color w:val="auto"/>
              </w:rPr>
            </w:pPr>
          </w:p>
        </w:tc>
      </w:tr>
      <w:tr>
        <w:trPr>
          <w:trHeight w:val="149"/>
        </w:trPr>
        <w:tc>
          <w:tcPr>
            <w:tcW w:w="42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Interest income from non-controlled/non-affiliated securities</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23,109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36,369</w:t>
            </w:r>
          </w:p>
        </w:tc>
        <w:tc>
          <w:tcPr>
            <w:tcW w:w="0" w:type="dxa"/>
            <w:vAlign w:val="bottom"/>
          </w:tcPr>
          <w:p>
            <w:pPr>
              <w:spacing w:after="0"/>
              <w:rPr>
                <w:sz w:val="1"/>
                <w:szCs w:val="1"/>
                <w:color w:val="auto"/>
              </w:rPr>
            </w:pPr>
          </w:p>
        </w:tc>
      </w:tr>
      <w:tr>
        <w:trPr>
          <w:trHeight w:val="149"/>
        </w:trPr>
        <w:tc>
          <w:tcPr>
            <w:tcW w:w="42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Dividend income from non-controlled/non-affiliated securities</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46,781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180" w:type="dxa"/>
            <w:vAlign w:val="bottom"/>
            <w:gridSpan w:val="2"/>
            <w:shd w:val="clear" w:color="auto" w:fill="CCEEFF"/>
          </w:tcPr>
          <w:p>
            <w:pPr>
              <w:ind w:left="540"/>
              <w:spacing w:after="0" w:line="142" w:lineRule="exact"/>
              <w:rPr>
                <w:sz w:val="20"/>
                <w:szCs w:val="20"/>
                <w:color w:val="auto"/>
              </w:rPr>
            </w:pPr>
            <w:r>
              <w:rPr>
                <w:rFonts w:ascii="Arial" w:cs="Arial" w:eastAsia="Arial" w:hAnsi="Arial"/>
                <w:sz w:val="14"/>
                <w:szCs w:val="14"/>
                <w:b w:val="1"/>
                <w:bCs w:val="1"/>
                <w:color w:val="auto"/>
              </w:rPr>
              <w:t>Total Investment Income</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39,363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21,971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222,278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159,819</w:t>
            </w:r>
          </w:p>
        </w:tc>
        <w:tc>
          <w:tcPr>
            <w:tcW w:w="0" w:type="dxa"/>
            <w:vAlign w:val="bottom"/>
          </w:tcPr>
          <w:p>
            <w:pPr>
              <w:spacing w:after="0"/>
              <w:rPr>
                <w:sz w:val="1"/>
                <w:szCs w:val="1"/>
                <w:color w:val="auto"/>
              </w:rPr>
            </w:pPr>
          </w:p>
        </w:tc>
      </w:tr>
      <w:tr>
        <w:trPr>
          <w:trHeight w:val="142"/>
        </w:trPr>
        <w:tc>
          <w:tcPr>
            <w:tcW w:w="4200" w:type="dxa"/>
            <w:vAlign w:val="bottom"/>
            <w:tcBorders>
              <w:top w:val="single" w:sz="8" w:color="CCEEFF"/>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OPERATING EXPENSES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0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Management fees</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2,063,017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1,949,705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5,994,530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5,639,564</w:t>
            </w:r>
          </w:p>
        </w:tc>
        <w:tc>
          <w:tcPr>
            <w:tcW w:w="0" w:type="dxa"/>
            <w:vAlign w:val="bottom"/>
          </w:tcPr>
          <w:p>
            <w:pPr>
              <w:spacing w:after="0"/>
              <w:rPr>
                <w:sz w:val="1"/>
                <w:szCs w:val="1"/>
                <w:color w:val="auto"/>
              </w:rPr>
            </w:pPr>
          </w:p>
        </w:tc>
      </w:tr>
      <w:tr>
        <w:trPr>
          <w:trHeight w:val="189"/>
        </w:trPr>
        <w:tc>
          <w:tcPr>
            <w:tcW w:w="4200" w:type="dxa"/>
            <w:vAlign w:val="bottom"/>
            <w:gridSpan w:val="3"/>
          </w:tcPr>
          <w:p>
            <w:pPr>
              <w:ind w:left="20"/>
              <w:spacing w:after="0" w:line="189" w:lineRule="exact"/>
              <w:rPr>
                <w:sz w:val="20"/>
                <w:szCs w:val="20"/>
                <w:color w:val="auto"/>
              </w:rPr>
            </w:pPr>
            <w:r>
              <w:rPr>
                <w:rFonts w:ascii="Arial" w:cs="Arial" w:eastAsia="Arial" w:hAnsi="Arial"/>
                <w:sz w:val="13"/>
                <w:szCs w:val="13"/>
                <w:color w:val="auto"/>
              </w:rPr>
              <w:t>Incentive fees</w:t>
            </w:r>
            <w:r>
              <w:rPr>
                <w:rFonts w:ascii="Arial" w:cs="Arial" w:eastAsia="Arial" w:hAnsi="Arial"/>
                <w:sz w:val="21"/>
                <w:szCs w:val="21"/>
                <w:color w:val="auto"/>
                <w:vertAlign w:val="superscript"/>
              </w:rPr>
              <w:t>(1)</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1,062,535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3,684,300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10,839,602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5,498,585</w:t>
            </w:r>
          </w:p>
        </w:tc>
        <w:tc>
          <w:tcPr>
            <w:tcW w:w="0" w:type="dxa"/>
            <w:vAlign w:val="bottom"/>
          </w:tcPr>
          <w:p>
            <w:pPr>
              <w:spacing w:after="0"/>
              <w:rPr>
                <w:sz w:val="1"/>
                <w:szCs w:val="1"/>
                <w:color w:val="auto"/>
              </w:rPr>
            </w:pPr>
          </w:p>
        </w:tc>
      </w:tr>
      <w:tr>
        <w:trPr>
          <w:trHeight w:val="189"/>
        </w:trPr>
        <w:tc>
          <w:tcPr>
            <w:tcW w:w="420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Costs incurred under Administration Agreement</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598,456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718,896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2,185,888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2,557,129</w:t>
            </w:r>
          </w:p>
        </w:tc>
        <w:tc>
          <w:tcPr>
            <w:tcW w:w="0" w:type="dxa"/>
            <w:vAlign w:val="bottom"/>
          </w:tcPr>
          <w:p>
            <w:pPr>
              <w:spacing w:after="0"/>
              <w:rPr>
                <w:sz w:val="1"/>
                <w:szCs w:val="1"/>
                <w:color w:val="auto"/>
              </w:rPr>
            </w:pPr>
          </w:p>
        </w:tc>
      </w:tr>
      <w:tr>
        <w:trPr>
          <w:trHeight w:val="149"/>
        </w:trPr>
        <w:tc>
          <w:tcPr>
            <w:tcW w:w="42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Directors’ fees</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94,620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287,426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195,000</w:t>
            </w:r>
          </w:p>
        </w:tc>
        <w:tc>
          <w:tcPr>
            <w:tcW w:w="0" w:type="dxa"/>
            <w:vAlign w:val="bottom"/>
          </w:tcPr>
          <w:p>
            <w:pPr>
              <w:spacing w:after="0"/>
              <w:rPr>
                <w:sz w:val="1"/>
                <w:szCs w:val="1"/>
                <w:color w:val="auto"/>
              </w:rPr>
            </w:pPr>
          </w:p>
        </w:tc>
      </w:tr>
      <w:tr>
        <w:trPr>
          <w:trHeight w:val="149"/>
        </w:trPr>
        <w:tc>
          <w:tcPr>
            <w:tcW w:w="42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Professional fees</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265,429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442,683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1,001,401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1,301,777</w:t>
            </w:r>
          </w:p>
        </w:tc>
        <w:tc>
          <w:tcPr>
            <w:tcW w:w="0" w:type="dxa"/>
            <w:vAlign w:val="bottom"/>
          </w:tcPr>
          <w:p>
            <w:pPr>
              <w:spacing w:after="0"/>
              <w:rPr>
                <w:sz w:val="1"/>
                <w:szCs w:val="1"/>
                <w:color w:val="auto"/>
              </w:rPr>
            </w:pPr>
          </w:p>
        </w:tc>
      </w:tr>
      <w:tr>
        <w:trPr>
          <w:trHeight w:val="149"/>
        </w:trPr>
        <w:tc>
          <w:tcPr>
            <w:tcW w:w="42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Interest and credit facility expense</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1,183,833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1,442,063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3,781,419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4,155,759</w:t>
            </w:r>
          </w:p>
        </w:tc>
        <w:tc>
          <w:tcPr>
            <w:tcW w:w="0" w:type="dxa"/>
            <w:vAlign w:val="bottom"/>
          </w:tcPr>
          <w:p>
            <w:pPr>
              <w:spacing w:after="0"/>
              <w:rPr>
                <w:sz w:val="1"/>
                <w:szCs w:val="1"/>
                <w:color w:val="auto"/>
              </w:rPr>
            </w:pPr>
          </w:p>
        </w:tc>
      </w:tr>
      <w:tr>
        <w:trPr>
          <w:trHeight w:val="149"/>
        </w:trPr>
        <w:tc>
          <w:tcPr>
            <w:tcW w:w="42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Income tax expense</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852,970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852,970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Other expenses</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118,417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115,922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382,895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434,849</w:t>
            </w:r>
          </w:p>
        </w:tc>
        <w:tc>
          <w:tcPr>
            <w:tcW w:w="0" w:type="dxa"/>
            <w:vAlign w:val="bottom"/>
          </w:tcPr>
          <w:p>
            <w:pPr>
              <w:spacing w:after="0"/>
              <w:rPr>
                <w:sz w:val="1"/>
                <w:szCs w:val="1"/>
                <w:color w:val="auto"/>
              </w:rPr>
            </w:pPr>
          </w:p>
        </w:tc>
      </w:tr>
      <w:tr>
        <w:trPr>
          <w:trHeight w:val="149"/>
        </w:trPr>
        <w:tc>
          <w:tcPr>
            <w:tcW w:w="42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Gain on fair value adjustment for embedded derivative</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(787,000)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gridSpan w:val="2"/>
          </w:tcPr>
          <w:p>
            <w:pPr>
              <w:ind w:left="180"/>
              <w:spacing w:after="0" w:line="142" w:lineRule="exact"/>
              <w:rPr>
                <w:sz w:val="20"/>
                <w:szCs w:val="20"/>
                <w:color w:val="auto"/>
              </w:rPr>
            </w:pPr>
            <w:r>
              <w:rPr>
                <w:rFonts w:ascii="Arial" w:cs="Arial" w:eastAsia="Arial" w:hAnsi="Arial"/>
                <w:sz w:val="14"/>
                <w:szCs w:val="14"/>
                <w:color w:val="auto"/>
              </w:rPr>
              <w:t>Total Operating Expenses</w:t>
            </w: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6,239,277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8,271,569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9"/>
              </w:rPr>
              <w:t>25,325,131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18,995,663</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4180" w:type="dxa"/>
            <w:vAlign w:val="bottom"/>
            <w:gridSpan w:val="2"/>
            <w:shd w:val="clear" w:color="auto" w:fill="CCEEFF"/>
          </w:tcPr>
          <w:p>
            <w:pPr>
              <w:ind w:left="180"/>
              <w:spacing w:after="0" w:line="140" w:lineRule="exact"/>
              <w:rPr>
                <w:sz w:val="20"/>
                <w:szCs w:val="20"/>
                <w:color w:val="auto"/>
              </w:rPr>
            </w:pPr>
            <w:r>
              <w:rPr>
                <w:rFonts w:ascii="Arial" w:cs="Arial" w:eastAsia="Arial" w:hAnsi="Arial"/>
                <w:sz w:val="14"/>
                <w:szCs w:val="14"/>
                <w:color w:val="auto"/>
              </w:rPr>
              <w:t>(Provision)/Benefit for taxes on net investment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ind w:left="360"/>
              <w:spacing w:after="0" w:line="198" w:lineRule="exact"/>
              <w:rPr>
                <w:sz w:val="20"/>
                <w:szCs w:val="20"/>
                <w:color w:val="auto"/>
              </w:rPr>
            </w:pPr>
            <w:r>
              <w:rPr>
                <w:rFonts w:ascii="Arial" w:cs="Arial" w:eastAsia="Arial" w:hAnsi="Arial"/>
                <w:sz w:val="14"/>
                <w:szCs w:val="14"/>
                <w:color w:val="auto"/>
              </w:rPr>
              <w:t>loss</w:t>
            </w:r>
            <w:r>
              <w:rPr>
                <w:rFonts w:ascii="Arial" w:cs="Arial" w:eastAsia="Arial" w:hAnsi="Arial"/>
                <w:sz w:val="22"/>
                <w:szCs w:val="22"/>
                <w:color w:val="auto"/>
                <w:vertAlign w:val="superscript"/>
              </w:rPr>
              <w:t>(2)</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(26,583,935)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3,368,311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5"/>
              </w:rPr>
              <w:t>(18,865,865)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7,740,594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Net Investment Loss</w:t>
            </w: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w w:val="93"/>
              </w:rPr>
              <w:t>(32,783,849)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(4,881,287)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w w:val="95"/>
              </w:rPr>
              <w:t>(43,968,718)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w w:val="95"/>
              </w:rPr>
              <w:t>(11,095,250)</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41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Net Realized Gains (Losses):</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From affiliated securities</w:t>
            </w: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(10,170,567)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(10,161,030)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10,419</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41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From non-controlled/non-affiliated securities</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37,460,383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17,160,816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64,305,863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17,832,576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Net Realized Gains (Losses) on investments</w:t>
            </w: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99"/>
              </w:rPr>
              <w:t>27,289,816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w w:val="96"/>
              </w:rPr>
              <w:t>17,160,816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9"/>
              </w:rPr>
              <w:t>54,144,833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17,842,995</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4180" w:type="dxa"/>
            <w:vAlign w:val="bottom"/>
            <w:gridSpan w:val="2"/>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(Provision)/Benefit for taxes on net realized gains on</w:t>
            </w: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4"/>
                <w:szCs w:val="14"/>
                <w:b w:val="1"/>
                <w:bCs w:val="1"/>
                <w:color w:val="auto"/>
              </w:rPr>
              <w:t>investments</w:t>
            </w:r>
            <w:r>
              <w:rPr>
                <w:rFonts w:ascii="Arial" w:cs="Arial" w:eastAsia="Arial" w:hAnsi="Arial"/>
                <w:sz w:val="23"/>
                <w:szCs w:val="23"/>
                <w:b w:val="1"/>
                <w:bCs w:val="1"/>
                <w:color w:val="auto"/>
                <w:vertAlign w:val="superscript"/>
              </w:rPr>
              <w:t>(2)</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11,307,706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(7,006,762)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342,802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(7,285,295)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180" w:type="dxa"/>
            <w:vAlign w:val="bottom"/>
            <w:gridSpan w:val="2"/>
          </w:tcPr>
          <w:p>
            <w:pPr>
              <w:ind w:left="180"/>
              <w:spacing w:after="0" w:line="126" w:lineRule="exact"/>
              <w:rPr>
                <w:sz w:val="20"/>
                <w:szCs w:val="20"/>
                <w:color w:val="auto"/>
              </w:rPr>
            </w:pPr>
            <w:r>
              <w:rPr>
                <w:rFonts w:ascii="Arial" w:cs="Arial" w:eastAsia="Arial" w:hAnsi="Arial"/>
                <w:sz w:val="14"/>
                <w:szCs w:val="14"/>
                <w:b w:val="1"/>
                <w:bCs w:val="1"/>
                <w:color w:val="auto"/>
              </w:rPr>
              <w:t>Net Change in Unrealized Appreciation (Depreciation) of</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gridSpan w:val="2"/>
          </w:tcPr>
          <w:p>
            <w:pPr>
              <w:ind w:left="36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41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From controlled securities</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719,143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46,029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685,571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(367,942)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From affiliated securities</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5,124,897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(3,783,766)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4,467,809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(7,650,194)</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41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From non-controlled/non-affiliated securities</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(27,825,708)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4,998,420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(5,095,366)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17,677,865</w:t>
            </w:r>
          </w:p>
        </w:tc>
        <w:tc>
          <w:tcPr>
            <w:tcW w:w="0" w:type="dxa"/>
            <w:vAlign w:val="bottom"/>
          </w:tcPr>
          <w:p>
            <w:pPr>
              <w:spacing w:after="0"/>
              <w:rPr>
                <w:sz w:val="1"/>
                <w:szCs w:val="1"/>
                <w:color w:val="auto"/>
              </w:rPr>
            </w:pPr>
          </w:p>
        </w:tc>
      </w:tr>
      <w:tr>
        <w:trPr>
          <w:trHeight w:val="119"/>
        </w:trPr>
        <w:tc>
          <w:tcPr>
            <w:tcW w:w="20" w:type="dxa"/>
            <w:vAlign w:val="bottom"/>
            <w:tcBorders>
              <w:top w:val="single" w:sz="8" w:color="CCEEFF"/>
            </w:tcBorders>
          </w:tcPr>
          <w:p>
            <w:pPr>
              <w:spacing w:after="0"/>
              <w:rPr>
                <w:sz w:val="10"/>
                <w:szCs w:val="10"/>
                <w:color w:val="auto"/>
              </w:rPr>
            </w:pPr>
          </w:p>
        </w:tc>
        <w:tc>
          <w:tcPr>
            <w:tcW w:w="4180" w:type="dxa"/>
            <w:vAlign w:val="bottom"/>
            <w:tcBorders>
              <w:top w:val="single" w:sz="8" w:color="CCEEFF"/>
            </w:tcBorders>
            <w:gridSpan w:val="2"/>
          </w:tcPr>
          <w:p>
            <w:pPr>
              <w:ind w:left="180"/>
              <w:spacing w:after="0" w:line="119" w:lineRule="exact"/>
              <w:rPr>
                <w:sz w:val="20"/>
                <w:szCs w:val="20"/>
                <w:color w:val="auto"/>
              </w:rPr>
            </w:pPr>
            <w:r>
              <w:rPr>
                <w:rFonts w:ascii="Arial" w:cs="Arial" w:eastAsia="Arial" w:hAnsi="Arial"/>
                <w:sz w:val="13"/>
                <w:szCs w:val="13"/>
                <w:b w:val="1"/>
                <w:bCs w:val="1"/>
                <w:color w:val="auto"/>
              </w:rPr>
              <w:t>Net Change in Unrealized Appreciation (Depreciation) of</w:t>
            </w: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gridSpan w:val="2"/>
          </w:tcPr>
          <w:p>
            <w:pPr>
              <w:ind w:left="36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(21,981,668)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1,260,683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58,014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9,659,729</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4180" w:type="dxa"/>
            <w:vAlign w:val="bottom"/>
            <w:gridSpan w:val="2"/>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(Provision)/Benefit for taxes on unrealized</w:t>
            </w: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4"/>
                <w:szCs w:val="14"/>
                <w:b w:val="1"/>
                <w:bCs w:val="1"/>
                <w:color w:val="auto"/>
              </w:rPr>
              <w:t>appreciation/depreciation of investments</w:t>
            </w:r>
            <w:r>
              <w:rPr>
                <w:rFonts w:ascii="Arial" w:cs="Arial" w:eastAsia="Arial" w:hAnsi="Arial"/>
                <w:sz w:val="23"/>
                <w:szCs w:val="23"/>
                <w:b w:val="1"/>
                <w:bCs w:val="1"/>
                <w:color w:val="auto"/>
                <w:vertAlign w:val="superscript"/>
              </w:rPr>
              <w:t>(2)</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25,020,686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(514,737)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16,021,883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(3,944,068)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8,852,691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6,018,713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9"/>
              </w:rPr>
              <w:t>26,598,814</w:t>
            </w:r>
          </w:p>
        </w:tc>
        <w:tc>
          <w:tcPr>
            <w:tcW w:w="2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5,178,111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20" w:type="dxa"/>
            <w:vAlign w:val="bottom"/>
            <w:shd w:val="clear" w:color="auto" w:fill="CCEEFF"/>
          </w:tcPr>
          <w:p>
            <w:pPr>
              <w:spacing w:after="0"/>
              <w:rPr>
                <w:sz w:val="10"/>
                <w:szCs w:val="10"/>
                <w:color w:val="auto"/>
              </w:rPr>
            </w:pPr>
          </w:p>
        </w:tc>
        <w:tc>
          <w:tcPr>
            <w:tcW w:w="4180" w:type="dxa"/>
            <w:vAlign w:val="bottom"/>
            <w:gridSpan w:val="2"/>
            <w:shd w:val="clear" w:color="auto" w:fill="CCEEFF"/>
          </w:tcPr>
          <w:p>
            <w:pPr>
              <w:ind w:left="180"/>
              <w:spacing w:after="0" w:line="119" w:lineRule="exact"/>
              <w:rPr>
                <w:sz w:val="20"/>
                <w:szCs w:val="20"/>
                <w:color w:val="auto"/>
              </w:rPr>
            </w:pPr>
            <w:r>
              <w:rPr>
                <w:rFonts w:ascii="Arial" w:cs="Arial" w:eastAsia="Arial" w:hAnsi="Arial"/>
                <w:sz w:val="13"/>
                <w:szCs w:val="13"/>
                <w:b w:val="1"/>
                <w:bCs w:val="1"/>
                <w:color w:val="auto"/>
              </w:rPr>
              <w:t>Net Increase in Net Assets Resulting from Operations per</w:t>
            </w: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180" w:type="dxa"/>
            <w:vAlign w:val="bottom"/>
            <w:gridSpan w:val="2"/>
            <w:shd w:val="clear" w:color="auto" w:fill="CCEEFF"/>
          </w:tcPr>
          <w:p>
            <w:pPr>
              <w:ind w:left="360"/>
              <w:spacing w:after="0"/>
              <w:rPr>
                <w:sz w:val="20"/>
                <w:szCs w:val="20"/>
                <w:color w:val="auto"/>
              </w:rPr>
            </w:pPr>
            <w:r>
              <w:rPr>
                <w:rFonts w:ascii="Arial" w:cs="Arial" w:eastAsia="Arial" w:hAnsi="Arial"/>
                <w:sz w:val="14"/>
                <w:szCs w:val="14"/>
                <w:b w:val="1"/>
                <w:bCs w:val="1"/>
                <w:color w:val="auto"/>
              </w:rPr>
              <w:t>Common Share</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Basic</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0.45</w:t>
            </w:r>
          </w:p>
        </w:tc>
        <w:tc>
          <w:tcPr>
            <w:tcW w:w="10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0.31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1.37</w:t>
            </w: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ind w:left="360"/>
              <w:spacing w:after="0" w:line="183" w:lineRule="exact"/>
              <w:rPr>
                <w:sz w:val="20"/>
                <w:szCs w:val="20"/>
                <w:color w:val="auto"/>
              </w:rPr>
            </w:pPr>
            <w:r>
              <w:rPr>
                <w:rFonts w:ascii="Arial" w:cs="Arial" w:eastAsia="Arial" w:hAnsi="Arial"/>
                <w:sz w:val="13"/>
                <w:szCs w:val="13"/>
                <w:b w:val="1"/>
                <w:bCs w:val="1"/>
                <w:color w:val="auto"/>
              </w:rPr>
              <w:t>Diluted</w:t>
            </w:r>
            <w:r>
              <w:rPr>
                <w:rFonts w:ascii="Arial" w:cs="Arial" w:eastAsia="Arial" w:hAnsi="Arial"/>
                <w:sz w:val="21"/>
                <w:szCs w:val="21"/>
                <w:b w:val="1"/>
                <w:bCs w:val="1"/>
                <w:color w:val="auto"/>
                <w:vertAlign w:val="superscript"/>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0.30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tcPr>
          <w:p>
            <w:pPr>
              <w:spacing w:after="0"/>
              <w:rPr>
                <w:sz w:val="12"/>
                <w:szCs w:val="12"/>
                <w:color w:val="auto"/>
              </w:rPr>
            </w:pPr>
          </w:p>
        </w:tc>
        <w:tc>
          <w:tcPr>
            <w:tcW w:w="4180" w:type="dxa"/>
            <w:vAlign w:val="bottom"/>
            <w:tcBorders>
              <w:top w:val="single" w:sz="8" w:color="CCEEFF"/>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Weighted-Average Common Shares Outstanding</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1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b w:val="1"/>
                <w:bCs w:val="1"/>
                <w:color w:val="auto"/>
              </w:rPr>
              <w:t>Basic</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19,320,100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19,320,100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19,320,100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19,320,100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gridSpan w:val="2"/>
          </w:tcPr>
          <w:p>
            <w:pPr>
              <w:ind w:left="360"/>
              <w:spacing w:after="0" w:line="183" w:lineRule="exact"/>
              <w:rPr>
                <w:sz w:val="20"/>
                <w:szCs w:val="20"/>
                <w:color w:val="auto"/>
              </w:rPr>
            </w:pPr>
            <w:r>
              <w:rPr>
                <w:rFonts w:ascii="Arial" w:cs="Arial" w:eastAsia="Arial" w:hAnsi="Arial"/>
                <w:sz w:val="13"/>
                <w:szCs w:val="13"/>
                <w:b w:val="1"/>
                <w:bCs w:val="1"/>
                <w:color w:val="auto"/>
              </w:rPr>
              <w:t>Diluted</w:t>
            </w:r>
            <w:r>
              <w:rPr>
                <w:rFonts w:ascii="Arial" w:cs="Arial" w:eastAsia="Arial" w:hAnsi="Arial"/>
                <w:sz w:val="21"/>
                <w:szCs w:val="21"/>
                <w:b w:val="1"/>
                <w:bCs w:val="1"/>
                <w:color w:val="auto"/>
                <w:vertAlign w:val="superscript"/>
              </w:rPr>
              <w:t>(3)</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23,564,228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23,564,228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23,564,228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19,320,100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-4116070</wp:posOffset>
            </wp:positionV>
            <wp:extent cx="5213985"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-3086735</wp:posOffset>
            </wp:positionV>
            <wp:extent cx="5213985"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-2769235</wp:posOffset>
            </wp:positionV>
            <wp:extent cx="5213985"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-2383155</wp:posOffset>
            </wp:positionV>
            <wp:extent cx="5213985" cy="1117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-1585595</wp:posOffset>
            </wp:positionV>
            <wp:extent cx="5213985"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-1165860</wp:posOffset>
            </wp:positionV>
            <wp:extent cx="521398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-591185</wp:posOffset>
            </wp:positionV>
            <wp:extent cx="521398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-368300</wp:posOffset>
            </wp:positionV>
            <wp:extent cx="5213985"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3985" cy="188595"/>
                    </a:xfrm>
                    <a:prstGeom prst="rect">
                      <a:avLst/>
                    </a:prstGeom>
                    <a:noFill/>
                  </pic:spPr>
                </pic:pic>
              </a:graphicData>
            </a:graphic>
          </wp:anchor>
        </w:drawing>
      </w:r>
    </w:p>
    <w:p>
      <w:pPr>
        <w:spacing w:after="0" w:line="240" w:lineRule="exact"/>
        <w:rPr>
          <w:sz w:val="20"/>
          <w:szCs w:val="20"/>
          <w:color w:val="auto"/>
        </w:rPr>
      </w:pPr>
    </w:p>
    <w:p>
      <w:pPr>
        <w:ind w:left="300" w:hanging="272"/>
        <w:spacing w:after="0"/>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balance is a related-party transaction. Refer to “Note 2 — Related-Party Arrangements” for more detail.</w:t>
      </w:r>
    </w:p>
    <w:p>
      <w:pPr>
        <w:spacing w:after="0" w:line="113" w:lineRule="exact"/>
        <w:rPr>
          <w:rFonts w:ascii="Arial" w:cs="Arial" w:eastAsia="Arial" w:hAnsi="Arial"/>
          <w:sz w:val="16"/>
          <w:szCs w:val="16"/>
          <w:color w:val="auto"/>
        </w:rPr>
      </w:pPr>
    </w:p>
    <w:p>
      <w:pPr>
        <w:jc w:val="both"/>
        <w:ind w:left="300" w:right="519" w:hanging="272"/>
        <w:spacing w:after="0" w:line="253" w:lineRule="auto"/>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Due to the Company’s change in tax status to a regulated investment company (“RIC”) from a C Corporation, the associated accrued benefits and provisions from previous periods were reversed, resulting in a provision for net investment loss, a benefit for net realized gains, and a benefit for unrealized appreciation of investments for the three and nine months ended September 30, 2015. Refer to “Note 8 — Income Taxes” and “Item 2. Management’s Discussion and Analysis of Financial Condition and Results of Operations — Results of Operations” for further detail.</w:t>
      </w:r>
    </w:p>
    <w:p>
      <w:pPr>
        <w:spacing w:after="0" w:line="83" w:lineRule="exact"/>
        <w:rPr>
          <w:rFonts w:ascii="Arial" w:cs="Arial" w:eastAsia="Arial" w:hAnsi="Arial"/>
          <w:sz w:val="16"/>
          <w:szCs w:val="16"/>
          <w:color w:val="auto"/>
        </w:rPr>
      </w:pPr>
    </w:p>
    <w:p>
      <w:pPr>
        <w:jc w:val="both"/>
        <w:ind w:left="300" w:right="519" w:hanging="272"/>
        <w:spacing w:after="0" w:line="256" w:lineRule="auto"/>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the nine months ended September 30, 2014, 4,244,128 potentially dilutive common shares were excluded from the weighted-average common shares outstanding for diluted net increase in net assets resulting from operations per common share because the effect of these shares would have been anti-dilutive. Refer to “Note 5 — Net Increase in Net Assets Resulting from Operations per Common Share — Basic and Diluted” for further detail.</w:t>
      </w:r>
    </w:p>
    <w:p>
      <w:pPr>
        <w:spacing w:after="0" w:line="200" w:lineRule="exact"/>
        <w:rPr>
          <w:sz w:val="20"/>
          <w:szCs w:val="20"/>
          <w:color w:val="auto"/>
        </w:rPr>
      </w:pPr>
    </w:p>
    <w:p>
      <w:pPr>
        <w:spacing w:after="0" w:line="307"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 w:name="page6"/>
    <w:bookmarkEnd w:id="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CHANGES IN NET ASSETS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057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Nine months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Nine months</w:t>
            </w:r>
          </w:p>
        </w:tc>
      </w:tr>
      <w:tr>
        <w:trPr>
          <w:trHeight w:val="149"/>
        </w:trPr>
        <w:tc>
          <w:tcPr>
            <w:tcW w:w="5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5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5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4"/>
                <w:szCs w:val="14"/>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Net Investment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(43,968,718)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(11,095,250)</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Gains on Investments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54,144,833</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17,842,995</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(Provision)/Benefit for Taxes on Net Realized Gains on Investments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342,802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(7,285,295)</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Unrealized Appreciation of investments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58,014</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9,659,729</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w w:val="98"/>
              </w:rPr>
              <w:t>(Provision)/Benefit for Taxes on Unrealized Appreciation of Investments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16,021,883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(3,944,068)</w:t>
            </w:r>
          </w:p>
        </w:tc>
      </w:tr>
      <w:tr>
        <w:trPr>
          <w:trHeight w:val="20"/>
        </w:trPr>
        <w:tc>
          <w:tcPr>
            <w:tcW w:w="5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26,598,814</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5,178,111</w:t>
            </w:r>
          </w:p>
        </w:tc>
      </w:tr>
      <w:tr>
        <w:trPr>
          <w:trHeight w:val="20"/>
        </w:trPr>
        <w:tc>
          <w:tcPr>
            <w:tcW w:w="5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Total Increase in Net Assets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26,598,814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5,178,111</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at Beginning of Period</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285,903,673</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287,966,444</w:t>
            </w:r>
          </w:p>
        </w:tc>
      </w:tr>
      <w:tr>
        <w:trPr>
          <w:trHeight w:val="20"/>
        </w:trPr>
        <w:tc>
          <w:tcPr>
            <w:tcW w:w="5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Net Assets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3"/>
              </w:rPr>
              <w:t>312,502,487</w:t>
            </w:r>
          </w:p>
        </w:tc>
        <w:tc>
          <w:tcPr>
            <w:tcW w:w="1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293,144,555</w:t>
            </w:r>
          </w:p>
        </w:tc>
      </w:tr>
      <w:tr>
        <w:trPr>
          <w:trHeight w:val="21"/>
        </w:trPr>
        <w:tc>
          <w:tcPr>
            <w:tcW w:w="5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Share Activity</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Outstanding at Beginning of Period</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19,320,100</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19,320,100</w:t>
            </w:r>
          </w:p>
        </w:tc>
      </w:tr>
      <w:tr>
        <w:trPr>
          <w:trHeight w:val="20"/>
        </w:trPr>
        <w:tc>
          <w:tcPr>
            <w:tcW w:w="5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Shares Outstanding at End of Period</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19,320,100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19,320,100</w:t>
            </w:r>
          </w:p>
        </w:tc>
      </w:tr>
      <w:tr>
        <w:trPr>
          <w:trHeight w:val="21"/>
        </w:trPr>
        <w:tc>
          <w:tcPr>
            <w:tcW w:w="5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-1054100</wp:posOffset>
            </wp:positionV>
            <wp:extent cx="521398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-770890</wp:posOffset>
            </wp:positionV>
            <wp:extent cx="5213985"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 w:name="page7"/>
    <w:bookmarkEnd w:id="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Nine months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Nine months</w:t>
            </w:r>
          </w:p>
        </w:tc>
      </w:tr>
      <w:tr>
        <w:trPr>
          <w:trHeight w:val="149"/>
        </w:trPr>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5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14"/>
                <w:szCs w:val="14"/>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26,598,814</w:t>
            </w:r>
          </w:p>
        </w:tc>
        <w:tc>
          <w:tcPr>
            <w:tcW w:w="1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5,178,111</w:t>
            </w:r>
          </w:p>
        </w:tc>
      </w:tr>
      <w:tr>
        <w:trPr>
          <w:trHeight w:val="202"/>
        </w:trPr>
        <w:tc>
          <w:tcPr>
            <w:tcW w:w="56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Adjustments to reconcile net increase in net assets resulting from</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to net cash provided by (used in) operating activities:</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5620" w:type="dxa"/>
            <w:vAlign w:val="bottom"/>
          </w:tcPr>
          <w:p>
            <w:pPr>
              <w:ind w:left="200"/>
              <w:spacing w:after="0"/>
              <w:rPr>
                <w:sz w:val="20"/>
                <w:szCs w:val="20"/>
                <w:color w:val="auto"/>
              </w:rPr>
            </w:pPr>
            <w:r>
              <w:rPr>
                <w:rFonts w:ascii="Arial" w:cs="Arial" w:eastAsia="Arial" w:hAnsi="Arial"/>
                <w:sz w:val="18"/>
                <w:szCs w:val="18"/>
                <w:color w:val="auto"/>
              </w:rPr>
              <w:t>Net realized gains on investments</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(54,144,833)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(17,842,995)</w:t>
            </w:r>
          </w:p>
        </w:tc>
      </w:tr>
      <w:tr>
        <w:trPr>
          <w:trHeight w:val="216"/>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unrealized appreciation of investments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(9,659,729)</w:t>
            </w:r>
          </w:p>
        </w:tc>
      </w:tr>
      <w:tr>
        <w:trPr>
          <w:trHeight w:val="216"/>
        </w:trPr>
        <w:tc>
          <w:tcPr>
            <w:tcW w:w="5620" w:type="dxa"/>
            <w:vAlign w:val="bottom"/>
          </w:tcPr>
          <w:p>
            <w:pPr>
              <w:ind w:left="200"/>
              <w:spacing w:after="0"/>
              <w:rPr>
                <w:sz w:val="20"/>
                <w:szCs w:val="20"/>
                <w:color w:val="auto"/>
              </w:rPr>
            </w:pPr>
            <w:r>
              <w:rPr>
                <w:rFonts w:ascii="Arial" w:cs="Arial" w:eastAsia="Arial" w:hAnsi="Arial"/>
                <w:sz w:val="18"/>
                <w:szCs w:val="18"/>
                <w:color w:val="auto"/>
              </w:rPr>
              <w:t>Gain on fair value adjustment for embedded derivative</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(787,000)</w:t>
            </w:r>
          </w:p>
        </w:tc>
      </w:tr>
      <w:tr>
        <w:trPr>
          <w:trHeight w:val="216"/>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2,501,181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3,488,769</w:t>
            </w:r>
          </w:p>
        </w:tc>
      </w:tr>
      <w:tr>
        <w:trPr>
          <w:trHeight w:val="216"/>
        </w:trPr>
        <w:tc>
          <w:tcPr>
            <w:tcW w:w="5620" w:type="dxa"/>
            <w:vAlign w:val="bottom"/>
          </w:tcPr>
          <w:p>
            <w:pPr>
              <w:ind w:left="200"/>
              <w:spacing w:after="0"/>
              <w:rPr>
                <w:sz w:val="20"/>
                <w:szCs w:val="20"/>
                <w:color w:val="auto"/>
              </w:rPr>
            </w:pPr>
            <w:r>
              <w:rPr>
                <w:rFonts w:ascii="Arial" w:cs="Arial" w:eastAsia="Arial" w:hAnsi="Arial"/>
                <w:sz w:val="18"/>
                <w:szCs w:val="18"/>
                <w:color w:val="auto"/>
              </w:rPr>
              <w:t>Amortization of discount on Convertible Senior Notes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99,724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777,838</w:t>
            </w:r>
          </w:p>
        </w:tc>
      </w:tr>
      <w:tr>
        <w:trPr>
          <w:trHeight w:val="216"/>
        </w:trPr>
        <w:tc>
          <w:tcPr>
            <w:tcW w:w="5620" w:type="dxa"/>
            <w:vAlign w:val="bottom"/>
          </w:tcPr>
          <w:p>
            <w:pPr>
              <w:ind w:left="200"/>
              <w:spacing w:after="0"/>
              <w:rPr>
                <w:sz w:val="20"/>
                <w:szCs w:val="20"/>
                <w:color w:val="auto"/>
              </w:rPr>
            </w:pPr>
            <w:r>
              <w:rPr>
                <w:rFonts w:ascii="Arial" w:cs="Arial" w:eastAsia="Arial" w:hAnsi="Arial"/>
                <w:sz w:val="18"/>
                <w:szCs w:val="18"/>
                <w:color w:val="auto"/>
              </w:rPr>
              <w:t>Amortization of fixed income security premiums and discounts</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(58,030)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(41,426)</w:t>
            </w:r>
          </w:p>
        </w:tc>
      </w:tr>
      <w:tr>
        <w:trPr>
          <w:trHeight w:val="216"/>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restricted cash</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(26,625)</w:t>
            </w:r>
          </w:p>
        </w:tc>
      </w:tr>
      <w:tr>
        <w:trPr>
          <w:trHeight w:val="216"/>
        </w:trPr>
        <w:tc>
          <w:tcPr>
            <w:tcW w:w="5620" w:type="dxa"/>
            <w:vAlign w:val="bottom"/>
          </w:tcPr>
          <w:p>
            <w:pPr>
              <w:ind w:left="200"/>
              <w:spacing w:after="0"/>
              <w:rPr>
                <w:sz w:val="20"/>
                <w:szCs w:val="20"/>
                <w:color w:val="auto"/>
              </w:rPr>
            </w:pPr>
            <w:r>
              <w:rPr>
                <w:rFonts w:ascii="Arial" w:cs="Arial" w:eastAsia="Arial" w:hAnsi="Arial"/>
                <w:sz w:val="18"/>
                <w:szCs w:val="18"/>
                <w:color w:val="auto"/>
              </w:rPr>
              <w:t>Non-cash dividend income</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(46,781)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Write-off of deferred offering costs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277,977</w:t>
            </w:r>
          </w:p>
        </w:tc>
      </w:tr>
      <w:tr>
        <w:trPr>
          <w:trHeight w:val="216"/>
        </w:trPr>
        <w:tc>
          <w:tcPr>
            <w:tcW w:w="5620" w:type="dxa"/>
            <w:vAlign w:val="bottom"/>
          </w:tcPr>
          <w:p>
            <w:pPr>
              <w:ind w:left="200"/>
              <w:spacing w:after="0"/>
              <w:rPr>
                <w:sz w:val="20"/>
                <w:szCs w:val="20"/>
                <w:color w:val="auto"/>
              </w:rPr>
            </w:pPr>
            <w:r>
              <w:rPr>
                <w:rFonts w:ascii="Arial" w:cs="Arial" w:eastAsia="Arial" w:hAnsi="Arial"/>
                <w:sz w:val="18"/>
                <w:szCs w:val="18"/>
                <w:color w:val="auto"/>
              </w:rPr>
              <w:t>Purchases of investments in:</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Portfolio investments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(17,146,659)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(45,852,034)</w:t>
            </w:r>
          </w:p>
        </w:tc>
      </w:tr>
      <w:tr>
        <w:trPr>
          <w:trHeight w:val="216"/>
        </w:trPr>
        <w:tc>
          <w:tcPr>
            <w:tcW w:w="5620" w:type="dxa"/>
            <w:vAlign w:val="bottom"/>
          </w:tcPr>
          <w:p>
            <w:pPr>
              <w:ind w:left="380"/>
              <w:spacing w:after="0"/>
              <w:rPr>
                <w:sz w:val="20"/>
                <w:szCs w:val="20"/>
                <w:color w:val="auto"/>
              </w:rPr>
            </w:pPr>
            <w:r>
              <w:rPr>
                <w:rFonts w:ascii="Arial" w:cs="Arial" w:eastAsia="Arial" w:hAnsi="Arial"/>
                <w:sz w:val="18"/>
                <w:szCs w:val="18"/>
                <w:color w:val="auto"/>
              </w:rPr>
              <w:t>United States treasury bills</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(225,015,507)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(260,002,734)</w:t>
            </w:r>
          </w:p>
        </w:tc>
      </w:tr>
      <w:tr>
        <w:trPr>
          <w:trHeight w:val="216"/>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or maturity of investments in:</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20" w:type="dxa"/>
            <w:vAlign w:val="bottom"/>
          </w:tcPr>
          <w:p>
            <w:pPr>
              <w:ind w:left="380"/>
              <w:spacing w:after="0"/>
              <w:rPr>
                <w:sz w:val="20"/>
                <w:szCs w:val="20"/>
                <w:color w:val="auto"/>
              </w:rPr>
            </w:pPr>
            <w:r>
              <w:rPr>
                <w:rFonts w:ascii="Arial" w:cs="Arial" w:eastAsia="Arial" w:hAnsi="Arial"/>
                <w:sz w:val="18"/>
                <w:szCs w:val="18"/>
                <w:color w:val="auto"/>
              </w:rPr>
              <w:t>Portfolio investments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92,641,645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62,502,968</w:t>
            </w:r>
          </w:p>
        </w:tc>
      </w:tr>
      <w:tr>
        <w:trPr>
          <w:trHeight w:val="216"/>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Treasuries strips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3,603,708</w:t>
            </w:r>
          </w:p>
        </w:tc>
      </w:tr>
      <w:tr>
        <w:trPr>
          <w:trHeight w:val="216"/>
        </w:trPr>
        <w:tc>
          <w:tcPr>
            <w:tcW w:w="5620" w:type="dxa"/>
            <w:vAlign w:val="bottom"/>
          </w:tcPr>
          <w:p>
            <w:pPr>
              <w:ind w:left="380"/>
              <w:spacing w:after="0"/>
              <w:rPr>
                <w:sz w:val="20"/>
                <w:szCs w:val="20"/>
                <w:color w:val="auto"/>
              </w:rPr>
            </w:pPr>
            <w:r>
              <w:rPr>
                <w:rFonts w:ascii="Arial" w:cs="Arial" w:eastAsia="Arial" w:hAnsi="Arial"/>
                <w:sz w:val="18"/>
                <w:szCs w:val="18"/>
                <w:color w:val="auto"/>
              </w:rPr>
              <w:t>United States treasury bills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300,000,000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160,001,251</w:t>
            </w: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7"/>
        </w:trPr>
        <w:tc>
          <w:tcPr>
            <w:tcW w:w="5620" w:type="dxa"/>
            <w:vAlign w:val="bottom"/>
          </w:tcPr>
          <w:p>
            <w:pPr>
              <w:ind w:left="200"/>
              <w:spacing w:after="0" w:line="256" w:lineRule="exact"/>
              <w:rPr>
                <w:sz w:val="20"/>
                <w:szCs w:val="20"/>
                <w:color w:val="auto"/>
              </w:rPr>
            </w:pPr>
            <w:r>
              <w:rPr>
                <w:rFonts w:ascii="Arial" w:cs="Arial" w:eastAsia="Arial" w:hAnsi="Arial"/>
                <w:sz w:val="18"/>
                <w:szCs w:val="18"/>
                <w:color w:val="auto"/>
              </w:rPr>
              <w:t>Due from GSV Capital Service Company, LLC</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(15,795)</w:t>
            </w:r>
          </w:p>
        </w:tc>
      </w:tr>
      <w:tr>
        <w:trPr>
          <w:trHeight w:val="257"/>
        </w:trPr>
        <w:tc>
          <w:tcPr>
            <w:tcW w:w="562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Due from GSV Asset Management</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5620" w:type="dxa"/>
            <w:vAlign w:val="bottom"/>
          </w:tcPr>
          <w:p>
            <w:pPr>
              <w:ind w:left="200"/>
              <w:spacing w:after="0" w:line="256" w:lineRule="exact"/>
              <w:rPr>
                <w:sz w:val="20"/>
                <w:szCs w:val="20"/>
                <w:color w:val="auto"/>
              </w:rPr>
            </w:pPr>
            <w:r>
              <w:rPr>
                <w:rFonts w:ascii="Arial" w:cs="Arial" w:eastAsia="Arial" w:hAnsi="Arial"/>
                <w:sz w:val="18"/>
                <w:szCs w:val="18"/>
                <w:color w:val="auto"/>
              </w:rPr>
              <w:t>Due from portfolio companies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24,985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45,304</w:t>
            </w:r>
          </w:p>
        </w:tc>
      </w:tr>
      <w:tr>
        <w:trPr>
          <w:trHeight w:val="216"/>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(157,751)</w:t>
            </w:r>
          </w:p>
        </w:tc>
      </w:tr>
      <w:tr>
        <w:trPr>
          <w:trHeight w:val="216"/>
        </w:trPr>
        <w:tc>
          <w:tcPr>
            <w:tcW w:w="5620" w:type="dxa"/>
            <w:vAlign w:val="bottom"/>
          </w:tcPr>
          <w:p>
            <w:pPr>
              <w:ind w:left="200"/>
              <w:spacing w:after="0"/>
              <w:rPr>
                <w:sz w:val="20"/>
                <w:szCs w:val="20"/>
                <w:color w:val="auto"/>
              </w:rPr>
            </w:pPr>
            <w:r>
              <w:rPr>
                <w:rFonts w:ascii="Arial" w:cs="Arial" w:eastAsia="Arial" w:hAnsi="Arial"/>
                <w:sz w:val="18"/>
                <w:szCs w:val="18"/>
                <w:color w:val="auto"/>
              </w:rPr>
              <w:t>Interest and dividends receivable</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(102,076)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18,198</w:t>
            </w:r>
          </w:p>
        </w:tc>
      </w:tr>
      <w:tr>
        <w:trPr>
          <w:trHeight w:val="257"/>
        </w:trPr>
        <w:tc>
          <w:tcPr>
            <w:tcW w:w="562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Due to GSV Asset Management</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(3,416)</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(515,080)</w:t>
            </w:r>
          </w:p>
        </w:tc>
      </w:tr>
      <w:tr>
        <w:trPr>
          <w:trHeight w:val="216"/>
        </w:trPr>
        <w:tc>
          <w:tcPr>
            <w:tcW w:w="5620" w:type="dxa"/>
            <w:vAlign w:val="bottom"/>
          </w:tcPr>
          <w:p>
            <w:pPr>
              <w:ind w:left="200"/>
              <w:spacing w:after="0"/>
              <w:rPr>
                <w:sz w:val="20"/>
                <w:szCs w:val="20"/>
                <w:color w:val="auto"/>
              </w:rPr>
            </w:pPr>
            <w:r>
              <w:rPr>
                <w:rFonts w:ascii="Arial" w:cs="Arial" w:eastAsia="Arial" w:hAnsi="Arial"/>
                <w:sz w:val="18"/>
                <w:szCs w:val="18"/>
                <w:color w:val="auto"/>
              </w:rPr>
              <w:t>Payable for securities purchased</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(68,001,096)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94,001,484</w:t>
            </w:r>
          </w:p>
        </w:tc>
      </w:tr>
      <w:tr>
        <w:trPr>
          <w:trHeight w:val="216"/>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(225,087)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(280,263)</w:t>
            </w:r>
          </w:p>
        </w:tc>
      </w:tr>
      <w:tr>
        <w:trPr>
          <w:trHeight w:val="257"/>
        </w:trPr>
        <w:tc>
          <w:tcPr>
            <w:tcW w:w="5620" w:type="dxa"/>
            <w:vAlign w:val="bottom"/>
          </w:tcPr>
          <w:p>
            <w:pPr>
              <w:ind w:left="200"/>
              <w:spacing w:after="0" w:line="256" w:lineRule="exact"/>
              <w:rPr>
                <w:sz w:val="20"/>
                <w:szCs w:val="20"/>
                <w:color w:val="auto"/>
              </w:rPr>
            </w:pPr>
            <w:r>
              <w:rPr>
                <w:rFonts w:ascii="Arial" w:cs="Arial" w:eastAsia="Arial" w:hAnsi="Arial"/>
                <w:sz w:val="18"/>
                <w:szCs w:val="18"/>
                <w:color w:val="auto"/>
              </w:rPr>
              <w:t>Accrued incentive fees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10,839,602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5,498,585</w:t>
            </w:r>
          </w:p>
        </w:tc>
      </w:tr>
      <w:tr>
        <w:trPr>
          <w:trHeight w:val="257"/>
        </w:trPr>
        <w:tc>
          <w:tcPr>
            <w:tcW w:w="562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Accrued management fees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ind w:left="20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(988,520)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(821,308)</w:t>
            </w:r>
          </w:p>
        </w:tc>
      </w:tr>
      <w:tr>
        <w:trPr>
          <w:trHeight w:val="216"/>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taxes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(102,932)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62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71,371,217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(608,547)</w:t>
            </w: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Borrowings under credit facility</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18,000,000</w:t>
            </w: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under credit facility</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(24,000,000)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(18,000,000)</w:t>
            </w: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Deferred offering costs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(93,267)</w:t>
            </w:r>
          </w:p>
        </w:tc>
      </w:tr>
      <w:tr>
        <w:trPr>
          <w:trHeight w:val="20"/>
        </w:trPr>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Financing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(18,000,000)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(93,267)</w:t>
            </w:r>
          </w:p>
        </w:tc>
      </w:tr>
      <w:tr>
        <w:trPr>
          <w:trHeight w:val="20"/>
        </w:trPr>
        <w:tc>
          <w:tcPr>
            <w:tcW w:w="5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 Increase (Decrease) in Cash Balance</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53,371,217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(701,814)</w:t>
            </w: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Balance at Beginning of Period</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3,472,880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7,219,203</w:t>
            </w:r>
          </w:p>
        </w:tc>
      </w:tr>
      <w:tr>
        <w:trPr>
          <w:trHeight w:val="20"/>
        </w:trPr>
        <w:tc>
          <w:tcPr>
            <w:tcW w:w="5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Cash 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56,844,097</w:t>
            </w:r>
          </w:p>
        </w:tc>
        <w:tc>
          <w:tcPr>
            <w:tcW w:w="1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6,517,389</w:t>
            </w:r>
          </w:p>
        </w:tc>
      </w:tr>
      <w:tr>
        <w:trPr>
          <w:trHeight w:val="20"/>
        </w:trPr>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-1285875</wp:posOffset>
            </wp:positionV>
            <wp:extent cx="521398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-436880</wp:posOffset>
            </wp:positionV>
            <wp:extent cx="521398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 w:name="page8"/>
    <w:bookmarkEnd w:id="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Nine months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Nine months</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2014</w:t>
            </w:r>
          </w:p>
        </w:tc>
      </w:tr>
      <w:tr>
        <w:trPr>
          <w:trHeight w:val="210"/>
        </w:trPr>
        <w:tc>
          <w:tcPr>
            <w:tcW w:w="558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Information:</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580" w:type="dxa"/>
            <w:vAlign w:val="bottom"/>
            <w:gridSpan w:val="4"/>
          </w:tcPr>
          <w:p>
            <w:pPr>
              <w:ind w:left="20"/>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4,769,939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4,977,067</w:t>
            </w:r>
          </w:p>
        </w:tc>
      </w:tr>
      <w:tr>
        <w:trPr>
          <w:trHeight w:val="216"/>
        </w:trPr>
        <w:tc>
          <w:tcPr>
            <w:tcW w:w="55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Taxes Paid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852,970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gridSpan w:val="4"/>
          </w:tcPr>
          <w:p>
            <w:pPr>
              <w:ind w:left="20"/>
              <w:spacing w:after="0"/>
              <w:rPr>
                <w:sz w:val="20"/>
                <w:szCs w:val="20"/>
                <w:color w:val="auto"/>
              </w:rPr>
            </w:pPr>
            <w:r>
              <w:rPr>
                <w:rFonts w:ascii="Arial" w:cs="Arial" w:eastAsia="Arial" w:hAnsi="Arial"/>
                <w:sz w:val="18"/>
                <w:szCs w:val="18"/>
                <w:b w:val="1"/>
                <w:bCs w:val="1"/>
                <w:color w:val="auto"/>
              </w:rPr>
              <w:t>Non-Cash Operating Items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76"/>
        </w:trPr>
        <w:tc>
          <w:tcPr>
            <w:tcW w:w="558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Transactions in Portfolio Company Investments</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2460" w:type="dxa"/>
            <w:vAlign w:val="bottom"/>
            <w:tcBorders>
              <w:top w:val="single" w:sz="8" w:color="auto"/>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580" w:type="dxa"/>
            <w:vAlign w:val="bottom"/>
            <w:gridSpan w:val="4"/>
          </w:tcPr>
          <w:p>
            <w:pPr>
              <w:ind w:left="20"/>
              <w:spacing w:after="0"/>
              <w:rPr>
                <w:sz w:val="20"/>
                <w:szCs w:val="20"/>
                <w:color w:val="auto"/>
              </w:rPr>
            </w:pPr>
            <w:r>
              <w:rPr>
                <w:rFonts w:ascii="Arial" w:cs="Arial" w:eastAsia="Arial" w:hAnsi="Arial"/>
                <w:sz w:val="18"/>
                <w:szCs w:val="18"/>
                <w:color w:val="auto"/>
              </w:rPr>
              <w:t>Convertible notes converted to preferred shares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295,801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3,064,135</w:t>
            </w:r>
          </w:p>
        </w:tc>
      </w:tr>
      <w:tr>
        <w:trPr>
          <w:trHeight w:val="216"/>
        </w:trPr>
        <w:tc>
          <w:tcPr>
            <w:tcW w:w="55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Structured notes converted to convertible notes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gridSpan w:val="4"/>
          </w:tcPr>
          <w:p>
            <w:pPr>
              <w:ind w:left="20"/>
              <w:spacing w:after="0"/>
              <w:rPr>
                <w:sz w:val="20"/>
                <w:szCs w:val="20"/>
                <w:color w:val="auto"/>
              </w:rPr>
            </w:pPr>
            <w:r>
              <w:rPr>
                <w:rFonts w:ascii="Arial" w:cs="Arial" w:eastAsia="Arial" w:hAnsi="Arial"/>
                <w:sz w:val="18"/>
                <w:szCs w:val="18"/>
                <w:color w:val="auto"/>
              </w:rPr>
              <w:t>Term loan converted to preferred shares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503,851</w:t>
            </w:r>
          </w:p>
        </w:tc>
      </w:tr>
      <w:tr>
        <w:trPr>
          <w:trHeight w:val="216"/>
        </w:trPr>
        <w:tc>
          <w:tcPr>
            <w:tcW w:w="55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Preferred shares converted to common shares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1,273,125</w:t>
            </w:r>
          </w:p>
        </w:tc>
      </w:tr>
      <w:tr>
        <w:trPr>
          <w:trHeight w:val="216"/>
        </w:trPr>
        <w:tc>
          <w:tcPr>
            <w:tcW w:w="5580" w:type="dxa"/>
            <w:vAlign w:val="bottom"/>
            <w:gridSpan w:val="4"/>
          </w:tcPr>
          <w:p>
            <w:pPr>
              <w:ind w:left="20"/>
              <w:spacing w:after="0"/>
              <w:rPr>
                <w:sz w:val="20"/>
                <w:szCs w:val="20"/>
                <w:color w:val="auto"/>
              </w:rPr>
            </w:pPr>
            <w:r>
              <w:rPr>
                <w:rFonts w:ascii="Arial" w:cs="Arial" w:eastAsia="Arial" w:hAnsi="Arial"/>
                <w:sz w:val="18"/>
                <w:szCs w:val="18"/>
                <w:color w:val="auto"/>
              </w:rPr>
              <w:t>Common shares converted to preferred shares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2,006,077</w:t>
            </w:r>
          </w:p>
        </w:tc>
      </w:tr>
      <w:tr>
        <w:trPr>
          <w:trHeight w:val="216"/>
        </w:trPr>
        <w:tc>
          <w:tcPr>
            <w:tcW w:w="55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Common membership interest converted to preferred shares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500,000</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4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r>
    </w:tbl>
    <w:p>
      <w:pPr>
        <w:spacing w:after="0" w:line="256" w:lineRule="exact"/>
        <w:rPr>
          <w:sz w:val="20"/>
          <w:szCs w:val="20"/>
          <w:color w:val="auto"/>
        </w:rPr>
      </w:pPr>
    </w:p>
    <w:p>
      <w:pPr>
        <w:ind w:left="2540" w:right="1959" w:hanging="2512"/>
        <w:spacing w:after="0" w:line="936" w:lineRule="auto"/>
        <w:tabs>
          <w:tab w:leader="none" w:pos="288"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This balance is a related-party transaction. Refer to “Note 2 — Related-Party Arrangements” for more detail. </w:t>
      </w:r>
      <w:r>
        <w:rPr>
          <w:rFonts w:ascii="Arial" w:cs="Arial" w:eastAsia="Arial" w:hAnsi="Arial"/>
          <w:sz w:val="17"/>
          <w:szCs w:val="17"/>
          <w:i w:val="1"/>
          <w:iCs w:val="1"/>
          <w:color w:val="auto"/>
        </w:rPr>
        <w:t>See notes to the Condensed Consolidated Financial Statements</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 w:name="page9"/>
    <w:bookmarkEnd w:id="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057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2"/>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Shares/Principal</w:t>
            </w:r>
          </w:p>
        </w:tc>
        <w:tc>
          <w:tcPr>
            <w:tcW w:w="8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660" w:type="dxa"/>
            <w:vAlign w:val="bottom"/>
            <w:gridSpan w:val="12"/>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2660" w:type="dxa"/>
            <w:vAlign w:val="bottom"/>
            <w:tcBorders>
              <w:top w:val="single" w:sz="8" w:color="auto"/>
            </w:tcBorders>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Palantir Technologies, Inc.</w:t>
            </w:r>
          </w:p>
        </w:tc>
        <w:tc>
          <w:tcPr>
            <w:tcW w:w="60" w:type="dxa"/>
            <w:vAlign w:val="bottom"/>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tcBorders>
              <w:top w:val="single" w:sz="8" w:color="auto"/>
              <w:right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Common shares, Class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Palo Alto,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Data Analysis</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5,773,690</w:t>
            </w:r>
          </w:p>
        </w:tc>
        <w:tc>
          <w:tcPr>
            <w:tcW w:w="840" w:type="dxa"/>
            <w:vAlign w:val="bottom"/>
          </w:tcPr>
          <w:p>
            <w:pPr>
              <w:jc w:val="right"/>
              <w:spacing w:after="0"/>
              <w:rPr>
                <w:sz w:val="20"/>
                <w:szCs w:val="20"/>
                <w:color w:val="auto"/>
              </w:rPr>
            </w:pPr>
            <w:r>
              <w:rPr>
                <w:rFonts w:ascii="Arial" w:cs="Arial" w:eastAsia="Arial" w:hAnsi="Arial"/>
                <w:sz w:val="16"/>
                <w:szCs w:val="16"/>
                <w:color w:val="auto"/>
                <w:w w:val="92"/>
              </w:rPr>
              <w:t>$16,191,055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$51,322,812</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16.42%</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G</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326,797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1,008,968</w:t>
            </w:r>
          </w:p>
        </w:tc>
        <w:tc>
          <w:tcPr>
            <w:tcW w:w="12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3,286,380</w:t>
            </w:r>
          </w:p>
        </w:tc>
        <w:tc>
          <w:tcPr>
            <w:tcW w:w="7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17,200,023</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54,609,192</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17.47%</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Dropbox,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tcBorders>
              <w:right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Online Storage</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760,000</w:t>
            </w:r>
          </w:p>
        </w:tc>
        <w:tc>
          <w:tcPr>
            <w:tcW w:w="840" w:type="dxa"/>
            <w:vAlign w:val="bottom"/>
          </w:tcPr>
          <w:p>
            <w:pPr>
              <w:jc w:val="right"/>
              <w:spacing w:after="0"/>
              <w:rPr>
                <w:sz w:val="20"/>
                <w:szCs w:val="20"/>
                <w:color w:val="auto"/>
              </w:rPr>
            </w:pPr>
            <w:r>
              <w:rPr>
                <w:rFonts w:ascii="Arial" w:cs="Arial" w:eastAsia="Arial" w:hAnsi="Arial"/>
                <w:sz w:val="16"/>
                <w:szCs w:val="16"/>
                <w:color w:val="auto"/>
              </w:rPr>
              <w:t>8,641,153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14,482,773</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552,486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5,015,773</w:t>
            </w:r>
          </w:p>
        </w:tc>
        <w:tc>
          <w:tcPr>
            <w:tcW w:w="12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10,530,499</w:t>
            </w:r>
          </w:p>
        </w:tc>
        <w:tc>
          <w:tcPr>
            <w:tcW w:w="7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13,656,926</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25,013,272</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Twitter,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tcBorders>
              <w:right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Social Communication</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800,600</w:t>
            </w:r>
          </w:p>
        </w:tc>
        <w:tc>
          <w:tcPr>
            <w:tcW w:w="840" w:type="dxa"/>
            <w:vAlign w:val="bottom"/>
          </w:tcPr>
          <w:p>
            <w:pPr>
              <w:jc w:val="right"/>
              <w:spacing w:after="0"/>
              <w:rPr>
                <w:sz w:val="20"/>
                <w:szCs w:val="20"/>
                <w:color w:val="auto"/>
              </w:rPr>
            </w:pPr>
            <w:r>
              <w:rPr>
                <w:rFonts w:ascii="Arial" w:cs="Arial" w:eastAsia="Arial" w:hAnsi="Arial"/>
                <w:sz w:val="16"/>
                <w:szCs w:val="16"/>
                <w:color w:val="auto"/>
              </w:rPr>
              <w:t>14,271,866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21,568,164</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Coursera,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Mountain View,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2,961,399</w:t>
            </w:r>
          </w:p>
        </w:tc>
        <w:tc>
          <w:tcPr>
            <w:tcW w:w="840" w:type="dxa"/>
            <w:vAlign w:val="bottom"/>
          </w:tcPr>
          <w:p>
            <w:pPr>
              <w:jc w:val="right"/>
              <w:spacing w:after="0"/>
              <w:rPr>
                <w:sz w:val="20"/>
                <w:szCs w:val="20"/>
                <w:color w:val="auto"/>
              </w:rPr>
            </w:pPr>
            <w:r>
              <w:rPr>
                <w:rFonts w:ascii="Arial" w:cs="Arial" w:eastAsia="Arial" w:hAnsi="Arial"/>
                <w:sz w:val="16"/>
                <w:szCs w:val="16"/>
                <w:color w:val="auto"/>
              </w:rPr>
              <w:t>14,519,519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14,446,747</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Solexel,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8"/>
              </w:rPr>
              <w:t>Milpitas,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Solar Power</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5,300,158</w:t>
            </w:r>
          </w:p>
        </w:tc>
        <w:tc>
          <w:tcPr>
            <w:tcW w:w="840" w:type="dxa"/>
            <w:vAlign w:val="bottom"/>
          </w:tcPr>
          <w:p>
            <w:pPr>
              <w:jc w:val="right"/>
              <w:spacing w:after="0"/>
              <w:rPr>
                <w:sz w:val="20"/>
                <w:szCs w:val="20"/>
                <w:color w:val="auto"/>
              </w:rPr>
            </w:pPr>
            <w:r>
              <w:rPr>
                <w:rFonts w:ascii="Arial" w:cs="Arial" w:eastAsia="Arial" w:hAnsi="Arial"/>
                <w:sz w:val="16"/>
                <w:szCs w:val="16"/>
                <w:color w:val="auto"/>
              </w:rPr>
              <w:t>11,598,648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11,607,346</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1,613,413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2,420,631</w:t>
            </w:r>
          </w:p>
        </w:tc>
        <w:tc>
          <w:tcPr>
            <w:tcW w:w="12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2,420,120</w:t>
            </w:r>
          </w:p>
        </w:tc>
        <w:tc>
          <w:tcPr>
            <w:tcW w:w="7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14,019,279</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14,027,466</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196"/>
        </w:trPr>
        <w:tc>
          <w:tcPr>
            <w:tcW w:w="2660" w:type="dxa"/>
            <w:vAlign w:val="bottom"/>
            <w:gridSpan w:val="12"/>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PayNearMe,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Sunnyvale,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Cash Payment Network</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5,480,348</w:t>
            </w:r>
          </w:p>
        </w:tc>
        <w:tc>
          <w:tcPr>
            <w:tcW w:w="840" w:type="dxa"/>
            <w:vAlign w:val="bottom"/>
          </w:tcPr>
          <w:p>
            <w:pPr>
              <w:jc w:val="right"/>
              <w:spacing w:after="0"/>
              <w:rPr>
                <w:sz w:val="20"/>
                <w:szCs w:val="20"/>
                <w:color w:val="auto"/>
              </w:rPr>
            </w:pPr>
            <w:r>
              <w:rPr>
                <w:rFonts w:ascii="Arial" w:cs="Arial" w:eastAsia="Arial" w:hAnsi="Arial"/>
                <w:sz w:val="16"/>
                <w:szCs w:val="16"/>
                <w:color w:val="auto"/>
              </w:rPr>
              <w:t>14,000,398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13,974,887</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Avenues Global Holdings, LLC</w:t>
            </w:r>
            <w:r>
              <w:rPr>
                <w:rFonts w:ascii="Arial" w:cs="Arial" w:eastAsia="Arial" w:hAnsi="Arial"/>
                <w:sz w:val="23"/>
                <w:szCs w:val="23"/>
                <w:b w:val="1"/>
                <w:bCs w:val="1"/>
                <w:color w:val="auto"/>
                <w:vertAlign w:val="superscript"/>
              </w:rPr>
              <w:t>(3)</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Junior Preferred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New York, NY</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Stock</w:t>
            </w: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Globally-focused Private</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School</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10,014,270</w:t>
            </w:r>
          </w:p>
        </w:tc>
        <w:tc>
          <w:tcPr>
            <w:tcW w:w="840" w:type="dxa"/>
            <w:vAlign w:val="bottom"/>
          </w:tcPr>
          <w:p>
            <w:pPr>
              <w:jc w:val="right"/>
              <w:spacing w:after="0"/>
              <w:rPr>
                <w:sz w:val="20"/>
                <w:szCs w:val="20"/>
                <w:color w:val="auto"/>
              </w:rPr>
            </w:pPr>
            <w:r>
              <w:rPr>
                <w:rFonts w:ascii="Arial" w:cs="Arial" w:eastAsia="Arial" w:hAnsi="Arial"/>
                <w:sz w:val="16"/>
                <w:szCs w:val="16"/>
                <w:color w:val="auto"/>
              </w:rPr>
              <w:t>10,151,854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12,141,120</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Lyft,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Peer to Peer Ridesharing</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493,490</w:t>
            </w:r>
          </w:p>
        </w:tc>
        <w:tc>
          <w:tcPr>
            <w:tcW w:w="840" w:type="dxa"/>
            <w:vAlign w:val="bottom"/>
          </w:tcPr>
          <w:p>
            <w:pPr>
              <w:jc w:val="right"/>
              <w:spacing w:after="0"/>
              <w:rPr>
                <w:sz w:val="20"/>
                <w:szCs w:val="20"/>
                <w:color w:val="auto"/>
              </w:rPr>
            </w:pPr>
            <w:r>
              <w:rPr>
                <w:rFonts w:ascii="Arial" w:cs="Arial" w:eastAsia="Arial" w:hAnsi="Arial"/>
                <w:sz w:val="16"/>
                <w:szCs w:val="16"/>
                <w:color w:val="auto"/>
              </w:rPr>
              <w:t>5,003,631</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9,273,828</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128,563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2,503,585</w:t>
            </w:r>
          </w:p>
        </w:tc>
        <w:tc>
          <w:tcPr>
            <w:tcW w:w="12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2,677,010</w:t>
            </w:r>
          </w:p>
        </w:tc>
        <w:tc>
          <w:tcPr>
            <w:tcW w:w="7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7,507,216</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11,950,838</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Dataminr,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tcBorders>
              <w:right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New York, NY</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Social Media Analytics</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904,977</w:t>
            </w:r>
          </w:p>
        </w:tc>
        <w:tc>
          <w:tcPr>
            <w:tcW w:w="840" w:type="dxa"/>
            <w:vAlign w:val="bottom"/>
          </w:tcPr>
          <w:p>
            <w:pPr>
              <w:jc w:val="right"/>
              <w:spacing w:after="0"/>
              <w:rPr>
                <w:sz w:val="20"/>
                <w:szCs w:val="20"/>
                <w:color w:val="auto"/>
              </w:rPr>
            </w:pPr>
            <w:r>
              <w:rPr>
                <w:rFonts w:ascii="Arial" w:cs="Arial" w:eastAsia="Arial" w:hAnsi="Arial"/>
                <w:sz w:val="16"/>
                <w:szCs w:val="16"/>
                <w:color w:val="auto"/>
              </w:rPr>
              <w:t>2,063,356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8,909,182</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301,369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1,100,909</w:t>
            </w:r>
          </w:p>
        </w:tc>
        <w:tc>
          <w:tcPr>
            <w:tcW w:w="12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2,966,872</w:t>
            </w:r>
          </w:p>
        </w:tc>
        <w:tc>
          <w:tcPr>
            <w:tcW w:w="7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3,164,265</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11,876,054</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JAMF Holdings,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tcBorders>
              <w:right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7"/>
              </w:rPr>
              <w:t>Minneapolis, MN</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Mobile Device</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Management</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73,440</w:t>
            </w:r>
          </w:p>
        </w:tc>
        <w:tc>
          <w:tcPr>
            <w:tcW w:w="840" w:type="dxa"/>
            <w:vAlign w:val="bottom"/>
          </w:tcPr>
          <w:p>
            <w:pPr>
              <w:jc w:val="right"/>
              <w:spacing w:after="0"/>
              <w:rPr>
                <w:sz w:val="20"/>
                <w:szCs w:val="20"/>
                <w:color w:val="auto"/>
              </w:rPr>
            </w:pPr>
            <w:r>
              <w:rPr>
                <w:rFonts w:ascii="Arial" w:cs="Arial" w:eastAsia="Arial" w:hAnsi="Arial"/>
                <w:sz w:val="16"/>
                <w:szCs w:val="16"/>
                <w:color w:val="auto"/>
              </w:rPr>
              <w:t>9,999,928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11,583,628</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General Assembly Space,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New York, NY</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126,552</w:t>
            </w:r>
          </w:p>
        </w:tc>
        <w:tc>
          <w:tcPr>
            <w:tcW w:w="840" w:type="dxa"/>
            <w:vAlign w:val="bottom"/>
          </w:tcPr>
          <w:p>
            <w:pPr>
              <w:jc w:val="right"/>
              <w:spacing w:after="0"/>
              <w:rPr>
                <w:sz w:val="20"/>
                <w:szCs w:val="20"/>
                <w:color w:val="auto"/>
              </w:rPr>
            </w:pPr>
            <w:r>
              <w:rPr>
                <w:rFonts w:ascii="Arial" w:cs="Arial" w:eastAsia="Arial" w:hAnsi="Arial"/>
                <w:sz w:val="16"/>
                <w:szCs w:val="16"/>
                <w:color w:val="auto"/>
              </w:rPr>
              <w:t>2,999,978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5,765,799</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133,213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2,999,983</w:t>
            </w:r>
          </w:p>
        </w:tc>
        <w:tc>
          <w:tcPr>
            <w:tcW w:w="12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5,755,573</w:t>
            </w:r>
          </w:p>
        </w:tc>
        <w:tc>
          <w:tcPr>
            <w:tcW w:w="7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5,999,961</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11,521,372</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-5685155</wp:posOffset>
            </wp:positionV>
            <wp:extent cx="521398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-5024755</wp:posOffset>
            </wp:positionV>
            <wp:extent cx="521398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-3592830</wp:posOffset>
            </wp:positionV>
            <wp:extent cx="521398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-1980565</wp:posOffset>
            </wp:positionV>
            <wp:extent cx="521398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-1320165</wp:posOffset>
            </wp:positionV>
            <wp:extent cx="521398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-145415</wp:posOffset>
            </wp:positionV>
            <wp:extent cx="521398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 w:name="page10"/>
    <w:bookmarkEnd w:id="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885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3"/>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Shares/Principal</w:t>
            </w:r>
          </w:p>
        </w:tc>
        <w:tc>
          <w:tcPr>
            <w:tcW w:w="8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660" w:type="dxa"/>
            <w:vAlign w:val="bottom"/>
            <w:gridSpan w:val="13"/>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660" w:type="dxa"/>
            <w:vAlign w:val="bottom"/>
            <w:tcBorders>
              <w:top w:val="single" w:sz="8" w:color="auto"/>
            </w:tcBorders>
            <w:gridSpan w:val="13"/>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Ozy Media,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top w:val="single" w:sz="8" w:color="auto"/>
              <w:righ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Mountain View,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Daily News and</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Information Site</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922,509</w:t>
            </w:r>
          </w:p>
        </w:tc>
        <w:tc>
          <w:tcPr>
            <w:tcW w:w="840" w:type="dxa"/>
            <w:vAlign w:val="bottom"/>
          </w:tcPr>
          <w:p>
            <w:pPr>
              <w:jc w:val="right"/>
              <w:spacing w:after="0"/>
              <w:rPr>
                <w:sz w:val="20"/>
                <w:szCs w:val="20"/>
                <w:color w:val="auto"/>
              </w:rPr>
            </w:pPr>
            <w:r>
              <w:rPr>
                <w:rFonts w:ascii="Arial" w:cs="Arial" w:eastAsia="Arial" w:hAnsi="Arial"/>
                <w:sz w:val="16"/>
                <w:szCs w:val="16"/>
                <w:color w:val="auto"/>
                <w:w w:val="96"/>
              </w:rPr>
              <w:t>$ 4,999,999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$ 5,290,561</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1,090,909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3,000,200</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4,407,134</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Seed</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500,000</w:t>
            </w:r>
          </w:p>
        </w:tc>
        <w:tc>
          <w:tcPr>
            <w:tcW w:w="84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1,727,898</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8,500,199</w:t>
            </w: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11,425,593</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3"/>
          </w:tcPr>
          <w:p>
            <w:pPr>
              <w:ind w:left="20"/>
              <w:spacing w:after="0" w:line="155" w:lineRule="exact"/>
              <w:rPr>
                <w:sz w:val="20"/>
                <w:szCs w:val="20"/>
                <w:color w:val="auto"/>
              </w:rPr>
            </w:pPr>
            <w:r>
              <w:rPr>
                <w:rFonts w:ascii="Arial" w:cs="Arial" w:eastAsia="Arial" w:hAnsi="Arial"/>
                <w:sz w:val="16"/>
                <w:szCs w:val="16"/>
                <w:b w:val="1"/>
                <w:bCs w:val="1"/>
                <w:color w:val="auto"/>
              </w:rPr>
              <w:t>SugarCRM, Inc.</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80" w:type="dxa"/>
            <w:vAlign w:val="bottom"/>
            <w:tcBorders>
              <w:top w:val="single" w:sz="8" w:color="CCEEFF"/>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Cupertino, CA</w:t>
            </w:r>
          </w:p>
        </w:tc>
        <w:tc>
          <w:tcPr>
            <w:tcW w:w="40" w:type="dxa"/>
            <w:vAlign w:val="bottom"/>
            <w:shd w:val="clear" w:color="auto" w:fill="CCEEFF"/>
          </w:tcPr>
          <w:p>
            <w:pPr>
              <w:spacing w:after="0"/>
              <w:rPr>
                <w:sz w:val="16"/>
                <w:szCs w:val="16"/>
                <w:color w:val="auto"/>
              </w:rPr>
            </w:pPr>
          </w:p>
        </w:tc>
        <w:tc>
          <w:tcPr>
            <w:tcW w:w="108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Customer Relationship</w:t>
            </w: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Manager</w:t>
            </w: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1,524,799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5,476,662</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8,215,922</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373,134</w:t>
            </w:r>
          </w:p>
        </w:tc>
        <w:tc>
          <w:tcPr>
            <w:tcW w:w="840" w:type="dxa"/>
            <w:vAlign w:val="bottom"/>
          </w:tcPr>
          <w:p>
            <w:pPr>
              <w:jc w:val="right"/>
              <w:spacing w:after="0"/>
              <w:rPr>
                <w:sz w:val="20"/>
                <w:szCs w:val="20"/>
                <w:color w:val="auto"/>
              </w:rPr>
            </w:pPr>
            <w:r>
              <w:rPr>
                <w:rFonts w:ascii="Arial" w:cs="Arial" w:eastAsia="Arial" w:hAnsi="Arial"/>
                <w:sz w:val="16"/>
                <w:szCs w:val="16"/>
                <w:color w:val="auto"/>
              </w:rPr>
              <w:t>1,500,522</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2,165,222</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6,977,184</w:t>
            </w: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10,381,144</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gridSpan w:val="13"/>
          </w:tcPr>
          <w:p>
            <w:pPr>
              <w:ind w:left="20"/>
              <w:spacing w:after="0" w:line="197" w:lineRule="exact"/>
              <w:rPr>
                <w:sz w:val="20"/>
                <w:szCs w:val="20"/>
                <w:color w:val="auto"/>
              </w:rPr>
            </w:pPr>
            <w:r>
              <w:rPr>
                <w:rFonts w:ascii="Arial" w:cs="Arial" w:eastAsia="Arial" w:hAnsi="Arial"/>
                <w:sz w:val="14"/>
                <w:szCs w:val="14"/>
                <w:b w:val="1"/>
                <w:bCs w:val="1"/>
                <w:color w:val="auto"/>
              </w:rPr>
              <w:t>Declara, Inc.</w:t>
            </w:r>
            <w:r>
              <w:rPr>
                <w:rFonts w:ascii="Arial" w:cs="Arial" w:eastAsia="Arial" w:hAnsi="Arial"/>
                <w:sz w:val="22"/>
                <w:szCs w:val="22"/>
                <w:b w:val="1"/>
                <w:bCs w:val="1"/>
                <w:color w:val="auto"/>
                <w:vertAlign w:val="superscript"/>
              </w:rPr>
              <w:t>(1)</w:t>
            </w:r>
          </w:p>
        </w:tc>
        <w:tc>
          <w:tcPr>
            <w:tcW w:w="6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Palo Alto, CA</w:t>
            </w:r>
          </w:p>
        </w:tc>
        <w:tc>
          <w:tcPr>
            <w:tcW w:w="40" w:type="dxa"/>
            <w:vAlign w:val="bottom"/>
            <w:shd w:val="clear" w:color="auto" w:fill="CCEEFF"/>
          </w:tcPr>
          <w:p>
            <w:pPr>
              <w:spacing w:after="0"/>
              <w:rPr>
                <w:sz w:val="16"/>
                <w:szCs w:val="16"/>
                <w:color w:val="auto"/>
              </w:rPr>
            </w:pPr>
          </w:p>
        </w:tc>
        <w:tc>
          <w:tcPr>
            <w:tcW w:w="108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Social Cognitive Learning</w:t>
            </w: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5,358,195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9,999,999</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10,019,825</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line="202" w:lineRule="exact"/>
              <w:rPr>
                <w:sz w:val="20"/>
                <w:szCs w:val="20"/>
                <w:color w:val="auto"/>
              </w:rPr>
            </w:pPr>
            <w:r>
              <w:rPr>
                <w:rFonts w:ascii="Arial" w:cs="Arial" w:eastAsia="Arial" w:hAnsi="Arial"/>
                <w:sz w:val="14"/>
                <w:szCs w:val="14"/>
                <w:b w:val="1"/>
                <w:bCs w:val="1"/>
                <w:color w:val="auto"/>
              </w:rPr>
              <w:t>Curious.com Inc.</w:t>
            </w:r>
            <w:r>
              <w:rPr>
                <w:rFonts w:ascii="Arial" w:cs="Arial" w:eastAsia="Arial" w:hAnsi="Arial"/>
                <w:sz w:val="23"/>
                <w:szCs w:val="23"/>
                <w:b w:val="1"/>
                <w:bCs w:val="1"/>
                <w:color w:val="auto"/>
                <w:vertAlign w:val="superscript"/>
              </w:rPr>
              <w:t>(1)</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Menlo Park, CA</w:t>
            </w:r>
          </w:p>
        </w:tc>
        <w:tc>
          <w:tcPr>
            <w:tcW w:w="40" w:type="dxa"/>
            <w:vAlign w:val="bottom"/>
            <w:shd w:val="clear" w:color="auto" w:fill="CCEEFF"/>
          </w:tcPr>
          <w:p>
            <w:pPr>
              <w:spacing w:after="0"/>
              <w:rPr>
                <w:sz w:val="16"/>
                <w:szCs w:val="16"/>
                <w:color w:val="auto"/>
              </w:rPr>
            </w:pPr>
          </w:p>
        </w:tc>
        <w:tc>
          <w:tcPr>
            <w:tcW w:w="108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Online Education</w:t>
            </w: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2,839,861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10,000,003</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9,996,311</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line="202"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3"/>
                <w:szCs w:val="23"/>
                <w:b w:val="1"/>
                <w:bCs w:val="1"/>
                <w:color w:val="auto"/>
                <w:vertAlign w:val="superscript"/>
              </w:rPr>
              <w:t>(2)(5)</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Scottsdale, AZ</w:t>
            </w:r>
          </w:p>
        </w:tc>
        <w:tc>
          <w:tcPr>
            <w:tcW w:w="40" w:type="dxa"/>
            <w:vAlign w:val="bottom"/>
            <w:shd w:val="clear" w:color="auto" w:fill="CCEEFF"/>
          </w:tcPr>
          <w:p>
            <w:pPr>
              <w:spacing w:after="0"/>
              <w:rPr>
                <w:sz w:val="16"/>
                <w:szCs w:val="16"/>
                <w:color w:val="auto"/>
              </w:rPr>
            </w:pPr>
          </w:p>
        </w:tc>
        <w:tc>
          <w:tcPr>
            <w:tcW w:w="108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Interactive Learning</w:t>
            </w: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3,279,629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2,019,687</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4,707,330</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2,779,134</w:t>
            </w:r>
          </w:p>
        </w:tc>
        <w:tc>
          <w:tcPr>
            <w:tcW w:w="840" w:type="dxa"/>
            <w:vAlign w:val="bottom"/>
          </w:tcPr>
          <w:p>
            <w:pPr>
              <w:jc w:val="right"/>
              <w:spacing w:after="0"/>
              <w:rPr>
                <w:sz w:val="20"/>
                <w:szCs w:val="20"/>
                <w:color w:val="auto"/>
              </w:rPr>
            </w:pPr>
            <w:r>
              <w:rPr>
                <w:rFonts w:ascii="Arial" w:cs="Arial" w:eastAsia="Arial" w:hAnsi="Arial"/>
                <w:sz w:val="16"/>
                <w:szCs w:val="16"/>
                <w:color w:val="auto"/>
              </w:rPr>
              <w:t>4,000,787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4,690,108</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366,666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526,284</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6,130,474</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9,923,722</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156"/>
        </w:trPr>
        <w:tc>
          <w:tcPr>
            <w:tcW w:w="2660" w:type="dxa"/>
            <w:vAlign w:val="bottom"/>
            <w:gridSpan w:val="13"/>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Chegg,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tcBorders>
              <w:right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Santa Clara,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Textbook Rental</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1,182,792</w:t>
            </w:r>
          </w:p>
        </w:tc>
        <w:tc>
          <w:tcPr>
            <w:tcW w:w="840" w:type="dxa"/>
            <w:vAlign w:val="bottom"/>
          </w:tcPr>
          <w:p>
            <w:pPr>
              <w:jc w:val="right"/>
              <w:spacing w:after="0"/>
              <w:rPr>
                <w:sz w:val="20"/>
                <w:szCs w:val="20"/>
                <w:color w:val="auto"/>
              </w:rPr>
            </w:pPr>
            <w:r>
              <w:rPr>
                <w:rFonts w:ascii="Arial" w:cs="Arial" w:eastAsia="Arial" w:hAnsi="Arial"/>
                <w:sz w:val="16"/>
                <w:szCs w:val="16"/>
                <w:color w:val="auto"/>
              </w:rPr>
              <w:t>14,022,863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8,527,930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65"/>
        </w:trPr>
        <w:tc>
          <w:tcPr>
            <w:tcW w:w="2660" w:type="dxa"/>
            <w:vAlign w:val="bottom"/>
            <w:gridSpan w:val="13"/>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Spotify Technology S.A.**</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0"/>
              </w:rPr>
              <w:t>Stockholm, Sweden</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Music Streaming Service</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3,658</w:t>
            </w:r>
          </w:p>
        </w:tc>
        <w:tc>
          <w:tcPr>
            <w:tcW w:w="840" w:type="dxa"/>
            <w:vAlign w:val="bottom"/>
          </w:tcPr>
          <w:p>
            <w:pPr>
              <w:jc w:val="right"/>
              <w:spacing w:after="0"/>
              <w:rPr>
                <w:sz w:val="20"/>
                <w:szCs w:val="20"/>
                <w:color w:val="auto"/>
              </w:rPr>
            </w:pPr>
            <w:r>
              <w:rPr>
                <w:rFonts w:ascii="Arial" w:cs="Arial" w:eastAsia="Arial" w:hAnsi="Arial"/>
                <w:sz w:val="16"/>
                <w:szCs w:val="16"/>
                <w:color w:val="auto"/>
              </w:rPr>
              <w:t>3,598,472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8,158,224</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165"/>
        </w:trPr>
        <w:tc>
          <w:tcPr>
            <w:tcW w:w="2660" w:type="dxa"/>
            <w:vAlign w:val="bottom"/>
            <w:gridSpan w:val="13"/>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Lytro,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C-1</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Mountain View,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Consumer Electronics</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2,533,784</w:t>
            </w:r>
          </w:p>
        </w:tc>
        <w:tc>
          <w:tcPr>
            <w:tcW w:w="840" w:type="dxa"/>
            <w:vAlign w:val="bottom"/>
          </w:tcPr>
          <w:p>
            <w:pPr>
              <w:jc w:val="right"/>
              <w:spacing w:after="0"/>
              <w:rPr>
                <w:sz w:val="20"/>
                <w:szCs w:val="20"/>
                <w:color w:val="auto"/>
              </w:rPr>
            </w:pPr>
            <w:r>
              <w:rPr>
                <w:rFonts w:ascii="Arial" w:cs="Arial" w:eastAsia="Arial" w:hAnsi="Arial"/>
                <w:sz w:val="16"/>
                <w:szCs w:val="16"/>
                <w:color w:val="auto"/>
              </w:rPr>
              <w:t>7,500,241</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7,500,001</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165"/>
        </w:trPr>
        <w:tc>
          <w:tcPr>
            <w:tcW w:w="2660" w:type="dxa"/>
            <w:vAlign w:val="bottom"/>
            <w:gridSpan w:val="13"/>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NestGSV, Inc. (d/b/a GSV Labs,</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gridSpan w:val="11"/>
            <w:shd w:val="clear" w:color="auto" w:fill="CCEEFF"/>
          </w:tcPr>
          <w:p>
            <w:pPr>
              <w:ind w:left="180"/>
              <w:spacing w:after="0" w:line="223" w:lineRule="exact"/>
              <w:rPr>
                <w:sz w:val="20"/>
                <w:szCs w:val="20"/>
                <w:color w:val="auto"/>
              </w:rPr>
            </w:pPr>
            <w:r>
              <w:rPr>
                <w:rFonts w:ascii="Arial" w:cs="Arial" w:eastAsia="Arial" w:hAnsi="Arial"/>
                <w:sz w:val="15"/>
                <w:szCs w:val="15"/>
                <w:b w:val="1"/>
                <w:bCs w:val="1"/>
                <w:color w:val="auto"/>
              </w:rPr>
              <w:t>Inc.)</w:t>
            </w:r>
            <w:r>
              <w:rPr>
                <w:rFonts w:ascii="Arial" w:cs="Arial" w:eastAsia="Arial" w:hAnsi="Arial"/>
                <w:sz w:val="25"/>
                <w:szCs w:val="25"/>
                <w:b w:val="1"/>
                <w:bCs w:val="1"/>
                <w:color w:val="auto"/>
                <w:vertAlign w:val="superscript"/>
              </w:rPr>
              <w:t>(2)</w:t>
            </w:r>
          </w:p>
        </w:tc>
        <w:tc>
          <w:tcPr>
            <w:tcW w:w="4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right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left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left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Redwood City,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Incubator</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3,720,424</w:t>
            </w:r>
          </w:p>
        </w:tc>
        <w:tc>
          <w:tcPr>
            <w:tcW w:w="840" w:type="dxa"/>
            <w:vAlign w:val="bottom"/>
          </w:tcPr>
          <w:p>
            <w:pPr>
              <w:jc w:val="right"/>
              <w:spacing w:after="0"/>
              <w:rPr>
                <w:sz w:val="20"/>
                <w:szCs w:val="20"/>
                <w:color w:val="auto"/>
              </w:rPr>
            </w:pPr>
            <w:r>
              <w:rPr>
                <w:rFonts w:ascii="Arial" w:cs="Arial" w:eastAsia="Arial" w:hAnsi="Arial"/>
                <w:sz w:val="16"/>
                <w:szCs w:val="16"/>
                <w:color w:val="auto"/>
              </w:rPr>
              <w:t>4,904,498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4,960,565</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1,561,625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2,007,250</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1,173,190</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1,000,000</w:t>
            </w:r>
          </w:p>
        </w:tc>
        <w:tc>
          <w:tcPr>
            <w:tcW w:w="840" w:type="dxa"/>
            <w:vAlign w:val="bottom"/>
          </w:tcPr>
          <w:p>
            <w:pPr>
              <w:jc w:val="right"/>
              <w:spacing w:after="0"/>
              <w:rPr>
                <w:sz w:val="20"/>
                <w:szCs w:val="20"/>
                <w:color w:val="auto"/>
              </w:rPr>
            </w:pPr>
            <w:r>
              <w:rPr>
                <w:rFonts w:ascii="Arial" w:cs="Arial" w:eastAsia="Arial" w:hAnsi="Arial"/>
                <w:sz w:val="16"/>
                <w:szCs w:val="16"/>
                <w:color w:val="auto"/>
              </w:rPr>
              <w:t>1,021,778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550,375</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450,000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605,500</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247,669</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warrants, Series D – $1.33</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Strike Price, Expiration Date</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00" w:type="dxa"/>
            <w:vAlign w:val="bottom"/>
            <w:gridSpan w:val="6"/>
          </w:tcPr>
          <w:p>
            <w:pPr>
              <w:ind w:left="200"/>
              <w:spacing w:after="0"/>
              <w:rPr>
                <w:sz w:val="20"/>
                <w:szCs w:val="20"/>
                <w:color w:val="auto"/>
              </w:rPr>
            </w:pPr>
            <w:r>
              <w:rPr>
                <w:rFonts w:ascii="Arial" w:cs="Arial" w:eastAsia="Arial" w:hAnsi="Arial"/>
                <w:sz w:val="16"/>
                <w:szCs w:val="16"/>
                <w:color w:val="auto"/>
                <w:w w:val="95"/>
              </w:rPr>
              <w:t>10/6/2019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500,000</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145,000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200,000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18,000</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warrants, Series C – $1.33</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Strike Price, Expiration Date</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gridSpan w:val="5"/>
          </w:tcPr>
          <w:p>
            <w:pPr>
              <w:ind w:left="200"/>
              <w:spacing w:after="0"/>
              <w:rPr>
                <w:sz w:val="20"/>
                <w:szCs w:val="20"/>
                <w:color w:val="auto"/>
              </w:rPr>
            </w:pPr>
            <w:r>
              <w:rPr>
                <w:rFonts w:ascii="Arial" w:cs="Arial" w:eastAsia="Arial" w:hAnsi="Arial"/>
                <w:sz w:val="16"/>
                <w:szCs w:val="16"/>
                <w:color w:val="auto"/>
                <w:w w:val="93"/>
              </w:rPr>
              <w:t>4/9/2019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187,500</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7,500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8,540,026</w:t>
            </w: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7,102,299</w:t>
            </w:r>
          </w:p>
        </w:tc>
        <w:tc>
          <w:tcPr>
            <w:tcW w:w="760" w:type="dxa"/>
            <w:vAlign w:val="bottom"/>
            <w:tcBorders>
              <w:left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-5565140</wp:posOffset>
            </wp:positionV>
            <wp:extent cx="521398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-4775835</wp:posOffset>
            </wp:positionV>
            <wp:extent cx="5213985"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-3275330</wp:posOffset>
            </wp:positionV>
            <wp:extent cx="521398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 w:name="page11"/>
    <w:bookmarkEnd w:id="1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-36195</wp:posOffset>
            </wp:positionV>
            <wp:extent cx="51885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66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Shares/Principal</w:t>
            </w:r>
          </w:p>
        </w:tc>
        <w:tc>
          <w:tcPr>
            <w:tcW w:w="140" w:type="dxa"/>
            <w:vAlign w:val="bottom"/>
          </w:tcPr>
          <w:p>
            <w:pPr>
              <w:spacing w:after="0"/>
              <w:rPr>
                <w:sz w:val="14"/>
                <w:szCs w:val="14"/>
                <w:color w:val="auto"/>
              </w:rPr>
            </w:pPr>
          </w:p>
        </w:tc>
        <w:tc>
          <w:tcPr>
            <w:tcW w:w="80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Cost</w:t>
            </w:r>
          </w:p>
        </w:tc>
        <w:tc>
          <w:tcPr>
            <w:tcW w:w="9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Fair Value</w:t>
            </w: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66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660" w:type="dxa"/>
            <w:vAlign w:val="bottom"/>
            <w:tcBorders>
              <w:top w:val="single" w:sz="8" w:color="auto"/>
            </w:tcBorders>
            <w:gridSpan w:val="9"/>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GSV Sustainability Partners</w:t>
            </w:r>
            <w:r>
              <w:rPr>
                <w:rFonts w:ascii="Arial" w:cs="Arial" w:eastAsia="Arial" w:hAnsi="Arial"/>
                <w:sz w:val="22"/>
                <w:szCs w:val="22"/>
                <w:b w:val="1"/>
                <w:bCs w:val="1"/>
                <w:color w:val="auto"/>
                <w:vertAlign w:val="superscript"/>
              </w:rPr>
              <w:t>(2)</w:t>
            </w:r>
          </w:p>
        </w:tc>
        <w:tc>
          <w:tcPr>
            <w:tcW w:w="6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940" w:type="dxa"/>
            <w:vAlign w:val="bottom"/>
            <w:tcBorders>
              <w:top w:val="single" w:sz="8" w:color="auto"/>
              <w:right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9"/>
          </w:tcPr>
          <w:p>
            <w:pPr>
              <w:ind w:left="20"/>
              <w:spacing w:after="0"/>
              <w:rPr>
                <w:sz w:val="20"/>
                <w:szCs w:val="20"/>
                <w:color w:val="auto"/>
              </w:rPr>
            </w:pPr>
            <w:r>
              <w:rPr>
                <w:rFonts w:ascii="Arial" w:cs="Arial" w:eastAsia="Arial" w:hAnsi="Arial"/>
                <w:sz w:val="16"/>
                <w:szCs w:val="16"/>
                <w:color w:val="auto"/>
              </w:rPr>
              <w:t>Preferred shares, Class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Woodside,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Clean Technology</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11,900,000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5,951,412</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w w:val="94"/>
              </w:rPr>
              <w:t>$ 5,950,000</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06"/>
        </w:trPr>
        <w:tc>
          <w:tcPr>
            <w:tcW w:w="26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100,000</w:t>
            </w: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94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8"/>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5,961,412</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5,960,000</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196"/>
        </w:trPr>
        <w:tc>
          <w:tcPr>
            <w:tcW w:w="2660" w:type="dxa"/>
            <w:vAlign w:val="bottom"/>
            <w:gridSpan w:val="9"/>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Fullbridge,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940" w:type="dxa"/>
            <w:vAlign w:val="bottom"/>
            <w:tcBorders>
              <w:top w:val="single" w:sz="8" w:color="auto"/>
              <w:right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7"/>
              </w:rPr>
              <w:t>Cambridge, MA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Business Education</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1,655,167</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2,956,022</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3,111,714</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6"/>
        </w:trPr>
        <w:tc>
          <w:tcPr>
            <w:tcW w:w="26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1,728,724</w:t>
            </w: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5"/>
              </w:rPr>
              <w:t>3,193,444</w:t>
            </w:r>
          </w:p>
        </w:tc>
        <w:tc>
          <w:tcPr>
            <w:tcW w:w="94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1,625,001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193"/>
        </w:trPr>
        <w:tc>
          <w:tcPr>
            <w:tcW w:w="2660" w:type="dxa"/>
            <w:vAlign w:val="bottom"/>
            <w:gridSpan w:val="9"/>
          </w:tcPr>
          <w:p>
            <w:pPr>
              <w:ind w:left="20"/>
              <w:spacing w:after="0"/>
              <w:rPr>
                <w:sz w:val="20"/>
                <w:szCs w:val="20"/>
                <w:color w:val="auto"/>
              </w:rPr>
            </w:pPr>
            <w:r>
              <w:rPr>
                <w:rFonts w:ascii="Arial" w:cs="Arial" w:eastAsia="Arial" w:hAnsi="Arial"/>
                <w:sz w:val="16"/>
                <w:szCs w:val="16"/>
                <w:color w:val="auto"/>
                <w:w w:val="95"/>
              </w:rPr>
              <w:t>Convertible Promissory Note 10% Due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00" w:type="dxa"/>
            <w:vAlign w:val="bottom"/>
            <w:gridSpan w:val="3"/>
          </w:tcPr>
          <w:p>
            <w:pPr>
              <w:ind w:left="200"/>
              <w:spacing w:after="0"/>
              <w:rPr>
                <w:sz w:val="20"/>
                <w:szCs w:val="20"/>
                <w:color w:val="auto"/>
              </w:rPr>
            </w:pPr>
            <w:r>
              <w:rPr>
                <w:rFonts w:ascii="Arial" w:cs="Arial" w:eastAsia="Arial" w:hAnsi="Arial"/>
                <w:sz w:val="16"/>
                <w:szCs w:val="16"/>
                <w:color w:val="auto"/>
              </w:rPr>
              <w:t>03/02/16***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   1,030,507</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1,006,624</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1,088,878</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196"/>
        </w:trPr>
        <w:tc>
          <w:tcPr>
            <w:tcW w:w="26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w w:val="92"/>
              </w:rPr>
              <w:t>Common Warrants – Strike Price $0.91,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8"/>
            <w:shd w:val="clear" w:color="auto" w:fill="CCEEFF"/>
          </w:tcPr>
          <w:p>
            <w:pPr>
              <w:ind w:left="180"/>
              <w:spacing w:after="0"/>
              <w:rPr>
                <w:sz w:val="20"/>
                <w:szCs w:val="20"/>
                <w:color w:val="auto"/>
              </w:rPr>
            </w:pPr>
            <w:r>
              <w:rPr>
                <w:rFonts w:ascii="Arial" w:cs="Arial" w:eastAsia="Arial" w:hAnsi="Arial"/>
                <w:sz w:val="16"/>
                <w:szCs w:val="16"/>
                <w:color w:val="auto"/>
              </w:rPr>
              <w:t>Expiration Date 2/18/2019</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714,286</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90,242</w:t>
            </w:r>
          </w:p>
        </w:tc>
        <w:tc>
          <w:tcPr>
            <w:tcW w:w="94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14,286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3"/>
        </w:trPr>
        <w:tc>
          <w:tcPr>
            <w:tcW w:w="2660" w:type="dxa"/>
            <w:vAlign w:val="bottom"/>
            <w:gridSpan w:val="9"/>
          </w:tcPr>
          <w:p>
            <w:pPr>
              <w:ind w:left="20"/>
              <w:spacing w:after="0"/>
              <w:rPr>
                <w:sz w:val="20"/>
                <w:szCs w:val="20"/>
                <w:color w:val="auto"/>
              </w:rPr>
            </w:pPr>
            <w:r>
              <w:rPr>
                <w:rFonts w:ascii="Arial" w:cs="Arial" w:eastAsia="Arial" w:hAnsi="Arial"/>
                <w:sz w:val="16"/>
                <w:szCs w:val="16"/>
                <w:color w:val="auto"/>
                <w:w w:val="92"/>
              </w:rPr>
              <w:t>Common Warrants – Strike Price $0.91,</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8"/>
          </w:tcPr>
          <w:p>
            <w:pPr>
              <w:ind w:left="180"/>
              <w:spacing w:after="0"/>
              <w:rPr>
                <w:sz w:val="20"/>
                <w:szCs w:val="20"/>
                <w:color w:val="auto"/>
              </w:rPr>
            </w:pPr>
            <w:r>
              <w:rPr>
                <w:rFonts w:ascii="Arial" w:cs="Arial" w:eastAsia="Arial" w:hAnsi="Arial"/>
                <w:sz w:val="16"/>
                <w:szCs w:val="16"/>
                <w:color w:val="auto"/>
              </w:rPr>
              <w:t>Expiration Date 4/03/2019</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412,088</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52,063</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8,242</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6"/>
        </w:trPr>
        <w:tc>
          <w:tcPr>
            <w:tcW w:w="26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w w:val="92"/>
              </w:rPr>
              <w:t>Common Warrants – Strike Price $0.91,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8"/>
            <w:shd w:val="clear" w:color="auto" w:fill="CCEEFF"/>
          </w:tcPr>
          <w:p>
            <w:pPr>
              <w:ind w:left="180"/>
              <w:spacing w:after="0"/>
              <w:rPr>
                <w:sz w:val="20"/>
                <w:szCs w:val="20"/>
                <w:color w:val="auto"/>
              </w:rPr>
            </w:pPr>
            <w:r>
              <w:rPr>
                <w:rFonts w:ascii="Arial" w:cs="Arial" w:eastAsia="Arial" w:hAnsi="Arial"/>
                <w:sz w:val="16"/>
                <w:szCs w:val="16"/>
                <w:color w:val="auto"/>
              </w:rPr>
              <w:t>Expiration Date 3/02/2020</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283,106</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35,767</w:t>
            </w:r>
          </w:p>
        </w:tc>
        <w:tc>
          <w:tcPr>
            <w:tcW w:w="94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3"/>
        </w:trPr>
        <w:tc>
          <w:tcPr>
            <w:tcW w:w="2660" w:type="dxa"/>
            <w:vAlign w:val="bottom"/>
            <w:gridSpan w:val="9"/>
          </w:tcPr>
          <w:p>
            <w:pPr>
              <w:ind w:left="20"/>
              <w:spacing w:after="0"/>
              <w:rPr>
                <w:sz w:val="20"/>
                <w:szCs w:val="20"/>
                <w:color w:val="auto"/>
              </w:rPr>
            </w:pPr>
            <w:r>
              <w:rPr>
                <w:rFonts w:ascii="Arial" w:cs="Arial" w:eastAsia="Arial" w:hAnsi="Arial"/>
                <w:sz w:val="16"/>
                <w:szCs w:val="16"/>
                <w:color w:val="auto"/>
                <w:w w:val="92"/>
              </w:rPr>
              <w:t>Common Warrants – Strike Price $0.91,</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8"/>
          </w:tcPr>
          <w:p>
            <w:pPr>
              <w:ind w:left="180"/>
              <w:spacing w:after="0"/>
              <w:rPr>
                <w:sz w:val="20"/>
                <w:szCs w:val="20"/>
                <w:color w:val="auto"/>
              </w:rPr>
            </w:pPr>
            <w:r>
              <w:rPr>
                <w:rFonts w:ascii="Arial" w:cs="Arial" w:eastAsia="Arial" w:hAnsi="Arial"/>
                <w:sz w:val="16"/>
                <w:szCs w:val="16"/>
                <w:color w:val="auto"/>
              </w:rPr>
              <w:t>Expiration Date 5/16/2019</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192,308</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24,296</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3,846</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6"/>
        </w:trPr>
        <w:tc>
          <w:tcPr>
            <w:tcW w:w="26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w w:val="92"/>
              </w:rPr>
              <w:t>Common Warrants – Strike Price $0.91,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8"/>
            <w:shd w:val="clear" w:color="auto" w:fill="CCEEFF"/>
          </w:tcPr>
          <w:p>
            <w:pPr>
              <w:ind w:left="180"/>
              <w:spacing w:after="0"/>
              <w:rPr>
                <w:sz w:val="20"/>
                <w:szCs w:val="20"/>
                <w:color w:val="auto"/>
              </w:rPr>
            </w:pPr>
            <w:r>
              <w:rPr>
                <w:rFonts w:ascii="Arial" w:cs="Arial" w:eastAsia="Arial" w:hAnsi="Arial"/>
                <w:sz w:val="16"/>
                <w:szCs w:val="16"/>
                <w:color w:val="auto"/>
              </w:rPr>
              <w:t>Expiration Date 3/22/2020</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186,170</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23,521</w:t>
            </w:r>
          </w:p>
        </w:tc>
        <w:tc>
          <w:tcPr>
            <w:tcW w:w="94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3"/>
        </w:trPr>
        <w:tc>
          <w:tcPr>
            <w:tcW w:w="2660" w:type="dxa"/>
            <w:vAlign w:val="bottom"/>
            <w:gridSpan w:val="9"/>
          </w:tcPr>
          <w:p>
            <w:pPr>
              <w:ind w:left="20"/>
              <w:spacing w:after="0"/>
              <w:rPr>
                <w:sz w:val="20"/>
                <w:szCs w:val="20"/>
                <w:color w:val="auto"/>
              </w:rPr>
            </w:pPr>
            <w:r>
              <w:rPr>
                <w:rFonts w:ascii="Arial" w:cs="Arial" w:eastAsia="Arial" w:hAnsi="Arial"/>
                <w:sz w:val="16"/>
                <w:szCs w:val="16"/>
                <w:color w:val="auto"/>
                <w:w w:val="92"/>
              </w:rPr>
              <w:t>Common Warrants – Strike Price $0.91,</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8"/>
          </w:tcPr>
          <w:p>
            <w:pPr>
              <w:ind w:left="180"/>
              <w:spacing w:after="0"/>
              <w:rPr>
                <w:sz w:val="20"/>
                <w:szCs w:val="20"/>
                <w:color w:val="auto"/>
              </w:rPr>
            </w:pPr>
            <w:r>
              <w:rPr>
                <w:rFonts w:ascii="Arial" w:cs="Arial" w:eastAsia="Arial" w:hAnsi="Arial"/>
                <w:sz w:val="16"/>
                <w:szCs w:val="16"/>
                <w:color w:val="auto"/>
              </w:rPr>
              <w:t>Expiration Date 10/10/2018</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82,418</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10,412</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1,648</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6"/>
        </w:trPr>
        <w:tc>
          <w:tcPr>
            <w:tcW w:w="26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w w:val="92"/>
              </w:rPr>
              <w:t>Common Warrants – Strike Price $0.91,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8"/>
            <w:shd w:val="clear" w:color="auto" w:fill="CCEEFF"/>
          </w:tcPr>
          <w:p>
            <w:pPr>
              <w:ind w:left="180"/>
              <w:spacing w:after="0"/>
              <w:rPr>
                <w:sz w:val="20"/>
                <w:szCs w:val="20"/>
                <w:color w:val="auto"/>
              </w:rPr>
            </w:pPr>
            <w:r>
              <w:rPr>
                <w:rFonts w:ascii="Arial" w:cs="Arial" w:eastAsia="Arial" w:hAnsi="Arial"/>
                <w:sz w:val="16"/>
                <w:szCs w:val="16"/>
                <w:color w:val="auto"/>
              </w:rPr>
              <w:t>Expiration Date 12/11/2018</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82,418</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10,413</w:t>
            </w:r>
          </w:p>
        </w:tc>
        <w:tc>
          <w:tcPr>
            <w:tcW w:w="94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8"/>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7,402,804</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5,864,648</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56"/>
        </w:trPr>
        <w:tc>
          <w:tcPr>
            <w:tcW w:w="2660" w:type="dxa"/>
            <w:vAlign w:val="bottom"/>
            <w:gridSpan w:val="9"/>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Enjoy Technology,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right w:val="single" w:sz="8" w:color="CCEEFF"/>
            </w:tcBorders>
            <w:shd w:val="clear" w:color="auto" w:fill="CCEEFF"/>
          </w:tcPr>
          <w:p>
            <w:pPr>
              <w:spacing w:after="0"/>
              <w:rPr>
                <w:sz w:val="13"/>
                <w:szCs w:val="13"/>
                <w:color w:val="auto"/>
              </w:rPr>
            </w:pPr>
          </w:p>
        </w:tc>
        <w:tc>
          <w:tcPr>
            <w:tcW w:w="940" w:type="dxa"/>
            <w:vAlign w:val="bottom"/>
            <w:tcBorders>
              <w:top w:val="single" w:sz="8" w:color="auto"/>
              <w:right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Menlo Park,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Online Shopping</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1,681,520</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4,000,280</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4,000,000</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6"/>
        </w:trPr>
        <w:tc>
          <w:tcPr>
            <w:tcW w:w="26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879,198</w:t>
            </w: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5"/>
              </w:rPr>
              <w:t>1,002,440</w:t>
            </w:r>
          </w:p>
        </w:tc>
        <w:tc>
          <w:tcPr>
            <w:tcW w:w="94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1,701,035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8"/>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5,002,720</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5,701,035</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156"/>
        </w:trPr>
        <w:tc>
          <w:tcPr>
            <w:tcW w:w="2660" w:type="dxa"/>
            <w:vAlign w:val="bottom"/>
            <w:gridSpan w:val="9"/>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Knewton,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right w:val="single" w:sz="8" w:color="CCEEFF"/>
            </w:tcBorders>
            <w:shd w:val="clear" w:color="auto" w:fill="CCEEFF"/>
          </w:tcPr>
          <w:p>
            <w:pPr>
              <w:spacing w:after="0"/>
              <w:rPr>
                <w:sz w:val="13"/>
                <w:szCs w:val="13"/>
                <w:color w:val="auto"/>
              </w:rPr>
            </w:pPr>
          </w:p>
        </w:tc>
        <w:tc>
          <w:tcPr>
            <w:tcW w:w="940" w:type="dxa"/>
            <w:vAlign w:val="bottom"/>
            <w:tcBorders>
              <w:top w:val="single" w:sz="8" w:color="auto"/>
              <w:right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New York, NY</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375,985</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4,999,999</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5,000,601</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165"/>
        </w:trPr>
        <w:tc>
          <w:tcPr>
            <w:tcW w:w="2660" w:type="dxa"/>
            <w:vAlign w:val="bottom"/>
            <w:gridSpan w:val="9"/>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Course Hero,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Redwood City,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2,145,509</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5,000,001</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5,000,001</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6"/>
        </w:trPr>
        <w:tc>
          <w:tcPr>
            <w:tcW w:w="2660" w:type="dxa"/>
            <w:vAlign w:val="bottom"/>
            <w:gridSpan w:val="9"/>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3"/>
                <w:szCs w:val="23"/>
                <w:b w:val="1"/>
                <w:bCs w:val="1"/>
                <w:color w:val="auto"/>
                <w:vertAlign w:val="superscript"/>
              </w:rPr>
              <w:t>(1)(4)</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New York, NY</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Globally-focused Private</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School</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3,000,000</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3,000,000</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3,000,000</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206"/>
        </w:trPr>
        <w:tc>
          <w:tcPr>
            <w:tcW w:w="26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229</w:t>
            </w: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5"/>
              </w:rPr>
              <w:t>1,577,097</w:t>
            </w:r>
          </w:p>
        </w:tc>
        <w:tc>
          <w:tcPr>
            <w:tcW w:w="94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1,500,000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8"/>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4,577,097</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4,500,000</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56"/>
        </w:trPr>
        <w:tc>
          <w:tcPr>
            <w:tcW w:w="2660" w:type="dxa"/>
            <w:vAlign w:val="bottom"/>
            <w:gridSpan w:val="9"/>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Parchment,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right w:val="single" w:sz="8" w:color="CCEEFF"/>
            </w:tcBorders>
            <w:shd w:val="clear" w:color="auto" w:fill="CCEEFF"/>
          </w:tcPr>
          <w:p>
            <w:pPr>
              <w:spacing w:after="0"/>
              <w:rPr>
                <w:sz w:val="13"/>
                <w:szCs w:val="13"/>
                <w:color w:val="auto"/>
              </w:rPr>
            </w:pPr>
          </w:p>
        </w:tc>
        <w:tc>
          <w:tcPr>
            <w:tcW w:w="940" w:type="dxa"/>
            <w:vAlign w:val="bottom"/>
            <w:tcBorders>
              <w:top w:val="single" w:sz="8" w:color="auto"/>
              <w:right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Scottsdale, AZ</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0"/>
              </w:rPr>
              <w:t>E-Transcript Exchange</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3,200,512</w:t>
            </w:r>
          </w:p>
        </w:tc>
        <w:tc>
          <w:tcPr>
            <w:tcW w:w="1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w w:val="95"/>
              </w:rPr>
              <w:t>4,000,982</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4,000,000</w:t>
            </w:r>
          </w:p>
        </w:tc>
        <w:tc>
          <w:tcPr>
            <w:tcW w:w="640" w:type="dxa"/>
            <w:vAlign w:val="bottom"/>
            <w:gridSpan w:val="2"/>
          </w:tcPr>
          <w:p>
            <w:pPr>
              <w:ind w:left="6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-5518150</wp:posOffset>
            </wp:positionV>
            <wp:extent cx="521398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-2774315</wp:posOffset>
            </wp:positionV>
            <wp:extent cx="521398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-2113915</wp:posOffset>
            </wp:positionV>
            <wp:extent cx="521398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-527050</wp:posOffset>
            </wp:positionV>
            <wp:extent cx="521398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 w:name="page12"/>
    <w:bookmarkEnd w:id="1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-36195</wp:posOffset>
            </wp:positionV>
            <wp:extent cx="51885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660" w:type="dxa"/>
            <w:vAlign w:val="bottom"/>
            <w:gridSpan w:val="12"/>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Shares/Principal</w:t>
            </w:r>
          </w:p>
        </w:tc>
        <w:tc>
          <w:tcPr>
            <w:tcW w:w="140" w:type="dxa"/>
            <w:vAlign w:val="bottom"/>
          </w:tcPr>
          <w:p>
            <w:pPr>
              <w:spacing w:after="0"/>
              <w:rPr>
                <w:sz w:val="14"/>
                <w:szCs w:val="14"/>
                <w:color w:val="auto"/>
              </w:rPr>
            </w:pPr>
          </w:p>
        </w:tc>
        <w:tc>
          <w:tcPr>
            <w:tcW w:w="7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660" w:type="dxa"/>
            <w:vAlign w:val="bottom"/>
            <w:gridSpan w:val="12"/>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660" w:type="dxa"/>
            <w:vAlign w:val="bottom"/>
            <w:tcBorders>
              <w:top w:val="single" w:sz="8" w:color="auto"/>
            </w:tcBorders>
            <w:gridSpan w:val="12"/>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CUX, Inc. (d/b/a CorpU)</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Convertible preferred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Series C</w:t>
            </w: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Corporate Education</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615,763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2,006,077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$ 2,175,401</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19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Senior Subordinated Convertible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6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Promissory Note 8% Due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520" w:type="dxa"/>
            <w:vAlign w:val="bottom"/>
            <w:gridSpan w:val="7"/>
            <w:shd w:val="clear" w:color="auto" w:fill="CCEEFF"/>
          </w:tcPr>
          <w:p>
            <w:pPr>
              <w:ind w:left="200"/>
              <w:spacing w:after="0" w:line="254" w:lineRule="exact"/>
              <w:rPr>
                <w:sz w:val="20"/>
                <w:szCs w:val="20"/>
                <w:color w:val="auto"/>
              </w:rPr>
            </w:pPr>
            <w:r>
              <w:rPr>
                <w:rFonts w:ascii="Arial" w:cs="Arial" w:eastAsia="Arial" w:hAnsi="Arial"/>
                <w:sz w:val="16"/>
                <w:szCs w:val="16"/>
                <w:color w:val="auto"/>
                <w:w w:val="99"/>
              </w:rPr>
              <w:t>11/26/2018***</w:t>
            </w:r>
            <w:r>
              <w:rPr>
                <w:rFonts w:ascii="Arial" w:cs="Arial" w:eastAsia="Arial" w:hAnsi="Arial"/>
                <w:sz w:val="27"/>
                <w:szCs w:val="27"/>
                <w:color w:val="auto"/>
                <w:w w:val="99"/>
                <w:vertAlign w:val="superscript"/>
              </w:rPr>
              <w:t>(10)</w:t>
            </w: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   1,000,000</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1,000,000</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1,067,507</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Convertible preferred shares,</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Series D</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169,033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778,607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679,465</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19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w w:val="96"/>
              </w:rPr>
              <w:t>Preferred warrants, $4.59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Expiration Date 02/25/2018</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16,903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6,930</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3,784,684</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3,929,303</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Bloom Energy Corporation</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Sunnyvale,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Fuel Cell Energy</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201,589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3,855,601</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2,870,592</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DogVacay,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B-1</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Santa Monica,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Dog Boarding</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514,562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2,506,119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2,500,771</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SharesPost, Inc.</w:t>
            </w:r>
            <w:r>
              <w:rPr>
                <w:rFonts w:ascii="Arial" w:cs="Arial" w:eastAsia="Arial" w:hAnsi="Arial"/>
                <w:sz w:val="23"/>
                <w:szCs w:val="23"/>
                <w:b w:val="1"/>
                <w:bCs w:val="1"/>
                <w:color w:val="auto"/>
                <w:vertAlign w:val="superscript"/>
              </w:rPr>
              <w:t>(6)</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San Bruno,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Online Marketplace</w:t>
            </w: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7"/>
              </w:rPr>
              <w:t>Finance</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1,771,653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2,259,716</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2,249,999</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19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w w:val="96"/>
              </w:rPr>
              <w:t>Common warrants, $0.13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Expiration Date 6/15/2018</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770,934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23,128</w:t>
            </w:r>
          </w:p>
        </w:tc>
        <w:tc>
          <w:tcPr>
            <w:tcW w:w="1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185,024</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2,282,844</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2,435,023</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196"/>
        </w:trPr>
        <w:tc>
          <w:tcPr>
            <w:tcW w:w="2660" w:type="dxa"/>
            <w:vAlign w:val="bottom"/>
            <w:gridSpan w:val="12"/>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Maven Research,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Knowledge Networks</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318,979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2,000,447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1,999,998</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49,505</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217,206</w:t>
            </w: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249,691</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2,217,653</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2,249,689</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DreamBox Learning,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Bellevue, WA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Education Technology</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7,159,221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1,502,362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1,448,538</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3,579,610</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758,017</w:t>
            </w: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724,269</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2,260,379</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2,172,807</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Clever,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Education Software</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1,799,047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2,000,601</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2,096,200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Circle Media (f/k/a S3 Digital Corp.</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gridSpan w:val="10"/>
            <w:shd w:val="clear" w:color="auto" w:fill="CCEEFF"/>
          </w:tcPr>
          <w:p>
            <w:pPr>
              <w:ind w:left="180"/>
              <w:spacing w:after="0" w:line="223" w:lineRule="exact"/>
              <w:rPr>
                <w:sz w:val="20"/>
                <w:szCs w:val="20"/>
                <w:color w:val="auto"/>
              </w:rPr>
            </w:pPr>
            <w:r>
              <w:rPr>
                <w:rFonts w:ascii="Arial" w:cs="Arial" w:eastAsia="Arial" w:hAnsi="Arial"/>
                <w:sz w:val="15"/>
                <w:szCs w:val="15"/>
                <w:b w:val="1"/>
                <w:bCs w:val="1"/>
                <w:color w:val="auto"/>
              </w:rPr>
              <w:t>(d/b/a S3i))</w:t>
            </w:r>
            <w:r>
              <w:rPr>
                <w:rFonts w:ascii="Arial" w:cs="Arial" w:eastAsia="Arial" w:hAnsi="Arial"/>
                <w:sz w:val="25"/>
                <w:szCs w:val="25"/>
                <w:b w:val="1"/>
                <w:bCs w:val="1"/>
                <w:color w:val="auto"/>
                <w:vertAlign w:val="superscript"/>
              </w:rPr>
              <w:t>(1)</w:t>
            </w: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left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left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Sports Analytics</w:t>
            </w: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1,864,495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1,792,500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1,459,553</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19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w w:val="96"/>
              </w:rPr>
              <w:t>Preferred warrants, $1.00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Expiration Date 11/21/2017</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500,000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31,354</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w w:val="96"/>
              </w:rPr>
              <w:t>Preferred warrants, $1.17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Expiration Date 08/29/2021</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175,815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19,340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9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w w:val="96"/>
              </w:rPr>
              <w:t>Preferred warrants, $1.17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Expiration Date 09/30/2020</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160,806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17,689</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w w:val="96"/>
              </w:rPr>
              <w:t>Preferred warrants, $1.17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Expiration Date 6/26/2021</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6"/>
                <w:szCs w:val="16"/>
                <w:color w:val="auto"/>
              </w:rPr>
              <w:t>38,594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4,245</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1,823,854</w:t>
            </w: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1,570,827</w:t>
            </w:r>
          </w:p>
        </w:tc>
        <w:tc>
          <w:tcPr>
            <w:tcW w:w="760" w:type="dxa"/>
            <w:vAlign w:val="bottom"/>
            <w:tcBorders>
              <w:left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-5307965</wp:posOffset>
            </wp:positionV>
            <wp:extent cx="521398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-3592830</wp:posOffset>
            </wp:positionV>
            <wp:extent cx="521398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-2906395</wp:posOffset>
            </wp:positionV>
            <wp:extent cx="521398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-2245995</wp:posOffset>
            </wp:positionV>
            <wp:extent cx="521398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 w:name="page13"/>
    <w:bookmarkEnd w:id="1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-36195</wp:posOffset>
            </wp:positionV>
            <wp:extent cx="51885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660" w:type="dxa"/>
            <w:vAlign w:val="bottom"/>
            <w:gridSpan w:val="16"/>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4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Shares/Principal</w:t>
            </w:r>
          </w:p>
        </w:tc>
        <w:tc>
          <w:tcPr>
            <w:tcW w:w="140" w:type="dxa"/>
            <w:vAlign w:val="bottom"/>
          </w:tcPr>
          <w:p>
            <w:pPr>
              <w:spacing w:after="0"/>
              <w:rPr>
                <w:sz w:val="14"/>
                <w:szCs w:val="14"/>
                <w:color w:val="auto"/>
              </w:rPr>
            </w:pPr>
          </w:p>
        </w:tc>
        <w:tc>
          <w:tcPr>
            <w:tcW w:w="7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660" w:type="dxa"/>
            <w:vAlign w:val="bottom"/>
            <w:gridSpan w:val="16"/>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2660" w:type="dxa"/>
            <w:vAlign w:val="bottom"/>
            <w:tcBorders>
              <w:top w:val="single" w:sz="8" w:color="auto"/>
            </w:tcBorders>
            <w:gridSpan w:val="16"/>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Gilt Groupe Holdings, Inc.</w:t>
            </w:r>
          </w:p>
        </w:tc>
        <w:tc>
          <w:tcPr>
            <w:tcW w:w="60" w:type="dxa"/>
            <w:vAlign w:val="bottom"/>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New York, NY</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8"/>
              </w:rPr>
              <w:t>e-Commerce Flash Sales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248,600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6,594,433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$ 1,188,372</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AlwaysOn, Inc.</w:t>
            </w:r>
            <w:r>
              <w:rPr>
                <w:rFonts w:ascii="Arial" w:cs="Arial" w:eastAsia="Arial" w:hAnsi="Arial"/>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Woodside, CA</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1,066,626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1,027,391</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554,646</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4,465,925</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876,343</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446,594</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w w:val="90"/>
              </w:rPr>
              <w:t>Preferred warrants Series A, $1.00 strike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5"/>
          </w:tcPr>
          <w:p>
            <w:pPr>
              <w:ind w:left="180"/>
              <w:spacing w:after="0"/>
              <w:rPr>
                <w:sz w:val="20"/>
                <w:szCs w:val="20"/>
                <w:color w:val="auto"/>
              </w:rPr>
            </w:pPr>
            <w:r>
              <w:rPr>
                <w:rFonts w:ascii="Arial" w:cs="Arial" w:eastAsia="Arial" w:hAnsi="Arial"/>
                <w:sz w:val="16"/>
                <w:szCs w:val="16"/>
                <w:color w:val="auto"/>
              </w:rPr>
              <w:t>price, expire 1/9/2017</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109,375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1,094</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15"/>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1,903,734</w:t>
            </w: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1,002,334</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gridSpan w:val="16"/>
          </w:tcPr>
          <w:p>
            <w:pPr>
              <w:ind w:left="20"/>
              <w:spacing w:after="0" w:line="197" w:lineRule="exact"/>
              <w:rPr>
                <w:sz w:val="20"/>
                <w:szCs w:val="20"/>
                <w:color w:val="auto"/>
              </w:rPr>
            </w:pPr>
            <w:r>
              <w:rPr>
                <w:rFonts w:ascii="Arial" w:cs="Arial" w:eastAsia="Arial" w:hAnsi="Arial"/>
                <w:sz w:val="14"/>
                <w:szCs w:val="14"/>
                <w:b w:val="1"/>
                <w:bCs w:val="1"/>
                <w:color w:val="auto"/>
              </w:rPr>
              <w:t>Strategic Data Command, LLC</w:t>
            </w:r>
            <w:r>
              <w:rPr>
                <w:rFonts w:ascii="Arial" w:cs="Arial" w:eastAsia="Arial" w:hAnsi="Arial"/>
                <w:sz w:val="22"/>
                <w:szCs w:val="22"/>
                <w:b w:val="1"/>
                <w:bCs w:val="1"/>
                <w:color w:val="auto"/>
                <w:vertAlign w:val="superscript"/>
              </w:rPr>
              <w:t>(1)(7)</w:t>
            </w:r>
          </w:p>
        </w:tc>
        <w:tc>
          <w:tcPr>
            <w:tcW w:w="6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Sunnyvale, CA</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Software Development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800,000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989,277</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162"/>
        </w:trPr>
        <w:tc>
          <w:tcPr>
            <w:tcW w:w="2660" w:type="dxa"/>
            <w:vAlign w:val="bottom"/>
            <w:gridSpan w:val="16"/>
          </w:tcPr>
          <w:p>
            <w:pPr>
              <w:ind w:left="20"/>
              <w:spacing w:after="0" w:line="162" w:lineRule="exact"/>
              <w:rPr>
                <w:sz w:val="20"/>
                <w:szCs w:val="20"/>
                <w:color w:val="auto"/>
              </w:rPr>
            </w:pPr>
            <w:r>
              <w:rPr>
                <w:rFonts w:ascii="Arial" w:cs="Arial" w:eastAsia="Arial" w:hAnsi="Arial"/>
                <w:sz w:val="16"/>
                <w:szCs w:val="16"/>
                <w:b w:val="1"/>
                <w:bCs w:val="1"/>
                <w:color w:val="auto"/>
              </w:rPr>
              <w:t>Aspiration Partners,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Marina Del Rey, CA</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Financial Services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18,009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1,001,815</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999,975</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162"/>
        </w:trPr>
        <w:tc>
          <w:tcPr>
            <w:tcW w:w="2660" w:type="dxa"/>
            <w:vAlign w:val="bottom"/>
            <w:gridSpan w:val="16"/>
          </w:tcPr>
          <w:p>
            <w:pPr>
              <w:ind w:left="20"/>
              <w:spacing w:after="0" w:line="162" w:lineRule="exact"/>
              <w:rPr>
                <w:sz w:val="20"/>
                <w:szCs w:val="20"/>
                <w:color w:val="auto"/>
              </w:rPr>
            </w:pPr>
            <w:r>
              <w:rPr>
                <w:rFonts w:ascii="Arial" w:cs="Arial" w:eastAsia="Arial" w:hAnsi="Arial"/>
                <w:sz w:val="16"/>
                <w:szCs w:val="16"/>
                <w:b w:val="1"/>
                <w:bCs w:val="1"/>
                <w:color w:val="auto"/>
                <w:w w:val="95"/>
              </w:rPr>
              <w:t>4C Insights (f/k/a The Echo Systems</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00" w:type="dxa"/>
            <w:vAlign w:val="bottom"/>
            <w:tcBorders>
              <w:top w:val="single" w:sz="8" w:color="auto"/>
            </w:tcBorders>
            <w:gridSpan w:val="14"/>
          </w:tcPr>
          <w:p>
            <w:pPr>
              <w:ind w:left="180"/>
              <w:spacing w:after="0" w:line="183" w:lineRule="exact"/>
              <w:rPr>
                <w:sz w:val="20"/>
                <w:szCs w:val="20"/>
                <w:color w:val="auto"/>
              </w:rPr>
            </w:pPr>
            <w:r>
              <w:rPr>
                <w:rFonts w:ascii="Arial" w:cs="Arial" w:eastAsia="Arial" w:hAnsi="Arial"/>
                <w:sz w:val="16"/>
                <w:szCs w:val="16"/>
                <w:b w:val="1"/>
                <w:bCs w:val="1"/>
                <w:color w:val="auto"/>
              </w:rPr>
              <w:t>Corp.)</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Chicago, IL</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Social Data Platform</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512,365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1,436,404</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850,459</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162"/>
        </w:trPr>
        <w:tc>
          <w:tcPr>
            <w:tcW w:w="2660" w:type="dxa"/>
            <w:vAlign w:val="bottom"/>
            <w:gridSpan w:val="16"/>
          </w:tcPr>
          <w:p>
            <w:pPr>
              <w:ind w:left="20"/>
              <w:spacing w:after="0" w:line="162" w:lineRule="exact"/>
              <w:rPr>
                <w:sz w:val="20"/>
                <w:szCs w:val="20"/>
                <w:color w:val="auto"/>
              </w:rPr>
            </w:pPr>
            <w:r>
              <w:rPr>
                <w:rFonts w:ascii="Arial" w:cs="Arial" w:eastAsia="Arial" w:hAnsi="Arial"/>
                <w:sz w:val="16"/>
                <w:szCs w:val="16"/>
                <w:b w:val="1"/>
                <w:bCs w:val="1"/>
                <w:color w:val="auto"/>
              </w:rPr>
              <w:t>Tynker (f/k/a Neuron Fuel,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San Jose, CA</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Computer Software</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534,162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309,310</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791,159</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03"/>
        </w:trPr>
        <w:tc>
          <w:tcPr>
            <w:tcW w:w="2660" w:type="dxa"/>
            <w:vAlign w:val="bottom"/>
            <w:gridSpan w:val="16"/>
          </w:tcPr>
          <w:p>
            <w:pPr>
              <w:ind w:left="20"/>
              <w:spacing w:after="0" w:line="202" w:lineRule="exact"/>
              <w:rPr>
                <w:sz w:val="20"/>
                <w:szCs w:val="20"/>
                <w:color w:val="auto"/>
              </w:rPr>
            </w:pPr>
            <w:r>
              <w:rPr>
                <w:rFonts w:ascii="Arial" w:cs="Arial" w:eastAsia="Arial" w:hAnsi="Arial"/>
                <w:sz w:val="14"/>
                <w:szCs w:val="14"/>
                <w:b w:val="1"/>
                <w:bCs w:val="1"/>
                <w:color w:val="auto"/>
              </w:rPr>
              <w:t>EdSurge, Inc.</w:t>
            </w:r>
            <w:r>
              <w:rPr>
                <w:rFonts w:ascii="Arial" w:cs="Arial" w:eastAsia="Arial" w:hAnsi="Arial"/>
                <w:sz w:val="23"/>
                <w:szCs w:val="23"/>
                <w:b w:val="1"/>
                <w:bCs w:val="1"/>
                <w:color w:val="auto"/>
                <w:vertAlign w:val="superscript"/>
              </w:rPr>
              <w:t>(1)</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Burlingame, CA</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Education Media Platform</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494,365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500,801</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500,801</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162"/>
        </w:trPr>
        <w:tc>
          <w:tcPr>
            <w:tcW w:w="2660" w:type="dxa"/>
            <w:vAlign w:val="bottom"/>
            <w:gridSpan w:val="16"/>
          </w:tcPr>
          <w:p>
            <w:pPr>
              <w:ind w:left="20"/>
              <w:spacing w:after="0" w:line="162" w:lineRule="exact"/>
              <w:rPr>
                <w:sz w:val="20"/>
                <w:szCs w:val="20"/>
                <w:color w:val="auto"/>
              </w:rPr>
            </w:pPr>
            <w:r>
              <w:rPr>
                <w:rFonts w:ascii="Arial" w:cs="Arial" w:eastAsia="Arial" w:hAnsi="Arial"/>
                <w:sz w:val="16"/>
                <w:szCs w:val="16"/>
                <w:b w:val="1"/>
                <w:bCs w:val="1"/>
                <w:color w:val="auto"/>
              </w:rPr>
              <w:t>AliphCom, Inc. (d/b/a Jawbone)</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Smart Device Company</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793,152</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470,827</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03"/>
        </w:trPr>
        <w:tc>
          <w:tcPr>
            <w:tcW w:w="2660" w:type="dxa"/>
            <w:vAlign w:val="bottom"/>
            <w:gridSpan w:val="16"/>
          </w:tcPr>
          <w:p>
            <w:pPr>
              <w:ind w:left="20"/>
              <w:spacing w:after="0" w:line="202" w:lineRule="exact"/>
              <w:rPr>
                <w:sz w:val="20"/>
                <w:szCs w:val="20"/>
                <w:color w:val="auto"/>
              </w:rPr>
            </w:pPr>
            <w:r>
              <w:rPr>
                <w:rFonts w:ascii="Arial" w:cs="Arial" w:eastAsia="Arial" w:hAnsi="Arial"/>
                <w:sz w:val="14"/>
                <w:szCs w:val="14"/>
                <w:b w:val="1"/>
                <w:bCs w:val="1"/>
                <w:color w:val="auto"/>
              </w:rPr>
              <w:t>Learnist Inc. (f/k/a Grockit, Inc.)</w:t>
            </w:r>
            <w:r>
              <w:rPr>
                <w:rFonts w:ascii="Arial" w:cs="Arial" w:eastAsia="Arial" w:hAnsi="Arial"/>
                <w:sz w:val="23"/>
                <w:szCs w:val="23"/>
                <w:b w:val="1"/>
                <w:bCs w:val="1"/>
                <w:color w:val="auto"/>
                <w:vertAlign w:val="superscript"/>
              </w:rPr>
              <w:t>(1)</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Online Learning Platform</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2,728,252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2,005,945</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187,792</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1,731,501</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1,503,670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128,440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3"/>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Preferred shares, Series F</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1,242,928</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1,450,000</w:t>
            </w: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115,693</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4,959,615</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431,925</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156"/>
        </w:trPr>
        <w:tc>
          <w:tcPr>
            <w:tcW w:w="2660" w:type="dxa"/>
            <w:vAlign w:val="bottom"/>
            <w:gridSpan w:val="16"/>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Global Education Learning</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9"/>
            <w:shd w:val="clear" w:color="auto" w:fill="CCEEFF"/>
          </w:tcPr>
          <w:p>
            <w:pPr>
              <w:ind w:left="180"/>
              <w:spacing w:after="0" w:line="223" w:lineRule="exact"/>
              <w:rPr>
                <w:sz w:val="20"/>
                <w:szCs w:val="20"/>
                <w:color w:val="auto"/>
              </w:rPr>
            </w:pPr>
            <w:r>
              <w:rPr>
                <w:rFonts w:ascii="Arial" w:cs="Arial" w:eastAsia="Arial" w:hAnsi="Arial"/>
                <w:sz w:val="15"/>
                <w:szCs w:val="15"/>
                <w:b w:val="1"/>
                <w:bCs w:val="1"/>
                <w:color w:val="auto"/>
              </w:rPr>
              <w:t>(Holdings) Ltd.</w:t>
            </w:r>
            <w:r>
              <w:rPr>
                <w:rFonts w:ascii="Arial" w:cs="Arial" w:eastAsia="Arial" w:hAnsi="Arial"/>
                <w:sz w:val="25"/>
                <w:szCs w:val="25"/>
                <w:b w:val="1"/>
                <w:bCs w:val="1"/>
                <w:color w:val="auto"/>
                <w:vertAlign w:val="superscript"/>
              </w:rPr>
              <w:t>(1)</w:t>
            </w:r>
            <w:r>
              <w:rPr>
                <w:rFonts w:ascii="Arial" w:cs="Arial" w:eastAsia="Arial" w:hAnsi="Arial"/>
                <w:sz w:val="15"/>
                <w:szCs w:val="15"/>
                <w:b w:val="1"/>
                <w:bCs w:val="1"/>
                <w:color w:val="auto"/>
              </w:rPr>
              <w:t>**</w:t>
            </w:r>
          </w:p>
        </w:tc>
        <w:tc>
          <w:tcPr>
            <w:tcW w:w="740" w:type="dxa"/>
            <w:vAlign w:val="bottom"/>
            <w:tcBorders>
              <w:top w:val="single" w:sz="8" w:color="CCEEFF"/>
            </w:tcBorders>
            <w:gridSpan w:val="6"/>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left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left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Hong Kong</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Education Technology</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2,126,475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990,375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399,239</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Cricket Media (f/k/a ePals Inc.)**</w:t>
            </w:r>
            <w:r>
              <w:rPr>
                <w:rFonts w:ascii="Arial" w:cs="Arial" w:eastAsia="Arial" w:hAnsi="Arial"/>
                <w:sz w:val="23"/>
                <w:szCs w:val="23"/>
                <w:b w:val="1"/>
                <w:bCs w:val="1"/>
                <w:color w:val="auto"/>
                <w:vertAlign w:val="superscript"/>
              </w:rPr>
              <w:t>(8)</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Herndon, VA</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1,333,333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2,448,959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238,646</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165"/>
        </w:trPr>
        <w:tc>
          <w:tcPr>
            <w:tcW w:w="266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Earlyshares.com,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rPr>
              <w:t>Miami, FL</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Equity Crowdfunding</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165,715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261,598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125,115</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195"/>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Convertible Promissory Note 5%,</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080" w:type="dxa"/>
            <w:vAlign w:val="bottom"/>
            <w:gridSpan w:val="5"/>
            <w:shd w:val="clear" w:color="auto" w:fill="CCEEFF"/>
          </w:tcPr>
          <w:p>
            <w:pPr>
              <w:ind w:left="200"/>
              <w:spacing w:after="0" w:line="254" w:lineRule="exact"/>
              <w:rPr>
                <w:sz w:val="20"/>
                <w:szCs w:val="20"/>
                <w:color w:val="auto"/>
              </w:rPr>
            </w:pPr>
            <w:r>
              <w:rPr>
                <w:rFonts w:ascii="Arial" w:cs="Arial" w:eastAsia="Arial" w:hAnsi="Arial"/>
                <w:sz w:val="16"/>
                <w:szCs w:val="16"/>
                <w:color w:val="auto"/>
                <w:w w:val="83"/>
              </w:rPr>
              <w:t>8/02/2016</w:t>
            </w:r>
            <w:r>
              <w:rPr>
                <w:rFonts w:ascii="Arial" w:cs="Arial" w:eastAsia="Arial" w:hAnsi="Arial"/>
                <w:sz w:val="27"/>
                <w:szCs w:val="27"/>
                <w:color w:val="auto"/>
                <w:w w:val="83"/>
                <w:vertAlign w:val="superscript"/>
              </w:rPr>
              <w:t>(11)</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50,840</w:t>
            </w:r>
          </w:p>
        </w:tc>
        <w:tc>
          <w:tcPr>
            <w:tcW w:w="100" w:type="dxa"/>
            <w:vAlign w:val="bottom"/>
            <w:tcBorders>
              <w:left w:val="single" w:sz="8" w:color="CCEEFF"/>
            </w:tcBorders>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51,176</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312,438</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176,291</w:t>
            </w:r>
          </w:p>
        </w:tc>
        <w:tc>
          <w:tcPr>
            <w:tcW w:w="760" w:type="dxa"/>
            <w:vAlign w:val="bottom"/>
            <w:gridSpan w:val="3"/>
          </w:tcPr>
          <w:p>
            <w:pPr>
              <w:ind w:left="18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-5085080</wp:posOffset>
            </wp:positionV>
            <wp:extent cx="521398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-1911985</wp:posOffset>
            </wp:positionV>
            <wp:extent cx="521398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-145415</wp:posOffset>
            </wp:positionV>
            <wp:extent cx="521398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 w:name="page14"/>
    <w:bookmarkEnd w:id="1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-36195</wp:posOffset>
            </wp:positionV>
            <wp:extent cx="52139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66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4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Headquarters/Industry</w:t>
            </w:r>
          </w:p>
        </w:tc>
        <w:tc>
          <w:tcPr>
            <w:tcW w:w="4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Shares/Principal</w:t>
            </w:r>
          </w:p>
        </w:tc>
        <w:tc>
          <w:tcPr>
            <w:tcW w:w="100" w:type="dxa"/>
            <w:vAlign w:val="bottom"/>
          </w:tcPr>
          <w:p>
            <w:pPr>
              <w:spacing w:after="0"/>
              <w:rPr>
                <w:sz w:val="14"/>
                <w:szCs w:val="14"/>
                <w:color w:val="auto"/>
              </w:rPr>
            </w:pPr>
          </w:p>
        </w:tc>
        <w:tc>
          <w:tcPr>
            <w:tcW w:w="8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660" w:type="dxa"/>
            <w:vAlign w:val="bottom"/>
            <w:gridSpan w:val="8"/>
            <w:vMerge w:val="continue"/>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2660" w:type="dxa"/>
            <w:vAlign w:val="bottom"/>
            <w:tcBorders>
              <w:top w:val="single" w:sz="8" w:color="auto"/>
            </w:tcBorders>
            <w:gridSpan w:val="8"/>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Upwork Global Inc. (f/k/a Odesk</w:t>
            </w:r>
          </w:p>
        </w:tc>
        <w:tc>
          <w:tcPr>
            <w:tcW w:w="40" w:type="dxa"/>
            <w:vAlign w:val="bottom"/>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gridSpan w:val="6"/>
            <w:shd w:val="clear" w:color="auto" w:fill="CCEEFF"/>
          </w:tcPr>
          <w:p>
            <w:pPr>
              <w:ind w:left="180"/>
              <w:spacing w:after="0" w:line="183" w:lineRule="exact"/>
              <w:rPr>
                <w:sz w:val="20"/>
                <w:szCs w:val="20"/>
                <w:color w:val="auto"/>
              </w:rPr>
            </w:pPr>
            <w:r>
              <w:rPr>
                <w:rFonts w:ascii="Arial" w:cs="Arial" w:eastAsia="Arial" w:hAnsi="Arial"/>
                <w:sz w:val="16"/>
                <w:szCs w:val="16"/>
                <w:b w:val="1"/>
                <w:bCs w:val="1"/>
                <w:color w:val="auto"/>
              </w:rPr>
              <w:t>Corporation)</w:t>
            </w:r>
          </w:p>
        </w:tc>
        <w:tc>
          <w:tcPr>
            <w:tcW w:w="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86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w w:val="94"/>
              </w:rPr>
              <w:t>Redwood City, CA</w:t>
            </w:r>
          </w:p>
        </w:tc>
        <w:tc>
          <w:tcPr>
            <w:tcW w:w="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Workplace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60" w:type="dxa"/>
            <w:vAlign w:val="bottom"/>
            <w:gridSpan w:val="8"/>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Platform</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183,269</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141,060</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660" w:type="dxa"/>
            <w:vAlign w:val="bottom"/>
            <w:gridSpan w:val="8"/>
            <w:shd w:val="clear" w:color="auto" w:fill="CCEEFF"/>
          </w:tcPr>
          <w:p>
            <w:pPr>
              <w:ind w:left="20"/>
              <w:spacing w:after="0"/>
              <w:rPr>
                <w:sz w:val="20"/>
                <w:szCs w:val="20"/>
                <w:color w:val="auto"/>
              </w:rPr>
            </w:pPr>
            <w:r>
              <w:rPr>
                <w:rFonts w:ascii="Arial" w:cs="Arial" w:eastAsia="Arial" w:hAnsi="Arial"/>
                <w:sz w:val="16"/>
                <w:szCs w:val="16"/>
                <w:b w:val="1"/>
                <w:bCs w:val="1"/>
                <w:color w:val="auto"/>
              </w:rPr>
              <w:t>Total Portfolio Investments</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279,861,028</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349,790,374</w:t>
            </w:r>
          </w:p>
        </w:tc>
        <w:tc>
          <w:tcPr>
            <w:tcW w:w="80" w:type="dxa"/>
            <w:vAlign w:val="bottom"/>
            <w:tcBorders>
              <w:left w:val="single" w:sz="8" w:color="CCEEFF"/>
            </w:tcBorders>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111.93%</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8"/>
          </w:tcPr>
          <w:p>
            <w:pPr>
              <w:ind w:left="20"/>
              <w:spacing w:after="0" w:line="155" w:lineRule="exact"/>
              <w:rPr>
                <w:sz w:val="20"/>
                <w:szCs w:val="20"/>
                <w:color w:val="auto"/>
              </w:rPr>
            </w:pPr>
            <w:r>
              <w:rPr>
                <w:rFonts w:ascii="Arial" w:cs="Arial" w:eastAsia="Arial" w:hAnsi="Arial"/>
                <w:sz w:val="16"/>
                <w:szCs w:val="16"/>
                <w:b w:val="1"/>
                <w:bCs w:val="1"/>
                <w:color w:val="auto"/>
              </w:rPr>
              <w:t>U.S. Treasury</w:t>
            </w:r>
          </w:p>
        </w:tc>
        <w:tc>
          <w:tcPr>
            <w:tcW w:w="4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8"/>
            <w:shd w:val="clear" w:color="auto" w:fill="CCEEFF"/>
          </w:tcPr>
          <w:p>
            <w:pPr>
              <w:ind w:left="20"/>
              <w:spacing w:after="0"/>
              <w:rPr>
                <w:sz w:val="20"/>
                <w:szCs w:val="20"/>
                <w:color w:val="auto"/>
              </w:rPr>
            </w:pPr>
            <w:r>
              <w:rPr>
                <w:rFonts w:ascii="Arial" w:cs="Arial" w:eastAsia="Arial" w:hAnsi="Arial"/>
                <w:sz w:val="16"/>
                <w:szCs w:val="16"/>
                <w:color w:val="auto"/>
              </w:rPr>
              <w:t>U.S. Treasury Bill, 0%, due</w:t>
            </w:r>
          </w:p>
        </w:tc>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10/1/2015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25,000,000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25,000,604</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25,000,604</w:t>
            </w:r>
          </w:p>
        </w:tc>
        <w:tc>
          <w:tcPr>
            <w:tcW w:w="7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03"/>
        </w:trPr>
        <w:tc>
          <w:tcPr>
            <w:tcW w:w="2660" w:type="dxa"/>
            <w:vAlign w:val="bottom"/>
            <w:gridSpan w:val="8"/>
          </w:tcPr>
          <w:p>
            <w:pPr>
              <w:ind w:left="20"/>
              <w:spacing w:after="0" w:line="202" w:lineRule="exact"/>
              <w:rPr>
                <w:sz w:val="20"/>
                <w:szCs w:val="20"/>
                <w:color w:val="auto"/>
              </w:rPr>
            </w:pPr>
            <w:r>
              <w:rPr>
                <w:rFonts w:ascii="Arial" w:cs="Arial" w:eastAsia="Arial" w:hAnsi="Arial"/>
                <w:sz w:val="14"/>
                <w:szCs w:val="14"/>
                <w:b w:val="1"/>
                <w:bCs w:val="1"/>
                <w:color w:val="auto"/>
              </w:rPr>
              <w:t>U.S. Treasury Strips</w:t>
            </w:r>
            <w:r>
              <w:rPr>
                <w:rFonts w:ascii="Arial" w:cs="Arial" w:eastAsia="Arial" w:hAnsi="Arial"/>
                <w:sz w:val="23"/>
                <w:szCs w:val="23"/>
                <w:b w:val="1"/>
                <w:bCs w:val="1"/>
                <w:color w:val="auto"/>
                <w:vertAlign w:val="superscript"/>
              </w:rPr>
              <w:t>(9)</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8"/>
            <w:shd w:val="clear" w:color="auto" w:fill="CCEEFF"/>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7"/>
            <w:shd w:val="clear" w:color="auto" w:fill="CCEEFF"/>
          </w:tcPr>
          <w:p>
            <w:pPr>
              <w:ind w:left="180"/>
              <w:spacing w:after="0"/>
              <w:rPr>
                <w:sz w:val="20"/>
                <w:szCs w:val="20"/>
                <w:color w:val="auto"/>
              </w:rPr>
            </w:pPr>
            <w:r>
              <w:rPr>
                <w:rFonts w:ascii="Arial" w:cs="Arial" w:eastAsia="Arial" w:hAnsi="Arial"/>
                <w:sz w:val="16"/>
                <w:szCs w:val="16"/>
                <w:color w:val="auto"/>
              </w:rPr>
              <w:t>0.00% due 08/15/2016</w:t>
            </w:r>
          </w:p>
        </w:tc>
        <w:tc>
          <w:tcPr>
            <w:tcW w:w="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1,851,000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1,838,954</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1,846,854</w:t>
            </w:r>
          </w:p>
        </w:tc>
        <w:tc>
          <w:tcPr>
            <w:tcW w:w="7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193"/>
        </w:trPr>
        <w:tc>
          <w:tcPr>
            <w:tcW w:w="2660" w:type="dxa"/>
            <w:vAlign w:val="bottom"/>
            <w:gridSpan w:val="8"/>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7"/>
          </w:tcPr>
          <w:p>
            <w:pPr>
              <w:ind w:left="180"/>
              <w:spacing w:after="0"/>
              <w:rPr>
                <w:sz w:val="20"/>
                <w:szCs w:val="20"/>
                <w:color w:val="auto"/>
              </w:rPr>
            </w:pPr>
            <w:r>
              <w:rPr>
                <w:rFonts w:ascii="Arial" w:cs="Arial" w:eastAsia="Arial" w:hAnsi="Arial"/>
                <w:sz w:val="16"/>
                <w:szCs w:val="16"/>
                <w:color w:val="auto"/>
              </w:rPr>
              <w:t>0.00% due 02/15/2016</w:t>
            </w: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1,834,000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1,830,292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1,833,762</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7"/>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3,669,246</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3,680,616</w:t>
            </w:r>
          </w:p>
        </w:tc>
        <w:tc>
          <w:tcPr>
            <w:tcW w:w="80" w:type="dxa"/>
            <w:vAlign w:val="bottom"/>
            <w:tcBorders>
              <w:left w:val="single" w:sz="8" w:color="CCEEFF"/>
            </w:tcBorders>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gridSpan w:val="8"/>
          </w:tcPr>
          <w:p>
            <w:pPr>
              <w:ind w:left="20"/>
              <w:spacing w:after="0"/>
              <w:rPr>
                <w:sz w:val="20"/>
                <w:szCs w:val="20"/>
                <w:color w:val="auto"/>
              </w:rPr>
            </w:pPr>
            <w:r>
              <w:rPr>
                <w:rFonts w:ascii="Arial" w:cs="Arial" w:eastAsia="Arial" w:hAnsi="Arial"/>
                <w:sz w:val="16"/>
                <w:szCs w:val="16"/>
                <w:b w:val="1"/>
                <w:bCs w:val="1"/>
                <w:color w:val="auto"/>
              </w:rPr>
              <w:t>Total Investments</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308,530,878</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378,471,594</w:t>
            </w:r>
          </w:p>
        </w:tc>
        <w:tc>
          <w:tcPr>
            <w:tcW w:w="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w w:val="94"/>
              </w:rPr>
              <w:t>121.11%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-1551305</wp:posOffset>
            </wp:positionV>
            <wp:extent cx="524827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4827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-351155</wp:posOffset>
            </wp:positionV>
            <wp:extent cx="524827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48275" cy="17145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519" w:hanging="272"/>
        <w:spacing w:after="0" w:line="277"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jc w:val="both"/>
        <w:ind w:left="300" w:right="519" w:hanging="272"/>
        <w:spacing w:after="0" w:line="286" w:lineRule="auto"/>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Denotes an Affiliate Investment. “Affiliate Investments” are investments in those companies that are “Affiliated Companies” of GSV Capital Corp., as defined in the Investment Company Act of 1940, as amended. A company is deemed to be an “Affiliate” of GSV Capital Corp. if GSV Capital Corp. owns 5% or more of the voting securities of such company.</w:t>
      </w:r>
    </w:p>
    <w:p>
      <w:pPr>
        <w:spacing w:after="0" w:line="57" w:lineRule="exact"/>
        <w:rPr>
          <w:rFonts w:ascii="Arial" w:cs="Arial" w:eastAsia="Arial" w:hAnsi="Arial"/>
          <w:sz w:val="17"/>
          <w:szCs w:val="17"/>
          <w:color w:val="auto"/>
        </w:rPr>
      </w:pPr>
    </w:p>
    <w:p>
      <w:pPr>
        <w:jc w:val="both"/>
        <w:ind w:left="300" w:right="519" w:hanging="272"/>
        <w:spacing w:after="0" w:line="312" w:lineRule="auto"/>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Denotes a Control Investment. “Control Investments” are investments in those companies that are “Controlled Companies” of GSV Capital Corp., as defined in the Investment Company Act of 1940, as amended. A company is deemed to be a “Controlled Company” of GSV Capital Corp. if GSV Capital Corp. owns 25% or more of the voting securities of such company.</w:t>
      </w:r>
    </w:p>
    <w:p>
      <w:pPr>
        <w:spacing w:after="0" w:line="38" w:lineRule="exact"/>
        <w:rPr>
          <w:rFonts w:ascii="Arial" w:cs="Arial" w:eastAsia="Arial" w:hAnsi="Arial"/>
          <w:sz w:val="16"/>
          <w:szCs w:val="16"/>
          <w:color w:val="auto"/>
        </w:rPr>
      </w:pPr>
    </w:p>
    <w:p>
      <w:pPr>
        <w:ind w:left="300" w:right="539" w:hanging="272"/>
        <w:spacing w:after="0" w:line="277"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wholly-owned subsidiary GSVC AV Holdings, Inc.</w:t>
      </w:r>
    </w:p>
    <w:p>
      <w:pPr>
        <w:spacing w:after="0" w:line="62" w:lineRule="exact"/>
        <w:rPr>
          <w:rFonts w:ascii="Arial" w:cs="Arial" w:eastAsia="Arial" w:hAnsi="Arial"/>
          <w:sz w:val="18"/>
          <w:szCs w:val="18"/>
          <w:color w:val="auto"/>
        </w:rPr>
      </w:pPr>
    </w:p>
    <w:p>
      <w:pPr>
        <w:ind w:left="300" w:right="519" w:hanging="272"/>
        <w:spacing w:after="0" w:line="342" w:lineRule="auto"/>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GSV Capital Corp.’s investment in Whittle Schools, LLC is held through its wholly-owned subsidiary GSVC WS Holdings, Inc. Whittle Schools, LLC is an investment for which the economics are derived from the value of Avenues Global Holdings LLC.</w:t>
      </w:r>
    </w:p>
    <w:p>
      <w:pPr>
        <w:spacing w:after="0" w:line="15" w:lineRule="exact"/>
        <w:rPr>
          <w:rFonts w:ascii="Arial" w:cs="Arial" w:eastAsia="Arial" w:hAnsi="Arial"/>
          <w:sz w:val="16"/>
          <w:szCs w:val="16"/>
          <w:color w:val="auto"/>
        </w:rPr>
      </w:pPr>
    </w:p>
    <w:p>
      <w:pPr>
        <w:ind w:left="300" w:hanging="272"/>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300" w:hanging="272"/>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GSV Capital Corp.’s investment in SharesPost, Inc. is held through its wholly-owned subsidiary SPNPM Holdings, LLC.</w:t>
      </w:r>
    </w:p>
    <w:p>
      <w:pPr>
        <w:spacing w:after="0" w:line="128" w:lineRule="exact"/>
        <w:rPr>
          <w:rFonts w:ascii="Arial" w:cs="Arial" w:eastAsia="Arial" w:hAnsi="Arial"/>
          <w:sz w:val="17"/>
          <w:szCs w:val="17"/>
          <w:color w:val="auto"/>
        </w:rPr>
      </w:pPr>
    </w:p>
    <w:p>
      <w:pPr>
        <w:ind w:left="300" w:right="539" w:hanging="272"/>
        <w:spacing w:after="0" w:line="277"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62" w:lineRule="exact"/>
        <w:rPr>
          <w:rFonts w:ascii="Arial" w:cs="Arial" w:eastAsia="Arial" w:hAnsi="Arial"/>
          <w:sz w:val="18"/>
          <w:szCs w:val="18"/>
          <w:color w:val="auto"/>
        </w:rPr>
      </w:pPr>
    </w:p>
    <w:p>
      <w:pPr>
        <w:jc w:val="both"/>
        <w:ind w:left="300" w:right="519" w:hanging="272"/>
        <w:spacing w:after="0" w:line="257"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October 22, 2013, Cricket Media (f/k/a ePals Inc.), priced its initial public offering, selling 40,267,333 shares at a price of CAD $0.075 per share. At September 30, 2015, GSV Capital Corp. valued Cricket Media (f/k/a ePals Inc.), based on its September 30, 2015 closing price. GSV Capital Corp.’s Chief Executive Officer, Michael Moe, serves on the board of directors for Cricket Media (f/k/a ePals Inc.), which subjects GSV Capital Corp. to insider trading restrictions under Canadian securities law.</w:t>
      </w:r>
    </w:p>
    <w:p>
      <w:pPr>
        <w:spacing w:after="0" w:line="200" w:lineRule="exact"/>
        <w:rPr>
          <w:sz w:val="20"/>
          <w:szCs w:val="20"/>
          <w:color w:val="auto"/>
        </w:rPr>
      </w:pPr>
    </w:p>
    <w:p>
      <w:pPr>
        <w:spacing w:after="0" w:line="312"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jc w:val="both"/>
        <w:ind w:left="280" w:right="519" w:hanging="272"/>
        <w:spacing w:after="0" w:line="273" w:lineRule="auto"/>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Refer to “Note 9 — Long Term Liabilities.” In accordance with the terms of the Company’s Convertible Senior Notes payable, the Company deposited $10,867,500 in an escrow account with U.S. Bank National Association, the trustee. These funds were used to purchase six U.S. Treasury Strips with an original cost of $10,845,236. As of September 30, 2015, four of the government securities purchased had matured and the proceeds were used by the trustee in accordance with the terms of the escrow agreement. At September 30, 2015, the remaining government securities are shown on the Condensed Consolidated Schedule of Investments with an amortized cost of $3,669,246.</w:t>
      </w:r>
    </w:p>
    <w:p>
      <w:pPr>
        <w:spacing w:after="0" w:line="70" w:lineRule="exact"/>
        <w:rPr>
          <w:rFonts w:ascii="Arial" w:cs="Arial" w:eastAsia="Arial" w:hAnsi="Arial"/>
          <w:sz w:val="17"/>
          <w:szCs w:val="17"/>
          <w:color w:val="auto"/>
        </w:rPr>
      </w:pPr>
    </w:p>
    <w:p>
      <w:pPr>
        <w:jc w:val="both"/>
        <w:ind w:left="320" w:right="519" w:hanging="312"/>
        <w:spacing w:after="0" w:line="286"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Interest will accrue daily on the unpaid principal balance of the note. Accrued interest is not payable until the earlier of (a) the closing of a subsequent equity offering by CUX, Inc. (d/b/a CorpU), or (b) the maturity of the note (November 26, 2018). Interest will compound annually beginning on November 26, 2015.</w:t>
      </w:r>
    </w:p>
    <w:p>
      <w:pPr>
        <w:spacing w:after="0" w:line="57" w:lineRule="exact"/>
        <w:rPr>
          <w:sz w:val="20"/>
          <w:szCs w:val="20"/>
          <w:color w:val="auto"/>
        </w:rPr>
      </w:pPr>
    </w:p>
    <w:p>
      <w:pPr>
        <w:jc w:val="both"/>
        <w:ind w:left="300" w:right="519" w:hanging="296"/>
        <w:spacing w:after="0" w:line="264" w:lineRule="auto"/>
        <w:rPr>
          <w:sz w:val="20"/>
          <w:szCs w:val="20"/>
          <w:color w:val="auto"/>
        </w:rPr>
      </w:pPr>
      <w:r>
        <w:rPr>
          <w:rFonts w:ascii="Arial" w:cs="Arial" w:eastAsia="Arial" w:hAnsi="Arial"/>
          <w:sz w:val="18"/>
          <w:szCs w:val="18"/>
          <w:color w:val="auto"/>
        </w:rPr>
        <w:t>(11)Interest will accrue daily on the unpaid principal balance of the note. Accrued interest is not payable until the earlier of (a) the closing of a subsequent equity offering by Earlyshares.com, Inc., or (b) the maturity of the note (August 2, 2016). Interest will compound annually beginning on February 26, 2015.</w:t>
      </w:r>
    </w:p>
    <w:p>
      <w:pPr>
        <w:spacing w:after="0" w:line="200" w:lineRule="exact"/>
        <w:rPr>
          <w:sz w:val="20"/>
          <w:szCs w:val="20"/>
          <w:color w:val="auto"/>
        </w:rPr>
      </w:pPr>
    </w:p>
    <w:p>
      <w:pPr>
        <w:spacing w:after="0" w:line="305" w:lineRule="exact"/>
        <w:rPr>
          <w:sz w:val="20"/>
          <w:szCs w:val="20"/>
          <w:color w:val="auto"/>
        </w:rPr>
      </w:pPr>
    </w:p>
    <w:p>
      <w:pPr>
        <w:ind w:left="252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057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4"/>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gridSpan w:val="14"/>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2660" w:type="dxa"/>
            <w:vAlign w:val="bottom"/>
            <w:gridSpan w:val="14"/>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Twitter,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Social Communication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1,600,600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$27,551,563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$57,413,522</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165"/>
        </w:trPr>
        <w:tc>
          <w:tcPr>
            <w:tcW w:w="2660" w:type="dxa"/>
            <w:vAlign w:val="bottom"/>
            <w:gridSpan w:val="14"/>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Palantir Technologies,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Common shares, Class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Palo Alto,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Cyber Security</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5,773,690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16,189,935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42,985,122</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15.03%</w:t>
            </w:r>
          </w:p>
        </w:tc>
        <w:tc>
          <w:tcPr>
            <w:tcW w:w="0" w:type="dxa"/>
            <w:vAlign w:val="bottom"/>
          </w:tcPr>
          <w:p>
            <w:pPr>
              <w:spacing w:after="0"/>
              <w:rPr>
                <w:sz w:val="1"/>
                <w:szCs w:val="1"/>
                <w:color w:val="auto"/>
              </w:rPr>
            </w:pPr>
          </w:p>
        </w:tc>
      </w:tr>
      <w:tr>
        <w:trPr>
          <w:trHeight w:val="206"/>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G</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326,797</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1,008,968</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2,490,193</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0.87%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3"/>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17,198,903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45,475,315</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15.90%</w:t>
            </w:r>
          </w:p>
        </w:tc>
        <w:tc>
          <w:tcPr>
            <w:tcW w:w="0" w:type="dxa"/>
            <w:vAlign w:val="bottom"/>
          </w:tcPr>
          <w:p>
            <w:pPr>
              <w:spacing w:after="0"/>
              <w:rPr>
                <w:sz w:val="1"/>
                <w:szCs w:val="1"/>
                <w:color w:val="auto"/>
              </w:rPr>
            </w:pPr>
          </w:p>
        </w:tc>
      </w:tr>
      <w:tr>
        <w:trPr>
          <w:trHeight w:val="156"/>
        </w:trPr>
        <w:tc>
          <w:tcPr>
            <w:tcW w:w="2660" w:type="dxa"/>
            <w:vAlign w:val="bottom"/>
            <w:gridSpan w:val="14"/>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Dropbox,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Online Storage</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760,000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8,641,153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14,516,000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06"/>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552,486</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5,015,773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10,552,483</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3"/>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13,656,926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25,068,483</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196"/>
        </w:trPr>
        <w:tc>
          <w:tcPr>
            <w:tcW w:w="2660" w:type="dxa"/>
            <w:vAlign w:val="bottom"/>
            <w:gridSpan w:val="14"/>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2U, Inc. (f/k/a 2tor, Inc.)</w:t>
            </w:r>
            <w:r>
              <w:rPr>
                <w:rFonts w:ascii="Arial" w:cs="Arial" w:eastAsia="Arial" w:hAnsi="Arial"/>
                <w:sz w:val="22"/>
                <w:szCs w:val="22"/>
                <w:b w:val="1"/>
                <w:bCs w:val="1"/>
                <w:color w:val="auto"/>
                <w:vertAlign w:val="superscript"/>
              </w:rPr>
              <w:t>(9)</w:t>
            </w: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Landover, MD</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1,319,233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10,032,117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23,342,509</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165"/>
        </w:trPr>
        <w:tc>
          <w:tcPr>
            <w:tcW w:w="2660" w:type="dxa"/>
            <w:vAlign w:val="bottom"/>
            <w:gridSpan w:val="14"/>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Coursera,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Mountain View,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2,961,399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14,519,519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14,510,855</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165"/>
        </w:trPr>
        <w:tc>
          <w:tcPr>
            <w:tcW w:w="2660" w:type="dxa"/>
            <w:vAlign w:val="bottom"/>
            <w:gridSpan w:val="14"/>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Solexel,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8"/>
              </w:rPr>
              <w:t>Milpitas,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Solar Power</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5,300,158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11,598,648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11,607,346</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6"/>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1,613,413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2,419,751</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2,420,120</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3"/>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14,018,399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14,027,466</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196"/>
        </w:trPr>
        <w:tc>
          <w:tcPr>
            <w:tcW w:w="2660" w:type="dxa"/>
            <w:vAlign w:val="bottom"/>
            <w:gridSpan w:val="14"/>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Avenues Global Holdings, LLC</w:t>
            </w:r>
            <w:r>
              <w:rPr>
                <w:rFonts w:ascii="Arial" w:cs="Arial" w:eastAsia="Arial" w:hAnsi="Arial"/>
                <w:sz w:val="22"/>
                <w:szCs w:val="22"/>
                <w:b w:val="1"/>
                <w:bCs w:val="1"/>
                <w:color w:val="auto"/>
                <w:vertAlign w:val="superscript"/>
              </w:rPr>
              <w:t>(3)</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w w:val="91"/>
              </w:rPr>
              <w:t>Preferred shares, Junior Preferred Stock</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Globally-focused</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Private School</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10,014,270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10,151,854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11,303,410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165"/>
        </w:trPr>
        <w:tc>
          <w:tcPr>
            <w:tcW w:w="2660" w:type="dxa"/>
            <w:vAlign w:val="bottom"/>
            <w:gridSpan w:val="14"/>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SugarCRM,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Cupertino,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Customer Relationship</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Manager</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1,899,799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6,799,392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9,214,025</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06"/>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373,134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1,500,522</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2,046,909</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3"/>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8,299,914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11,260,934</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196"/>
        </w:trPr>
        <w:tc>
          <w:tcPr>
            <w:tcW w:w="2660" w:type="dxa"/>
            <w:vAlign w:val="bottom"/>
            <w:gridSpan w:val="14"/>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Ozy Media,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Mountain View,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Daily News and</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Information Site</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922,509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4,999,999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4,999,999</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6"/>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1,090,909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3,000,200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4,165,091</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3"/>
        </w:trPr>
        <w:tc>
          <w:tcPr>
            <w:tcW w:w="266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Seed</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1,573,000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3"/>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8,500,199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10,738,090</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gridSpan w:val="14"/>
          </w:tcPr>
          <w:p>
            <w:pPr>
              <w:ind w:left="20"/>
              <w:spacing w:after="0" w:line="197" w:lineRule="exact"/>
              <w:rPr>
                <w:sz w:val="20"/>
                <w:szCs w:val="20"/>
                <w:color w:val="auto"/>
              </w:rPr>
            </w:pPr>
            <w:r>
              <w:rPr>
                <w:rFonts w:ascii="Arial" w:cs="Arial" w:eastAsia="Arial" w:hAnsi="Arial"/>
                <w:sz w:val="14"/>
                <w:szCs w:val="14"/>
                <w:b w:val="1"/>
                <w:bCs w:val="1"/>
                <w:color w:val="auto"/>
              </w:rPr>
              <w:t>Declara, Inc.</w:t>
            </w:r>
            <w:r>
              <w:rPr>
                <w:rFonts w:ascii="Arial" w:cs="Arial" w:eastAsia="Arial" w:hAnsi="Arial"/>
                <w:sz w:val="22"/>
                <w:szCs w:val="22"/>
                <w:b w:val="1"/>
                <w:bCs w:val="1"/>
                <w:color w:val="auto"/>
                <w:vertAlign w:val="superscript"/>
              </w:rPr>
              <w:t>(1)</w:t>
            </w:r>
          </w:p>
        </w:tc>
        <w:tc>
          <w:tcPr>
            <w:tcW w:w="6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Palo Alto, CA</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Social Cognitive Learning</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5,358,195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9,999,999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10,019,825</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162"/>
        </w:trPr>
        <w:tc>
          <w:tcPr>
            <w:tcW w:w="2660" w:type="dxa"/>
            <w:vAlign w:val="bottom"/>
            <w:gridSpan w:val="14"/>
          </w:tcPr>
          <w:p>
            <w:pPr>
              <w:ind w:left="20"/>
              <w:spacing w:after="0" w:line="162" w:lineRule="exact"/>
              <w:rPr>
                <w:sz w:val="20"/>
                <w:szCs w:val="20"/>
                <w:color w:val="auto"/>
              </w:rPr>
            </w:pPr>
            <w:r>
              <w:rPr>
                <w:rFonts w:ascii="Arial" w:cs="Arial" w:eastAsia="Arial" w:hAnsi="Arial"/>
                <w:sz w:val="16"/>
                <w:szCs w:val="16"/>
                <w:b w:val="1"/>
                <w:bCs w:val="1"/>
                <w:color w:val="auto"/>
              </w:rPr>
              <w:t>JAMF Holdings,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Minneapolis, MN</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Mobile Device</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Management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73,440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9,999,928</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9,999,590</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03"/>
        </w:trPr>
        <w:tc>
          <w:tcPr>
            <w:tcW w:w="2660" w:type="dxa"/>
            <w:vAlign w:val="bottom"/>
            <w:gridSpan w:val="14"/>
          </w:tcPr>
          <w:p>
            <w:pPr>
              <w:ind w:left="20"/>
              <w:spacing w:after="0" w:line="202" w:lineRule="exact"/>
              <w:rPr>
                <w:sz w:val="20"/>
                <w:szCs w:val="20"/>
                <w:color w:val="auto"/>
              </w:rPr>
            </w:pPr>
            <w:r>
              <w:rPr>
                <w:rFonts w:ascii="Arial" w:cs="Arial" w:eastAsia="Arial" w:hAnsi="Arial"/>
                <w:sz w:val="14"/>
                <w:szCs w:val="14"/>
                <w:b w:val="1"/>
                <w:bCs w:val="1"/>
                <w:color w:val="auto"/>
              </w:rPr>
              <w:t>Curious.com Inc.</w:t>
            </w:r>
            <w:r>
              <w:rPr>
                <w:rFonts w:ascii="Arial" w:cs="Arial" w:eastAsia="Arial" w:hAnsi="Arial"/>
                <w:sz w:val="23"/>
                <w:szCs w:val="23"/>
                <w:b w:val="1"/>
                <w:bCs w:val="1"/>
                <w:color w:val="auto"/>
                <w:vertAlign w:val="superscript"/>
              </w:rPr>
              <w:t>(1)</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Menlo Park, CA</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Online Education</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2,839,861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10,000,003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9,996,311</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-5873750</wp:posOffset>
            </wp:positionV>
            <wp:extent cx="521398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-5213350</wp:posOffset>
            </wp:positionV>
            <wp:extent cx="521398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-3755390</wp:posOffset>
            </wp:positionV>
            <wp:extent cx="5213985"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-2426335</wp:posOffset>
            </wp:positionV>
            <wp:extent cx="521398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-1345565</wp:posOffset>
            </wp:positionV>
            <wp:extent cx="5213985"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 w:name="page17"/>
    <w:bookmarkEnd w:id="1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2"/>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gridSpan w:val="12"/>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660" w:type="dxa"/>
            <w:vAlign w:val="bottom"/>
            <w:gridSpan w:val="12"/>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PayNearMe,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Sunnyvale,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Cash Payment Network</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3,914,535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w w:val="98"/>
              </w:rPr>
              <w:t>$10,000,401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$ 9,982,064</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3"/>
                <w:szCs w:val="23"/>
                <w:b w:val="1"/>
                <w:bCs w:val="1"/>
                <w:color w:val="auto"/>
                <w:vertAlign w:val="superscript"/>
              </w:rPr>
              <w:t>(2)(5)</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Scottsdale, AZ</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Interactive Learning</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2,779,134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4,000,787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4,338,830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3,279,629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2,019,687</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4,347,608</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366,666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391,592</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193"/>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Unit Warrants $1.76 Strike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Price, Expiration Date 1/6/15</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568,753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6,130,474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9,078,030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Chegg,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Santa Clara,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Textbook Rental</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1,182,792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14,022,863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8,173,093</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Lytro,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Stock</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Mountain View,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Consumer Electronics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2,533,784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7,500,001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7,500,001</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General Assembly Space,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126,552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2,999,978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3,125,467</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133,213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2,999,983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2,999,957</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5,999,961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6,125,424</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Spotify Technology S.A.**</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Stockholm, Sweden</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Music Streaming Service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3,658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3,598,472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5,676,873</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Learnist Inc. (f/k/a Grockit, Inc.)</w:t>
            </w:r>
            <w:r>
              <w:rPr>
                <w:rFonts w:ascii="Arial" w:cs="Arial" w:eastAsia="Arial" w:hAnsi="Arial"/>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Online Learning Platform</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2,728,252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2,005,945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2,319,014</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0.81%</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1,731,501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1,503,670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1,610,296</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20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F</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1,242,928</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1,450,000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4,959,615</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5,379,310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2"/>
          </w:tcPr>
          <w:p>
            <w:pPr>
              <w:ind w:left="20"/>
              <w:spacing w:after="0" w:line="155" w:lineRule="exact"/>
              <w:rPr>
                <w:sz w:val="20"/>
                <w:szCs w:val="20"/>
                <w:color w:val="auto"/>
              </w:rPr>
            </w:pPr>
            <w:r>
              <w:rPr>
                <w:rFonts w:ascii="Arial" w:cs="Arial" w:eastAsia="Arial" w:hAnsi="Arial"/>
                <w:sz w:val="16"/>
                <w:szCs w:val="16"/>
                <w:b w:val="1"/>
                <w:bCs w:val="1"/>
                <w:color w:val="auto"/>
              </w:rPr>
              <w:t>Knewton, Inc.</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9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Online Education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375,985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4,999,999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5,000,601</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62"/>
        </w:trPr>
        <w:tc>
          <w:tcPr>
            <w:tcW w:w="2660" w:type="dxa"/>
            <w:vAlign w:val="bottom"/>
            <w:gridSpan w:val="12"/>
          </w:tcPr>
          <w:p>
            <w:pPr>
              <w:ind w:left="20"/>
              <w:spacing w:after="0" w:line="162" w:lineRule="exact"/>
              <w:rPr>
                <w:sz w:val="20"/>
                <w:szCs w:val="20"/>
                <w:color w:val="auto"/>
              </w:rPr>
            </w:pPr>
            <w:r>
              <w:rPr>
                <w:rFonts w:ascii="Arial" w:cs="Arial" w:eastAsia="Arial" w:hAnsi="Arial"/>
                <w:sz w:val="16"/>
                <w:szCs w:val="16"/>
                <w:b w:val="1"/>
                <w:bCs w:val="1"/>
                <w:color w:val="auto"/>
              </w:rPr>
              <w:t>Course Hero,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Redwood City, 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Online Education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2,145,509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5,000,001</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5,000,001</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62"/>
        </w:trPr>
        <w:tc>
          <w:tcPr>
            <w:tcW w:w="2660" w:type="dxa"/>
            <w:vAlign w:val="bottom"/>
            <w:gridSpan w:val="12"/>
          </w:tcPr>
          <w:p>
            <w:pPr>
              <w:ind w:left="20"/>
              <w:spacing w:after="0" w:line="162" w:lineRule="exact"/>
              <w:rPr>
                <w:sz w:val="20"/>
                <w:szCs w:val="20"/>
                <w:color w:val="auto"/>
              </w:rPr>
            </w:pPr>
            <w:r>
              <w:rPr>
                <w:rFonts w:ascii="Arial" w:cs="Arial" w:eastAsia="Arial" w:hAnsi="Arial"/>
                <w:sz w:val="16"/>
                <w:szCs w:val="16"/>
                <w:b w:val="1"/>
                <w:bCs w:val="1"/>
                <w:color w:val="auto"/>
              </w:rPr>
              <w:t>Lyft,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Peer to Peer Ridesharing</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493,490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5,003,634</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4,999,054</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3"/>
        </w:trPr>
        <w:tc>
          <w:tcPr>
            <w:tcW w:w="2660" w:type="dxa"/>
            <w:vAlign w:val="bottom"/>
            <w:gridSpan w:val="12"/>
          </w:tcPr>
          <w:p>
            <w:pPr>
              <w:ind w:left="20"/>
              <w:spacing w:after="0" w:line="202" w:lineRule="exact"/>
              <w:rPr>
                <w:sz w:val="20"/>
                <w:szCs w:val="20"/>
                <w:color w:val="auto"/>
              </w:rPr>
            </w:pPr>
            <w:r>
              <w:rPr>
                <w:rFonts w:ascii="Arial" w:cs="Arial" w:eastAsia="Arial" w:hAnsi="Arial"/>
                <w:sz w:val="14"/>
                <w:szCs w:val="14"/>
                <w:b w:val="1"/>
                <w:bCs w:val="1"/>
                <w:color w:val="auto"/>
              </w:rPr>
              <w:t>GSV Sustainability Partners</w:t>
            </w:r>
            <w:r>
              <w:rPr>
                <w:rFonts w:ascii="Arial" w:cs="Arial" w:eastAsia="Arial" w:hAnsi="Arial"/>
                <w:sz w:val="23"/>
                <w:szCs w:val="23"/>
                <w:b w:val="1"/>
                <w:bCs w:val="1"/>
                <w:color w:val="auto"/>
                <w:vertAlign w:val="superscript"/>
              </w:rPr>
              <w:t>(2)</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Class A</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Woodside, CA</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Clean Technology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4,851,256</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4,850,000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10,000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4,861,256</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4,860,000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-4621530</wp:posOffset>
            </wp:positionV>
            <wp:extent cx="521398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-3189605</wp:posOffset>
            </wp:positionV>
            <wp:extent cx="521398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-1851660</wp:posOffset>
            </wp:positionV>
            <wp:extent cx="521398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 w:name="page18"/>
    <w:bookmarkEnd w:id="1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0"/>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2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Headquarters/Industry</w:t>
            </w:r>
          </w:p>
        </w:tc>
        <w:tc>
          <w:tcPr>
            <w:tcW w:w="820" w:type="dxa"/>
            <w:vAlign w:val="bottom"/>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660" w:type="dxa"/>
            <w:vAlign w:val="bottom"/>
            <w:gridSpan w:val="10"/>
            <w:vMerge w:val="continue"/>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820" w:type="dxa"/>
            <w:vAlign w:val="bottom"/>
          </w:tcPr>
          <w:p>
            <w:pPr>
              <w:jc w:val="right"/>
              <w:ind w:right="1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96"/>
        </w:trPr>
        <w:tc>
          <w:tcPr>
            <w:tcW w:w="2660" w:type="dxa"/>
            <w:vAlign w:val="bottom"/>
            <w:tcBorders>
              <w:top w:val="single" w:sz="8" w:color="auto"/>
            </w:tcBorders>
            <w:gridSpan w:val="10"/>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Fullbridge,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5"/>
              </w:rPr>
              <w:t>Cambridge, MA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1"/>
              </w:rPr>
              <w:t>Business Education</w:t>
            </w:r>
          </w:p>
        </w:tc>
        <w:tc>
          <w:tcPr>
            <w:tcW w:w="820" w:type="dxa"/>
            <w:vAlign w:val="bottom"/>
          </w:tcPr>
          <w:p>
            <w:pPr>
              <w:jc w:val="right"/>
              <w:spacing w:after="0"/>
              <w:rPr>
                <w:sz w:val="20"/>
                <w:szCs w:val="20"/>
                <w:color w:val="auto"/>
              </w:rPr>
            </w:pPr>
            <w:r>
              <w:rPr>
                <w:rFonts w:ascii="Arial" w:cs="Arial" w:eastAsia="Arial" w:hAnsi="Arial"/>
                <w:sz w:val="16"/>
                <w:szCs w:val="16"/>
                <w:color w:val="auto"/>
              </w:rPr>
              <w:t>1,728,724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$ 3,193,444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$ 1,625,001</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0.57%</w:t>
            </w:r>
          </w:p>
        </w:tc>
        <w:tc>
          <w:tcPr>
            <w:tcW w:w="0" w:type="dxa"/>
            <w:vAlign w:val="bottom"/>
          </w:tcPr>
          <w:p>
            <w:pPr>
              <w:spacing w:after="0"/>
              <w:rPr>
                <w:sz w:val="1"/>
                <w:szCs w:val="1"/>
                <w:color w:val="auto"/>
              </w:rPr>
            </w:pPr>
          </w:p>
        </w:tc>
      </w:tr>
      <w:tr>
        <w:trPr>
          <w:trHeight w:val="20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1,655,167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2,956,022</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3,111,714</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1.09%</w:t>
            </w:r>
          </w:p>
        </w:tc>
        <w:tc>
          <w:tcPr>
            <w:tcW w:w="0" w:type="dxa"/>
            <w:vAlign w:val="bottom"/>
          </w:tcPr>
          <w:p>
            <w:pPr>
              <w:spacing w:after="0"/>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w w:val="96"/>
              </w:rPr>
              <w:t>Common warrants, $0.91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Expiration Date 3/22/2020</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186,170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67,021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1,862</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w w:val="96"/>
              </w:rPr>
              <w:t>Common warrants, $0.91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Expiration Date 12/11/2018</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9,799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w w:val="96"/>
              </w:rPr>
              <w:t>Common warrants, $0.91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Expiration Date 12/11/2018</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412,088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50,970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4,121</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w w:val="96"/>
              </w:rPr>
              <w:t>Common warrants, $0.91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Expiration Date 5/16/2019</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23,244</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1,923</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w w:val="96"/>
              </w:rPr>
              <w:t>Common warrants, $0.91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Expiration Date 3/22/2020</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714,286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85,779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7,143</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w w:val="96"/>
              </w:rPr>
              <w:t>Common warrants, $0.91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Expiration Date 10/09/2018</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82,418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9,901</w:t>
            </w:r>
          </w:p>
        </w:tc>
        <w:tc>
          <w:tcPr>
            <w:tcW w:w="14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6,396,180</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4,753,412</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1.66%</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2"/>
                <w:szCs w:val="22"/>
                <w:b w:val="1"/>
                <w:bCs w:val="1"/>
                <w:color w:val="auto"/>
                <w:vertAlign w:val="superscript"/>
              </w:rPr>
              <w:t>(1)(4)</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7"/>
              </w:rPr>
              <w:t>New York, NY</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3"/>
              </w:rPr>
              <w:t>Globally-focused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Private School</w:t>
            </w:r>
          </w:p>
        </w:tc>
        <w:tc>
          <w:tcPr>
            <w:tcW w:w="820" w:type="dxa"/>
            <w:vAlign w:val="bottom"/>
          </w:tcPr>
          <w:p>
            <w:pPr>
              <w:jc w:val="right"/>
              <w:spacing w:after="0"/>
              <w:rPr>
                <w:sz w:val="20"/>
                <w:szCs w:val="20"/>
                <w:color w:val="auto"/>
              </w:rPr>
            </w:pPr>
            <w:r>
              <w:rPr>
                <w:rFonts w:ascii="Arial" w:cs="Arial" w:eastAsia="Arial" w:hAnsi="Arial"/>
                <w:sz w:val="16"/>
                <w:szCs w:val="16"/>
                <w:color w:val="auto"/>
              </w:rPr>
              <w:t>3,000,000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1.05%</w:t>
            </w:r>
          </w:p>
        </w:tc>
        <w:tc>
          <w:tcPr>
            <w:tcW w:w="0" w:type="dxa"/>
            <w:vAlign w:val="bottom"/>
          </w:tcPr>
          <w:p>
            <w:pPr>
              <w:spacing w:after="0"/>
              <w:rPr>
                <w:sz w:val="1"/>
                <w:szCs w:val="1"/>
                <w:color w:val="auto"/>
              </w:rPr>
            </w:pPr>
          </w:p>
        </w:tc>
      </w:tr>
      <w:tr>
        <w:trPr>
          <w:trHeight w:val="20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1,577,097</w:t>
            </w: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0.52%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4,577,097</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4,500,000</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1.57%</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CUX, Inc. (d/b/a CorpU)</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Convertible preferred shares,</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San Francisco,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Series C</w:t>
            </w: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Corporate Education</w:t>
            </w:r>
          </w:p>
        </w:tc>
        <w:tc>
          <w:tcPr>
            <w:tcW w:w="820" w:type="dxa"/>
            <w:vAlign w:val="bottom"/>
          </w:tcPr>
          <w:p>
            <w:pPr>
              <w:jc w:val="right"/>
              <w:spacing w:after="0"/>
              <w:rPr>
                <w:sz w:val="20"/>
                <w:szCs w:val="20"/>
                <w:color w:val="auto"/>
              </w:rPr>
            </w:pPr>
            <w:r>
              <w:rPr>
                <w:rFonts w:ascii="Arial" w:cs="Arial" w:eastAsia="Arial" w:hAnsi="Arial"/>
                <w:sz w:val="16"/>
                <w:szCs w:val="16"/>
                <w:color w:val="auto"/>
              </w:rPr>
              <w:t>615,763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2,006,077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2,292,582</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0.80%</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Senior Subordinated Convertible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Promissory Note 8%</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shd w:val="clear" w:color="auto" w:fill="CCEEFF"/>
          </w:tcPr>
          <w:p>
            <w:pPr>
              <w:spacing w:after="0"/>
              <w:rPr>
                <w:sz w:val="22"/>
                <w:szCs w:val="22"/>
                <w:color w:val="auto"/>
              </w:rPr>
            </w:pPr>
          </w:p>
        </w:tc>
        <w:tc>
          <w:tcPr>
            <w:tcW w:w="2640" w:type="dxa"/>
            <w:vAlign w:val="bottom"/>
            <w:gridSpan w:val="9"/>
            <w:shd w:val="clear" w:color="auto" w:fill="CCEEFF"/>
          </w:tcPr>
          <w:p>
            <w:pPr>
              <w:ind w:left="180"/>
              <w:spacing w:after="0" w:line="254" w:lineRule="exact"/>
              <w:rPr>
                <w:sz w:val="20"/>
                <w:szCs w:val="20"/>
                <w:color w:val="auto"/>
              </w:rPr>
            </w:pPr>
            <w:r>
              <w:rPr>
                <w:rFonts w:ascii="Arial" w:cs="Arial" w:eastAsia="Arial" w:hAnsi="Arial"/>
                <w:sz w:val="16"/>
                <w:szCs w:val="16"/>
                <w:color w:val="auto"/>
              </w:rPr>
              <w:t>Due 11/26/2018</w:t>
            </w:r>
            <w:r>
              <w:rPr>
                <w:rFonts w:ascii="Arial" w:cs="Arial" w:eastAsia="Arial" w:hAnsi="Arial"/>
                <w:sz w:val="27"/>
                <w:szCs w:val="27"/>
                <w:color w:val="auto"/>
                <w:vertAlign w:val="superscript"/>
              </w:rPr>
              <w:t>(12)</w:t>
            </w:r>
            <w:r>
              <w:rPr>
                <w:rFonts w:ascii="Arial" w:cs="Arial" w:eastAsia="Arial" w:hAnsi="Arial"/>
                <w:sz w:val="16"/>
                <w:szCs w:val="16"/>
                <w:color w:val="auto"/>
              </w:rPr>
              <w:t>***</w:t>
            </w:r>
          </w:p>
        </w:tc>
        <w:tc>
          <w:tcPr>
            <w:tcW w:w="21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1,007,671</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0.35%</w:t>
            </w:r>
          </w:p>
        </w:tc>
        <w:tc>
          <w:tcPr>
            <w:tcW w:w="0" w:type="dxa"/>
            <w:vAlign w:val="bottom"/>
          </w:tcPr>
          <w:p>
            <w:pPr>
              <w:spacing w:after="0"/>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Convertible preferred shares,</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Series D</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169,033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778,607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716,066</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0.25%</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w w:val="96"/>
              </w:rPr>
              <w:t>Preferred warrants, $4.59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Expiration Date 02/25/2018</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12,508</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3,784,684</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4,028,827</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1.40%</w:t>
            </w:r>
          </w:p>
        </w:tc>
        <w:tc>
          <w:tcPr>
            <w:tcW w:w="0" w:type="dxa"/>
            <w:vAlign w:val="bottom"/>
          </w:tcPr>
          <w:p>
            <w:pPr>
              <w:spacing w:after="0"/>
              <w:rPr>
                <w:sz w:val="1"/>
                <w:szCs w:val="1"/>
                <w:color w:val="auto"/>
              </w:rPr>
            </w:pPr>
          </w:p>
        </w:tc>
      </w:tr>
      <w:tr>
        <w:trPr>
          <w:trHeight w:val="156"/>
        </w:trPr>
        <w:tc>
          <w:tcPr>
            <w:tcW w:w="2660" w:type="dxa"/>
            <w:vAlign w:val="bottom"/>
            <w:gridSpan w:val="10"/>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Parchment,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2"/>
              </w:rPr>
              <w:t>Scottsdale, AZ</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E-Transcript Exchange</w:t>
            </w:r>
          </w:p>
        </w:tc>
        <w:tc>
          <w:tcPr>
            <w:tcW w:w="820" w:type="dxa"/>
            <w:vAlign w:val="bottom"/>
          </w:tcPr>
          <w:p>
            <w:pPr>
              <w:jc w:val="right"/>
              <w:spacing w:after="0"/>
              <w:rPr>
                <w:sz w:val="20"/>
                <w:szCs w:val="20"/>
                <w:color w:val="auto"/>
              </w:rPr>
            </w:pPr>
            <w:r>
              <w:rPr>
                <w:rFonts w:ascii="Arial" w:cs="Arial" w:eastAsia="Arial" w:hAnsi="Arial"/>
                <w:sz w:val="16"/>
                <w:szCs w:val="16"/>
                <w:color w:val="auto"/>
              </w:rPr>
              <w:t>3,200,512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4,000,982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4,000,640</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1.40%</w:t>
            </w:r>
          </w:p>
        </w:tc>
        <w:tc>
          <w:tcPr>
            <w:tcW w:w="0" w:type="dxa"/>
            <w:vAlign w:val="bottom"/>
          </w:tcPr>
          <w:p>
            <w:pPr>
              <w:spacing w:after="0"/>
              <w:rPr>
                <w:sz w:val="1"/>
                <w:szCs w:val="1"/>
                <w:color w:val="auto"/>
              </w:rPr>
            </w:pPr>
          </w:p>
        </w:tc>
      </w:tr>
      <w:tr>
        <w:trPr>
          <w:trHeight w:val="165"/>
        </w:trPr>
        <w:tc>
          <w:tcPr>
            <w:tcW w:w="2660" w:type="dxa"/>
            <w:vAlign w:val="bottom"/>
            <w:gridSpan w:val="10"/>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Global Education Learning</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8"/>
            <w:shd w:val="clear" w:color="auto" w:fill="CCEEFF"/>
          </w:tcPr>
          <w:p>
            <w:pPr>
              <w:ind w:left="180"/>
              <w:spacing w:after="0" w:line="223" w:lineRule="exact"/>
              <w:rPr>
                <w:sz w:val="20"/>
                <w:szCs w:val="20"/>
                <w:color w:val="auto"/>
              </w:rPr>
            </w:pPr>
            <w:r>
              <w:rPr>
                <w:rFonts w:ascii="Arial" w:cs="Arial" w:eastAsia="Arial" w:hAnsi="Arial"/>
                <w:sz w:val="15"/>
                <w:szCs w:val="15"/>
                <w:b w:val="1"/>
                <w:bCs w:val="1"/>
                <w:color w:val="auto"/>
              </w:rPr>
              <w:t>(Holdings) Ltd.</w:t>
            </w:r>
            <w:r>
              <w:rPr>
                <w:rFonts w:ascii="Arial" w:cs="Arial" w:eastAsia="Arial" w:hAnsi="Arial"/>
                <w:sz w:val="25"/>
                <w:szCs w:val="25"/>
                <w:b w:val="1"/>
                <w:bCs w:val="1"/>
                <w:color w:val="auto"/>
                <w:vertAlign w:val="superscript"/>
              </w:rPr>
              <w:t>(1)</w:t>
            </w:r>
            <w:r>
              <w:rPr>
                <w:rFonts w:ascii="Arial" w:cs="Arial" w:eastAsia="Arial" w:hAnsi="Arial"/>
                <w:sz w:val="15"/>
                <w:szCs w:val="15"/>
                <w:b w:val="1"/>
                <w:bCs w:val="1"/>
                <w:color w:val="auto"/>
              </w:rPr>
              <w:t>**</w:t>
            </w:r>
          </w:p>
        </w:tc>
        <w:tc>
          <w:tcPr>
            <w:tcW w:w="7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left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left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4"/>
              </w:rPr>
              <w:t>Hong Kong</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Education Technology</w:t>
            </w:r>
          </w:p>
        </w:tc>
        <w:tc>
          <w:tcPr>
            <w:tcW w:w="820" w:type="dxa"/>
            <w:vAlign w:val="bottom"/>
          </w:tcPr>
          <w:p>
            <w:pPr>
              <w:jc w:val="right"/>
              <w:spacing w:after="0"/>
              <w:rPr>
                <w:sz w:val="20"/>
                <w:szCs w:val="20"/>
                <w:color w:val="auto"/>
              </w:rPr>
            </w:pPr>
            <w:r>
              <w:rPr>
                <w:rFonts w:ascii="Arial" w:cs="Arial" w:eastAsia="Arial" w:hAnsi="Arial"/>
                <w:sz w:val="16"/>
                <w:szCs w:val="16"/>
                <w:color w:val="auto"/>
              </w:rPr>
              <w:t>2,126,475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4,335,769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3,995,221</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1.40%</w:t>
            </w:r>
          </w:p>
        </w:tc>
        <w:tc>
          <w:tcPr>
            <w:tcW w:w="0" w:type="dxa"/>
            <w:vAlign w:val="bottom"/>
          </w:tcPr>
          <w:p>
            <w:pPr>
              <w:spacing w:after="0"/>
              <w:rPr>
                <w:sz w:val="1"/>
                <w:szCs w:val="1"/>
                <w:color w:val="auto"/>
              </w:rPr>
            </w:pPr>
          </w:p>
        </w:tc>
      </w:tr>
      <w:tr>
        <w:trPr>
          <w:trHeight w:val="165"/>
        </w:trPr>
        <w:tc>
          <w:tcPr>
            <w:tcW w:w="2660" w:type="dxa"/>
            <w:vAlign w:val="bottom"/>
            <w:gridSpan w:val="10"/>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Dataminr,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7"/>
              </w:rPr>
              <w:t>New York, NY</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4"/>
              </w:rPr>
              <w:t>Social Media Analytics</w:t>
            </w:r>
          </w:p>
        </w:tc>
        <w:tc>
          <w:tcPr>
            <w:tcW w:w="820" w:type="dxa"/>
            <w:vAlign w:val="bottom"/>
          </w:tcPr>
          <w:p>
            <w:pPr>
              <w:jc w:val="right"/>
              <w:spacing w:after="0"/>
              <w:rPr>
                <w:sz w:val="20"/>
                <w:szCs w:val="20"/>
                <w:color w:val="auto"/>
              </w:rPr>
            </w:pPr>
            <w:r>
              <w:rPr>
                <w:rFonts w:ascii="Arial" w:cs="Arial" w:eastAsia="Arial" w:hAnsi="Arial"/>
                <w:sz w:val="16"/>
                <w:szCs w:val="16"/>
                <w:color w:val="auto"/>
              </w:rPr>
              <w:t>904,977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2,063,356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2,869,320</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0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301,369</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1,100,909</w:t>
            </w: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1,075,425</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0.38%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3,164,265</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3,944,745</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-4029710</wp:posOffset>
            </wp:positionV>
            <wp:extent cx="521398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-3215005</wp:posOffset>
            </wp:positionV>
            <wp:extent cx="5213985"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-1731645</wp:posOffset>
            </wp:positionV>
            <wp:extent cx="5213985"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-145415</wp:posOffset>
            </wp:positionV>
            <wp:extent cx="5213985"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8" w:name="page19"/>
    <w:bookmarkEnd w:id="1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3"/>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2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Headquarters/Industry</w:t>
            </w:r>
          </w:p>
        </w:tc>
        <w:tc>
          <w:tcPr>
            <w:tcW w:w="820" w:type="dxa"/>
            <w:vAlign w:val="bottom"/>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660" w:type="dxa"/>
            <w:vAlign w:val="bottom"/>
            <w:gridSpan w:val="13"/>
            <w:vMerge w:val="continue"/>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820" w:type="dxa"/>
            <w:vAlign w:val="bottom"/>
          </w:tcPr>
          <w:p>
            <w:pPr>
              <w:jc w:val="right"/>
              <w:ind w:right="1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56"/>
        </w:trPr>
        <w:tc>
          <w:tcPr>
            <w:tcW w:w="2660" w:type="dxa"/>
            <w:vAlign w:val="bottom"/>
            <w:tcBorders>
              <w:top w:val="single" w:sz="8" w:color="auto"/>
            </w:tcBorders>
            <w:gridSpan w:val="13"/>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NestGSV, Inc. (d/b/a. GSV Labs,</w:t>
            </w:r>
          </w:p>
        </w:tc>
        <w:tc>
          <w:tcPr>
            <w:tcW w:w="60" w:type="dxa"/>
            <w:vAlign w:val="bottom"/>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gridSpan w:val="10"/>
            <w:shd w:val="clear" w:color="auto" w:fill="CCEEFF"/>
          </w:tcPr>
          <w:p>
            <w:pPr>
              <w:ind w:left="180"/>
              <w:spacing w:after="0" w:line="223" w:lineRule="exact"/>
              <w:rPr>
                <w:sz w:val="20"/>
                <w:szCs w:val="20"/>
                <w:color w:val="auto"/>
              </w:rPr>
            </w:pPr>
            <w:r>
              <w:rPr>
                <w:rFonts w:ascii="Arial" w:cs="Arial" w:eastAsia="Arial" w:hAnsi="Arial"/>
                <w:sz w:val="15"/>
                <w:szCs w:val="15"/>
                <w:b w:val="1"/>
                <w:bCs w:val="1"/>
                <w:color w:val="auto"/>
              </w:rPr>
              <w:t>Inc.),</w:t>
            </w:r>
            <w:r>
              <w:rPr>
                <w:rFonts w:ascii="Arial" w:cs="Arial" w:eastAsia="Arial" w:hAnsi="Arial"/>
                <w:sz w:val="25"/>
                <w:szCs w:val="25"/>
                <w:b w:val="1"/>
                <w:bCs w:val="1"/>
                <w:color w:val="auto"/>
                <w:vertAlign w:val="superscript"/>
              </w:rPr>
              <w:t>(2)</w:t>
            </w:r>
          </w:p>
        </w:tc>
        <w:tc>
          <w:tcPr>
            <w:tcW w:w="40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left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left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4"/>
              </w:rPr>
              <w:t>Redwood City,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Incubator</w:t>
            </w:r>
          </w:p>
        </w:tc>
        <w:tc>
          <w:tcPr>
            <w:tcW w:w="820" w:type="dxa"/>
            <w:vAlign w:val="bottom"/>
          </w:tcPr>
          <w:p>
            <w:pPr>
              <w:jc w:val="right"/>
              <w:spacing w:after="0"/>
              <w:rPr>
                <w:sz w:val="20"/>
                <w:szCs w:val="20"/>
                <w:color w:val="auto"/>
              </w:rPr>
            </w:pPr>
            <w:r>
              <w:rPr>
                <w:rFonts w:ascii="Arial" w:cs="Arial" w:eastAsia="Arial" w:hAnsi="Arial"/>
                <w:sz w:val="16"/>
                <w:szCs w:val="16"/>
                <w:color w:val="auto"/>
              </w:rPr>
              <w:t>1,561,625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$ 2,005,730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$ 1,503,832</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0.53%</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1,095,418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1,404,499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1,460,557</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0.51%</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1,021,778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440,000</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0.15%</w:t>
            </w:r>
          </w:p>
        </w:tc>
        <w:tc>
          <w:tcPr>
            <w:tcW w:w="0" w:type="dxa"/>
            <w:vAlign w:val="bottom"/>
          </w:tcPr>
          <w:p>
            <w:pPr>
              <w:spacing w:after="0"/>
              <w:rPr>
                <w:sz w:val="1"/>
                <w:szCs w:val="1"/>
                <w:color w:val="auto"/>
              </w:rPr>
            </w:pPr>
          </w:p>
        </w:tc>
      </w:tr>
      <w:tr>
        <w:trPr>
          <w:trHeight w:val="20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605,500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265,980</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0.09%</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Warrant Series D – $1.33</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Strike Price, Expiration Date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6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10/6/2019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0.02%</w:t>
            </w:r>
          </w:p>
        </w:tc>
        <w:tc>
          <w:tcPr>
            <w:tcW w:w="0" w:type="dxa"/>
            <w:vAlign w:val="bottom"/>
          </w:tcPr>
          <w:p>
            <w:pPr>
              <w:spacing w:after="0"/>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warrants, Series C – $1.33</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Strike Price, Expiration Date</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gridSpan w:val="4"/>
          </w:tcPr>
          <w:p>
            <w:pPr>
              <w:ind w:left="200"/>
              <w:spacing w:after="0"/>
              <w:rPr>
                <w:sz w:val="20"/>
                <w:szCs w:val="20"/>
                <w:color w:val="auto"/>
              </w:rPr>
            </w:pPr>
            <w:r>
              <w:rPr>
                <w:rFonts w:ascii="Arial" w:cs="Arial" w:eastAsia="Arial" w:hAnsi="Arial"/>
                <w:sz w:val="16"/>
                <w:szCs w:val="16"/>
                <w:color w:val="auto"/>
              </w:rPr>
              <w:t>4/9/2019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187,500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24,375</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5,038,507</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3,760,744</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1.31%</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3"/>
          </w:tcPr>
          <w:p>
            <w:pPr>
              <w:ind w:left="20"/>
              <w:spacing w:after="0" w:line="155" w:lineRule="exact"/>
              <w:rPr>
                <w:sz w:val="20"/>
                <w:szCs w:val="20"/>
                <w:color w:val="auto"/>
              </w:rPr>
            </w:pPr>
            <w:r>
              <w:rPr>
                <w:rFonts w:ascii="Arial" w:cs="Arial" w:eastAsia="Arial" w:hAnsi="Arial"/>
                <w:sz w:val="16"/>
                <w:szCs w:val="16"/>
                <w:b w:val="1"/>
                <w:bCs w:val="1"/>
                <w:color w:val="auto"/>
              </w:rPr>
              <w:t>Bloom Energy Corporation</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4"/>
              </w:rPr>
              <w:t>Sunnyvale, CA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4"/>
              </w:rPr>
              <w:t>Fuel Cell Energy</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3,855,601</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3,357,969</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1.17%</w:t>
            </w:r>
          </w:p>
        </w:tc>
        <w:tc>
          <w:tcPr>
            <w:tcW w:w="0" w:type="dxa"/>
            <w:vAlign w:val="bottom"/>
          </w:tcPr>
          <w:p>
            <w:pPr>
              <w:spacing w:after="0"/>
              <w:rPr>
                <w:sz w:val="1"/>
                <w:szCs w:val="1"/>
                <w:color w:val="auto"/>
              </w:rPr>
            </w:pPr>
          </w:p>
        </w:tc>
      </w:tr>
      <w:tr>
        <w:trPr>
          <w:trHeight w:val="162"/>
        </w:trPr>
        <w:tc>
          <w:tcPr>
            <w:tcW w:w="266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Gilt Groupe Holdings,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7"/>
              </w:rPr>
              <w:t>New York, NY</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88"/>
              </w:rPr>
              <w:t>e-Commerce Flash Sales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6,594,433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3,168,108</w:t>
            </w:r>
          </w:p>
        </w:tc>
        <w:tc>
          <w:tcPr>
            <w:tcW w:w="740" w:type="dxa"/>
            <w:vAlign w:val="bottom"/>
            <w:tcBorders>
              <w:left w:val="single" w:sz="8" w:color="CCEEFF"/>
            </w:tcBorders>
            <w:gridSpan w:val="3"/>
            <w:shd w:val="clear" w:color="auto" w:fill="CCEEFF"/>
          </w:tcPr>
          <w:p>
            <w:pPr>
              <w:jc w:val="center"/>
              <w:ind w:left="99"/>
              <w:spacing w:after="0"/>
              <w:rPr>
                <w:sz w:val="20"/>
                <w:szCs w:val="20"/>
                <w:color w:val="auto"/>
              </w:rPr>
            </w:pPr>
            <w:r>
              <w:rPr>
                <w:rFonts w:ascii="Arial" w:cs="Arial" w:eastAsia="Arial" w:hAnsi="Arial"/>
                <w:sz w:val="16"/>
                <w:szCs w:val="16"/>
                <w:color w:val="auto"/>
                <w:w w:val="88"/>
              </w:rPr>
              <w:t>1.11%</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line="202" w:lineRule="exact"/>
              <w:rPr>
                <w:sz w:val="20"/>
                <w:szCs w:val="20"/>
                <w:color w:val="auto"/>
              </w:rPr>
            </w:pPr>
            <w:r>
              <w:rPr>
                <w:rFonts w:ascii="Arial" w:cs="Arial" w:eastAsia="Arial" w:hAnsi="Arial"/>
                <w:sz w:val="14"/>
                <w:szCs w:val="14"/>
                <w:b w:val="1"/>
                <w:bCs w:val="1"/>
                <w:color w:val="auto"/>
              </w:rPr>
              <w:t>SharesPost, Inc.</w:t>
            </w:r>
            <w:r>
              <w:rPr>
                <w:rFonts w:ascii="Arial" w:cs="Arial" w:eastAsia="Arial" w:hAnsi="Arial"/>
                <w:sz w:val="23"/>
                <w:szCs w:val="23"/>
                <w:b w:val="1"/>
                <w:bCs w:val="1"/>
                <w:color w:val="auto"/>
                <w:vertAlign w:val="superscript"/>
              </w:rPr>
              <w:t>(1)(6)</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3"/>
              </w:rPr>
              <w:t>San Bruno, CA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2"/>
              </w:rPr>
              <w:t>Online Marketplace</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1"/>
              </w:rPr>
              <w:t>Finance</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1,771,653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2,259,716</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2,249,999</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0.79%</w:t>
            </w:r>
          </w:p>
        </w:tc>
        <w:tc>
          <w:tcPr>
            <w:tcW w:w="0" w:type="dxa"/>
            <w:vAlign w:val="bottom"/>
          </w:tcPr>
          <w:p>
            <w:pPr>
              <w:spacing w:after="0"/>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w w:val="96"/>
              </w:rPr>
              <w:t>Common warrants, $0.13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Expiration Date 6/15/2018</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770,934</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23,128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485,688</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2,282,844</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2,735,687</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0.96%</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3"/>
          </w:tcPr>
          <w:p>
            <w:pPr>
              <w:ind w:left="20"/>
              <w:spacing w:after="0" w:line="155" w:lineRule="exact"/>
              <w:rPr>
                <w:sz w:val="20"/>
                <w:szCs w:val="20"/>
                <w:color w:val="auto"/>
              </w:rPr>
            </w:pPr>
            <w:r>
              <w:rPr>
                <w:rFonts w:ascii="Arial" w:cs="Arial" w:eastAsia="Arial" w:hAnsi="Arial"/>
                <w:sz w:val="16"/>
                <w:szCs w:val="16"/>
                <w:b w:val="1"/>
                <w:bCs w:val="1"/>
                <w:color w:val="auto"/>
              </w:rPr>
              <w:t>DogVacay, Inc.</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B-1</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3"/>
              </w:rPr>
              <w:t>Santa Monica, CA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3"/>
              </w:rPr>
              <w:t>Dog Boarding</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2,506,119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2,505,917</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0.88%</w:t>
            </w:r>
          </w:p>
        </w:tc>
        <w:tc>
          <w:tcPr>
            <w:tcW w:w="0" w:type="dxa"/>
            <w:vAlign w:val="bottom"/>
          </w:tcPr>
          <w:p>
            <w:pPr>
              <w:spacing w:after="0"/>
              <w:rPr>
                <w:sz w:val="1"/>
                <w:szCs w:val="1"/>
                <w:color w:val="auto"/>
              </w:rPr>
            </w:pPr>
          </w:p>
        </w:tc>
      </w:tr>
      <w:tr>
        <w:trPr>
          <w:trHeight w:val="162"/>
        </w:trPr>
        <w:tc>
          <w:tcPr>
            <w:tcW w:w="266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DreamBox Learning, Inc.</w:t>
            </w:r>
          </w:p>
        </w:tc>
        <w:tc>
          <w:tcPr>
            <w:tcW w:w="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5"/>
              </w:rPr>
              <w:t>Bellevue, WA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2"/>
              </w:rPr>
              <w:t>Education Technology</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7,159,221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1,502,362</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1,606,388</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0.56%</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3,579,610</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758,017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803,194</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2,260,379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2,409,582</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0.84%</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13"/>
          </w:tcPr>
          <w:p>
            <w:pPr>
              <w:ind w:left="20"/>
              <w:spacing w:after="0" w:line="155" w:lineRule="exact"/>
              <w:rPr>
                <w:sz w:val="20"/>
                <w:szCs w:val="20"/>
                <w:color w:val="auto"/>
              </w:rPr>
            </w:pPr>
            <w:r>
              <w:rPr>
                <w:rFonts w:ascii="Arial" w:cs="Arial" w:eastAsia="Arial" w:hAnsi="Arial"/>
                <w:sz w:val="16"/>
                <w:szCs w:val="16"/>
                <w:b w:val="1"/>
                <w:bCs w:val="1"/>
                <w:color w:val="auto"/>
              </w:rPr>
              <w:t>Circle Media (f/k/a S3 Digital Corp.</w:t>
            </w:r>
          </w:p>
        </w:tc>
        <w:tc>
          <w:tcPr>
            <w:tcW w:w="6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Borders>
              <w:top w:val="single" w:sz="8" w:color="auto"/>
            </w:tcBorders>
            <w:gridSpan w:val="11"/>
          </w:tcPr>
          <w:p>
            <w:pPr>
              <w:ind w:left="180"/>
              <w:spacing w:after="0" w:line="223" w:lineRule="exact"/>
              <w:rPr>
                <w:sz w:val="20"/>
                <w:szCs w:val="20"/>
                <w:color w:val="auto"/>
              </w:rPr>
            </w:pPr>
            <w:r>
              <w:rPr>
                <w:rFonts w:ascii="Arial" w:cs="Arial" w:eastAsia="Arial" w:hAnsi="Arial"/>
                <w:sz w:val="15"/>
                <w:szCs w:val="15"/>
                <w:b w:val="1"/>
                <w:bCs w:val="1"/>
                <w:color w:val="auto"/>
              </w:rPr>
              <w:t>(d/b/a S3i))</w:t>
            </w:r>
            <w:r>
              <w:rPr>
                <w:rFonts w:ascii="Arial" w:cs="Arial" w:eastAsia="Arial" w:hAnsi="Arial"/>
                <w:sz w:val="25"/>
                <w:szCs w:val="25"/>
                <w:b w:val="1"/>
                <w:bCs w:val="1"/>
                <w:color w:val="auto"/>
                <w:vertAlign w:val="superscript"/>
              </w:rPr>
              <w:t>(1)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7"/>
              </w:rPr>
              <w:t>New York, NY</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4"/>
              </w:rPr>
              <w:t>Sports Analytics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1,462,269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1,496,059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1,705,006</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0.60%</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Term Loan, 12%, 09/30/15***</w:t>
            </w:r>
          </w:p>
        </w:tc>
        <w:tc>
          <w:tcPr>
            <w:tcW w:w="214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272,500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283,901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288,114</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0.10%</w:t>
            </w:r>
          </w:p>
        </w:tc>
        <w:tc>
          <w:tcPr>
            <w:tcW w:w="0" w:type="dxa"/>
            <w:vAlign w:val="bottom"/>
          </w:tcPr>
          <w:p>
            <w:pPr>
              <w:spacing w:after="0"/>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w w:val="96"/>
              </w:rPr>
              <w:t>Preferred warrants, $1.17 Strike Price,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Expiration Date 08/29/2021</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175,815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58,019</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0.02%</w:t>
            </w:r>
          </w:p>
        </w:tc>
        <w:tc>
          <w:tcPr>
            <w:tcW w:w="0" w:type="dxa"/>
            <w:vAlign w:val="bottom"/>
          </w:tcPr>
          <w:p>
            <w:pPr>
              <w:spacing w:after="0"/>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w w:val="96"/>
              </w:rPr>
              <w:t>Preferred warrants, $1.17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Expiration Date 09/30/2020</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160,806</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64,322</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0.02%</w:t>
            </w:r>
          </w:p>
        </w:tc>
        <w:tc>
          <w:tcPr>
            <w:tcW w:w="0" w:type="dxa"/>
            <w:vAlign w:val="bottom"/>
          </w:tcPr>
          <w:p>
            <w:pPr>
              <w:spacing w:after="0"/>
              <w:rPr>
                <w:sz w:val="1"/>
                <w:szCs w:val="1"/>
                <w:color w:val="auto"/>
              </w:rPr>
            </w:pPr>
          </w:p>
        </w:tc>
      </w:tr>
      <w:tr>
        <w:trPr>
          <w:trHeight w:val="196"/>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w w:val="96"/>
              </w:rPr>
              <w:t>Preferred warrants, $1.16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Expiration Date 6/26/2021</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38,594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12,736</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w w:val="96"/>
              </w:rPr>
              <w:t>Preferred warrants, $1.00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Expiration Date 11/21/2017</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31,354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165,000</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1,811,314</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2,293,197</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0.80%</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gridSpan w:val="13"/>
          </w:tcPr>
          <w:p>
            <w:pPr>
              <w:ind w:left="20"/>
              <w:spacing w:after="0" w:line="197" w:lineRule="exact"/>
              <w:rPr>
                <w:sz w:val="20"/>
                <w:szCs w:val="20"/>
                <w:color w:val="auto"/>
              </w:rPr>
            </w:pPr>
            <w:r>
              <w:rPr>
                <w:rFonts w:ascii="Arial" w:cs="Arial" w:eastAsia="Arial" w:hAnsi="Arial"/>
                <w:sz w:val="14"/>
                <w:szCs w:val="14"/>
                <w:b w:val="1"/>
                <w:bCs w:val="1"/>
                <w:color w:val="auto"/>
              </w:rPr>
              <w:t>Maven Research, Inc.</w:t>
            </w:r>
            <w:r>
              <w:rPr>
                <w:rFonts w:ascii="Arial" w:cs="Arial" w:eastAsia="Arial" w:hAnsi="Arial"/>
                <w:sz w:val="22"/>
                <w:szCs w:val="22"/>
                <w:b w:val="1"/>
                <w:bCs w:val="1"/>
                <w:color w:val="auto"/>
                <w:vertAlign w:val="superscript"/>
              </w:rPr>
              <w:t>(1)</w:t>
            </w:r>
          </w:p>
        </w:tc>
        <w:tc>
          <w:tcPr>
            <w:tcW w:w="6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1"/>
              </w:rPr>
              <w:t>San Francisco, CA</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3"/>
              </w:rPr>
              <w:t>Knowledge Networks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2,000,447</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1,999,998</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0.70%</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49,505</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217,206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249,691</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4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2,217,653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2,249,689</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0.79%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-5299075</wp:posOffset>
            </wp:positionV>
            <wp:extent cx="521398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-3583940</wp:posOffset>
            </wp:positionV>
            <wp:extent cx="521398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-2538095</wp:posOffset>
            </wp:positionV>
            <wp:extent cx="5213985" cy="291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-694055</wp:posOffset>
            </wp:positionV>
            <wp:extent cx="5213985"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734" w:gutter="0" w:footer="0" w:header="0"/>
        </w:sectPr>
      </w:pPr>
    </w:p>
    <w:bookmarkStart w:id="19" w:name="page20"/>
    <w:bookmarkEnd w:id="1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6"/>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2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Headquarters/Industry</w:t>
            </w:r>
          </w:p>
        </w:tc>
        <w:tc>
          <w:tcPr>
            <w:tcW w:w="820" w:type="dxa"/>
            <w:vAlign w:val="bottom"/>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8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8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660" w:type="dxa"/>
            <w:vAlign w:val="bottom"/>
            <w:gridSpan w:val="16"/>
            <w:vMerge w:val="continue"/>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820" w:type="dxa"/>
            <w:vAlign w:val="bottom"/>
          </w:tcPr>
          <w:p>
            <w:pPr>
              <w:jc w:val="right"/>
              <w:ind w:right="1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56"/>
        </w:trPr>
        <w:tc>
          <w:tcPr>
            <w:tcW w:w="2660" w:type="dxa"/>
            <w:vAlign w:val="bottom"/>
            <w:tcBorders>
              <w:top w:val="single" w:sz="8" w:color="auto"/>
            </w:tcBorders>
            <w:gridSpan w:val="16"/>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Clever, Inc.</w:t>
            </w:r>
          </w:p>
        </w:tc>
        <w:tc>
          <w:tcPr>
            <w:tcW w:w="60" w:type="dxa"/>
            <w:vAlign w:val="bottom"/>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Series B Preferred Stock</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San Francisco,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2"/>
              </w:rPr>
              <w:t>Education Software</w:t>
            </w:r>
          </w:p>
        </w:tc>
        <w:tc>
          <w:tcPr>
            <w:tcW w:w="820" w:type="dxa"/>
            <w:vAlign w:val="bottom"/>
          </w:tcPr>
          <w:p>
            <w:pPr>
              <w:jc w:val="right"/>
              <w:spacing w:after="0"/>
              <w:rPr>
                <w:sz w:val="20"/>
                <w:szCs w:val="20"/>
                <w:color w:val="auto"/>
              </w:rPr>
            </w:pPr>
            <w:r>
              <w:rPr>
                <w:rFonts w:ascii="Arial" w:cs="Arial" w:eastAsia="Arial" w:hAnsi="Arial"/>
                <w:sz w:val="16"/>
                <w:szCs w:val="16"/>
                <w:color w:val="auto"/>
              </w:rPr>
              <w:t>1,799,047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$ 2,000,001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$ 2,000,001</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0.70%</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AlwaysOn, Inc.</w:t>
            </w:r>
            <w:r>
              <w:rPr>
                <w:rFonts w:ascii="Arial" w:cs="Arial" w:eastAsia="Arial" w:hAnsi="Arial"/>
                <w:sz w:val="23"/>
                <w:szCs w:val="23"/>
                <w:b w:val="1"/>
                <w:bCs w:val="1"/>
                <w:color w:val="auto"/>
                <w:vertAlign w:val="superscript"/>
              </w:rPr>
              <w:t>(2)</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Woodside,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3"/>
              </w:rPr>
              <w:t>Social Media</w:t>
            </w:r>
          </w:p>
        </w:tc>
        <w:tc>
          <w:tcPr>
            <w:tcW w:w="820" w:type="dxa"/>
            <w:vAlign w:val="bottom"/>
          </w:tcPr>
          <w:p>
            <w:pPr>
              <w:jc w:val="right"/>
              <w:spacing w:after="0"/>
              <w:rPr>
                <w:sz w:val="20"/>
                <w:szCs w:val="20"/>
                <w:color w:val="auto"/>
              </w:rPr>
            </w:pPr>
            <w:r>
              <w:rPr>
                <w:rFonts w:ascii="Arial" w:cs="Arial" w:eastAsia="Arial" w:hAnsi="Arial"/>
                <w:sz w:val="16"/>
                <w:szCs w:val="16"/>
                <w:color w:val="auto"/>
              </w:rPr>
              <w:t>4,465,925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876,023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491,252</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0.17%</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1,066,626</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1,027,391</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629,309</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0.22%</w:t>
            </w:r>
          </w:p>
        </w:tc>
        <w:tc>
          <w:tcPr>
            <w:tcW w:w="0" w:type="dxa"/>
            <w:vAlign w:val="bottom"/>
          </w:tcPr>
          <w:p>
            <w:pPr>
              <w:spacing w:after="0"/>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warrants Series A-1, $0.19</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15"/>
          </w:tcPr>
          <w:p>
            <w:pPr>
              <w:ind w:left="180"/>
              <w:spacing w:after="0"/>
              <w:rPr>
                <w:sz w:val="20"/>
                <w:szCs w:val="20"/>
                <w:color w:val="auto"/>
              </w:rPr>
            </w:pPr>
            <w:r>
              <w:rPr>
                <w:rFonts w:ascii="Arial" w:cs="Arial" w:eastAsia="Arial" w:hAnsi="Arial"/>
                <w:sz w:val="16"/>
                <w:szCs w:val="16"/>
                <w:color w:val="auto"/>
              </w:rPr>
              <w:t>strike price, expire 12/31/2014</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1,313,508</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6"/>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w w:val="90"/>
              </w:rPr>
              <w:t>Preferred warrants Series A, $1.00 strike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15"/>
            <w:shd w:val="clear" w:color="auto" w:fill="CCEEFF"/>
          </w:tcPr>
          <w:p>
            <w:pPr>
              <w:ind w:left="180"/>
              <w:spacing w:after="0"/>
              <w:rPr>
                <w:sz w:val="20"/>
                <w:szCs w:val="20"/>
                <w:color w:val="auto"/>
              </w:rPr>
            </w:pPr>
            <w:r>
              <w:rPr>
                <w:rFonts w:ascii="Arial" w:cs="Arial" w:eastAsia="Arial" w:hAnsi="Arial"/>
                <w:sz w:val="16"/>
                <w:szCs w:val="16"/>
                <w:color w:val="auto"/>
              </w:rPr>
              <w:t>price, expire 1/9/2017</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109,375</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1,903,414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1,120,561</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0.39%</w:t>
            </w:r>
          </w:p>
        </w:tc>
        <w:tc>
          <w:tcPr>
            <w:tcW w:w="0" w:type="dxa"/>
            <w:vAlign w:val="bottom"/>
          </w:tcPr>
          <w:p>
            <w:pPr>
              <w:spacing w:after="0"/>
              <w:rPr>
                <w:sz w:val="1"/>
                <w:szCs w:val="1"/>
                <w:color w:val="auto"/>
              </w:rPr>
            </w:pPr>
          </w:p>
        </w:tc>
      </w:tr>
      <w:tr>
        <w:trPr>
          <w:trHeight w:val="156"/>
        </w:trPr>
        <w:tc>
          <w:tcPr>
            <w:tcW w:w="2660" w:type="dxa"/>
            <w:vAlign w:val="bottom"/>
            <w:gridSpan w:val="16"/>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AliphCom, Inc. (d/b/a Jawbone)</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San Francisco,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2"/>
              </w:rPr>
              <w:t>Smart Device Company</w:t>
            </w:r>
          </w:p>
        </w:tc>
        <w:tc>
          <w:tcPr>
            <w:tcW w:w="820" w:type="dxa"/>
            <w:vAlign w:val="bottom"/>
          </w:tcPr>
          <w:p>
            <w:pPr>
              <w:jc w:val="right"/>
              <w:spacing w:after="0"/>
              <w:rPr>
                <w:sz w:val="20"/>
                <w:szCs w:val="20"/>
                <w:color w:val="auto"/>
              </w:rPr>
            </w:pPr>
            <w:r>
              <w:rPr>
                <w:rFonts w:ascii="Arial" w:cs="Arial" w:eastAsia="Arial" w:hAnsi="Arial"/>
                <w:sz w:val="16"/>
                <w:szCs w:val="16"/>
                <w:color w:val="auto"/>
              </w:rPr>
              <w:t>150,000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793,152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1,013,217</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0.35%</w:t>
            </w:r>
          </w:p>
        </w:tc>
        <w:tc>
          <w:tcPr>
            <w:tcW w:w="0" w:type="dxa"/>
            <w:vAlign w:val="bottom"/>
          </w:tcPr>
          <w:p>
            <w:pPr>
              <w:spacing w:after="0"/>
              <w:rPr>
                <w:sz w:val="1"/>
                <w:szCs w:val="1"/>
                <w:color w:val="auto"/>
              </w:rPr>
            </w:pPr>
          </w:p>
        </w:tc>
      </w:tr>
      <w:tr>
        <w:trPr>
          <w:trHeight w:val="165"/>
        </w:trPr>
        <w:tc>
          <w:tcPr>
            <w:tcW w:w="266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Enjoy Technology,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4"/>
              </w:rPr>
              <w:t>Menlo Park,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Online Shopping</w:t>
            </w:r>
          </w:p>
        </w:tc>
        <w:tc>
          <w:tcPr>
            <w:tcW w:w="820" w:type="dxa"/>
            <w:vAlign w:val="bottom"/>
          </w:tcPr>
          <w:p>
            <w:pPr>
              <w:jc w:val="right"/>
              <w:spacing w:after="0"/>
              <w:rPr>
                <w:sz w:val="20"/>
                <w:szCs w:val="20"/>
                <w:color w:val="auto"/>
              </w:rPr>
            </w:pPr>
            <w:r>
              <w:rPr>
                <w:rFonts w:ascii="Arial" w:cs="Arial" w:eastAsia="Arial" w:hAnsi="Arial"/>
                <w:sz w:val="16"/>
                <w:szCs w:val="16"/>
                <w:color w:val="auto"/>
              </w:rPr>
              <w:t>879,198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1,002,440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1,002,440</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0.35%</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Strategic Data Command, LLC</w:t>
            </w:r>
            <w:r>
              <w:rPr>
                <w:rFonts w:ascii="Arial" w:cs="Arial" w:eastAsia="Arial" w:hAnsi="Arial"/>
                <w:sz w:val="23"/>
                <w:szCs w:val="23"/>
                <w:b w:val="1"/>
                <w:bCs w:val="1"/>
                <w:color w:val="auto"/>
                <w:vertAlign w:val="superscript"/>
              </w:rPr>
              <w:t>(1)(7)</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Sunnyvale,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Software Development</w:t>
            </w:r>
          </w:p>
        </w:tc>
        <w:tc>
          <w:tcPr>
            <w:tcW w:w="820" w:type="dxa"/>
            <w:vAlign w:val="bottom"/>
          </w:tcPr>
          <w:p>
            <w:pPr>
              <w:jc w:val="right"/>
              <w:spacing w:after="0"/>
              <w:rPr>
                <w:sz w:val="20"/>
                <w:szCs w:val="20"/>
                <w:color w:val="auto"/>
              </w:rPr>
            </w:pPr>
            <w:r>
              <w:rPr>
                <w:rFonts w:ascii="Arial" w:cs="Arial" w:eastAsia="Arial" w:hAnsi="Arial"/>
                <w:sz w:val="16"/>
                <w:szCs w:val="16"/>
                <w:color w:val="auto"/>
              </w:rPr>
              <w:t>800,000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1,001,650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1,000,000</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0.35%</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EdSurge, Inc.</w:t>
            </w:r>
            <w:r>
              <w:rPr>
                <w:rFonts w:ascii="Arial" w:cs="Arial" w:eastAsia="Arial" w:hAnsi="Arial"/>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4"/>
              </w:rPr>
              <w:t>Burlingame,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3"/>
              </w:rPr>
              <w:t>Education Media Platform</w:t>
            </w:r>
          </w:p>
        </w:tc>
        <w:tc>
          <w:tcPr>
            <w:tcW w:w="820" w:type="dxa"/>
            <w:vAlign w:val="bottom"/>
          </w:tcPr>
          <w:p>
            <w:pPr>
              <w:jc w:val="right"/>
              <w:spacing w:after="0"/>
              <w:rPr>
                <w:sz w:val="20"/>
                <w:szCs w:val="20"/>
                <w:color w:val="auto"/>
              </w:rPr>
            </w:pPr>
            <w:r>
              <w:rPr>
                <w:rFonts w:ascii="Arial" w:cs="Arial" w:eastAsia="Arial" w:hAnsi="Arial"/>
                <w:sz w:val="16"/>
                <w:szCs w:val="16"/>
                <w:color w:val="auto"/>
              </w:rPr>
              <w:t>494,365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500,801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505,328</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0.18%</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Cricket Media (f/k/a ePals Inc.)**</w:t>
            </w:r>
            <w:r>
              <w:rPr>
                <w:rFonts w:ascii="Arial" w:cs="Arial" w:eastAsia="Arial" w:hAnsi="Arial"/>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(8)</w:t>
            </w: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3"/>
              </w:rPr>
              <w:t>Herndon, VA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3"/>
              </w:rPr>
              <w:t>Online Education</w:t>
            </w:r>
          </w:p>
        </w:tc>
        <w:tc>
          <w:tcPr>
            <w:tcW w:w="820" w:type="dxa"/>
            <w:vAlign w:val="bottom"/>
          </w:tcPr>
          <w:p>
            <w:pPr>
              <w:jc w:val="right"/>
              <w:spacing w:after="0"/>
              <w:rPr>
                <w:sz w:val="20"/>
                <w:szCs w:val="20"/>
                <w:color w:val="auto"/>
              </w:rPr>
            </w:pPr>
            <w:r>
              <w:rPr>
                <w:rFonts w:ascii="Arial" w:cs="Arial" w:eastAsia="Arial" w:hAnsi="Arial"/>
                <w:sz w:val="16"/>
                <w:szCs w:val="16"/>
                <w:color w:val="auto"/>
              </w:rPr>
              <w:t>1,333,333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2,448,959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331,126</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0.12%</w:t>
            </w:r>
          </w:p>
        </w:tc>
        <w:tc>
          <w:tcPr>
            <w:tcW w:w="0" w:type="dxa"/>
            <w:vAlign w:val="bottom"/>
          </w:tcPr>
          <w:p>
            <w:pPr>
              <w:spacing w:after="0"/>
              <w:rPr>
                <w:sz w:val="1"/>
                <w:szCs w:val="1"/>
                <w:color w:val="auto"/>
              </w:rPr>
            </w:pPr>
          </w:p>
        </w:tc>
      </w:tr>
      <w:tr>
        <w:trPr>
          <w:trHeight w:val="165"/>
        </w:trPr>
        <w:tc>
          <w:tcPr>
            <w:tcW w:w="266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Neuron Fuel,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AAI</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87"/>
              </w:rPr>
              <w:t>San Jose,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2"/>
              </w:rPr>
              <w:t>Computer Software</w:t>
            </w:r>
          </w:p>
        </w:tc>
        <w:tc>
          <w:tcPr>
            <w:tcW w:w="820" w:type="dxa"/>
            <w:vAlign w:val="bottom"/>
          </w:tcPr>
          <w:p>
            <w:pPr>
              <w:jc w:val="right"/>
              <w:spacing w:after="0"/>
              <w:rPr>
                <w:sz w:val="20"/>
                <w:szCs w:val="20"/>
                <w:color w:val="auto"/>
              </w:rPr>
            </w:pPr>
            <w:r>
              <w:rPr>
                <w:rFonts w:ascii="Arial" w:cs="Arial" w:eastAsia="Arial" w:hAnsi="Arial"/>
                <w:sz w:val="16"/>
                <w:szCs w:val="16"/>
                <w:color w:val="auto"/>
              </w:rPr>
              <w:t>250,000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262,530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246,160</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0.09%</w:t>
            </w:r>
          </w:p>
        </w:tc>
        <w:tc>
          <w:tcPr>
            <w:tcW w:w="0" w:type="dxa"/>
            <w:vAlign w:val="bottom"/>
          </w:tcPr>
          <w:p>
            <w:pPr>
              <w:spacing w:after="0"/>
              <w:rPr>
                <w:sz w:val="1"/>
                <w:szCs w:val="1"/>
                <w:color w:val="auto"/>
              </w:rPr>
            </w:pPr>
          </w:p>
        </w:tc>
      </w:tr>
      <w:tr>
        <w:trPr>
          <w:trHeight w:val="165"/>
        </w:trPr>
        <w:tc>
          <w:tcPr>
            <w:tcW w:w="266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New Zoom,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San Francisco,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3"/>
              </w:rPr>
              <w:t>Retail Machines</w:t>
            </w:r>
          </w:p>
        </w:tc>
        <w:tc>
          <w:tcPr>
            <w:tcW w:w="820" w:type="dxa"/>
            <w:vAlign w:val="bottom"/>
          </w:tcPr>
          <w:p>
            <w:pPr>
              <w:jc w:val="right"/>
              <w:spacing w:after="0"/>
              <w:rPr>
                <w:sz w:val="20"/>
                <w:szCs w:val="20"/>
                <w:color w:val="auto"/>
              </w:rPr>
            </w:pPr>
            <w:r>
              <w:rPr>
                <w:rFonts w:ascii="Arial" w:cs="Arial" w:eastAsia="Arial" w:hAnsi="Arial"/>
                <w:sz w:val="16"/>
                <w:szCs w:val="16"/>
                <w:color w:val="auto"/>
              </w:rPr>
              <w:t>1,250,000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260,476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230,469</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0.08%</w:t>
            </w:r>
          </w:p>
        </w:tc>
        <w:tc>
          <w:tcPr>
            <w:tcW w:w="0" w:type="dxa"/>
            <w:vAlign w:val="bottom"/>
          </w:tcPr>
          <w:p>
            <w:pPr>
              <w:spacing w:after="0"/>
              <w:rPr>
                <w:sz w:val="1"/>
                <w:szCs w:val="1"/>
                <w:color w:val="auto"/>
              </w:rPr>
            </w:pPr>
          </w:p>
        </w:tc>
      </w:tr>
      <w:tr>
        <w:trPr>
          <w:trHeight w:val="165"/>
        </w:trPr>
        <w:tc>
          <w:tcPr>
            <w:tcW w:w="266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w w:val="95"/>
              </w:rPr>
              <w:t>4C Insights (f/k/a The Echo Systems</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500" w:type="dxa"/>
            <w:vAlign w:val="bottom"/>
            <w:tcBorders>
              <w:top w:val="single" w:sz="8" w:color="auto"/>
            </w:tcBorders>
            <w:gridSpan w:val="14"/>
            <w:shd w:val="clear" w:color="auto" w:fill="CCEEFF"/>
          </w:tcPr>
          <w:p>
            <w:pPr>
              <w:ind w:left="180"/>
              <w:spacing w:after="0" w:line="183" w:lineRule="exact"/>
              <w:rPr>
                <w:sz w:val="20"/>
                <w:szCs w:val="20"/>
                <w:color w:val="auto"/>
              </w:rPr>
            </w:pPr>
            <w:r>
              <w:rPr>
                <w:rFonts w:ascii="Arial" w:cs="Arial" w:eastAsia="Arial" w:hAnsi="Arial"/>
                <w:sz w:val="16"/>
                <w:szCs w:val="16"/>
                <w:b w:val="1"/>
                <w:bCs w:val="1"/>
                <w:color w:val="auto"/>
              </w:rPr>
              <w:t>Corp.)</w:t>
            </w: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6"/>
              </w:rPr>
              <w:t>Chicago, IL</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3"/>
              </w:rPr>
              <w:t>Social Data Platform</w:t>
            </w:r>
          </w:p>
        </w:tc>
        <w:tc>
          <w:tcPr>
            <w:tcW w:w="820" w:type="dxa"/>
            <w:vAlign w:val="bottom"/>
          </w:tcPr>
          <w:p>
            <w:pPr>
              <w:jc w:val="right"/>
              <w:spacing w:after="0"/>
              <w:rPr>
                <w:sz w:val="20"/>
                <w:szCs w:val="20"/>
                <w:color w:val="auto"/>
              </w:rPr>
            </w:pPr>
            <w:r>
              <w:rPr>
                <w:rFonts w:ascii="Arial" w:cs="Arial" w:eastAsia="Arial" w:hAnsi="Arial"/>
                <w:sz w:val="16"/>
                <w:szCs w:val="16"/>
                <w:color w:val="auto"/>
              </w:rPr>
              <w:t>512,365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1,436,404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219,292</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0.08%</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Totus Solutions, Inc.</w:t>
            </w:r>
            <w:r>
              <w:rPr>
                <w:rFonts w:ascii="Arial" w:cs="Arial" w:eastAsia="Arial" w:hAnsi="Arial"/>
                <w:sz w:val="23"/>
                <w:szCs w:val="23"/>
                <w:b w:val="1"/>
                <w:bCs w:val="1"/>
                <w:color w:val="auto"/>
                <w:vertAlign w:val="superscript"/>
              </w:rPr>
              <w:t>(1)(10)</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7"/>
              </w:rPr>
              <w:t>Carrollton, TX</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rPr>
              <w:t>LED Lighting</w:t>
            </w:r>
          </w:p>
        </w:tc>
        <w:tc>
          <w:tcPr>
            <w:tcW w:w="820" w:type="dxa"/>
            <w:vAlign w:val="bottom"/>
          </w:tcPr>
          <w:p>
            <w:pPr>
              <w:jc w:val="right"/>
              <w:spacing w:after="0"/>
              <w:rPr>
                <w:sz w:val="20"/>
                <w:szCs w:val="20"/>
                <w:color w:val="auto"/>
              </w:rPr>
            </w:pPr>
            <w:r>
              <w:rPr>
                <w:rFonts w:ascii="Arial" w:cs="Arial" w:eastAsia="Arial" w:hAnsi="Arial"/>
                <w:sz w:val="16"/>
                <w:szCs w:val="16"/>
                <w:color w:val="auto"/>
              </w:rPr>
              <w:t>1,111,111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128,902</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0.05%</w:t>
            </w:r>
          </w:p>
        </w:tc>
        <w:tc>
          <w:tcPr>
            <w:tcW w:w="0" w:type="dxa"/>
            <w:vAlign w:val="bottom"/>
          </w:tcPr>
          <w:p>
            <w:pPr>
              <w:spacing w:after="0"/>
              <w:rPr>
                <w:sz w:val="1"/>
                <w:szCs w:val="1"/>
                <w:color w:val="auto"/>
              </w:rPr>
            </w:pPr>
          </w:p>
        </w:tc>
      </w:tr>
      <w:tr>
        <w:trPr>
          <w:trHeight w:val="196"/>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Convertible Promissory Note 6%,</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15"/>
            <w:shd w:val="clear" w:color="auto" w:fill="CCEEFF"/>
          </w:tcPr>
          <w:p>
            <w:pPr>
              <w:ind w:left="180"/>
              <w:spacing w:after="0"/>
              <w:rPr>
                <w:sz w:val="20"/>
                <w:szCs w:val="20"/>
                <w:color w:val="auto"/>
              </w:rPr>
            </w:pPr>
            <w:r>
              <w:rPr>
                <w:rFonts w:ascii="Arial" w:cs="Arial" w:eastAsia="Arial" w:hAnsi="Arial"/>
                <w:sz w:val="16"/>
                <w:szCs w:val="16"/>
                <w:color w:val="auto"/>
              </w:rPr>
              <w:t>Expiration Date, 4/01/2016***</w:t>
            </w:r>
          </w:p>
        </w:tc>
        <w:tc>
          <w:tcPr>
            <w:tcW w:w="21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76,110</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76,430</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78,425</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0.03%</w:t>
            </w:r>
          </w:p>
        </w:tc>
        <w:tc>
          <w:tcPr>
            <w:tcW w:w="0" w:type="dxa"/>
            <w:vAlign w:val="bottom"/>
          </w:tcPr>
          <w:p>
            <w:pPr>
              <w:spacing w:after="0"/>
              <w:rPr>
                <w:sz w:val="1"/>
                <w:szCs w:val="1"/>
                <w:color w:val="auto"/>
              </w:rPr>
            </w:pPr>
          </w:p>
        </w:tc>
      </w:tr>
      <w:tr>
        <w:trPr>
          <w:trHeight w:val="20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869,265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2,184,422</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203"/>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1,130,735</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2,840,591</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6,101,443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207,327</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0.08%</w:t>
            </w:r>
          </w:p>
        </w:tc>
        <w:tc>
          <w:tcPr>
            <w:tcW w:w="0" w:type="dxa"/>
            <w:vAlign w:val="bottom"/>
          </w:tcPr>
          <w:p>
            <w:pPr>
              <w:spacing w:after="0"/>
              <w:rPr>
                <w:sz w:val="1"/>
                <w:szCs w:val="1"/>
                <w:color w:val="auto"/>
              </w:rPr>
            </w:pPr>
          </w:p>
        </w:tc>
      </w:tr>
      <w:tr>
        <w:trPr>
          <w:trHeight w:val="196"/>
        </w:trPr>
        <w:tc>
          <w:tcPr>
            <w:tcW w:w="2660" w:type="dxa"/>
            <w:vAlign w:val="bottom"/>
            <w:gridSpan w:val="16"/>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The rSmart Group,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2"/>
              </w:rPr>
              <w:t>Scottsdale, AZ</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Higher Education</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4"/>
              </w:rPr>
              <w:t>Learning Platform</w:t>
            </w:r>
          </w:p>
        </w:tc>
        <w:tc>
          <w:tcPr>
            <w:tcW w:w="820" w:type="dxa"/>
            <w:vAlign w:val="bottom"/>
          </w:tcPr>
          <w:p>
            <w:pPr>
              <w:jc w:val="right"/>
              <w:spacing w:after="0"/>
              <w:rPr>
                <w:sz w:val="20"/>
                <w:szCs w:val="20"/>
                <w:color w:val="auto"/>
              </w:rPr>
            </w:pPr>
            <w:r>
              <w:rPr>
                <w:rFonts w:ascii="Arial" w:cs="Arial" w:eastAsia="Arial" w:hAnsi="Arial"/>
                <w:sz w:val="16"/>
                <w:szCs w:val="16"/>
                <w:color w:val="auto"/>
              </w:rPr>
              <w:t>1,201,923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1,267,240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192,586</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-5166995</wp:posOffset>
            </wp:positionV>
            <wp:extent cx="5213985"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-681355</wp:posOffset>
            </wp:positionV>
            <wp:extent cx="5213985"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0" w:name="page21"/>
    <w:bookmarkEnd w:id="2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714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40" w:type="dxa"/>
            <w:vAlign w:val="bottom"/>
          </w:tcPr>
          <w:p>
            <w:pPr>
              <w:spacing w:after="0"/>
              <w:rPr>
                <w:sz w:val="14"/>
                <w:szCs w:val="14"/>
                <w:color w:val="auto"/>
              </w:rPr>
            </w:pPr>
          </w:p>
        </w:tc>
        <w:tc>
          <w:tcPr>
            <w:tcW w:w="19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Headquarters/Industry</w:t>
            </w:r>
          </w:p>
        </w:tc>
        <w:tc>
          <w:tcPr>
            <w:tcW w:w="900" w:type="dxa"/>
            <w:vAlign w:val="bottom"/>
          </w:tcPr>
          <w:p>
            <w:pPr>
              <w:jc w:val="right"/>
              <w:ind w:right="20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660" w:type="dxa"/>
            <w:vAlign w:val="bottom"/>
            <w:gridSpan w:val="8"/>
            <w:vMerge w:val="continue"/>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900" w:type="dxa"/>
            <w:vAlign w:val="bottom"/>
          </w:tcPr>
          <w:p>
            <w:pPr>
              <w:jc w:val="right"/>
              <w:ind w:right="141"/>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2660" w:type="dxa"/>
            <w:vAlign w:val="bottom"/>
            <w:tcBorders>
              <w:top w:val="single" w:sz="8" w:color="auto"/>
            </w:tcBorders>
            <w:gridSpan w:val="8"/>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Odesk Corporation</w:t>
            </w:r>
          </w:p>
        </w:tc>
        <w:tc>
          <w:tcPr>
            <w:tcW w:w="40" w:type="dxa"/>
            <w:vAlign w:val="bottom"/>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8"/>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tcPr>
          <w:p>
            <w:pPr>
              <w:spacing w:after="0"/>
              <w:rPr>
                <w:sz w:val="16"/>
                <w:szCs w:val="16"/>
                <w:color w:val="auto"/>
              </w:rPr>
            </w:pPr>
          </w:p>
        </w:tc>
        <w:tc>
          <w:tcPr>
            <w:tcW w:w="1980" w:type="dxa"/>
            <w:vAlign w:val="bottom"/>
            <w:gridSpan w:val="3"/>
          </w:tcPr>
          <w:p>
            <w:pPr>
              <w:jc w:val="center"/>
              <w:ind w:right="60"/>
              <w:spacing w:after="0"/>
              <w:rPr>
                <w:sz w:val="20"/>
                <w:szCs w:val="20"/>
                <w:color w:val="auto"/>
              </w:rPr>
            </w:pPr>
            <w:r>
              <w:rPr>
                <w:rFonts w:ascii="Arial" w:cs="Arial" w:eastAsia="Arial" w:hAnsi="Arial"/>
                <w:sz w:val="16"/>
                <w:szCs w:val="16"/>
                <w:color w:val="auto"/>
                <w:w w:val="94"/>
              </w:rPr>
              <w:t>Redwood City, CA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gridSpan w:val="3"/>
          </w:tcPr>
          <w:p>
            <w:pPr>
              <w:jc w:val="center"/>
              <w:ind w:right="80"/>
              <w:spacing w:after="0"/>
              <w:rPr>
                <w:sz w:val="20"/>
                <w:szCs w:val="20"/>
                <w:color w:val="auto"/>
              </w:rPr>
            </w:pPr>
            <w:r>
              <w:rPr>
                <w:rFonts w:ascii="Arial" w:cs="Arial" w:eastAsia="Arial" w:hAnsi="Arial"/>
                <w:sz w:val="16"/>
                <w:szCs w:val="16"/>
                <w:color w:val="auto"/>
                <w:w w:val="93"/>
              </w:rPr>
              <w:t>Online Workplace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gridSpan w:val="3"/>
          </w:tcPr>
          <w:p>
            <w:pPr>
              <w:jc w:val="center"/>
              <w:ind w:right="60"/>
              <w:spacing w:after="0"/>
              <w:rPr>
                <w:sz w:val="20"/>
                <w:szCs w:val="20"/>
                <w:color w:val="auto"/>
              </w:rPr>
            </w:pPr>
            <w:r>
              <w:rPr>
                <w:rFonts w:ascii="Arial" w:cs="Arial" w:eastAsia="Arial" w:hAnsi="Arial"/>
                <w:sz w:val="16"/>
                <w:szCs w:val="16"/>
                <w:color w:val="auto"/>
                <w:w w:val="93"/>
              </w:rPr>
              <w:t>Platform</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30,000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183,269</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156,196</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165"/>
        </w:trPr>
        <w:tc>
          <w:tcPr>
            <w:tcW w:w="2660" w:type="dxa"/>
            <w:vAlign w:val="bottom"/>
            <w:gridSpan w:val="8"/>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Earlyshares.com</w:t>
            </w:r>
          </w:p>
        </w:tc>
        <w:tc>
          <w:tcPr>
            <w:tcW w:w="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8"/>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6"/>
                <w:szCs w:val="16"/>
                <w:color w:val="auto"/>
              </w:rPr>
            </w:pPr>
          </w:p>
        </w:tc>
        <w:tc>
          <w:tcPr>
            <w:tcW w:w="1980" w:type="dxa"/>
            <w:vAlign w:val="bottom"/>
            <w:gridSpan w:val="3"/>
          </w:tcPr>
          <w:p>
            <w:pPr>
              <w:jc w:val="center"/>
              <w:ind w:right="80"/>
              <w:spacing w:after="0"/>
              <w:rPr>
                <w:sz w:val="20"/>
                <w:szCs w:val="20"/>
                <w:color w:val="auto"/>
              </w:rPr>
            </w:pPr>
            <w:r>
              <w:rPr>
                <w:rFonts w:ascii="Arial" w:cs="Arial" w:eastAsia="Arial" w:hAnsi="Arial"/>
                <w:sz w:val="16"/>
                <w:szCs w:val="16"/>
                <w:color w:val="auto"/>
                <w:w w:val="99"/>
              </w:rPr>
              <w:t>Miami, FL</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gridSpan w:val="3"/>
          </w:tcPr>
          <w:p>
            <w:pPr>
              <w:jc w:val="center"/>
              <w:ind w:right="80"/>
              <w:spacing w:after="0"/>
              <w:rPr>
                <w:sz w:val="20"/>
                <w:szCs w:val="20"/>
                <w:color w:val="auto"/>
              </w:rPr>
            </w:pPr>
            <w:r>
              <w:rPr>
                <w:rFonts w:ascii="Arial" w:cs="Arial" w:eastAsia="Arial" w:hAnsi="Arial"/>
                <w:sz w:val="16"/>
                <w:szCs w:val="16"/>
                <w:color w:val="auto"/>
                <w:w w:val="96"/>
              </w:rPr>
              <w:t>Equity Crowdfunding</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165,715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260,878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125,115</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6"/>
        </w:trPr>
        <w:tc>
          <w:tcPr>
            <w:tcW w:w="2660" w:type="dxa"/>
            <w:vAlign w:val="bottom"/>
            <w:gridSpan w:val="8"/>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Dailybreak, Inc.</w:t>
            </w:r>
            <w:r>
              <w:rPr>
                <w:rFonts w:ascii="Arial" w:cs="Arial" w:eastAsia="Arial" w:hAnsi="Arial"/>
                <w:sz w:val="23"/>
                <w:szCs w:val="23"/>
                <w:b w:val="1"/>
                <w:bCs w:val="1"/>
                <w:color w:val="auto"/>
                <w:vertAlign w:val="superscript"/>
              </w:rPr>
              <w:t>(1)</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8"/>
          </w:tcPr>
          <w:p>
            <w:pPr>
              <w:ind w:left="20"/>
              <w:spacing w:after="0"/>
              <w:rPr>
                <w:sz w:val="20"/>
                <w:szCs w:val="20"/>
                <w:color w:val="auto"/>
              </w:rPr>
            </w:pPr>
            <w:r>
              <w:rPr>
                <w:rFonts w:ascii="Arial" w:cs="Arial" w:eastAsia="Arial" w:hAnsi="Arial"/>
                <w:sz w:val="16"/>
                <w:szCs w:val="16"/>
                <w:color w:val="auto"/>
              </w:rPr>
              <w:t>Preferred shares, Series A-1</w:t>
            </w:r>
          </w:p>
        </w:tc>
        <w:tc>
          <w:tcPr>
            <w:tcW w:w="40" w:type="dxa"/>
            <w:vAlign w:val="bottom"/>
          </w:tcPr>
          <w:p>
            <w:pPr>
              <w:spacing w:after="0"/>
              <w:rPr>
                <w:sz w:val="16"/>
                <w:szCs w:val="16"/>
                <w:color w:val="auto"/>
              </w:rPr>
            </w:pPr>
          </w:p>
        </w:tc>
        <w:tc>
          <w:tcPr>
            <w:tcW w:w="1980" w:type="dxa"/>
            <w:vAlign w:val="bottom"/>
            <w:gridSpan w:val="3"/>
          </w:tcPr>
          <w:p>
            <w:pPr>
              <w:jc w:val="center"/>
              <w:ind w:right="60"/>
              <w:spacing w:after="0"/>
              <w:rPr>
                <w:sz w:val="20"/>
                <w:szCs w:val="20"/>
                <w:color w:val="auto"/>
              </w:rPr>
            </w:pPr>
            <w:r>
              <w:rPr>
                <w:rFonts w:ascii="Arial" w:cs="Arial" w:eastAsia="Arial" w:hAnsi="Arial"/>
                <w:sz w:val="16"/>
                <w:szCs w:val="16"/>
                <w:color w:val="auto"/>
                <w:w w:val="96"/>
              </w:rPr>
              <w:t>Boston, MA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gridSpan w:val="3"/>
          </w:tcPr>
          <w:p>
            <w:pPr>
              <w:jc w:val="center"/>
              <w:ind w:right="80"/>
              <w:spacing w:after="0"/>
              <w:rPr>
                <w:sz w:val="20"/>
                <w:szCs w:val="20"/>
                <w:color w:val="auto"/>
              </w:rPr>
            </w:pPr>
            <w:r>
              <w:rPr>
                <w:rFonts w:ascii="Arial" w:cs="Arial" w:eastAsia="Arial" w:hAnsi="Arial"/>
                <w:sz w:val="16"/>
                <w:szCs w:val="16"/>
                <w:color w:val="auto"/>
                <w:w w:val="95"/>
              </w:rPr>
              <w:t>Social Advertising</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1,878,129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2,430,950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6"/>
        </w:trPr>
        <w:tc>
          <w:tcPr>
            <w:tcW w:w="2660" w:type="dxa"/>
            <w:vAlign w:val="bottom"/>
            <w:gridSpan w:val="8"/>
            <w:shd w:val="clear" w:color="auto" w:fill="CCEEFF"/>
          </w:tcPr>
          <w:p>
            <w:pPr>
              <w:ind w:left="20"/>
              <w:spacing w:after="0"/>
              <w:rPr>
                <w:sz w:val="20"/>
                <w:szCs w:val="20"/>
                <w:color w:val="auto"/>
              </w:rPr>
            </w:pPr>
            <w:r>
              <w:rPr>
                <w:rFonts w:ascii="Arial" w:cs="Arial" w:eastAsia="Arial" w:hAnsi="Arial"/>
                <w:sz w:val="16"/>
                <w:szCs w:val="16"/>
                <w:color w:val="auto"/>
              </w:rPr>
              <w:t>Preferred shares, Series A-2</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347,666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426,254</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7"/>
          </w:tcPr>
          <w:p>
            <w:pPr>
              <w:ind w:left="18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2,857,204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gridSpan w:val="8"/>
            <w:shd w:val="clear" w:color="auto" w:fill="CCEEFF"/>
          </w:tcPr>
          <w:p>
            <w:pPr>
              <w:ind w:left="20"/>
              <w:spacing w:after="0"/>
              <w:rPr>
                <w:sz w:val="20"/>
                <w:szCs w:val="20"/>
                <w:color w:val="auto"/>
              </w:rPr>
            </w:pPr>
            <w:r>
              <w:rPr>
                <w:rFonts w:ascii="Arial" w:cs="Arial" w:eastAsia="Arial" w:hAnsi="Arial"/>
                <w:sz w:val="16"/>
                <w:szCs w:val="16"/>
                <w:b w:val="1"/>
                <w:bCs w:val="1"/>
                <w:color w:val="auto"/>
              </w:rPr>
              <w:t>Total Portfolio Investments</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301,111,689</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370,984,317</w:t>
            </w:r>
          </w:p>
        </w:tc>
        <w:tc>
          <w:tcPr>
            <w:tcW w:w="80" w:type="dxa"/>
            <w:vAlign w:val="bottom"/>
            <w:tcBorders>
              <w:lef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129.76%</w:t>
            </w: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gridSpan w:val="8"/>
          </w:tcPr>
          <w:p>
            <w:pPr>
              <w:ind w:left="20"/>
              <w:spacing w:after="0" w:line="155" w:lineRule="exact"/>
              <w:rPr>
                <w:sz w:val="20"/>
                <w:szCs w:val="20"/>
                <w:color w:val="auto"/>
              </w:rPr>
            </w:pPr>
            <w:r>
              <w:rPr>
                <w:rFonts w:ascii="Arial" w:cs="Arial" w:eastAsia="Arial" w:hAnsi="Arial"/>
                <w:sz w:val="16"/>
                <w:szCs w:val="16"/>
                <w:b w:val="1"/>
                <w:bCs w:val="1"/>
                <w:color w:val="auto"/>
              </w:rPr>
              <w:t>U.S. Treasury</w:t>
            </w:r>
          </w:p>
        </w:tc>
        <w:tc>
          <w:tcPr>
            <w:tcW w:w="4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8"/>
            <w:shd w:val="clear" w:color="auto" w:fill="CCEEFF"/>
          </w:tcPr>
          <w:p>
            <w:pPr>
              <w:ind w:left="20"/>
              <w:spacing w:after="0"/>
              <w:rPr>
                <w:sz w:val="20"/>
                <w:szCs w:val="20"/>
                <w:color w:val="auto"/>
              </w:rPr>
            </w:pPr>
            <w:r>
              <w:rPr>
                <w:rFonts w:ascii="Arial" w:cs="Arial" w:eastAsia="Arial" w:hAnsi="Arial"/>
                <w:sz w:val="16"/>
                <w:szCs w:val="16"/>
                <w:color w:val="auto"/>
              </w:rPr>
              <w:t>U.S. Treasury Bill, 0%, due</w:t>
            </w:r>
          </w:p>
        </w:tc>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1/2/2015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100,000,000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100,001,692</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100,000,056</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34.98%</w:t>
            </w:r>
          </w:p>
        </w:tc>
        <w:tc>
          <w:tcPr>
            <w:tcW w:w="0" w:type="dxa"/>
            <w:vAlign w:val="bottom"/>
          </w:tcPr>
          <w:p>
            <w:pPr>
              <w:spacing w:after="0"/>
              <w:rPr>
                <w:sz w:val="1"/>
                <w:szCs w:val="1"/>
                <w:color w:val="auto"/>
              </w:rPr>
            </w:pPr>
          </w:p>
        </w:tc>
      </w:tr>
      <w:tr>
        <w:trPr>
          <w:trHeight w:val="203"/>
        </w:trPr>
        <w:tc>
          <w:tcPr>
            <w:tcW w:w="2660" w:type="dxa"/>
            <w:vAlign w:val="bottom"/>
            <w:gridSpan w:val="8"/>
          </w:tcPr>
          <w:p>
            <w:pPr>
              <w:ind w:left="20"/>
              <w:spacing w:after="0" w:line="202" w:lineRule="exact"/>
              <w:rPr>
                <w:sz w:val="20"/>
                <w:szCs w:val="20"/>
                <w:color w:val="auto"/>
              </w:rPr>
            </w:pPr>
            <w:r>
              <w:rPr>
                <w:rFonts w:ascii="Arial" w:cs="Arial" w:eastAsia="Arial" w:hAnsi="Arial"/>
                <w:sz w:val="14"/>
                <w:szCs w:val="14"/>
                <w:b w:val="1"/>
                <w:bCs w:val="1"/>
                <w:color w:val="auto"/>
              </w:rPr>
              <w:t>U.S. Treasury Strips</w:t>
            </w:r>
            <w:r>
              <w:rPr>
                <w:rFonts w:ascii="Arial" w:cs="Arial" w:eastAsia="Arial" w:hAnsi="Arial"/>
                <w:sz w:val="23"/>
                <w:szCs w:val="23"/>
                <w:b w:val="1"/>
                <w:bCs w:val="1"/>
                <w:color w:val="auto"/>
                <w:vertAlign w:val="superscript"/>
              </w:rPr>
              <w:t>(11)</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8"/>
            <w:shd w:val="clear" w:color="auto" w:fill="CCEEFF"/>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7"/>
            <w:shd w:val="clear" w:color="auto" w:fill="CCEEFF"/>
          </w:tcPr>
          <w:p>
            <w:pPr>
              <w:ind w:left="180"/>
              <w:spacing w:after="0"/>
              <w:rPr>
                <w:sz w:val="20"/>
                <w:szCs w:val="20"/>
                <w:color w:val="auto"/>
              </w:rPr>
            </w:pPr>
            <w:r>
              <w:rPr>
                <w:rFonts w:ascii="Arial" w:cs="Arial" w:eastAsia="Arial" w:hAnsi="Arial"/>
                <w:sz w:val="16"/>
                <w:szCs w:val="16"/>
                <w:color w:val="auto"/>
              </w:rPr>
              <w:t>0.00% due 08/15/2016</w:t>
            </w:r>
          </w:p>
        </w:tc>
        <w:tc>
          <w:tcPr>
            <w:tcW w:w="20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1,851,000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1,828,695</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1,834,674</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193"/>
        </w:trPr>
        <w:tc>
          <w:tcPr>
            <w:tcW w:w="2660" w:type="dxa"/>
            <w:vAlign w:val="bottom"/>
            <w:gridSpan w:val="8"/>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7"/>
          </w:tcPr>
          <w:p>
            <w:pPr>
              <w:ind w:left="180"/>
              <w:spacing w:after="0"/>
              <w:rPr>
                <w:sz w:val="20"/>
                <w:szCs w:val="20"/>
                <w:color w:val="auto"/>
              </w:rPr>
            </w:pPr>
            <w:r>
              <w:rPr>
                <w:rFonts w:ascii="Arial" w:cs="Arial" w:eastAsia="Arial" w:hAnsi="Arial"/>
                <w:sz w:val="16"/>
                <w:szCs w:val="16"/>
                <w:color w:val="auto"/>
              </w:rPr>
              <w:t>0.00% due 02/15/2016</w:t>
            </w:r>
          </w:p>
        </w:tc>
        <w:tc>
          <w:tcPr>
            <w:tcW w:w="20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1,834,000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1,822,943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1,826,664</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196"/>
        </w:trPr>
        <w:tc>
          <w:tcPr>
            <w:tcW w:w="2660" w:type="dxa"/>
            <w:vAlign w:val="bottom"/>
            <w:gridSpan w:val="8"/>
            <w:shd w:val="clear" w:color="auto" w:fill="CCEEFF"/>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7"/>
            <w:shd w:val="clear" w:color="auto" w:fill="CCEEFF"/>
          </w:tcPr>
          <w:p>
            <w:pPr>
              <w:ind w:left="180"/>
              <w:spacing w:after="0"/>
              <w:rPr>
                <w:sz w:val="20"/>
                <w:szCs w:val="20"/>
                <w:color w:val="auto"/>
              </w:rPr>
            </w:pPr>
            <w:r>
              <w:rPr>
                <w:rFonts w:ascii="Arial" w:cs="Arial" w:eastAsia="Arial" w:hAnsi="Arial"/>
                <w:sz w:val="16"/>
                <w:szCs w:val="16"/>
                <w:color w:val="auto"/>
              </w:rPr>
              <w:t>0.00% due 08/15/2015</w:t>
            </w:r>
          </w:p>
        </w:tc>
        <w:tc>
          <w:tcPr>
            <w:tcW w:w="20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1,823,000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1,819,165</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1,820,904</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193"/>
        </w:trPr>
        <w:tc>
          <w:tcPr>
            <w:tcW w:w="2660" w:type="dxa"/>
            <w:vAlign w:val="bottom"/>
            <w:gridSpan w:val="8"/>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7"/>
          </w:tcPr>
          <w:p>
            <w:pPr>
              <w:ind w:left="180"/>
              <w:spacing w:after="0"/>
              <w:rPr>
                <w:sz w:val="20"/>
                <w:szCs w:val="20"/>
                <w:color w:val="auto"/>
              </w:rPr>
            </w:pPr>
            <w:r>
              <w:rPr>
                <w:rFonts w:ascii="Arial" w:cs="Arial" w:eastAsia="Arial" w:hAnsi="Arial"/>
                <w:sz w:val="16"/>
                <w:szCs w:val="16"/>
                <w:color w:val="auto"/>
              </w:rPr>
              <w:t>0.00% due 02/15/2015</w:t>
            </w:r>
          </w:p>
        </w:tc>
        <w:tc>
          <w:tcPr>
            <w:tcW w:w="20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1,816,000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1,815,529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1,815,800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40" w:type="dxa"/>
            <w:vAlign w:val="bottom"/>
            <w:gridSpan w:val="7"/>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7,286,332</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7,298,042</w:t>
            </w:r>
          </w:p>
        </w:tc>
        <w:tc>
          <w:tcPr>
            <w:tcW w:w="80" w:type="dxa"/>
            <w:vAlign w:val="bottom"/>
            <w:tcBorders>
              <w:lef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gridSpan w:val="8"/>
          </w:tcPr>
          <w:p>
            <w:pPr>
              <w:ind w:left="20"/>
              <w:spacing w:after="0"/>
              <w:rPr>
                <w:sz w:val="20"/>
                <w:szCs w:val="20"/>
                <w:color w:val="auto"/>
              </w:rPr>
            </w:pPr>
            <w:r>
              <w:rPr>
                <w:rFonts w:ascii="Arial" w:cs="Arial" w:eastAsia="Arial" w:hAnsi="Arial"/>
                <w:sz w:val="16"/>
                <w:szCs w:val="16"/>
                <w:b w:val="1"/>
                <w:bCs w:val="1"/>
                <w:color w:val="auto"/>
              </w:rPr>
              <w:t>Total Investments</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408,399,713</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478,282,415</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167.29%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-2340610</wp:posOffset>
            </wp:positionV>
            <wp:extent cx="5213985"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-2066290</wp:posOffset>
            </wp:positionV>
            <wp:extent cx="5213985"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-351155</wp:posOffset>
            </wp:positionV>
            <wp:extent cx="521398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519" w:hanging="272"/>
        <w:spacing w:after="0" w:line="277"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jc w:val="both"/>
        <w:ind w:left="300" w:right="519" w:hanging="272"/>
        <w:spacing w:after="0" w:line="264"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73" w:lineRule="exact"/>
        <w:rPr>
          <w:rFonts w:ascii="Arial" w:cs="Arial" w:eastAsia="Arial" w:hAnsi="Arial"/>
          <w:sz w:val="18"/>
          <w:szCs w:val="18"/>
          <w:color w:val="auto"/>
        </w:rPr>
      </w:pPr>
    </w:p>
    <w:p>
      <w:pPr>
        <w:jc w:val="both"/>
        <w:ind w:left="300" w:right="519" w:hanging="272"/>
        <w:spacing w:after="0" w:line="286" w:lineRule="auto"/>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Denotes a Control Investment. “Control Investments” are investments in those companies that are “Controlled Companies” of GSV Capital Corp., as defined in the Investment Company Act of 1940. A company is deemed to be a “Controlled Company” of GSV Capital Corp. if GSV Capital Corp. owns 25% or more of the voting securities of such company.</w:t>
      </w:r>
    </w:p>
    <w:p>
      <w:pPr>
        <w:spacing w:after="0" w:line="57" w:lineRule="exact"/>
        <w:rPr>
          <w:rFonts w:ascii="Arial" w:cs="Arial" w:eastAsia="Arial" w:hAnsi="Arial"/>
          <w:sz w:val="17"/>
          <w:szCs w:val="17"/>
          <w:color w:val="auto"/>
        </w:rPr>
      </w:pPr>
    </w:p>
    <w:p>
      <w:pPr>
        <w:ind w:left="300" w:right="539" w:hanging="272"/>
        <w:spacing w:after="0" w:line="277"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wholly-owned subsidiary GSVC AV Holdings, Inc.</w:t>
      </w:r>
    </w:p>
    <w:p>
      <w:pPr>
        <w:spacing w:after="0" w:line="62" w:lineRule="exact"/>
        <w:rPr>
          <w:rFonts w:ascii="Arial" w:cs="Arial" w:eastAsia="Arial" w:hAnsi="Arial"/>
          <w:sz w:val="18"/>
          <w:szCs w:val="18"/>
          <w:color w:val="auto"/>
        </w:rPr>
      </w:pPr>
    </w:p>
    <w:p>
      <w:pPr>
        <w:ind w:left="300" w:right="519" w:hanging="272"/>
        <w:spacing w:after="0" w:line="308" w:lineRule="auto"/>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GSV Capital Corp.’s investment in Whittle Schools, LLC is held through its wholly-owned subsidiary GSVC WS Holdings, Inc. Whittle Schools, LLC is an investment whose economics are derived from the value of Avenues Global Holdings LLC.</w:t>
      </w:r>
    </w:p>
    <w:p>
      <w:pPr>
        <w:spacing w:after="0" w:line="38" w:lineRule="exact"/>
        <w:rPr>
          <w:rFonts w:ascii="Arial" w:cs="Arial" w:eastAsia="Arial" w:hAnsi="Arial"/>
          <w:sz w:val="17"/>
          <w:szCs w:val="17"/>
          <w:color w:val="auto"/>
        </w:rPr>
      </w:pPr>
    </w:p>
    <w:p>
      <w:pPr>
        <w:ind w:left="300" w:hanging="272"/>
        <w:spacing w:after="0"/>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300" w:hanging="272"/>
        <w:spacing w:after="0"/>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GSV Capital Corp.’s investment in SharesPost, Inc. is held through its wholly-owned subsidiary SPNPM Holdings, LLC.</w:t>
      </w:r>
    </w:p>
    <w:p>
      <w:pPr>
        <w:spacing w:after="0" w:line="200" w:lineRule="exact"/>
        <w:rPr>
          <w:sz w:val="20"/>
          <w:szCs w:val="20"/>
          <w:color w:val="auto"/>
        </w:rPr>
      </w:pPr>
    </w:p>
    <w:p>
      <w:pPr>
        <w:spacing w:after="0" w:line="361"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103" w:lineRule="exact"/>
        <w:rPr>
          <w:sz w:val="20"/>
          <w:szCs w:val="20"/>
          <w:color w:val="auto"/>
        </w:rPr>
      </w:pPr>
    </w:p>
    <w:p>
      <w:pPr>
        <w:ind w:left="280" w:right="539" w:hanging="272"/>
        <w:spacing w:after="0" w:line="277"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62" w:lineRule="exact"/>
        <w:rPr>
          <w:rFonts w:ascii="Arial" w:cs="Arial" w:eastAsia="Arial" w:hAnsi="Arial"/>
          <w:sz w:val="18"/>
          <w:szCs w:val="18"/>
          <w:color w:val="auto"/>
        </w:rPr>
      </w:pPr>
    </w:p>
    <w:p>
      <w:pPr>
        <w:jc w:val="both"/>
        <w:ind w:left="280" w:right="519" w:hanging="272"/>
        <w:spacing w:after="0" w:line="293" w:lineRule="auto"/>
        <w:tabs>
          <w:tab w:leader="none" w:pos="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October 22, 2013, Cricket Media (f/k/a ePals Inc.), priced its initial public offering, selling 40,267,333 shares at a price of CAD $0.075 per share. GSV Capital Corp.’s shares in Cricket Media (f/k/a ePals Inc.), are subject to a lock-up agreement which expired on February 23, 2014. At December 31, 2014, GSV Capital Corp. valued Cricket Media (f/k/a ePals Inc.), based on its December 31, 2014 closing price less 17.5%. GSV Capital Corp.’s Chief Executive Officer, Michael Moe is a Board member of Cricket Media (f/k/a ePals Inc.), which subjects GSV Capital Corp. to insider trading restrictions under Canadian securities law. As such, the Company has applied a 17.5% discount to reflect the aforementioned trading restrictions.</w:t>
      </w:r>
    </w:p>
    <w:p>
      <w:pPr>
        <w:spacing w:after="0" w:line="56" w:lineRule="exact"/>
        <w:rPr>
          <w:rFonts w:ascii="Arial" w:cs="Arial" w:eastAsia="Arial" w:hAnsi="Arial"/>
          <w:sz w:val="16"/>
          <w:szCs w:val="16"/>
          <w:color w:val="auto"/>
        </w:rPr>
      </w:pPr>
    </w:p>
    <w:p>
      <w:pPr>
        <w:jc w:val="both"/>
        <w:ind w:left="280" w:right="519" w:hanging="272"/>
        <w:spacing w:after="0" w:line="255"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March 28, 2014, 2U, Inc. (f/k/a 2tor, Inc.) priced its initial public offering, selling 9,175,000 shares at a price of $13 per share. GSV Capital Corp.’s shares in 2U, Inc. (f/k/a 2tor, Inc.) are subject to a lock-up agreement which expired on September 24, 2014. At December 31, 2014, GSV Capital Corp. valued 2U, Inc. (f/k/a 2tor, Inc.), based on its December 31, 2014 closing price less 10.0%. Michael Moe is a Board member of 2U, Inc. (f/k/a 2tor, Inc.), which subjects GSV Capital Corp. to insider trading restrictions under U.S. securities law. As such, the Company has applied a 10.0% discount to reflect the aforementioned trading restrictions.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(10)On November 20, 2014, Totus Solutions, Inc., conducted a 10:1 stock split.</w:t>
      </w:r>
    </w:p>
    <w:p>
      <w:pPr>
        <w:spacing w:after="0" w:line="117" w:lineRule="exact"/>
        <w:rPr>
          <w:sz w:val="20"/>
          <w:szCs w:val="20"/>
          <w:color w:val="auto"/>
        </w:rPr>
      </w:pPr>
    </w:p>
    <w:p>
      <w:pPr>
        <w:jc w:val="both"/>
        <w:ind w:left="300" w:right="519" w:hanging="296"/>
        <w:spacing w:after="0" w:line="279" w:lineRule="auto"/>
        <w:rPr>
          <w:sz w:val="20"/>
          <w:szCs w:val="20"/>
          <w:color w:val="auto"/>
        </w:rPr>
      </w:pPr>
      <w:r>
        <w:rPr>
          <w:rFonts w:ascii="Arial" w:cs="Arial" w:eastAsia="Arial" w:hAnsi="Arial"/>
          <w:sz w:val="17"/>
          <w:szCs w:val="17"/>
          <w:color w:val="auto"/>
        </w:rPr>
        <w:t>(11)Refer to “Note 9 — Long Term Liabilities.” In accordance with the terms of the Company’s Convertible Senior Notes payable, the Company deposited $10,867,500 in an escrow account with the Trustee. These funds were used to purchase U.S. Treasury Strips with an original cost of $10,845,236. At December 31, 2014, the remaining government securities are shown on the Condensed Consolidated Schedule of Investments and have an amortized cost of $7,286,332.</w:t>
      </w:r>
    </w:p>
    <w:p>
      <w:pPr>
        <w:spacing w:after="0" w:line="63" w:lineRule="exact"/>
        <w:rPr>
          <w:sz w:val="20"/>
          <w:szCs w:val="20"/>
          <w:color w:val="auto"/>
        </w:rPr>
      </w:pPr>
    </w:p>
    <w:p>
      <w:pPr>
        <w:jc w:val="both"/>
        <w:ind w:left="320" w:right="519" w:hanging="312"/>
        <w:spacing w:after="0" w:line="286"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Interest will accrue daily on the unpaid principal balance of the note. Accrued interest is not payable until the earlier of (a) the closing of a subsequent equity offering by CUX, Inc., or (b) the maturity of the note (November 26, 2018). Interest will compound annually beginning on November 26, 2015.</w:t>
      </w:r>
    </w:p>
    <w:p>
      <w:pPr>
        <w:spacing w:after="0" w:line="200" w:lineRule="exact"/>
        <w:rPr>
          <w:sz w:val="20"/>
          <w:szCs w:val="20"/>
          <w:color w:val="auto"/>
        </w:rPr>
      </w:pPr>
    </w:p>
    <w:p>
      <w:pPr>
        <w:spacing w:after="0" w:line="290" w:lineRule="exact"/>
        <w:rPr>
          <w:sz w:val="20"/>
          <w:szCs w:val="20"/>
          <w:color w:val="auto"/>
        </w:rPr>
      </w:pPr>
    </w:p>
    <w:p>
      <w:pPr>
        <w:ind w:left="252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40" w:right="297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w:t>
      </w:r>
      <w:r>
        <w:rPr>
          <w:rFonts w:ascii="Arial" w:cs="Arial" w:eastAsia="Arial" w:hAnsi="Arial"/>
          <w:sz w:val="18"/>
          <w:szCs w:val="18"/>
          <w:b w:val="1"/>
          <w:bCs w:val="1"/>
          <w:u w:val="single" w:color="auto"/>
          <w:color w:val="auto"/>
        </w:rPr>
        <w:t>Nature of Operations</w:t>
      </w:r>
    </w:p>
    <w:p>
      <w:pPr>
        <w:spacing w:after="0" w:line="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GSV Capital Corp. (the “Company,” “GSV Capital” or “GSV”) was formed in September 2010 as a Maryland corporation structured as an externally managed, non-diversified closed-end management investment company. The Company has elected to be regulated as a business development company under the Investment Company Act of 1940, as amended (the “1940 Act”). The Company’s investment activities are managed by GSV Asset Management, LLC (“GSV Asset Management”), and GSV Capital Service Company, LLC (“GSV Capital Service Company”) provides the administrative services necessary for the Company to operate.</w:t>
      </w:r>
    </w:p>
    <w:p>
      <w:pPr>
        <w:spacing w:after="0" w:line="85"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Company’s date of inception is January 6, 2011, which is the date it commenced its development stage activities. The Company’s shares are currently listed on the Nasdaq Capital Market under the symbol “GSVC”. The Company began its investment operations during the second quarter of 2011.</w:t>
      </w:r>
    </w:p>
    <w:p>
      <w:pPr>
        <w:spacing w:after="0" w:line="73"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On April 13, 2012, the Company formed a wholly-owned subsidiary, GSV Capital Lending, LLC (“GCL”), a Delaware limited liability company, which was formed to originate portfolio loan investments within the state of California.</w:t>
      </w:r>
    </w:p>
    <w:p>
      <w:pPr>
        <w:spacing w:after="0" w:line="62"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On November 28, 2012, the Company formed the following wholly-owned subsidiaries: GSVC AE Holdings, Inc. (“GAE”), GSVC AV Holdings, Inc. (“GAV”), GSVC NG Holdings, Inc. (“GNG”), GSVC SW Holdings, Inc. (“GSW”) and GSVC WS Holdings, Inc. (“GWS”). On July 12, 2013, the Company formed a wholly-owned subsidiary, SPNPM Holdings LLC (“SPNPM”). On August 13, 2013, the Company formed a wholly-owned subsidiary, GSVC SVDS Holdings, Inc. (“SVDS”). Collectively, these entities are known as the “GSVC Holdings,” all Delaware corporations, formed to hold portfolio investments. The GSVC Holdings, including their associated portfolio investments are consolidated with the Company for accounting purposes, but have elected to be treated as separate entities for U.S. federal income tax purposes. Refer to “— Summary of Significant Accounting Policies — Basis of Consolidation” below for further detail.</w:t>
      </w:r>
    </w:p>
    <w:p>
      <w:pPr>
        <w:spacing w:after="0" w:line="7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venture-capital-backed emerging companies. The Company acquires its investments through direct investments in prospective portfolio companies, secondary marketplaces for private companies and negotiations with selling stockholders. The Company may also invest on an opportunistic basis in select publicly traded equity securities or certain non-U.S. companies that otherwise meet its investment criteria.</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The interim condensed consolidated financial statements of the Company are prepared on the accrual basis of accounting in conformity with U.S. generally accepted accounting principles (“GAAP”) and pursuant to the requirements for reporting on Form 10-Q and Regulation S-X. In the opinion of management, all adjustments, all of which were of a normal recurring nature, considered necessary for the fair presentation of financial statements for the interim period have been included. The results of operations for the current period are not necessarily indicative of results that ultimately may be achieved for any other interim period or for the year ending December 31, 2015. The interim unaudited condensed consolidated financial statements and notes hereto should be read in conjunction with the audited financial statements and notes thereto contained in the Company’s annual report on Form 10-K for the year ended December 31, 2014.</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which provides substantially all</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60" w:right="539"/>
        <w:spacing w:after="0" w:line="259" w:lineRule="auto"/>
        <w:rPr>
          <w:sz w:val="20"/>
          <w:szCs w:val="20"/>
          <w:color w:val="auto"/>
        </w:rPr>
      </w:pPr>
      <w:r>
        <w:rPr>
          <w:rFonts w:ascii="Arial" w:cs="Arial" w:eastAsia="Arial" w:hAnsi="Arial"/>
          <w:sz w:val="18"/>
          <w:szCs w:val="18"/>
          <w:color w:val="auto"/>
        </w:rPr>
        <w:t>of its services and benefits to the Company and certain entities established for tax purposes where the Company holds a 100% interest. Accordingly, the Company’s condensed consolidated financial statements include its accounts and the accounts of the GSVC Holdings and GCL, its wholly-owned subsidiaries. All intercompany balances and transactions have been eliminated in consolidation.</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jc w:val="both"/>
        <w:ind w:left="60" w:right="519" w:firstLine="270"/>
        <w:spacing w:after="0" w:line="302" w:lineRule="auto"/>
        <w:rPr>
          <w:sz w:val="20"/>
          <w:szCs w:val="20"/>
          <w:color w:val="auto"/>
        </w:rPr>
      </w:pPr>
      <w:r>
        <w:rPr>
          <w:rFonts w:ascii="Arial" w:cs="Arial" w:eastAsia="Arial" w:hAnsi="Arial"/>
          <w:sz w:val="16"/>
          <w:szCs w:val="16"/>
          <w:color w:val="auto"/>
        </w:rPr>
        <w:t>Certain prior period amounts in the Condensed Consolidated Financial Statements have been reclassified to conform to the current period presentation. The Company has reclassified certain prior period accounts on the Condensed Consolidated Statements of Assets and Liabilities and Condensed Consolidated Statements of Operations to simplify the presentation. Refer to the table below for the reclassifications to the December 31, 2014 Condensed 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wp:posOffset>
            </wp:positionV>
            <wp:extent cx="51968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920" w:type="dxa"/>
            <w:vAlign w:val="bottom"/>
          </w:tcPr>
          <w:p>
            <w:pPr>
              <w:jc w:val="right"/>
              <w:ind w:right="14"/>
              <w:spacing w:after="0"/>
              <w:rPr>
                <w:sz w:val="20"/>
                <w:szCs w:val="20"/>
                <w:color w:val="auto"/>
              </w:rPr>
            </w:pPr>
            <w:r>
              <w:rPr>
                <w:rFonts w:ascii="Arial" w:cs="Arial" w:eastAsia="Arial" w:hAnsi="Arial"/>
                <w:sz w:val="14"/>
                <w:szCs w:val="14"/>
                <w:b w:val="1"/>
                <w:bCs w:val="1"/>
                <w:color w:val="auto"/>
                <w:w w:val="97"/>
              </w:rPr>
              <w:t>Reclassified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4"/>
              <w:spacing w:after="0"/>
              <w:rPr>
                <w:sz w:val="20"/>
                <w:szCs w:val="20"/>
                <w:color w:val="auto"/>
              </w:rPr>
            </w:pPr>
            <w:r>
              <w:rPr>
                <w:rFonts w:ascii="Arial" w:cs="Arial" w:eastAsia="Arial" w:hAnsi="Arial"/>
                <w:sz w:val="14"/>
                <w:szCs w:val="14"/>
                <w:b w:val="1"/>
                <w:bCs w:val="1"/>
                <w:color w:val="auto"/>
                <w:w w:val="97"/>
              </w:rPr>
              <w:t>Prior Period</w:t>
            </w:r>
          </w:p>
        </w:tc>
      </w:tr>
      <w:tr>
        <w:trPr>
          <w:trHeight w:val="171"/>
        </w:trPr>
        <w:tc>
          <w:tcPr>
            <w:tcW w:w="6120" w:type="dxa"/>
            <w:vAlign w:val="bottom"/>
          </w:tcPr>
          <w:p>
            <w:pPr>
              <w:spacing w:after="0"/>
              <w:rPr>
                <w:sz w:val="14"/>
                <w:szCs w:val="14"/>
                <w:color w:val="auto"/>
              </w:rPr>
            </w:pP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Amounts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Amounts</w:t>
            </w: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financing costs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$ 2,928,134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Deferred credit facility fees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261,065</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debt issuance costs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2,667,069</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tcPr>
          <w:p>
            <w:pPr>
              <w:jc w:val="right"/>
              <w:spacing w:after="0"/>
              <w:rPr>
                <w:sz w:val="20"/>
                <w:szCs w:val="20"/>
                <w:color w:val="auto"/>
              </w:rPr>
            </w:pPr>
            <w:r>
              <w:rPr>
                <w:rFonts w:ascii="Arial" w:cs="Arial" w:eastAsia="Arial" w:hAnsi="Arial"/>
                <w:sz w:val="18"/>
                <w:szCs w:val="18"/>
                <w:color w:val="auto"/>
              </w:rPr>
              <w:t>596,926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179,556</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417,370</w:t>
            </w:r>
          </w:p>
        </w:tc>
      </w:tr>
    </w:tbl>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was no net effect on the total assets, liabilities, or net assets as of December 31, 2014 as a result of these reclassifications.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the table below for the reclassifications to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1885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three months ended September 30, 2014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Reclassified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Prior Period</w:t>
            </w:r>
          </w:p>
        </w:tc>
        <w:tc>
          <w:tcPr>
            <w:tcW w:w="0" w:type="dxa"/>
            <w:vAlign w:val="bottom"/>
          </w:tcPr>
          <w:p>
            <w:pPr>
              <w:spacing w:after="0"/>
              <w:rPr>
                <w:sz w:val="1"/>
                <w:szCs w:val="1"/>
                <w:color w:val="auto"/>
              </w:rPr>
            </w:pPr>
          </w:p>
        </w:tc>
      </w:tr>
      <w:tr>
        <w:trPr>
          <w:trHeight w:val="171"/>
        </w:trPr>
        <w:tc>
          <w:tcPr>
            <w:tcW w:w="58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Amounts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115,922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18,306</w:t>
            </w: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Insurance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61,800</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Investor relations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35,816</w:t>
            </w:r>
          </w:p>
        </w:tc>
        <w:tc>
          <w:tcPr>
            <w:tcW w:w="0" w:type="dxa"/>
            <w:vAlign w:val="bottom"/>
          </w:tcPr>
          <w:p>
            <w:pPr>
              <w:spacing w:after="0"/>
              <w:rPr>
                <w:sz w:val="1"/>
                <w:szCs w:val="1"/>
                <w:color w:val="auto"/>
              </w:rPr>
            </w:pPr>
          </w:p>
        </w:tc>
      </w:tr>
      <w:tr>
        <w:trPr>
          <w:trHeight w:val="288"/>
        </w:trPr>
        <w:tc>
          <w:tcPr>
            <w:tcW w:w="5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nine months ended September 30, 2014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Reclassified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Prior Period</w:t>
            </w:r>
          </w:p>
        </w:tc>
        <w:tc>
          <w:tcPr>
            <w:tcW w:w="0" w:type="dxa"/>
            <w:vAlign w:val="bottom"/>
          </w:tcPr>
          <w:p>
            <w:pPr>
              <w:spacing w:after="0"/>
              <w:rPr>
                <w:sz w:val="1"/>
                <w:szCs w:val="1"/>
                <w:color w:val="auto"/>
              </w:rPr>
            </w:pPr>
          </w:p>
        </w:tc>
      </w:tr>
      <w:tr>
        <w:trPr>
          <w:trHeight w:val="171"/>
        </w:trPr>
        <w:tc>
          <w:tcPr>
            <w:tcW w:w="58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Amounts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434,849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58,898</w:t>
            </w: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Insurance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181,839</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Investor relations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-685165</wp:posOffset>
            </wp:positionV>
            <wp:extent cx="51885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60" w:right="519" w:firstLine="270"/>
        <w:spacing w:after="0" w:line="297" w:lineRule="auto"/>
        <w:rPr>
          <w:sz w:val="20"/>
          <w:szCs w:val="20"/>
          <w:color w:val="auto"/>
        </w:rPr>
      </w:pPr>
      <w:r>
        <w:rPr>
          <w:rFonts w:ascii="Arial" w:cs="Arial" w:eastAsia="Arial" w:hAnsi="Arial"/>
          <w:sz w:val="16"/>
          <w:szCs w:val="16"/>
          <w:color w:val="auto"/>
        </w:rPr>
        <w:t>The preparation of condensed consolidated financial statements requires the Company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reported period. It is likely that changes in these estimates will occur in the near term. The Company’s estimates are inherently subjective in nature and actual results could differ materially from such estimates.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jc w:val="both"/>
        <w:ind w:left="60" w:right="519" w:firstLine="270"/>
        <w:spacing w:after="0" w:line="342" w:lineRule="auto"/>
        <w:rPr>
          <w:sz w:val="20"/>
          <w:szCs w:val="20"/>
          <w:color w:val="auto"/>
        </w:rPr>
      </w:pPr>
      <w:r>
        <w:rPr>
          <w:rFonts w:ascii="Arial" w:cs="Arial" w:eastAsia="Arial" w:hAnsi="Arial"/>
          <w:sz w:val="16"/>
          <w:szCs w:val="16"/>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200" w:lineRule="exact"/>
        <w:rPr>
          <w:sz w:val="20"/>
          <w:szCs w:val="20"/>
          <w:color w:val="auto"/>
        </w:rPr>
      </w:pPr>
    </w:p>
    <w:p>
      <w:pPr>
        <w:spacing w:after="0" w:line="27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81" w:lineRule="exact"/>
        <w:rPr>
          <w:sz w:val="20"/>
          <w:szCs w:val="20"/>
          <w:color w:val="auto"/>
        </w:rPr>
      </w:pPr>
    </w:p>
    <w:p>
      <w:pPr>
        <w:jc w:val="both"/>
        <w:ind w:left="40" w:right="539" w:firstLine="27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based on unadjusted quoted prices for identical assets or liabilities in an active market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ability to access at the measurement date.</w:t>
      </w:r>
    </w:p>
    <w:p>
      <w:pPr>
        <w:spacing w:after="0" w:line="54"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Valuations based on observable inputs other than Level 1 prices, such as quoted prices for similar assets or</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quoted prices in markets that are not active; or other inputs that are observable or can be corroborated by observable market data at the measurement date for substantially the full term of the assets or liabilities.</w:t>
      </w:r>
    </w:p>
    <w:p>
      <w:pPr>
        <w:spacing w:after="0" w:line="50"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unobservable inputs that reflect management's best estimate of what market participants would</w:t>
      </w:r>
      <w:r>
        <w:rPr>
          <w:rFonts w:ascii="Arial" w:cs="Arial" w:eastAsia="Arial" w:hAnsi="Arial"/>
          <w:sz w:val="18"/>
          <w:szCs w:val="18"/>
          <w:b w:val="1"/>
          <w:bCs w:val="1"/>
          <w:color w:val="auto"/>
        </w:rPr>
        <w:t xml:space="preserve"> </w:t>
      </w:r>
      <w:r>
        <w:rPr>
          <w:rFonts w:ascii="Arial" w:cs="Arial" w:eastAsia="Arial" w:hAnsi="Arial"/>
          <w:sz w:val="18"/>
          <w:szCs w:val="18"/>
          <w:color w:val="auto"/>
        </w:rPr>
        <w:t>use in pricing the asset or liability at the measurement date. Consideration is given to the risk inherent in the valuation technique and the risk inherent in the inputs to the model.</w:t>
      </w:r>
    </w:p>
    <w:p>
      <w:pPr>
        <w:spacing w:after="0" w:line="7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3 — Investments at Fair Value” may include changes in fair value that are attributable to both observable inputs (Levels 1 and 2) and unobservable inputs (Level 3).</w:t>
      </w:r>
    </w:p>
    <w:p>
      <w:pPr>
        <w:spacing w:after="0" w:line="85"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Assets or Liabilities are reported as transfers in/out of the Level 3 category as of the end of the quarter in which the reclassifications occur. Refer to “Levelling Policy” for a detailed discussion of the levelling of the Company’s financial assets or liabilities and events that may cause a reclassification within the fair value hierarchy.</w:t>
      </w:r>
    </w:p>
    <w:p>
      <w:pPr>
        <w:spacing w:after="0" w:line="80"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Securities for which market quotations are readily available on an exchange are valued at the closing price of such security on the valuation date; however, if they are subject to restrictions upon sale (such as lock-up restrictions), they may be discounted accordingly.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5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GSV Asset Management, the board of directors or the valuation committee of the board of directors (the “Valuation Committee”), does not represent fair value, shall each be valued as follows:</w:t>
      </w:r>
    </w:p>
    <w:p>
      <w:pPr>
        <w:spacing w:after="0" w:line="79" w:lineRule="exact"/>
        <w:rPr>
          <w:sz w:val="20"/>
          <w:szCs w:val="20"/>
          <w:color w:val="auto"/>
        </w:rPr>
      </w:pPr>
    </w:p>
    <w:p>
      <w:pPr>
        <w:ind w:left="540" w:right="539"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of GSV Asset Management responsible for the portfolio investment;</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GSV Asset Management senior management;</w:t>
      </w:r>
    </w:p>
    <w:p>
      <w:pPr>
        <w:spacing w:after="0" w:line="200" w:lineRule="exact"/>
        <w:rPr>
          <w:sz w:val="20"/>
          <w:szCs w:val="20"/>
          <w:color w:val="auto"/>
        </w:rPr>
      </w:pPr>
    </w:p>
    <w:p>
      <w:pPr>
        <w:spacing w:after="0" w:line="39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560" w:right="539" w:hanging="262"/>
        <w:spacing w:after="0" w:line="264"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or on behalf of, the Valuation Committee to conduct independent appraisals and review management’s preliminary valuations and make their own independent assessment, for all investments for which there are no readily available market quotations;</w:t>
      </w:r>
    </w:p>
    <w:p>
      <w:pPr>
        <w:spacing w:after="0" w:line="73" w:lineRule="exact"/>
        <w:rPr>
          <w:rFonts w:ascii="Arial" w:cs="Arial" w:eastAsia="Arial" w:hAnsi="Arial"/>
          <w:sz w:val="18"/>
          <w:szCs w:val="18"/>
          <w:color w:val="auto"/>
        </w:rPr>
      </w:pPr>
    </w:p>
    <w:p>
      <w:pPr>
        <w:jc w:val="both"/>
        <w:ind w:left="560" w:right="519" w:hanging="262"/>
        <w:spacing w:after="0" w:line="264"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Valuation Committee discusses the valuations and recommends to the Company’s board of directors a fair value for each investment in the portfolio in good faith based on the input of GSV Asset Management and the independent third-party valuation firm; and</w:t>
      </w:r>
    </w:p>
    <w:p>
      <w:pPr>
        <w:spacing w:after="0" w:line="73" w:lineRule="exact"/>
        <w:rPr>
          <w:rFonts w:ascii="Arial" w:cs="Arial" w:eastAsia="Arial" w:hAnsi="Arial"/>
          <w:sz w:val="18"/>
          <w:szCs w:val="18"/>
          <w:color w:val="auto"/>
        </w:rPr>
      </w:pPr>
    </w:p>
    <w:p>
      <w:pPr>
        <w:ind w:left="560" w:right="539" w:hanging="262"/>
        <w:spacing w:after="0" w:line="277"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pacing w:after="0" w:line="62" w:lineRule="exact"/>
        <w:rPr>
          <w:sz w:val="20"/>
          <w:szCs w:val="20"/>
          <w:color w:val="auto"/>
        </w:rPr>
      </w:pPr>
    </w:p>
    <w:p>
      <w:pPr>
        <w:jc w:val="both"/>
        <w:ind w:left="60" w:right="519" w:firstLine="270"/>
        <w:spacing w:after="0" w:line="272" w:lineRule="auto"/>
        <w:rPr>
          <w:sz w:val="20"/>
          <w:szCs w:val="20"/>
          <w:color w:val="auto"/>
        </w:rPr>
      </w:pPr>
      <w:r>
        <w:rPr>
          <w:rFonts w:ascii="Arial" w:cs="Arial" w:eastAsia="Arial" w:hAnsi="Arial"/>
          <w:sz w:val="17"/>
          <w:szCs w:val="17"/>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70"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The Company engages at least one independent valuation firm to perform valuations of its investments that are not publicly traded or for which there are no readily available market quotations. The Company considers the independent valuations provided by the valuation firm(s), among other factors, in making its fair value determinations. The table below shows the percentages of the Company’s investments for which there are no readily available market quotations, for which an independent valuation firm was engaged to perform valuations, during the current and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52139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For the quarter ended March 31, 2014</w:t>
            </w:r>
          </w:p>
        </w:tc>
        <w:tc>
          <w:tcPr>
            <w:tcW w:w="2880" w:type="dxa"/>
            <w:vAlign w:val="bottom"/>
          </w:tcPr>
          <w:p>
            <w:pPr>
              <w:jc w:val="right"/>
              <w:ind w:right="70"/>
              <w:spacing w:after="0"/>
              <w:rPr>
                <w:sz w:val="20"/>
                <w:szCs w:val="20"/>
                <w:color w:val="auto"/>
              </w:rPr>
            </w:pPr>
            <w:r>
              <w:rPr>
                <w:rFonts w:ascii="Arial" w:cs="Arial" w:eastAsia="Arial" w:hAnsi="Arial"/>
                <w:sz w:val="18"/>
                <w:szCs w:val="18"/>
                <w:color w:val="auto"/>
              </w:rPr>
              <w:t>100%</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June 30, 2014</w:t>
            </w:r>
          </w:p>
        </w:tc>
        <w:tc>
          <w:tcPr>
            <w:tcW w:w="2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For the quarter ended September 30, 2014</w:t>
            </w:r>
          </w:p>
        </w:tc>
        <w:tc>
          <w:tcPr>
            <w:tcW w:w="2880" w:type="dxa"/>
            <w:vAlign w:val="bottom"/>
          </w:tcPr>
          <w:p>
            <w:pPr>
              <w:jc w:val="right"/>
              <w:ind w:right="70"/>
              <w:spacing w:after="0"/>
              <w:rPr>
                <w:sz w:val="20"/>
                <w:szCs w:val="20"/>
                <w:color w:val="auto"/>
              </w:rPr>
            </w:pPr>
            <w:r>
              <w:rPr>
                <w:rFonts w:ascii="Arial" w:cs="Arial" w:eastAsia="Arial" w:hAnsi="Arial"/>
                <w:sz w:val="18"/>
                <w:szCs w:val="18"/>
                <w:color w:val="auto"/>
              </w:rPr>
              <w:t>100%</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December 31, 2014</w:t>
            </w:r>
          </w:p>
        </w:tc>
        <w:tc>
          <w:tcPr>
            <w:tcW w:w="2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For the quarter ended March 31, 2015</w:t>
            </w:r>
          </w:p>
        </w:tc>
        <w:tc>
          <w:tcPr>
            <w:tcW w:w="2880" w:type="dxa"/>
            <w:vAlign w:val="bottom"/>
          </w:tcPr>
          <w:p>
            <w:pPr>
              <w:jc w:val="right"/>
              <w:ind w:right="70"/>
              <w:spacing w:after="0"/>
              <w:rPr>
                <w:sz w:val="20"/>
                <w:szCs w:val="20"/>
                <w:color w:val="auto"/>
              </w:rPr>
            </w:pPr>
            <w:r>
              <w:rPr>
                <w:rFonts w:ascii="Arial" w:cs="Arial" w:eastAsia="Arial" w:hAnsi="Arial"/>
                <w:sz w:val="18"/>
                <w:szCs w:val="18"/>
                <w:color w:val="auto"/>
              </w:rPr>
              <w:t>100%</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June 30, 2015</w:t>
            </w:r>
          </w:p>
        </w:tc>
        <w:tc>
          <w:tcPr>
            <w:tcW w:w="2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For the quarter ended September 30, 2015</w:t>
            </w:r>
          </w:p>
        </w:tc>
        <w:tc>
          <w:tcPr>
            <w:tcW w:w="2880" w:type="dxa"/>
            <w:vAlign w:val="bottom"/>
          </w:tcPr>
          <w:p>
            <w:pPr>
              <w:jc w:val="right"/>
              <w:ind w:right="70"/>
              <w:spacing w:after="0"/>
              <w:rPr>
                <w:sz w:val="20"/>
                <w:szCs w:val="20"/>
                <w:color w:val="auto"/>
              </w:rPr>
            </w:pPr>
            <w:r>
              <w:rPr>
                <w:rFonts w:ascii="Arial" w:cs="Arial" w:eastAsia="Arial" w:hAnsi="Arial"/>
                <w:sz w:val="18"/>
                <w:szCs w:val="18"/>
                <w:color w:val="auto"/>
              </w:rPr>
              <w:t>100%</w:t>
            </w:r>
          </w:p>
        </w:tc>
      </w:tr>
    </w:tbl>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jc w:val="both"/>
        <w:ind w:left="60" w:right="519" w:firstLine="270"/>
        <w:spacing w:after="0" w:line="272" w:lineRule="auto"/>
        <w:rPr>
          <w:sz w:val="20"/>
          <w:szCs w:val="20"/>
          <w:color w:val="auto"/>
        </w:rPr>
      </w:pPr>
      <w:r>
        <w:rPr>
          <w:rFonts w:ascii="Arial" w:cs="Arial" w:eastAsia="Arial" w:hAnsi="Arial"/>
          <w:sz w:val="17"/>
          <w:szCs w:val="17"/>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70"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w:t>
      </w:r>
    </w:p>
    <w:p>
      <w:pPr>
        <w:spacing w:after="0" w:line="200" w:lineRule="exact"/>
        <w:rPr>
          <w:sz w:val="20"/>
          <w:szCs w:val="20"/>
          <w:color w:val="auto"/>
        </w:rPr>
      </w:pPr>
    </w:p>
    <w:p>
      <w:pPr>
        <w:spacing w:after="0" w:line="32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19"/>
        <w:spacing w:after="0" w:line="257" w:lineRule="auto"/>
        <w:rPr>
          <w:sz w:val="20"/>
          <w:szCs w:val="20"/>
          <w:color w:val="auto"/>
        </w:rPr>
      </w:pPr>
      <w:r>
        <w:rPr>
          <w:rFonts w:ascii="Arial" w:cs="Arial" w:eastAsia="Arial" w:hAnsi="Arial"/>
          <w:sz w:val="18"/>
          <w:szCs w:val="18"/>
          <w:color w:val="auto"/>
        </w:rPr>
        <w:t>transaction in which the Company acquired its securities, subsequent equity sales by the Portfolio Company,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80"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generally uses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Given the nature of the Company’s current debt investments (excluding U.S. Treasuries), principally convertible and promissory notes issued by venture-capital-backed portfolio companies, these investments are Level 3 assets because there is no known or accessible market or market indexes for these investment securities to be traded or exchanged. The Company values its debt investments at amortized cost plus accrued interest which it believes approximates fair value.</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board of directors will ascribe value to warrants based on fair value analyses that can include discounted cash flow analyses, option pricing models, comparable analyses and other techniques as deemed appropriate.</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Levelling Policy</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The portfolio companies in which the Company invests periodically offer their shares in IPOs. The Company’s shares in such portfolio companies are typically subject to lock-up agreements for 180 days following the IPO. Upon the IPO date, the Company transfers its investment from Level 3 to Level 1 due to the presence of an active market, limited by the lock-up agreement. The Company prices the investment at the closing price on a public exchange as of the measurement date. In situations where the lock-up restrictions have expired, but other factors restrict the sale of the investment, the Company will consider the nature of any restrictions on the sale of the investment. The Company will classify the investment as either Level 2 subject to an appropriate DLOM to reflect the restrictions upon sale or as Level 1. The Company transfers investments between levels based on the fair value at the end of measurement period in accordance with ASC 820.</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of Other Financial Instruments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 The embedded derivative liability is carried at fair value.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40" w:right="185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 (continued) </w:t>
      </w:r>
      <w:r>
        <w:rPr>
          <w:rFonts w:ascii="Arial" w:cs="Arial" w:eastAsia="Arial" w:hAnsi="Arial"/>
          <w:sz w:val="18"/>
          <w:szCs w:val="18"/>
          <w:b w:val="1"/>
          <w:bCs w:val="1"/>
          <w:i w:val="1"/>
          <w:iCs w:val="1"/>
          <w:color w:val="auto"/>
        </w:rPr>
        <w:t>Securities Transactions</w:t>
      </w:r>
    </w:p>
    <w:p>
      <w:pPr>
        <w:spacing w:after="0" w:line="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Securities transactions are accounted for on the date the transaction for the purchase or sale of the securities is entered into by the Company (</w:t>
      </w:r>
      <w:r>
        <w:rPr>
          <w:rFonts w:ascii="Arial" w:cs="Arial" w:eastAsia="Arial" w:hAnsi="Arial"/>
          <w:sz w:val="17"/>
          <w:szCs w:val="17"/>
          <w:i w:val="1"/>
          <w:iCs w:val="1"/>
          <w:color w:val="auto"/>
        </w:rPr>
        <w:t>i.e.</w:t>
      </w:r>
      <w:r>
        <w:rPr>
          <w:rFonts w:ascii="Arial" w:cs="Arial" w:eastAsia="Arial" w:hAnsi="Arial"/>
          <w:sz w:val="17"/>
          <w:szCs w:val="17"/>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GSV is a non-diversified company within the meaning of the 1940 Act. GSV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another person. Refer to the Condensed Consolidated Schedules of Investments as of September 30, 2015 and December 31, 2014, respectively, for details regarding the nature and composition of the Company’s investment portfolio.</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w:t>
      </w:r>
    </w:p>
    <w:p>
      <w:pPr>
        <w:spacing w:after="0" w:line="11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Company places its cash with U.S. Bank National Association and Silicon Valley Bank, and at times, cash held in these accounts may exceed the Federal Deposit Insurance Corporation insured limit. The Company may invest a portion of its cash in money market funds, within limitations of the 1940 Act.</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On December 31, 2013, the Company entered into a Loan and Security Agreement (the “Loan Agreement”) with Silicon Valley Bank, pursuant to which Silicon Valley Bank agreed to provide the Company with an $18 million credit facility (the “Credit Facility”). The Company recorded origination expenses related to the Credit Facility as deferred financing costs. These expenses are deferred and amortized as part of interest expense using the effective interest method over the respective expected life of the Credit Facility. In the event that the Company modifies or extinguishes the Credit Facility, it follows the guidance in ASC 470-50, Modification and Extinguishments (“ASC 470-50”). For modifications to or exchanges of the Credit Facility, any unamortized deferred costs are expensed. As of September 30, 2015, $88,618 remains to be amortized and is included within deferred financing costs on the Condensed Consolidated Statements of Assets and Liabilities.</w:t>
      </w:r>
    </w:p>
    <w:p>
      <w:pPr>
        <w:spacing w:after="0" w:line="71"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On September 17, 2013, the Company issued $69 million aggregate principal amount of the Convertible Senior Notes, which bear interest at a fixed rate of 5.25% per year and mature on September 15, 2018 (the “Convertible Senior Notes”) (including $9 million aggregate principal amount issued pursuant to the exercise of the initial purchasers’ option to purchase additional Convertible Senior Notes). The Company recorded origination expenses related to the Convertible Senior Notes as deferred financing costs. These expenses are deferred and amortized as part of interest expense using the effective interest method over the respective life of the Convertible Senior Notes. In the event that the Company modifies or extinguishes its debt before maturity, it follows the guidance in ASC 470-50. For extinguishments of the Convertible Senior Notes, any unamortized deferred costs are deducted from the basis of the debt in determining the gain or loss from the extinguishment. Proceeds from the issuance of the Convertible Senior Notes were offset by offering costs of $3,585,929</w:t>
      </w:r>
      <w:r>
        <w:rPr>
          <w:rFonts w:ascii="Arial" w:cs="Arial" w:eastAsia="Arial" w:hAnsi="Arial"/>
          <w:sz w:val="16"/>
          <w:szCs w:val="16"/>
          <w:i w:val="1"/>
          <w:iCs w:val="1"/>
          <w:color w:val="auto"/>
        </w:rPr>
        <w:t>.</w:t>
      </w:r>
      <w:r>
        <w:rPr>
          <w:rFonts w:ascii="Arial" w:cs="Arial" w:eastAsia="Arial" w:hAnsi="Arial"/>
          <w:sz w:val="16"/>
          <w:szCs w:val="16"/>
          <w:color w:val="auto"/>
        </w:rPr>
        <w:t xml:space="preserve"> As of September 30, 2015, $2,128,924 remains to be amortized and is included within deferred financing costs on the Condensed Consolidated Statements of Assets and Liabilities.</w:t>
      </w:r>
    </w:p>
    <w:p>
      <w:pPr>
        <w:spacing w:after="0" w:line="200" w:lineRule="exact"/>
        <w:rPr>
          <w:sz w:val="20"/>
          <w:szCs w:val="20"/>
          <w:color w:val="auto"/>
        </w:rPr>
      </w:pPr>
    </w:p>
    <w:p>
      <w:pPr>
        <w:spacing w:after="0" w:line="30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40" w:right="185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 (continued) </w:t>
      </w:r>
      <w:r>
        <w:rPr>
          <w:rFonts w:ascii="Arial" w:cs="Arial" w:eastAsia="Arial" w:hAnsi="Arial"/>
          <w:sz w:val="18"/>
          <w:szCs w:val="18"/>
          <w:b w:val="1"/>
          <w:bCs w:val="1"/>
          <w:i w:val="1"/>
          <w:iCs w:val="1"/>
          <w:color w:val="auto"/>
        </w:rPr>
        <w:t>Restricted Cash</w:t>
      </w:r>
    </w:p>
    <w:p>
      <w:pPr>
        <w:spacing w:after="0" w:line="1"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As of September 30, 2015 and December 31, 2014, the Company had Restricted Cash of $52,931 and $48,889, respectively, which is included on the Condensed Consolidated Statements of Assets and Liabilities. As of both September 30, 2015 and December 31, 2014, Restricted Cash consisted of a $25,000 deposit for the Company’s fidelity bond as well as excess funds remaining in escrow after the purchase of the government securities that will be used to make the scheduled interest payments on the Convertible Senior Notes. See “Note 9 — Long Term Liabilities” for further detail.</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determined using the specific identification method.</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Interest: </w:t>
      </w:r>
      <w:r>
        <w:rPr>
          <w:rFonts w:ascii="Arial" w:cs="Arial" w:eastAsia="Arial" w:hAnsi="Arial"/>
          <w:sz w:val="17"/>
          <w:szCs w:val="17"/>
          <w:color w:val="auto"/>
        </w:rPr>
        <w:t>Interest income, adjusted for amortization of premium and accretion of discount, is recorded on an accrual basis.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 income is recognized on the ex-dividend date.</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117"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issuer, are included in the cost basis of purchases and deducted from the proceeds of sales. The Company makes certain acquisitions on the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These transactions are reflected on the Statement of Assets and Liabilities as Escrow deposits. At September 30, 2015 and December 31, 2014, the Company had no Escrow deposits.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Unrealized Appreciation or Depreciation of Investments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Unrealized appreciation or depreciation is calculated as the difference between the fair value of the investment and the cost basis of such investment.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The Company has elected to be treated as a regulated investment company (a “RIC”) under subchapter M of the Internal Revenue Code of 1986, as amended (the “Code”), for the 2014 taxable year, and operates in a manner so as to qualify for the tax treatment applicable to RICs. In order to qualify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and meet certain source of income and asset diversification requirements on a quarterly basis. Depending on the level of ICTI earned in a tax year, the Company may choose to carry forward into the next tax year ICTI in excess of current year dividend distributions. Any such carryforward ICTI must be distributed on or before December 31 of the subsequent tax year to which they were carried forward.</w:t>
      </w:r>
    </w:p>
    <w:p>
      <w:pPr>
        <w:spacing w:after="0" w:line="70"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If the Company does not distribute (or is not deemed to have distributed) during each calendar year a sum of (1) 98% of its net ordinary income for each calendar year, (2) 98.2% of its capital gain net income for the one-year period ending October 31 in that calendar year and (3) any income recognized, but not</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19"/>
        <w:spacing w:after="0" w:line="273" w:lineRule="auto"/>
        <w:rPr>
          <w:sz w:val="20"/>
          <w:szCs w:val="20"/>
          <w:color w:val="auto"/>
        </w:rPr>
      </w:pPr>
      <w:r>
        <w:rPr>
          <w:rFonts w:ascii="Arial" w:cs="Arial" w:eastAsia="Arial" w:hAnsi="Arial"/>
          <w:sz w:val="17"/>
          <w:szCs w:val="17"/>
          <w:color w:val="auto"/>
        </w:rPr>
        <w:t>distributed, in preceding years (the “Minimum Distribution Amount”), it will generally be required to pay an excise tax equal to 4% of the amount by the which Minimum Distribution Amount exceeds the distributions for the year. To the extent that the Company determines its estimated current year annual taxable income will be in excess of the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70"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The Company was taxed as a regular corporation (a “C corporation”) under subchapter C of the Code, for its 2012 taxable year. In September 2014, the Company filed its 2013 tax return as a RIC and sought to be granted RIC status for its 2013 taxable year; however, the Company determined it would not be eligible to elect to be treated as a RIC for the 2013 taxable year unless it was certified by the Securities and Exchange Commission (the “SEC”) as “principally engaged in the furnishing of capital to other corporations which are principally engaged in the development or exploitation of inventions, technological improvements, new processes, or products not previously generally available” for the 2013 taxable year (such certification, an “SEC Certification”). The Company has not received such SEC Certification for its 2013 taxable year; however, in September 2015, the Company determined it was in the best interests of its stockholders to file the 2013 tax return as a C corporation.</w:t>
      </w:r>
    </w:p>
    <w:p>
      <w:pPr>
        <w:spacing w:after="0" w:line="71"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6"/>
          <w:szCs w:val="16"/>
          <w:color w:val="auto"/>
        </w:rPr>
        <w:t>The Company has, however, determined that it satisfied the requirements to qualify as a RIC for the 2014 taxable year and elected to be treated as a RIC in its 2014 tax return filed in September 2015.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condensed consolidated financial statements of the Company. Included in the Company’s condensed consolidated financial statements, the GSVC Holdings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59"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The Company also expects to qualify as a RIC for the 2015 taxable year and going forward. At the present time, the Company cannot assure its investors that it will be eligible to elect to be taxed as a RIC for its 2015 taxable year. If it is not treated as a RIC for 2015, the Company will be taxed as a C corporation under the Code for the 2015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regular corporate tax on any net built-in gains with respect to certain of its</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39"/>
        <w:spacing w:after="0" w:line="286" w:lineRule="auto"/>
        <w:rPr>
          <w:sz w:val="20"/>
          <w:szCs w:val="20"/>
          <w:color w:val="auto"/>
        </w:rPr>
      </w:pPr>
      <w:r>
        <w:rPr>
          <w:rFonts w:ascii="Arial" w:cs="Arial" w:eastAsia="Arial" w:hAnsi="Arial"/>
          <w:sz w:val="17"/>
          <w:szCs w:val="17"/>
          <w:color w:val="auto"/>
        </w:rPr>
        <w:t>assets (</w:t>
      </w:r>
      <w:r>
        <w:rPr>
          <w:rFonts w:ascii="Arial" w:cs="Arial" w:eastAsia="Arial" w:hAnsi="Arial"/>
          <w:sz w:val="17"/>
          <w:szCs w:val="17"/>
          <w:i w:val="1"/>
          <w:iCs w:val="1"/>
          <w:color w:val="auto"/>
        </w:rPr>
        <w:t>i.e.</w:t>
      </w:r>
      <w:r>
        <w:rPr>
          <w:rFonts w:ascii="Arial" w:cs="Arial" w:eastAsia="Arial" w:hAnsi="Arial"/>
          <w:sz w:val="17"/>
          <w:szCs w:val="17"/>
          <w:color w:val="auto"/>
        </w:rPr>
        <w:t>, the excess of the aggregate gains, including items of income, over aggregate losses that would have been realized with respect to such assets if the Company had been liquidated) that it elects to recognize on requalification or when recognized over the next ten years. Refer to “Note 8 — Income Taxes” for further details regarding the Company’s tax status.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117"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Basic net increase in net assets resulting from operations per common share is computed using the weighted-average number of shares outstanding for the period presented. Diluted net increase in net assets resulting from operations per common share is computed by dividing net increase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ASC 260 to determine the number of potentially dilutive shares outstanding. Refer to “Note 5 — Net Increase in Net Assets Resulting from Operations per Common Share — Basic and Diluted” for further detail.</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Capital Accounts</w:t>
      </w:r>
    </w:p>
    <w:p>
      <w:pPr>
        <w:spacing w:after="0" w:line="117"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Certain capital accounts including undistributed net investment income or loss, accumulated net realized gains or losses, net unrealized appreciation or depreciation, and paid-in capital in excess of par, are adjusted, at least annually, for permanent differences between book and tax. In addition, the character of income and gains to be distributed is determined in accordance with income tax regulations that may differ from GAAP. GAAP requires that certain components of net assets relating to permanent differences are to be reclassified between financial statement reporting and tax reporting. These reclassifications have no effect on the net assets or net asset value per share and are intended to enable the Company’s stockholders to determine the amount of accumulated and undistributed earnings they potentially could receive in the future and on which they could be taxed.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In April 2015, the Financial Accounting Standards Board issued Accounting Standards Update 2015-03, Interest — Imputation of Interest (Topic 835): Simplifying the Presentation of Debt Issuance Costs (“ASU 2015-03”). ASU 2015-03 requires companies to present debt issuance costs related to a recognized debt liability in the Condensed Consolidated Statement of Assets and Liabilities as a direct deduction from the carrying amount of that debt liability, consistent with debt discounts. Public companies are required to apply ASU 2015-03 retrospectively for interim and annual reporting periods beginning after December 15, 2015.</w:t>
      </w:r>
    </w:p>
    <w:p>
      <w:pPr>
        <w:spacing w:after="0" w:line="5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Company does not believe that the adoption of any recently issued accounting standards, had or will have a material impact on its current financial position and results of operations.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has entered into an investment advisory agreement with GSV Asset Management (the “Advisory Agreement”). Pursuant to the Advisory Agreement, GSV Asset Management will be paid a base annual fee of 2% of gross assets, and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 –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Incentive Fees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has not paid GSV Asset Management any incentive fees since inception under the terms of the Advisory Agreement. However for GAAP purposes, in accordance with the AICPA’s TPA (TIS 6910.2), the Company is required to accrue incentive fees as if the Company had fully liquidated the entire investment portfolio at the fair value stated on the Condensed Consolidated Statements of Assets and Liabilities as of September 30, 2015 and December 31, 2014. This accrual considers both the hypothetical liquidation of the Company’s portfolio described previously, as well as the Company’s actual cumulative realized gains and losses since inception.</w:t>
      </w:r>
    </w:p>
    <w:p>
      <w:pPr>
        <w:spacing w:after="0" w:line="85"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For the three and nine months ended September 30, 2015, the Company accrued incentive fees of $1,062,535, and $10,839,602, respectively, for financial statement purposes. For the three and nine months ended September 30, 2014, the Company accrued incentive fees of $3,684,300, and $5,498,585, respectively, for financial statement purposes.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Management Fees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GSV Asset Management earned $2,063,017 and $5,994,530 in management fees for the three and nine months ended September 30, 2015, respectively. GSV Asset Management earned $1,949,705 and $5,639,564 in management fees for the three and nine months ended September 30, 2014, respectively.</w:t>
      </w:r>
    </w:p>
    <w:p>
      <w:pPr>
        <w:spacing w:after="0" w:line="73"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As of September 30, 2015, the Company was owed $205,472 from GSV Asset Management for reimbursement of expenses paid for by the Company that were the responsibility of GSV Asset Management. In addition as of September 30, 2015, the Company owed GSV Asset Management $19,980 for reimbursement of other expenses.</w:t>
      </w:r>
    </w:p>
    <w:p>
      <w:pPr>
        <w:spacing w:after="0" w:line="73"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As of December 31, 2014, the Company was owed $204,825 from GSV Asset Management for reimbursement of expenses paid for by the Company that were the responsibility of GSV Asset Management. In addition as of December 31, 2014, the Company owed GSV Asset Management $23,396 for reimbursement of other expenses.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121"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The Company has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The Company reimburses GSV Capital Service Company an allocable portion of overhead and other expenses in performing its obligations under the Administration Agreement. There were $598,456 and $2,185,888 in such costs incurred under the Administration Agreement for the three and nine months ended September 30, 2015, respectively. There were $718,896 and $2,557,129 in such costs incurred under the Administration Agreement for the three and nine months ended September 30, 2014, respectively.</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12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Investments in Controlled and Affiliated Portfolio Companies</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Under the 1940 Act, the Company’s investments in Controlled and Affiliated portfolio companies are deemed to be related-party transactions.</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 w:name="page33"/>
    <w:bookmarkEnd w:id="32"/>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w:t>
      </w:r>
    </w:p>
    <w:p>
      <w:pPr>
        <w:spacing w:after="0" w:line="121" w:lineRule="exact"/>
        <w:rPr>
          <w:sz w:val="20"/>
          <w:szCs w:val="20"/>
          <w:color w:val="auto"/>
        </w:rPr>
      </w:pPr>
    </w:p>
    <w:p>
      <w:pPr>
        <w:jc w:val="both"/>
        <w:ind w:left="180" w:right="519" w:firstLine="270"/>
        <w:spacing w:after="0" w:line="255" w:lineRule="auto"/>
        <w:rPr>
          <w:sz w:val="20"/>
          <w:szCs w:val="20"/>
          <w:color w:val="auto"/>
        </w:rPr>
      </w:pPr>
      <w:r>
        <w:rPr>
          <w:rFonts w:ascii="Arial" w:cs="Arial" w:eastAsia="Arial" w:hAnsi="Arial"/>
          <w:sz w:val="18"/>
          <w:szCs w:val="18"/>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also from time to time, invest in U.S. Treasury Securities. Non-portfolio investments represent investments in U.S. Treasury Securities. At September 30, 2015, the Company had 92 positions in 48 portfolio companies. At December 31, 2014, the Company had 99 positions in 52 portfolio companies. The following table summarizes the composition of the Company’s investment portfolio by security type at cost and fair value as of September 30, 2015 and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17780</wp:posOffset>
            </wp:positionV>
            <wp:extent cx="52139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 2015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vMerge w:val="restart"/>
          </w:tcPr>
          <w:p>
            <w:pPr>
              <w:jc w:val="right"/>
              <w:ind w:right="431"/>
              <w:spacing w:after="0"/>
              <w:rPr>
                <w:sz w:val="20"/>
                <w:szCs w:val="20"/>
                <w:color w:val="auto"/>
              </w:rPr>
            </w:pPr>
            <w:r>
              <w:rPr>
                <w:rFonts w:ascii="Arial" w:cs="Arial" w:eastAsia="Arial" w:hAnsi="Arial"/>
                <w:sz w:val="14"/>
                <w:szCs w:val="14"/>
                <w:b w:val="1"/>
                <w:bCs w:val="1"/>
                <w:color w:val="auto"/>
              </w:rPr>
              <w:t>December 31, 2014</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7"/>
              </w:rPr>
              <w:t>(Unaudited)</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50,911,154</w:t>
            </w:r>
          </w:p>
        </w:tc>
        <w:tc>
          <w:tcPr>
            <w:tcW w:w="2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95,134,155</w:t>
            </w:r>
          </w:p>
        </w:tc>
        <w:tc>
          <w:tcPr>
            <w:tcW w:w="2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55,085,728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85,598,467</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195,847,526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221,618,041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190,308,932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193,847,045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Investments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2,057,464</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2,207,561</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1,360,331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1,374,210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301,196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495,877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301,196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904,345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Subtotal – Private Portfolio Companies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249,117,340</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319,455,634</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247,056,187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281,724,067</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4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30,743,688</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30,334,740</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54,055,502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89,260,250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48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w w:val="94"/>
              </w:rPr>
              <w:t>Total Private and Publicly Traded Portfolio</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48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279,861,028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349,790,374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301,111,689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370,984,317</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U.S. Treasury Bill</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25,000,604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25,000,604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100,001,692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100,000,056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Strips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3,669,246</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3,680,616</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7,286,332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7,298,042</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Total Non-Portfolio Investments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28,669,850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28,681,220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107,288,024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107,298,098</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308,530,878</w:t>
            </w:r>
          </w:p>
        </w:tc>
        <w:tc>
          <w:tcPr>
            <w:tcW w:w="2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378,471,594</w:t>
            </w:r>
          </w:p>
        </w:tc>
        <w:tc>
          <w:tcPr>
            <w:tcW w:w="2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408,399,713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478,282,415</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4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4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-1946275</wp:posOffset>
            </wp:positionV>
            <wp:extent cx="5213985"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-1663065</wp:posOffset>
            </wp:positionV>
            <wp:extent cx="5213985" cy="291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-960120</wp:posOffset>
            </wp:positionV>
            <wp:extent cx="5213985"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-668020</wp:posOffset>
            </wp:positionV>
            <wp:extent cx="5213985"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3" w:name="page34"/>
    <w:bookmarkEnd w:id="33"/>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180" w:right="539" w:firstLine="270"/>
        <w:spacing w:after="0" w:line="308" w:lineRule="auto"/>
        <w:rPr>
          <w:sz w:val="20"/>
          <w:szCs w:val="20"/>
          <w:color w:val="auto"/>
        </w:rPr>
      </w:pPr>
      <w:r>
        <w:rPr>
          <w:rFonts w:ascii="Arial" w:cs="Arial" w:eastAsia="Arial" w:hAnsi="Arial"/>
          <w:sz w:val="17"/>
          <w:szCs w:val="17"/>
          <w:color w:val="auto"/>
        </w:rPr>
        <w:t>The fair values of the Company’s investments disaggregated into the three levels of the fair value hierarchy based upon the lowest level of significant input used in the valuation as of September 30, 2015 and December 31,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-8890</wp:posOffset>
            </wp:positionV>
            <wp:extent cx="52139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93"/>
              </w:rPr>
              <w:t>As of September 30, 2015 (Unaudited)</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12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80" w:type="dxa"/>
            <w:vAlign w:val="bottom"/>
          </w:tcPr>
          <w:p>
            <w:pPr>
              <w:spacing w:after="0"/>
              <w:rPr>
                <w:sz w:val="10"/>
                <w:szCs w:val="10"/>
                <w:color w:val="auto"/>
              </w:rPr>
            </w:pPr>
          </w:p>
        </w:tc>
        <w:tc>
          <w:tcPr>
            <w:tcW w:w="12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8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 at fair value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95,134,155</w:t>
            </w:r>
          </w:p>
        </w:tc>
        <w:tc>
          <w:tcPr>
            <w:tcW w:w="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95,134,155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221,618,041</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221,618,041</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Debt Investments</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2,207,561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2,207,561</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495,877</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495,877</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Subtotal – Private Portfolio Companies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319,455,634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319,455,634</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30,334,740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30,334,740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38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30,334,740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319,455,634</w:t>
            </w:r>
          </w:p>
        </w:tc>
        <w:tc>
          <w:tcPr>
            <w:tcW w:w="8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349,790,374</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25,000,604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25,000,604</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U.S. Treasury Strips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3,680,616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3,680,616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Non-Portfolio Investments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28,681,220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28,681,220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59,015,960</w:t>
            </w:r>
          </w:p>
        </w:tc>
        <w:tc>
          <w:tcPr>
            <w:tcW w:w="8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319,455,634</w:t>
            </w:r>
          </w:p>
        </w:tc>
        <w:tc>
          <w:tcPr>
            <w:tcW w:w="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378,471,594</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4"/>
                <w:szCs w:val="14"/>
                <w:b w:val="1"/>
                <w:bCs w:val="1"/>
                <w:color w:val="auto"/>
              </w:rPr>
              <w:t>As of December 31, 2014</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12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80" w:type="dxa"/>
            <w:vAlign w:val="bottom"/>
          </w:tcPr>
          <w:p>
            <w:pPr>
              <w:spacing w:after="0"/>
              <w:rPr>
                <w:sz w:val="10"/>
                <w:szCs w:val="10"/>
                <w:color w:val="auto"/>
              </w:rPr>
            </w:pPr>
          </w:p>
        </w:tc>
        <w:tc>
          <w:tcPr>
            <w:tcW w:w="12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8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 at fair value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85,598,467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85,598,467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193,847,045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193,847,045</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Debt Investments</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1,374,210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1,374,210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904,345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904,345</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Subtotal – Private Portfolio Companies</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281,724,067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281,724,067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65,586,615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23,673,635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89,260,250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38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65,586,615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23,673,635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281,724,067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370,984,317</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100,000,056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100,000,056</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U.S. Treasury Strips</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7,298,042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7,298,042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Non-Portfolio Investments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107,298,098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107,298,098</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$ 172,884,713</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23,673,635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281,724,067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478,282,415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at fair value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Embedded Derivative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at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w w:val="99"/>
              </w:rPr>
              <w:t>31</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3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3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-5547995</wp:posOffset>
            </wp:positionV>
            <wp:extent cx="5213985"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-4836160</wp:posOffset>
            </wp:positionV>
            <wp:extent cx="5213985"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-4270375</wp:posOffset>
            </wp:positionV>
            <wp:extent cx="5213985" cy="180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-2546350</wp:posOffset>
            </wp:positionV>
            <wp:extent cx="5213985"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-1834515</wp:posOffset>
            </wp:positionV>
            <wp:extent cx="5213985"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-1268730</wp:posOffset>
            </wp:positionV>
            <wp:extent cx="5213985" cy="1803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-668020</wp:posOffset>
            </wp:positionV>
            <wp:extent cx="5213985"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-4064000</wp:posOffset>
            </wp:positionV>
            <wp:extent cx="52139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4" w:name="page35"/>
    <w:bookmarkEnd w:id="3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Unobservable Inputs for Level 3 Assets and Liabilities</w:t>
      </w:r>
    </w:p>
    <w:p>
      <w:pPr>
        <w:spacing w:after="0" w:line="121" w:lineRule="exact"/>
        <w:rPr>
          <w:sz w:val="20"/>
          <w:szCs w:val="20"/>
          <w:color w:val="auto"/>
        </w:rPr>
      </w:pPr>
    </w:p>
    <w:p>
      <w:pPr>
        <w:jc w:val="both"/>
        <w:ind w:left="60" w:right="519" w:firstLine="270"/>
        <w:spacing w:after="0" w:line="290" w:lineRule="auto"/>
        <w:rPr>
          <w:sz w:val="20"/>
          <w:szCs w:val="20"/>
          <w:color w:val="auto"/>
        </w:rPr>
      </w:pPr>
      <w:r>
        <w:rPr>
          <w:rFonts w:ascii="Arial" w:cs="Arial" w:eastAsia="Arial" w:hAnsi="Arial"/>
          <w:sz w:val="16"/>
          <w:szCs w:val="16"/>
          <w:color w:val="auto"/>
        </w:rPr>
        <w:t>In accordance with ASC 820, the tables below provide quantitative information about the Company’s fair value measurements of its Level 3 assets and liabilities as of September 30, 2015 and December 31, 2014. In addition to the techniques and inputs noted in the table below, according to the Company’s valuation policy, the Company may also use other valuation techniques and methodologies when determining the Company’s fair value measurements. The below table is not intended to be all-inclusive, but rather provides information on the significant Level 3 inputs as they relate to the Company’s fair value measurements. To the extent an unobservable input is not reflected in the table below, such input is deemed insignificant with respect to the Company’s Level 3 fair value measurements as of September 30, 2015 and December 31, 2014. Significant changes in the inputs in isolation would result in a significant change in the fair value measurement, depending on the input and the materiality of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2139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 of September 30, 2015 (Unaudited)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7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Asset (Liability)</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Techniques</w:t>
            </w:r>
          </w:p>
        </w:tc>
        <w:tc>
          <w:tcPr>
            <w:tcW w:w="16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Unobservable inputs</w:t>
            </w:r>
          </w:p>
        </w:tc>
        <w:tc>
          <w:tcPr>
            <w:tcW w:w="16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Range (Weighted</w:t>
            </w:r>
          </w:p>
        </w:tc>
        <w:tc>
          <w:tcPr>
            <w:tcW w:w="0" w:type="dxa"/>
            <w:vAlign w:val="bottom"/>
          </w:tcPr>
          <w:p>
            <w:pPr>
              <w:spacing w:after="0"/>
              <w:rPr>
                <w:sz w:val="1"/>
                <w:szCs w:val="1"/>
                <w:color w:val="auto"/>
              </w:rPr>
            </w:pPr>
          </w:p>
        </w:tc>
      </w:tr>
      <w:tr>
        <w:trPr>
          <w:trHeight w:val="171"/>
        </w:trPr>
        <w:tc>
          <w:tcPr>
            <w:tcW w:w="17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6"/>
        </w:trPr>
        <w:tc>
          <w:tcPr>
            <w:tcW w:w="1760" w:type="dxa"/>
            <w:vAlign w:val="bottom"/>
          </w:tcPr>
          <w:p>
            <w:pPr>
              <w:jc w:val="center"/>
              <w:spacing w:after="0"/>
              <w:rPr>
                <w:sz w:val="20"/>
                <w:szCs w:val="20"/>
                <w:color w:val="auto"/>
              </w:rPr>
            </w:pPr>
            <w:r>
              <w:rPr>
                <w:rFonts w:ascii="Arial" w:cs="Arial" w:eastAsia="Arial" w:hAnsi="Arial"/>
                <w:sz w:val="16"/>
                <w:szCs w:val="16"/>
                <w:color w:val="auto"/>
                <w:w w:val="93"/>
              </w:rPr>
              <w:t>Common stock in private</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97"/>
              </w:rPr>
              <w:t>95,134,155</w:t>
            </w:r>
          </w:p>
        </w:tc>
        <w:tc>
          <w:tcPr>
            <w:tcW w:w="16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60" w:type="dxa"/>
            <w:vAlign w:val="bottom"/>
          </w:tcPr>
          <w:p>
            <w:pPr>
              <w:spacing w:after="0"/>
              <w:rPr>
                <w:sz w:val="16"/>
                <w:szCs w:val="16"/>
                <w:color w:val="auto"/>
              </w:rPr>
            </w:pPr>
          </w:p>
        </w:tc>
        <w:tc>
          <w:tcPr>
            <w:tcW w:w="1740" w:type="dxa"/>
            <w:vAlign w:val="bottom"/>
          </w:tcPr>
          <w:p>
            <w:pPr>
              <w:jc w:val="center"/>
              <w:spacing w:after="0" w:line="187" w:lineRule="exact"/>
              <w:rPr>
                <w:sz w:val="20"/>
                <w:szCs w:val="20"/>
                <w:color w:val="auto"/>
              </w:rPr>
            </w:pPr>
            <w:r>
              <w:rPr>
                <w:rFonts w:ascii="Arial" w:cs="Arial" w:eastAsia="Arial" w:hAnsi="Arial"/>
                <w:sz w:val="13"/>
                <w:szCs w:val="13"/>
                <w:color w:val="auto"/>
              </w:rPr>
              <w:t>Precedent transactions</w:t>
            </w:r>
            <w:r>
              <w:rPr>
                <w:rFonts w:ascii="Arial" w:cs="Arial" w:eastAsia="Arial" w:hAnsi="Arial"/>
                <w:sz w:val="21"/>
                <w:szCs w:val="21"/>
                <w:color w:val="auto"/>
                <w:vertAlign w:val="superscript"/>
              </w:rPr>
              <w:t>(1)</w:t>
            </w:r>
          </w:p>
        </w:tc>
        <w:tc>
          <w:tcPr>
            <w:tcW w:w="1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3"/>
        </w:trPr>
        <w:tc>
          <w:tcPr>
            <w:tcW w:w="1760" w:type="dxa"/>
            <w:vAlign w:val="bottom"/>
          </w:tcPr>
          <w:p>
            <w:pPr>
              <w:jc w:val="center"/>
              <w:spacing w:after="0"/>
              <w:rPr>
                <w:sz w:val="20"/>
                <w:szCs w:val="20"/>
                <w:color w:val="auto"/>
              </w:rPr>
            </w:pPr>
            <w:r>
              <w:rPr>
                <w:rFonts w:ascii="Arial" w:cs="Arial" w:eastAsia="Arial" w:hAnsi="Arial"/>
                <w:sz w:val="16"/>
                <w:szCs w:val="16"/>
                <w:color w:val="auto"/>
                <w:w w:val="90"/>
              </w:rPr>
              <w:t>companies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0"/>
              </w:rPr>
              <w:t>Income approach</w:t>
            </w:r>
          </w:p>
        </w:tc>
        <w:tc>
          <w:tcPr>
            <w:tcW w:w="160" w:type="dxa"/>
            <w:vAlign w:val="bottom"/>
          </w:tcPr>
          <w:p>
            <w:pPr>
              <w:spacing w:after="0"/>
              <w:rPr>
                <w:sz w:val="21"/>
                <w:szCs w:val="21"/>
                <w:color w:val="auto"/>
              </w:rPr>
            </w:pPr>
          </w:p>
        </w:tc>
        <w:tc>
          <w:tcPr>
            <w:tcW w:w="1740" w:type="dxa"/>
            <w:vAlign w:val="bottom"/>
          </w:tcPr>
          <w:p>
            <w:pPr>
              <w:jc w:val="center"/>
              <w:ind w:right="41"/>
              <w:spacing w:after="0"/>
              <w:rPr>
                <w:sz w:val="20"/>
                <w:szCs w:val="20"/>
                <w:color w:val="auto"/>
              </w:rPr>
            </w:pPr>
            <w:r>
              <w:rPr>
                <w:rFonts w:ascii="Arial" w:cs="Arial" w:eastAsia="Arial" w:hAnsi="Arial"/>
                <w:sz w:val="16"/>
                <w:szCs w:val="16"/>
                <w:color w:val="auto"/>
                <w:w w:val="92"/>
              </w:rPr>
              <w:t>Revenue multiples</w:t>
            </w:r>
          </w:p>
        </w:tc>
        <w:tc>
          <w:tcPr>
            <w:tcW w:w="16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1.1x – 1.5x (1.3x)</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center"/>
              <w:ind w:right="21"/>
              <w:spacing w:after="0"/>
              <w:rPr>
                <w:sz w:val="20"/>
                <w:szCs w:val="20"/>
                <w:color w:val="auto"/>
              </w:rPr>
            </w:pPr>
            <w:r>
              <w:rPr>
                <w:rFonts w:ascii="Arial" w:cs="Arial" w:eastAsia="Arial" w:hAnsi="Arial"/>
                <w:sz w:val="16"/>
                <w:szCs w:val="16"/>
                <w:color w:val="auto"/>
                <w:w w:val="96"/>
              </w:rPr>
              <w:t>EBIT multiples</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4"/>
              </w:rPr>
              <w:t>10.0x – 17.0x (13.5x)</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center"/>
              <w:ind w:right="41"/>
              <w:spacing w:after="0"/>
              <w:rPr>
                <w:sz w:val="20"/>
                <w:szCs w:val="20"/>
                <w:color w:val="auto"/>
              </w:rPr>
            </w:pPr>
            <w:r>
              <w:rPr>
                <w:rFonts w:ascii="Arial" w:cs="Arial" w:eastAsia="Arial" w:hAnsi="Arial"/>
                <w:sz w:val="16"/>
                <w:szCs w:val="16"/>
                <w:color w:val="auto"/>
                <w:w w:val="91"/>
              </w:rPr>
              <w:t>Discount rate</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30% – 35% (33%)</w:t>
            </w:r>
          </w:p>
        </w:tc>
        <w:tc>
          <w:tcPr>
            <w:tcW w:w="0" w:type="dxa"/>
            <w:vAlign w:val="bottom"/>
          </w:tcPr>
          <w:p>
            <w:pPr>
              <w:spacing w:after="0"/>
              <w:rPr>
                <w:sz w:val="1"/>
                <w:szCs w:val="1"/>
                <w:color w:val="auto"/>
              </w:rPr>
            </w:pPr>
          </w:p>
        </w:tc>
      </w:tr>
      <w:tr>
        <w:trPr>
          <w:trHeight w:val="202"/>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4"/>
              </w:rPr>
              <w:t>Liquidation Value</w:t>
            </w:r>
          </w:p>
        </w:tc>
        <w:tc>
          <w:tcPr>
            <w:tcW w:w="160" w:type="dxa"/>
            <w:vAlign w:val="bottom"/>
          </w:tcPr>
          <w:p>
            <w:pPr>
              <w:spacing w:after="0"/>
              <w:rPr>
                <w:sz w:val="17"/>
                <w:szCs w:val="17"/>
                <w:color w:val="auto"/>
              </w:rPr>
            </w:pPr>
          </w:p>
        </w:tc>
        <w:tc>
          <w:tcPr>
            <w:tcW w:w="1740" w:type="dxa"/>
            <w:vAlign w:val="bottom"/>
          </w:tcPr>
          <w:p>
            <w:pPr>
              <w:jc w:val="center"/>
              <w:ind w:right="21"/>
              <w:spacing w:after="0"/>
              <w:rPr>
                <w:sz w:val="20"/>
                <w:szCs w:val="20"/>
                <w:color w:val="auto"/>
              </w:rPr>
            </w:pPr>
            <w:r>
              <w:rPr>
                <w:rFonts w:ascii="Arial" w:cs="Arial" w:eastAsia="Arial" w:hAnsi="Arial"/>
                <w:sz w:val="16"/>
                <w:szCs w:val="16"/>
                <w:color w:val="auto"/>
                <w:w w:val="94"/>
              </w:rPr>
              <w:t>Liquidation Value</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4"/>
        </w:trPr>
        <w:tc>
          <w:tcPr>
            <w:tcW w:w="1760" w:type="dxa"/>
            <w:vAlign w:val="bottom"/>
          </w:tcPr>
          <w:p>
            <w:pPr>
              <w:jc w:val="center"/>
              <w:spacing w:after="0"/>
              <w:rPr>
                <w:sz w:val="20"/>
                <w:szCs w:val="20"/>
                <w:color w:val="auto"/>
              </w:rPr>
            </w:pPr>
            <w:r>
              <w:rPr>
                <w:rFonts w:ascii="Arial" w:cs="Arial" w:eastAsia="Arial" w:hAnsi="Arial"/>
                <w:sz w:val="16"/>
                <w:szCs w:val="16"/>
                <w:color w:val="auto"/>
                <w:w w:val="92"/>
              </w:rPr>
              <w:t>Preferred stock in private</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87"/>
              </w:rPr>
              <w:t>221,618,041</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60" w:type="dxa"/>
            <w:vAlign w:val="bottom"/>
          </w:tcPr>
          <w:p>
            <w:pPr>
              <w:spacing w:after="0"/>
              <w:rPr>
                <w:sz w:val="17"/>
                <w:szCs w:val="17"/>
                <w:color w:val="auto"/>
              </w:rPr>
            </w:pPr>
          </w:p>
        </w:tc>
        <w:tc>
          <w:tcPr>
            <w:tcW w:w="1740" w:type="dxa"/>
            <w:vAlign w:val="bottom"/>
          </w:tcPr>
          <w:p>
            <w:pPr>
              <w:jc w:val="center"/>
              <w:spacing w:after="0" w:line="203" w:lineRule="exact"/>
              <w:rPr>
                <w:sz w:val="20"/>
                <w:szCs w:val="20"/>
                <w:color w:val="auto"/>
              </w:rPr>
            </w:pPr>
            <w:r>
              <w:rPr>
                <w:rFonts w:ascii="Arial" w:cs="Arial" w:eastAsia="Arial" w:hAnsi="Arial"/>
                <w:sz w:val="14"/>
                <w:szCs w:val="14"/>
                <w:color w:val="auto"/>
              </w:rPr>
              <w:t>Precedent transactions</w:t>
            </w:r>
            <w:r>
              <w:rPr>
                <w:rFonts w:ascii="Arial" w:cs="Arial" w:eastAsia="Arial" w:hAnsi="Arial"/>
                <w:sz w:val="23"/>
                <w:szCs w:val="23"/>
                <w:color w:val="auto"/>
                <w:vertAlign w:val="superscript"/>
              </w:rPr>
              <w:t>(1)</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3"/>
        </w:trPr>
        <w:tc>
          <w:tcPr>
            <w:tcW w:w="1760" w:type="dxa"/>
            <w:vAlign w:val="bottom"/>
          </w:tcPr>
          <w:p>
            <w:pPr>
              <w:jc w:val="center"/>
              <w:spacing w:after="0"/>
              <w:rPr>
                <w:sz w:val="20"/>
                <w:szCs w:val="20"/>
                <w:color w:val="auto"/>
              </w:rPr>
            </w:pPr>
            <w:r>
              <w:rPr>
                <w:rFonts w:ascii="Arial" w:cs="Arial" w:eastAsia="Arial" w:hAnsi="Arial"/>
                <w:sz w:val="16"/>
                <w:szCs w:val="16"/>
                <w:color w:val="auto"/>
                <w:w w:val="90"/>
              </w:rPr>
              <w:t>companies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0"/>
              </w:rPr>
              <w:t>Income approach</w:t>
            </w:r>
          </w:p>
        </w:tc>
        <w:tc>
          <w:tcPr>
            <w:tcW w:w="160" w:type="dxa"/>
            <w:vAlign w:val="bottom"/>
          </w:tcPr>
          <w:p>
            <w:pPr>
              <w:spacing w:after="0"/>
              <w:rPr>
                <w:sz w:val="21"/>
                <w:szCs w:val="21"/>
                <w:color w:val="auto"/>
              </w:rPr>
            </w:pPr>
          </w:p>
        </w:tc>
        <w:tc>
          <w:tcPr>
            <w:tcW w:w="1740" w:type="dxa"/>
            <w:vAlign w:val="bottom"/>
          </w:tcPr>
          <w:p>
            <w:pPr>
              <w:jc w:val="center"/>
              <w:ind w:right="41"/>
              <w:spacing w:after="0"/>
              <w:rPr>
                <w:sz w:val="20"/>
                <w:szCs w:val="20"/>
                <w:color w:val="auto"/>
              </w:rPr>
            </w:pPr>
            <w:r>
              <w:rPr>
                <w:rFonts w:ascii="Arial" w:cs="Arial" w:eastAsia="Arial" w:hAnsi="Arial"/>
                <w:sz w:val="16"/>
                <w:szCs w:val="16"/>
                <w:color w:val="auto"/>
                <w:w w:val="92"/>
              </w:rPr>
              <w:t>Revenue multiples</w:t>
            </w:r>
          </w:p>
        </w:tc>
        <w:tc>
          <w:tcPr>
            <w:tcW w:w="16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0.9x – 5.5x (2.8x)</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center"/>
              <w:ind w:right="21"/>
              <w:spacing w:after="0"/>
              <w:rPr>
                <w:sz w:val="20"/>
                <w:szCs w:val="20"/>
                <w:color w:val="auto"/>
              </w:rPr>
            </w:pPr>
            <w:r>
              <w:rPr>
                <w:rFonts w:ascii="Arial" w:cs="Arial" w:eastAsia="Arial" w:hAnsi="Arial"/>
                <w:sz w:val="16"/>
                <w:szCs w:val="16"/>
                <w:color w:val="auto"/>
                <w:w w:val="96"/>
              </w:rPr>
              <w:t>EBIT multiples</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4"/>
              </w:rPr>
              <w:t>10.0x – 30.0x (15.8x)</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center"/>
              <w:ind w:right="41"/>
              <w:spacing w:after="0"/>
              <w:rPr>
                <w:sz w:val="20"/>
                <w:szCs w:val="20"/>
                <w:color w:val="auto"/>
              </w:rPr>
            </w:pPr>
            <w:r>
              <w:rPr>
                <w:rFonts w:ascii="Arial" w:cs="Arial" w:eastAsia="Arial" w:hAnsi="Arial"/>
                <w:sz w:val="16"/>
                <w:szCs w:val="16"/>
                <w:color w:val="auto"/>
                <w:w w:val="91"/>
              </w:rPr>
              <w:t>Discount rate</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30% – 50% (39%)</w:t>
            </w:r>
          </w:p>
        </w:tc>
        <w:tc>
          <w:tcPr>
            <w:tcW w:w="0" w:type="dxa"/>
            <w:vAlign w:val="bottom"/>
          </w:tcPr>
          <w:p>
            <w:pPr>
              <w:spacing w:after="0"/>
              <w:rPr>
                <w:sz w:val="1"/>
                <w:szCs w:val="1"/>
                <w:color w:val="auto"/>
              </w:rPr>
            </w:pPr>
          </w:p>
        </w:tc>
      </w:tr>
      <w:tr>
        <w:trPr>
          <w:trHeight w:val="203"/>
        </w:trPr>
        <w:tc>
          <w:tcPr>
            <w:tcW w:w="1760" w:type="dxa"/>
            <w:vAlign w:val="bottom"/>
          </w:tcPr>
          <w:p>
            <w:pPr>
              <w:jc w:val="center"/>
              <w:spacing w:after="0"/>
              <w:rPr>
                <w:sz w:val="20"/>
                <w:szCs w:val="20"/>
                <w:color w:val="auto"/>
              </w:rPr>
            </w:pPr>
            <w:r>
              <w:rPr>
                <w:rFonts w:ascii="Arial" w:cs="Arial" w:eastAsia="Arial" w:hAnsi="Arial"/>
                <w:sz w:val="16"/>
                <w:szCs w:val="16"/>
                <w:color w:val="auto"/>
                <w:w w:val="91"/>
              </w:rPr>
              <w:t>Debt Investments</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2,207,561</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60" w:type="dxa"/>
            <w:vAlign w:val="bottom"/>
          </w:tcPr>
          <w:p>
            <w:pPr>
              <w:spacing w:after="0"/>
              <w:rPr>
                <w:sz w:val="17"/>
                <w:szCs w:val="17"/>
                <w:color w:val="auto"/>
              </w:rPr>
            </w:pPr>
          </w:p>
        </w:tc>
        <w:tc>
          <w:tcPr>
            <w:tcW w:w="1740" w:type="dxa"/>
            <w:vAlign w:val="bottom"/>
          </w:tcPr>
          <w:p>
            <w:pPr>
              <w:jc w:val="center"/>
              <w:ind w:right="41"/>
              <w:spacing w:after="0"/>
              <w:rPr>
                <w:sz w:val="20"/>
                <w:szCs w:val="20"/>
                <w:color w:val="auto"/>
              </w:rPr>
            </w:pPr>
            <w:r>
              <w:rPr>
                <w:rFonts w:ascii="Arial" w:cs="Arial" w:eastAsia="Arial" w:hAnsi="Arial"/>
                <w:sz w:val="16"/>
                <w:szCs w:val="16"/>
                <w:color w:val="auto"/>
                <w:w w:val="93"/>
              </w:rPr>
              <w:t>Amortized Cost</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760" w:type="dxa"/>
            <w:vAlign w:val="bottom"/>
          </w:tcPr>
          <w:p>
            <w:pPr>
              <w:jc w:val="center"/>
              <w:spacing w:after="0"/>
              <w:rPr>
                <w:sz w:val="20"/>
                <w:szCs w:val="20"/>
                <w:color w:val="auto"/>
              </w:rPr>
            </w:pPr>
            <w:r>
              <w:rPr>
                <w:rFonts w:ascii="Arial" w:cs="Arial" w:eastAsia="Arial" w:hAnsi="Arial"/>
                <w:sz w:val="16"/>
                <w:szCs w:val="16"/>
                <w:color w:val="auto"/>
                <w:w w:val="89"/>
              </w:rPr>
              <w:t>Warrants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center"/>
              <w:ind w:right="41"/>
              <w:spacing w:after="0"/>
              <w:rPr>
                <w:sz w:val="20"/>
                <w:szCs w:val="20"/>
                <w:color w:val="auto"/>
              </w:rPr>
            </w:pPr>
            <w:r>
              <w:rPr>
                <w:rFonts w:ascii="Arial" w:cs="Arial" w:eastAsia="Arial" w:hAnsi="Arial"/>
                <w:sz w:val="16"/>
                <w:szCs w:val="16"/>
                <w:color w:val="auto"/>
                <w:w w:val="94"/>
              </w:rPr>
              <w:t>Term to expiration</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495,877</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5"/>
              </w:rPr>
              <w:t>Option pricing model</w:t>
            </w:r>
          </w:p>
        </w:tc>
        <w:tc>
          <w:tcPr>
            <w:tcW w:w="160" w:type="dxa"/>
            <w:vAlign w:val="bottom"/>
          </w:tcPr>
          <w:p>
            <w:pPr>
              <w:spacing w:after="0"/>
              <w:rPr>
                <w:sz w:val="17"/>
                <w:szCs w:val="17"/>
                <w:color w:val="auto"/>
              </w:rPr>
            </w:pPr>
          </w:p>
        </w:tc>
        <w:tc>
          <w:tcPr>
            <w:tcW w:w="1740" w:type="dxa"/>
            <w:vAlign w:val="bottom"/>
          </w:tcPr>
          <w:p>
            <w:pPr>
              <w:jc w:val="center"/>
              <w:ind w:right="41"/>
              <w:spacing w:after="0"/>
              <w:rPr>
                <w:sz w:val="20"/>
                <w:szCs w:val="20"/>
                <w:color w:val="auto"/>
              </w:rPr>
            </w:pPr>
            <w:r>
              <w:rPr>
                <w:rFonts w:ascii="Arial" w:cs="Arial" w:eastAsia="Arial" w:hAnsi="Arial"/>
                <w:sz w:val="16"/>
                <w:szCs w:val="16"/>
                <w:color w:val="auto"/>
                <w:w w:val="87"/>
              </w:rPr>
              <w:t>(Years)</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1.28 – 3.00 (2.52)</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center"/>
              <w:ind w:right="41"/>
              <w:spacing w:after="0"/>
              <w:rPr>
                <w:sz w:val="20"/>
                <w:szCs w:val="20"/>
                <w:color w:val="auto"/>
              </w:rPr>
            </w:pPr>
            <w:r>
              <w:rPr>
                <w:rFonts w:ascii="Arial" w:cs="Arial" w:eastAsia="Arial" w:hAnsi="Arial"/>
                <w:sz w:val="16"/>
                <w:szCs w:val="16"/>
                <w:color w:val="auto"/>
                <w:w w:val="92"/>
              </w:rPr>
              <w:t>Strike price</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0.13 – 4.59 (1.20)</w:t>
            </w:r>
          </w:p>
        </w:tc>
        <w:tc>
          <w:tcPr>
            <w:tcW w:w="0" w:type="dxa"/>
            <w:vAlign w:val="bottom"/>
          </w:tcPr>
          <w:p>
            <w:pPr>
              <w:spacing w:after="0"/>
              <w:rPr>
                <w:sz w:val="1"/>
                <w:szCs w:val="1"/>
                <w:color w:val="auto"/>
              </w:rPr>
            </w:pPr>
          </w:p>
        </w:tc>
      </w:tr>
      <w:tr>
        <w:trPr>
          <w:trHeight w:val="206"/>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center"/>
              <w:ind w:right="21"/>
              <w:spacing w:after="0"/>
              <w:rPr>
                <w:sz w:val="20"/>
                <w:szCs w:val="20"/>
                <w:color w:val="auto"/>
              </w:rPr>
            </w:pPr>
            <w:r>
              <w:rPr>
                <w:rFonts w:ascii="Arial" w:cs="Arial" w:eastAsia="Arial" w:hAnsi="Arial"/>
                <w:sz w:val="16"/>
                <w:szCs w:val="16"/>
                <w:color w:val="auto"/>
              </w:rPr>
              <w:t>Volatility</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30% – 50% (38%)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175260</wp:posOffset>
            </wp:positionV>
            <wp:extent cx="6172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left="4580" w:right="1379" w:hanging="4552"/>
        <w:spacing w:after="0" w:line="935" w:lineRule="auto"/>
        <w:tabs>
          <w:tab w:leader="none" w:pos="299"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Precedent transactions include recent rounds of financing, recent purchases made by the Company, and tender offers.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-289560</wp:posOffset>
            </wp:positionV>
            <wp:extent cx="6114415"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5" w:name="page36"/>
    <w:bookmarkEnd w:id="3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(Liability)</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5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8"/>
              </w:rPr>
              <w:t>Valuation Techniques</w:t>
            </w:r>
          </w:p>
        </w:tc>
        <w:tc>
          <w:tcPr>
            <w:tcW w:w="180" w:type="dxa"/>
            <w:vAlign w:val="bottom"/>
          </w:tcPr>
          <w:p>
            <w:pPr>
              <w:spacing w:after="0"/>
              <w:rPr>
                <w:sz w:val="14"/>
                <w:szCs w:val="14"/>
                <w:color w:val="auto"/>
              </w:rPr>
            </w:pPr>
          </w:p>
        </w:tc>
        <w:tc>
          <w:tcPr>
            <w:tcW w:w="17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Unobservable inputs</w:t>
            </w:r>
          </w:p>
        </w:tc>
        <w:tc>
          <w:tcPr>
            <w:tcW w:w="160" w:type="dxa"/>
            <w:vAlign w:val="bottom"/>
          </w:tcPr>
          <w:p>
            <w:pPr>
              <w:spacing w:after="0"/>
              <w:rPr>
                <w:sz w:val="14"/>
                <w:szCs w:val="14"/>
                <w:color w:val="auto"/>
              </w:rPr>
            </w:pPr>
          </w:p>
        </w:tc>
        <w:tc>
          <w:tcPr>
            <w:tcW w:w="15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Range (Average)</w:t>
            </w:r>
          </w:p>
        </w:tc>
        <w:tc>
          <w:tcPr>
            <w:tcW w:w="0" w:type="dxa"/>
            <w:vAlign w:val="bottom"/>
          </w:tcPr>
          <w:p>
            <w:pPr>
              <w:spacing w:after="0"/>
              <w:rPr>
                <w:sz w:val="1"/>
                <w:szCs w:val="1"/>
                <w:color w:val="auto"/>
              </w:rPr>
            </w:pPr>
          </w:p>
        </w:tc>
      </w:tr>
      <w:tr>
        <w:trPr>
          <w:trHeight w:val="185"/>
        </w:trPr>
        <w:tc>
          <w:tcPr>
            <w:tcW w:w="1720" w:type="dxa"/>
            <w:vAlign w:val="bottom"/>
          </w:tcPr>
          <w:p>
            <w:pPr>
              <w:jc w:val="center"/>
              <w:spacing w:after="0"/>
              <w:rPr>
                <w:sz w:val="20"/>
                <w:szCs w:val="20"/>
                <w:color w:val="auto"/>
              </w:rPr>
            </w:pPr>
            <w:r>
              <w:rPr>
                <w:rFonts w:ascii="Arial" w:cs="Arial" w:eastAsia="Arial" w:hAnsi="Arial"/>
                <w:sz w:val="16"/>
                <w:szCs w:val="16"/>
                <w:color w:val="auto"/>
                <w:w w:val="93"/>
              </w:rPr>
              <w:t>Common stock in private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7"/>
              </w:rPr>
              <w:t>Precedent</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720" w:type="dxa"/>
            <w:vAlign w:val="bottom"/>
          </w:tcPr>
          <w:p>
            <w:pPr>
              <w:jc w:val="center"/>
              <w:spacing w:after="0"/>
              <w:rPr>
                <w:sz w:val="20"/>
                <w:szCs w:val="20"/>
                <w:color w:val="auto"/>
              </w:rPr>
            </w:pPr>
            <w:r>
              <w:rPr>
                <w:rFonts w:ascii="Arial" w:cs="Arial" w:eastAsia="Arial" w:hAnsi="Arial"/>
                <w:sz w:val="16"/>
                <w:szCs w:val="16"/>
                <w:color w:val="auto"/>
                <w:w w:val="90"/>
              </w:rPr>
              <w:t>companies</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w w:val="97"/>
              </w:rPr>
              <w:t>85,598,467</w:t>
            </w:r>
          </w:p>
        </w:tc>
        <w:tc>
          <w:tcPr>
            <w:tcW w:w="16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80" w:type="dxa"/>
            <w:vAlign w:val="bottom"/>
          </w:tcPr>
          <w:p>
            <w:pPr>
              <w:spacing w:after="0"/>
              <w:rPr>
                <w:sz w:val="21"/>
                <w:szCs w:val="21"/>
                <w:color w:val="auto"/>
              </w:rPr>
            </w:pPr>
          </w:p>
        </w:tc>
        <w:tc>
          <w:tcPr>
            <w:tcW w:w="1720" w:type="dxa"/>
            <w:vAlign w:val="bottom"/>
          </w:tcPr>
          <w:p>
            <w:pPr>
              <w:jc w:val="center"/>
              <w:spacing w:after="0" w:line="244" w:lineRule="exact"/>
              <w:rPr>
                <w:sz w:val="20"/>
                <w:szCs w:val="20"/>
                <w:color w:val="auto"/>
              </w:rPr>
            </w:pPr>
            <w:r>
              <w:rPr>
                <w:rFonts w:ascii="Arial" w:cs="Arial" w:eastAsia="Arial" w:hAnsi="Arial"/>
                <w:sz w:val="16"/>
                <w:szCs w:val="16"/>
                <w:color w:val="auto"/>
                <w:w w:val="84"/>
              </w:rPr>
              <w:t>transactions</w:t>
            </w:r>
            <w:r>
              <w:rPr>
                <w:rFonts w:ascii="Arial" w:cs="Arial" w:eastAsia="Arial" w:hAnsi="Arial"/>
                <w:sz w:val="27"/>
                <w:szCs w:val="27"/>
                <w:color w:val="auto"/>
                <w:w w:val="84"/>
                <w:vertAlign w:val="superscript"/>
              </w:rPr>
              <w:t>(1)</w:t>
            </w:r>
          </w:p>
        </w:tc>
        <w:tc>
          <w:tcPr>
            <w:tcW w:w="160" w:type="dxa"/>
            <w:vAlign w:val="bottom"/>
          </w:tcPr>
          <w:p>
            <w:pPr>
              <w:spacing w:after="0"/>
              <w:rPr>
                <w:sz w:val="21"/>
                <w:szCs w:val="21"/>
                <w:color w:val="auto"/>
              </w:rPr>
            </w:pPr>
          </w:p>
        </w:tc>
        <w:tc>
          <w:tcPr>
            <w:tcW w:w="1540" w:type="dxa"/>
            <w:vAlign w:val="bottom"/>
          </w:tcPr>
          <w:p>
            <w:pPr>
              <w:ind w:left="6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0"/>
              </w:rPr>
              <w:t>Income approach</w:t>
            </w: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1"/>
              </w:rPr>
              <w:t>Revenue multiples</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1.1x – 5.9x (3.0x)</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10.20x – 18.90x</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6"/>
              </w:rPr>
              <w:t>EBIT multiples</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5"/>
              </w:rPr>
              <w:t>(16.70x)</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Discount rate</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30% – 40% (37%)</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4"/>
              </w:rPr>
              <w:t>Liquidation Value</w:t>
            </w: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Liquidation Value</w:t>
            </w:r>
          </w:p>
        </w:tc>
        <w:tc>
          <w:tcPr>
            <w:tcW w:w="160" w:type="dxa"/>
            <w:vAlign w:val="bottom"/>
          </w:tcPr>
          <w:p>
            <w:pPr>
              <w:spacing w:after="0"/>
              <w:rPr>
                <w:sz w:val="17"/>
                <w:szCs w:val="17"/>
                <w:color w:val="auto"/>
              </w:rPr>
            </w:pPr>
          </w:p>
        </w:tc>
        <w:tc>
          <w:tcPr>
            <w:tcW w:w="1540" w:type="dxa"/>
            <w:vAlign w:val="bottom"/>
          </w:tcPr>
          <w:p>
            <w:pPr>
              <w:ind w:left="6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2"/>
        </w:trPr>
        <w:tc>
          <w:tcPr>
            <w:tcW w:w="1720" w:type="dxa"/>
            <w:vAlign w:val="bottom"/>
          </w:tcPr>
          <w:p>
            <w:pPr>
              <w:jc w:val="center"/>
              <w:spacing w:after="0"/>
              <w:rPr>
                <w:sz w:val="20"/>
                <w:szCs w:val="20"/>
                <w:color w:val="auto"/>
              </w:rPr>
            </w:pPr>
            <w:r>
              <w:rPr>
                <w:rFonts w:ascii="Arial" w:cs="Arial" w:eastAsia="Arial" w:hAnsi="Arial"/>
                <w:sz w:val="16"/>
                <w:szCs w:val="16"/>
                <w:color w:val="auto"/>
                <w:w w:val="92"/>
              </w:rPr>
              <w:t>Preferred stock in private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7"/>
              </w:rPr>
              <w:t>Precedent</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720" w:type="dxa"/>
            <w:vAlign w:val="bottom"/>
          </w:tcPr>
          <w:p>
            <w:pPr>
              <w:jc w:val="center"/>
              <w:spacing w:after="0"/>
              <w:rPr>
                <w:sz w:val="20"/>
                <w:szCs w:val="20"/>
                <w:color w:val="auto"/>
              </w:rPr>
            </w:pPr>
            <w:r>
              <w:rPr>
                <w:rFonts w:ascii="Arial" w:cs="Arial" w:eastAsia="Arial" w:hAnsi="Arial"/>
                <w:sz w:val="16"/>
                <w:szCs w:val="16"/>
                <w:color w:val="auto"/>
                <w:w w:val="90"/>
              </w:rPr>
              <w:t>companies</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w w:val="87"/>
              </w:rPr>
              <w:t>193,847,045</w:t>
            </w:r>
          </w:p>
        </w:tc>
        <w:tc>
          <w:tcPr>
            <w:tcW w:w="16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80" w:type="dxa"/>
            <w:vAlign w:val="bottom"/>
          </w:tcPr>
          <w:p>
            <w:pPr>
              <w:spacing w:after="0"/>
              <w:rPr>
                <w:sz w:val="21"/>
                <w:szCs w:val="21"/>
                <w:color w:val="auto"/>
              </w:rPr>
            </w:pPr>
          </w:p>
        </w:tc>
        <w:tc>
          <w:tcPr>
            <w:tcW w:w="1720" w:type="dxa"/>
            <w:vAlign w:val="bottom"/>
          </w:tcPr>
          <w:p>
            <w:pPr>
              <w:jc w:val="center"/>
              <w:spacing w:after="0" w:line="244" w:lineRule="exact"/>
              <w:rPr>
                <w:sz w:val="20"/>
                <w:szCs w:val="20"/>
                <w:color w:val="auto"/>
              </w:rPr>
            </w:pPr>
            <w:r>
              <w:rPr>
                <w:rFonts w:ascii="Arial" w:cs="Arial" w:eastAsia="Arial" w:hAnsi="Arial"/>
                <w:sz w:val="16"/>
                <w:szCs w:val="16"/>
                <w:color w:val="auto"/>
                <w:w w:val="84"/>
              </w:rPr>
              <w:t>transactions</w:t>
            </w:r>
            <w:r>
              <w:rPr>
                <w:rFonts w:ascii="Arial" w:cs="Arial" w:eastAsia="Arial" w:hAnsi="Arial"/>
                <w:sz w:val="27"/>
                <w:szCs w:val="27"/>
                <w:color w:val="auto"/>
                <w:w w:val="84"/>
                <w:vertAlign w:val="superscript"/>
              </w:rPr>
              <w:t>(1)</w:t>
            </w:r>
          </w:p>
        </w:tc>
        <w:tc>
          <w:tcPr>
            <w:tcW w:w="160" w:type="dxa"/>
            <w:vAlign w:val="bottom"/>
          </w:tcPr>
          <w:p>
            <w:pPr>
              <w:spacing w:after="0"/>
              <w:rPr>
                <w:sz w:val="21"/>
                <w:szCs w:val="21"/>
                <w:color w:val="auto"/>
              </w:rPr>
            </w:pPr>
          </w:p>
        </w:tc>
        <w:tc>
          <w:tcPr>
            <w:tcW w:w="1540" w:type="dxa"/>
            <w:vAlign w:val="bottom"/>
          </w:tcPr>
          <w:p>
            <w:pPr>
              <w:ind w:left="6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0"/>
              </w:rPr>
              <w:t>Income approach</w:t>
            </w: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1"/>
              </w:rPr>
              <w:t>Revenue multiples</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1.5x – 5.3x (3.5x)</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6"/>
              </w:rPr>
              <w:t>EBIT multiples</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10.0x – 25.0x (18.1x)</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Discount rate</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35% – 45% (40%)</w:t>
            </w:r>
          </w:p>
        </w:tc>
        <w:tc>
          <w:tcPr>
            <w:tcW w:w="0" w:type="dxa"/>
            <w:vAlign w:val="bottom"/>
          </w:tcPr>
          <w:p>
            <w:pPr>
              <w:spacing w:after="0"/>
              <w:rPr>
                <w:sz w:val="1"/>
                <w:szCs w:val="1"/>
                <w:color w:val="auto"/>
              </w:rPr>
            </w:pPr>
          </w:p>
        </w:tc>
      </w:tr>
      <w:tr>
        <w:trPr>
          <w:trHeight w:val="203"/>
        </w:trPr>
        <w:tc>
          <w:tcPr>
            <w:tcW w:w="1720" w:type="dxa"/>
            <w:vAlign w:val="bottom"/>
          </w:tcPr>
          <w:p>
            <w:pPr>
              <w:jc w:val="center"/>
              <w:spacing w:after="0"/>
              <w:rPr>
                <w:sz w:val="20"/>
                <w:szCs w:val="20"/>
                <w:color w:val="auto"/>
              </w:rPr>
            </w:pPr>
            <w:r>
              <w:rPr>
                <w:rFonts w:ascii="Arial" w:cs="Arial" w:eastAsia="Arial" w:hAnsi="Arial"/>
                <w:sz w:val="16"/>
                <w:szCs w:val="16"/>
                <w:color w:val="auto"/>
                <w:w w:val="91"/>
              </w:rPr>
              <w:t>Debt Investments</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1,374,210</w:t>
            </w: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87"/>
              </w:rPr>
              <w:t>Precedent transactions</w:t>
            </w:r>
          </w:p>
        </w:tc>
        <w:tc>
          <w:tcPr>
            <w:tcW w:w="160" w:type="dxa"/>
            <w:vAlign w:val="bottom"/>
          </w:tcPr>
          <w:p>
            <w:pPr>
              <w:spacing w:after="0"/>
              <w:rPr>
                <w:sz w:val="17"/>
                <w:szCs w:val="17"/>
                <w:color w:val="auto"/>
              </w:rPr>
            </w:pPr>
          </w:p>
        </w:tc>
        <w:tc>
          <w:tcPr>
            <w:tcW w:w="1540" w:type="dxa"/>
            <w:vAlign w:val="bottom"/>
          </w:tcPr>
          <w:p>
            <w:pPr>
              <w:ind w:left="6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720" w:type="dxa"/>
            <w:vAlign w:val="bottom"/>
          </w:tcPr>
          <w:p>
            <w:pPr>
              <w:jc w:val="center"/>
              <w:spacing w:after="0"/>
              <w:rPr>
                <w:sz w:val="20"/>
                <w:szCs w:val="20"/>
                <w:color w:val="auto"/>
              </w:rPr>
            </w:pPr>
            <w:r>
              <w:rPr>
                <w:rFonts w:ascii="Arial" w:cs="Arial" w:eastAsia="Arial" w:hAnsi="Arial"/>
                <w:sz w:val="16"/>
                <w:szCs w:val="16"/>
                <w:color w:val="auto"/>
                <w:w w:val="89"/>
              </w:rPr>
              <w:t>Warrants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Term to expiration</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904,345</w:t>
            </w: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5"/>
              </w:rPr>
              <w:t>Option pricing model</w:t>
            </w: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1"/>
              </w:rPr>
              <w:t>(Years)</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2.00 – 3.00 (2.55)</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Strike price</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1"/>
              </w:rPr>
              <w:t>0.13 – 4.59 (1.24)</w:t>
            </w:r>
          </w:p>
        </w:tc>
        <w:tc>
          <w:tcPr>
            <w:tcW w:w="0" w:type="dxa"/>
            <w:vAlign w:val="bottom"/>
          </w:tcPr>
          <w:p>
            <w:pPr>
              <w:spacing w:after="0"/>
              <w:rPr>
                <w:sz w:val="1"/>
                <w:szCs w:val="1"/>
                <w:color w:val="auto"/>
              </w:rPr>
            </w:pPr>
          </w:p>
        </w:tc>
      </w:tr>
      <w:tr>
        <w:trPr>
          <w:trHeight w:val="206"/>
        </w:trPr>
        <w:tc>
          <w:tcPr>
            <w:tcW w:w="1720" w:type="dxa"/>
            <w:vAlign w:val="bottom"/>
            <w:vMerge w:val="restart"/>
          </w:tcPr>
          <w:p>
            <w:pPr>
              <w:jc w:val="center"/>
              <w:spacing w:after="0"/>
              <w:rPr>
                <w:sz w:val="20"/>
                <w:szCs w:val="20"/>
                <w:color w:val="auto"/>
              </w:rPr>
            </w:pPr>
            <w:r>
              <w:rPr>
                <w:rFonts w:ascii="Arial" w:cs="Arial" w:eastAsia="Arial" w:hAnsi="Arial"/>
                <w:sz w:val="16"/>
                <w:szCs w:val="16"/>
                <w:color w:val="auto"/>
                <w:w w:val="92"/>
              </w:rPr>
              <w:t>Embedded Derivative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7"/>
              </w:rPr>
              <w:t>Binomial Lattice</w:t>
            </w: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rPr>
              <w:t>Volatility</w:t>
            </w:r>
          </w:p>
        </w:tc>
        <w:tc>
          <w:tcPr>
            <w:tcW w:w="1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3"/>
              </w:rPr>
              <w:t>30% – 50% (38%)</w:t>
            </w:r>
          </w:p>
        </w:tc>
        <w:tc>
          <w:tcPr>
            <w:tcW w:w="0" w:type="dxa"/>
            <w:vAlign w:val="bottom"/>
          </w:tcPr>
          <w:p>
            <w:pPr>
              <w:spacing w:after="0"/>
              <w:rPr>
                <w:sz w:val="1"/>
                <w:szCs w:val="1"/>
                <w:color w:val="auto"/>
              </w:rPr>
            </w:pPr>
          </w:p>
        </w:tc>
      </w:tr>
      <w:tr>
        <w:trPr>
          <w:trHeight w:val="199"/>
        </w:trPr>
        <w:tc>
          <w:tcPr>
            <w:tcW w:w="1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6"/>
              </w:rPr>
              <w:t>Model</w:t>
            </w: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Strike Price</w:t>
            </w:r>
          </w:p>
        </w:tc>
        <w:tc>
          <w:tcPr>
            <w:tcW w:w="1700" w:type="dxa"/>
            <w:vAlign w:val="bottom"/>
            <w:gridSpan w:val="2"/>
          </w:tcPr>
          <w:p>
            <w:pPr>
              <w:jc w:val="center"/>
              <w:ind w:left="139"/>
              <w:spacing w:after="0"/>
              <w:rPr>
                <w:sz w:val="20"/>
                <w:szCs w:val="20"/>
                <w:color w:val="auto"/>
              </w:rPr>
            </w:pPr>
            <w:r>
              <w:rPr>
                <w:rFonts w:ascii="Arial" w:cs="Arial" w:eastAsia="Arial" w:hAnsi="Arial"/>
                <w:sz w:val="16"/>
                <w:szCs w:val="16"/>
                <w:color w:val="auto"/>
                <w:w w:val="89"/>
              </w:rPr>
              <w:t>16.26</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rPr>
              <w:t>Volatility</w:t>
            </w:r>
          </w:p>
        </w:tc>
        <w:tc>
          <w:tcPr>
            <w:tcW w:w="1700" w:type="dxa"/>
            <w:vAlign w:val="bottom"/>
            <w:gridSpan w:val="2"/>
          </w:tcPr>
          <w:p>
            <w:pPr>
              <w:jc w:val="center"/>
              <w:ind w:left="119"/>
              <w:spacing w:after="0"/>
              <w:rPr>
                <w:sz w:val="20"/>
                <w:szCs w:val="20"/>
                <w:color w:val="auto"/>
              </w:rPr>
            </w:pPr>
            <w:r>
              <w:rPr>
                <w:rFonts w:ascii="Arial" w:cs="Arial" w:eastAsia="Arial" w:hAnsi="Arial"/>
                <w:sz w:val="16"/>
                <w:szCs w:val="16"/>
                <w:color w:val="auto"/>
                <w:w w:val="93"/>
              </w:rPr>
              <w:t>50%</w:t>
            </w: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Annual risk rate</w:t>
            </w:r>
          </w:p>
        </w:tc>
        <w:tc>
          <w:tcPr>
            <w:tcW w:w="170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175260</wp:posOffset>
            </wp:positionV>
            <wp:extent cx="6172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 Precedent transactions include recent rounds of financing, recent purchases made by the Company, and tender offers.</w:t>
      </w:r>
    </w:p>
    <w:p>
      <w:pPr>
        <w:spacing w:after="0" w:line="129"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The significant unobservable inputs used in determining the fair value of the assets and liabilities are shown above. Increases (decreases)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w:t>
      </w:r>
    </w:p>
    <w:p>
      <w:pPr>
        <w:spacing w:after="0" w:line="79" w:lineRule="exact"/>
        <w:rPr>
          <w:sz w:val="20"/>
          <w:szCs w:val="20"/>
          <w:color w:val="auto"/>
        </w:rPr>
      </w:pPr>
    </w:p>
    <w:p>
      <w:pPr>
        <w:jc w:val="both"/>
        <w:ind w:left="60" w:right="519" w:firstLine="270"/>
        <w:spacing w:after="0" w:line="273" w:lineRule="auto"/>
        <w:rPr>
          <w:sz w:val="20"/>
          <w:szCs w:val="20"/>
          <w:color w:val="auto"/>
        </w:rPr>
      </w:pPr>
      <w:r>
        <w:rPr>
          <w:rFonts w:ascii="Arial" w:cs="Arial" w:eastAsia="Arial" w:hAnsi="Arial"/>
          <w:sz w:val="17"/>
          <w:szCs w:val="17"/>
          <w:color w:val="auto"/>
        </w:rPr>
        <w:t>The Company applied the binomial lattice model to value the embedded derivative using a “with-and-without method,” where the value of the Convertible Senior Notes including the embedded derivative, is defined as the “with,” and the value of the Convertible Senior Notes excluding the embedded derivative, is defined as the “without.” This method estimates the value of the embedded derivative by looking at the difference in the values between the Convertible Senior Notes with the embedded derivative and the value of the Convertible Senior Notes without the embedded derivative. The lattice model requires the following inputs: (i) strike price; (ii) estimated stock volatility; and (iii) annual risk rate.</w:t>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6" w:name="page37"/>
    <w:bookmarkEnd w:id="3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The aggregate values of Level 3 portfolio investments and embedded derivative changed during the three and nine months ended September 30, 2015 and September 30, 2014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52057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3"/>
          </w:tcPr>
          <w:p>
            <w:pPr>
              <w:ind w:left="80"/>
              <w:spacing w:after="0"/>
              <w:rPr>
                <w:sz w:val="20"/>
                <w:szCs w:val="20"/>
                <w:color w:val="auto"/>
              </w:rPr>
            </w:pPr>
            <w:r>
              <w:rPr>
                <w:rFonts w:ascii="Arial" w:cs="Arial" w:eastAsia="Arial" w:hAnsi="Arial"/>
                <w:sz w:val="14"/>
                <w:szCs w:val="14"/>
                <w:b w:val="1"/>
                <w:bCs w:val="1"/>
                <w:color w:val="auto"/>
                <w:w w:val="93"/>
              </w:rPr>
              <w:t>Three months ended September 30, 2015 (Unaudited)</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Preferred</w:t>
            </w:r>
          </w:p>
        </w:tc>
        <w:tc>
          <w:tcPr>
            <w:tcW w:w="120" w:type="dxa"/>
            <w:vAlign w:val="bottom"/>
          </w:tcPr>
          <w:p>
            <w:pPr>
              <w:spacing w:after="0"/>
              <w:rPr>
                <w:sz w:val="10"/>
                <w:szCs w:val="10"/>
                <w:color w:val="auto"/>
              </w:rPr>
            </w:pPr>
          </w:p>
        </w:tc>
        <w:tc>
          <w:tcPr>
            <w:tcW w:w="7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Warrants</w:t>
            </w:r>
          </w:p>
        </w:tc>
        <w:tc>
          <w:tcPr>
            <w:tcW w:w="80" w:type="dxa"/>
            <w:vAlign w:val="bottom"/>
          </w:tcPr>
          <w:p>
            <w:pPr>
              <w:spacing w:after="0"/>
              <w:rPr>
                <w:sz w:val="10"/>
                <w:szCs w:val="10"/>
                <w:color w:val="auto"/>
              </w:rPr>
            </w:pPr>
          </w:p>
        </w:tc>
        <w:tc>
          <w:tcPr>
            <w:tcW w:w="7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Embedded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5"/>
              </w:rPr>
              <w:t>Investments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Derivative</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Fair value as of June 30, 2015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92,430,652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2"/>
              </w:rPr>
              <w:t>217,983,919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2,506,014</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694,314</w:t>
            </w:r>
          </w:p>
        </w:tc>
        <w:tc>
          <w:tcPr>
            <w:tcW w:w="340" w:type="dxa"/>
            <w:vAlign w:val="bottom"/>
            <w:gridSpan w:val="2"/>
            <w:shd w:val="clear" w:color="auto" w:fill="CCEEFF"/>
          </w:tcPr>
          <w:p>
            <w:pPr>
              <w:jc w:val="right"/>
              <w:ind w:right="111"/>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2"/>
              </w:rPr>
              <w:t>313,614,899</w:t>
            </w:r>
          </w:p>
        </w:tc>
        <w:tc>
          <w:tcPr>
            <w:tcW w:w="0" w:type="dxa"/>
            <w:vAlign w:val="bottom"/>
          </w:tcPr>
          <w:p>
            <w:pPr>
              <w:spacing w:after="0"/>
              <w:rPr>
                <w:sz w:val="1"/>
                <w:szCs w:val="1"/>
                <w:color w:val="auto"/>
              </w:rPr>
            </w:pPr>
          </w:p>
        </w:tc>
      </w:tr>
      <w:tr>
        <w:trPr>
          <w:trHeight w:val="149"/>
        </w:trPr>
        <w:tc>
          <w:tcPr>
            <w:tcW w:w="2840" w:type="dxa"/>
            <w:vAlign w:val="bottom"/>
          </w:tcPr>
          <w:p>
            <w:pPr>
              <w:ind w:left="20"/>
              <w:spacing w:after="0" w:line="149" w:lineRule="exact"/>
              <w:rPr>
                <w:sz w:val="20"/>
                <w:szCs w:val="20"/>
                <w:color w:val="auto"/>
              </w:rPr>
            </w:pPr>
            <w:r>
              <w:rPr>
                <w:rFonts w:ascii="Arial" w:cs="Arial" w:eastAsia="Arial" w:hAnsi="Arial"/>
                <w:sz w:val="14"/>
                <w:szCs w:val="14"/>
                <w:color w:val="auto"/>
              </w:rPr>
              <w:t>Purchases of investments</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6,602,095</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6,602,095</w:t>
            </w: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Sales of investments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(1,874,000)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(3,362,594)</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(5,286,594)</w:t>
            </w:r>
          </w:p>
        </w:tc>
        <w:tc>
          <w:tcPr>
            <w:tcW w:w="0" w:type="dxa"/>
            <w:vAlign w:val="bottom"/>
          </w:tcPr>
          <w:p>
            <w:pPr>
              <w:spacing w:after="0"/>
              <w:rPr>
                <w:sz w:val="1"/>
                <w:szCs w:val="1"/>
                <w:color w:val="auto"/>
              </w:rPr>
            </w:pPr>
          </w:p>
        </w:tc>
      </w:tr>
      <w:tr>
        <w:trPr>
          <w:trHeight w:val="149"/>
        </w:trPr>
        <w:tc>
          <w:tcPr>
            <w:tcW w:w="2840" w:type="dxa"/>
            <w:vAlign w:val="bottom"/>
          </w:tcPr>
          <w:p>
            <w:pPr>
              <w:ind w:left="20"/>
              <w:spacing w:after="0" w:line="149" w:lineRule="exact"/>
              <w:rPr>
                <w:sz w:val="20"/>
                <w:szCs w:val="20"/>
                <w:color w:val="auto"/>
              </w:rPr>
            </w:pPr>
            <w:r>
              <w:rPr>
                <w:rFonts w:ascii="Arial" w:cs="Arial" w:eastAsia="Arial" w:hAnsi="Arial"/>
                <w:sz w:val="14"/>
                <w:szCs w:val="14"/>
                <w:color w:val="auto"/>
              </w:rPr>
              <w:t>Realized losses</w:t>
            </w: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(2,290,880)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(7,563,262)</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(27,190)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(9,881,332)</w:t>
            </w: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20"/>
              <w:spacing w:after="0" w:line="189" w:lineRule="exact"/>
              <w:rPr>
                <w:sz w:val="20"/>
                <w:szCs w:val="20"/>
                <w:color w:val="auto"/>
              </w:rPr>
            </w:pPr>
            <w:r>
              <w:rPr>
                <w:rFonts w:ascii="Arial" w:cs="Arial" w:eastAsia="Arial" w:hAnsi="Arial"/>
                <w:sz w:val="13"/>
                <w:szCs w:val="13"/>
                <w:color w:val="auto"/>
              </w:rPr>
              <w:t>Exercises, conversions and assignments</w:t>
            </w:r>
            <w:r>
              <w:rPr>
                <w:rFonts w:ascii="Arial" w:cs="Arial" w:eastAsia="Arial" w:hAnsi="Arial"/>
                <w:sz w:val="21"/>
                <w:szCs w:val="21"/>
                <w:color w:val="auto"/>
                <w:vertAlign w:val="superscript"/>
              </w:rPr>
              <w:t>(1)</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295,801</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(295,801)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840" w:type="dxa"/>
            <w:vAlign w:val="bottom"/>
          </w:tcPr>
          <w:p>
            <w:pPr>
              <w:ind w:left="20"/>
              <w:spacing w:after="0" w:line="130" w:lineRule="exact"/>
              <w:rPr>
                <w:sz w:val="20"/>
                <w:szCs w:val="20"/>
                <w:color w:val="auto"/>
              </w:rPr>
            </w:pPr>
            <w:r>
              <w:rPr>
                <w:rFonts w:ascii="Arial" w:cs="Arial" w:eastAsia="Arial" w:hAnsi="Arial"/>
                <w:sz w:val="14"/>
                <w:szCs w:val="14"/>
                <w:color w:val="auto"/>
              </w:rPr>
              <w:t>Amortization of fixed income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tcPr>
          <w:p>
            <w:pPr>
              <w:ind w:left="200"/>
              <w:spacing w:after="0"/>
              <w:rPr>
                <w:sz w:val="20"/>
                <w:szCs w:val="20"/>
                <w:color w:val="auto"/>
              </w:rPr>
            </w:pPr>
            <w:r>
              <w:rPr>
                <w:rFonts w:ascii="Arial" w:cs="Arial" w:eastAsia="Arial" w:hAnsi="Arial"/>
                <w:sz w:val="14"/>
                <w:szCs w:val="14"/>
                <w:color w:val="auto"/>
              </w:rPr>
              <w:t>premiums and discounts</w:t>
            </w: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14,235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14,235</w:t>
            </w:r>
          </w:p>
        </w:tc>
        <w:tc>
          <w:tcPr>
            <w:tcW w:w="0" w:type="dxa"/>
            <w:vAlign w:val="bottom"/>
          </w:tcPr>
          <w:p>
            <w:pPr>
              <w:spacing w:after="0"/>
              <w:rPr>
                <w:sz w:val="1"/>
                <w:szCs w:val="1"/>
                <w:color w:val="auto"/>
              </w:rPr>
            </w:pPr>
          </w:p>
        </w:tc>
      </w:tr>
      <w:tr>
        <w:trPr>
          <w:trHeight w:val="130"/>
        </w:trPr>
        <w:tc>
          <w:tcPr>
            <w:tcW w:w="28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Net change in unrealized appreciation</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(depreciation) included in earnings</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6,868,383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7,662,082</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60,303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(198,437)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14,392,331</w:t>
            </w:r>
          </w:p>
        </w:tc>
        <w:tc>
          <w:tcPr>
            <w:tcW w:w="0" w:type="dxa"/>
            <w:vAlign w:val="bottom"/>
          </w:tcPr>
          <w:p>
            <w:pPr>
              <w:spacing w:after="0"/>
              <w:rPr>
                <w:sz w:val="1"/>
                <w:szCs w:val="1"/>
                <w:color w:val="auto"/>
              </w:rPr>
            </w:pPr>
          </w:p>
        </w:tc>
      </w:tr>
      <w:tr>
        <w:trPr>
          <w:trHeight w:val="20"/>
        </w:trPr>
        <w:tc>
          <w:tcPr>
            <w:tcW w:w="28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40" w:type="dxa"/>
            <w:vAlign w:val="bottom"/>
          </w:tcPr>
          <w:p>
            <w:pPr>
              <w:ind w:left="20"/>
              <w:spacing w:after="0" w:line="142" w:lineRule="exact"/>
              <w:rPr>
                <w:sz w:val="20"/>
                <w:szCs w:val="20"/>
                <w:color w:val="auto"/>
              </w:rPr>
            </w:pPr>
            <w:r>
              <w:rPr>
                <w:rFonts w:ascii="Arial" w:cs="Arial" w:eastAsia="Arial" w:hAnsi="Arial"/>
                <w:sz w:val="14"/>
                <w:szCs w:val="14"/>
                <w:color w:val="auto"/>
              </w:rPr>
              <w:t>Fair Value as of September 30, 2015</w:t>
            </w:r>
          </w:p>
        </w:tc>
        <w:tc>
          <w:tcPr>
            <w:tcW w:w="80" w:type="dxa"/>
            <w:vAlign w:val="bottom"/>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91"/>
              </w:rPr>
              <w:t>95,134,155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2"/>
              </w:rPr>
              <w:t>221,618,041</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w w:val="93"/>
              </w:rPr>
              <w:t>2,207,561</w:t>
            </w: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495,877</w:t>
            </w:r>
          </w:p>
        </w:tc>
        <w:tc>
          <w:tcPr>
            <w:tcW w:w="340" w:type="dxa"/>
            <w:vAlign w:val="bottom"/>
            <w:gridSpan w:val="2"/>
          </w:tcPr>
          <w:p>
            <w:pPr>
              <w:jc w:val="right"/>
              <w:ind w:right="111"/>
              <w:spacing w:after="0" w:line="142"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w w:val="92"/>
              </w:rPr>
              <w:t>319,455,634</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84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Net change in unrealized appreciation</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of Level 3 investments still</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held as of September 30, 2015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4,027,793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589,059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32,425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(198,437)</w:t>
            </w:r>
          </w:p>
        </w:tc>
        <w:tc>
          <w:tcPr>
            <w:tcW w:w="34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4,450,840</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-454025</wp:posOffset>
            </wp:positionV>
            <wp:extent cx="5213985"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8890</wp:posOffset>
            </wp:positionV>
            <wp:extent cx="52057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4"/>
          </w:tcPr>
          <w:p>
            <w:pPr>
              <w:jc w:val="right"/>
              <w:ind w:right="60"/>
              <w:spacing w:after="0"/>
              <w:rPr>
                <w:sz w:val="20"/>
                <w:szCs w:val="20"/>
                <w:color w:val="auto"/>
              </w:rPr>
            </w:pPr>
            <w:r>
              <w:rPr>
                <w:rFonts w:ascii="Arial" w:cs="Arial" w:eastAsia="Arial" w:hAnsi="Arial"/>
                <w:sz w:val="14"/>
                <w:szCs w:val="14"/>
                <w:b w:val="1"/>
                <w:bCs w:val="1"/>
                <w:color w:val="auto"/>
                <w:w w:val="94"/>
              </w:rPr>
              <w:t>Three months ended September 30, 2014 (Unaudited)</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Preferred</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Warrants</w:t>
            </w:r>
          </w:p>
        </w:tc>
        <w:tc>
          <w:tcPr>
            <w:tcW w:w="80" w:type="dxa"/>
            <w:vAlign w:val="bottom"/>
          </w:tcPr>
          <w:p>
            <w:pPr>
              <w:spacing w:after="0"/>
              <w:rPr>
                <w:sz w:val="10"/>
                <w:szCs w:val="10"/>
                <w:color w:val="auto"/>
              </w:rPr>
            </w:pPr>
          </w:p>
        </w:tc>
        <w:tc>
          <w:tcPr>
            <w:tcW w:w="720" w:type="dxa"/>
            <w:vAlign w:val="bottom"/>
            <w:gridSpan w:val="3"/>
          </w:tcPr>
          <w:p>
            <w:pPr>
              <w:jc w:val="right"/>
              <w:ind w:right="20"/>
              <w:spacing w:after="0" w:line="119" w:lineRule="exact"/>
              <w:rPr>
                <w:sz w:val="20"/>
                <w:szCs w:val="20"/>
                <w:color w:val="auto"/>
              </w:rPr>
            </w:pPr>
            <w:r>
              <w:rPr>
                <w:rFonts w:ascii="Arial" w:cs="Arial" w:eastAsia="Arial" w:hAnsi="Arial"/>
                <w:sz w:val="13"/>
                <w:szCs w:val="13"/>
                <w:b w:val="1"/>
                <w:bCs w:val="1"/>
                <w:color w:val="auto"/>
              </w:rPr>
              <w:t>Embedded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5"/>
              </w:rPr>
              <w:t>Investments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8"/>
              </w:rPr>
              <w:t>Derivative</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Fair value as of June 30, 2014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87,595,350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169,119,155</w:t>
            </w:r>
          </w:p>
        </w:tc>
        <w:tc>
          <w:tcPr>
            <w:tcW w:w="2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348,610</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594,355</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2"/>
              </w:rPr>
              <w:t>257,657,470</w:t>
            </w:r>
          </w:p>
        </w:tc>
        <w:tc>
          <w:tcPr>
            <w:tcW w:w="0" w:type="dxa"/>
            <w:vAlign w:val="bottom"/>
          </w:tcPr>
          <w:p>
            <w:pPr>
              <w:spacing w:after="0"/>
              <w:rPr>
                <w:sz w:val="1"/>
                <w:szCs w:val="1"/>
                <w:color w:val="auto"/>
              </w:rPr>
            </w:pPr>
          </w:p>
        </w:tc>
      </w:tr>
      <w:tr>
        <w:trPr>
          <w:trHeight w:val="149"/>
        </w:trPr>
        <w:tc>
          <w:tcPr>
            <w:tcW w:w="2840" w:type="dxa"/>
            <w:vAlign w:val="bottom"/>
          </w:tcPr>
          <w:p>
            <w:pPr>
              <w:ind w:left="20"/>
              <w:spacing w:after="0" w:line="149" w:lineRule="exact"/>
              <w:rPr>
                <w:sz w:val="20"/>
                <w:szCs w:val="20"/>
                <w:color w:val="auto"/>
              </w:rPr>
            </w:pPr>
            <w:r>
              <w:rPr>
                <w:rFonts w:ascii="Arial" w:cs="Arial" w:eastAsia="Arial" w:hAnsi="Arial"/>
                <w:sz w:val="14"/>
                <w:szCs w:val="14"/>
                <w:color w:val="auto"/>
              </w:rPr>
              <w:t>Purchases of investments</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6,795,054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7,301,454</w:t>
            </w: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Sales of investments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(4,556,650)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(6,285,991)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(10,842,641)</w:t>
            </w:r>
          </w:p>
        </w:tc>
        <w:tc>
          <w:tcPr>
            <w:tcW w:w="0" w:type="dxa"/>
            <w:vAlign w:val="bottom"/>
          </w:tcPr>
          <w:p>
            <w:pPr>
              <w:spacing w:after="0"/>
              <w:rPr>
                <w:sz w:val="1"/>
                <w:szCs w:val="1"/>
                <w:color w:val="auto"/>
              </w:rPr>
            </w:pPr>
          </w:p>
        </w:tc>
      </w:tr>
      <w:tr>
        <w:trPr>
          <w:trHeight w:val="149"/>
        </w:trPr>
        <w:tc>
          <w:tcPr>
            <w:tcW w:w="2840" w:type="dxa"/>
            <w:vAlign w:val="bottom"/>
          </w:tcPr>
          <w:p>
            <w:pPr>
              <w:ind w:left="20"/>
              <w:spacing w:after="0" w:line="149" w:lineRule="exact"/>
              <w:rPr>
                <w:sz w:val="20"/>
                <w:szCs w:val="20"/>
                <w:color w:val="auto"/>
              </w:rPr>
            </w:pPr>
            <w:r>
              <w:rPr>
                <w:rFonts w:ascii="Arial" w:cs="Arial" w:eastAsia="Arial" w:hAnsi="Arial"/>
                <w:sz w:val="14"/>
                <w:szCs w:val="14"/>
                <w:color w:val="auto"/>
              </w:rPr>
              <w:t>Realized gains</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1,951,444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4,969,326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6,920,770</w:t>
            </w:r>
          </w:p>
        </w:tc>
        <w:tc>
          <w:tcPr>
            <w:tcW w:w="0" w:type="dxa"/>
            <w:vAlign w:val="bottom"/>
          </w:tcPr>
          <w:p>
            <w:pPr>
              <w:spacing w:after="0"/>
              <w:rPr>
                <w:sz w:val="1"/>
                <w:szCs w:val="1"/>
                <w:color w:val="auto"/>
              </w:rPr>
            </w:pPr>
          </w:p>
        </w:tc>
      </w:tr>
      <w:tr>
        <w:trPr>
          <w:trHeight w:val="130"/>
        </w:trPr>
        <w:tc>
          <w:tcPr>
            <w:tcW w:w="28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Net change in unrealized appreciation</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(depreciation) included in earnings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4"/>
              </w:rPr>
              <w:t>(2,241,704)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(5,484,429)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12,692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(23,978)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(7,737,419)</w:t>
            </w:r>
          </w:p>
        </w:tc>
        <w:tc>
          <w:tcPr>
            <w:tcW w:w="0" w:type="dxa"/>
            <w:vAlign w:val="bottom"/>
          </w:tcPr>
          <w:p>
            <w:pPr>
              <w:spacing w:after="0"/>
              <w:rPr>
                <w:sz w:val="1"/>
                <w:szCs w:val="1"/>
                <w:color w:val="auto"/>
              </w:rPr>
            </w:pPr>
          </w:p>
        </w:tc>
      </w:tr>
      <w:tr>
        <w:trPr>
          <w:trHeight w:val="20"/>
        </w:trPr>
        <w:tc>
          <w:tcPr>
            <w:tcW w:w="28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40" w:type="dxa"/>
            <w:vAlign w:val="bottom"/>
          </w:tcPr>
          <w:p>
            <w:pPr>
              <w:ind w:left="20"/>
              <w:spacing w:after="0" w:line="142" w:lineRule="exact"/>
              <w:rPr>
                <w:sz w:val="20"/>
                <w:szCs w:val="20"/>
                <w:color w:val="auto"/>
              </w:rPr>
            </w:pPr>
            <w:r>
              <w:rPr>
                <w:rFonts w:ascii="Arial" w:cs="Arial" w:eastAsia="Arial" w:hAnsi="Arial"/>
                <w:sz w:val="14"/>
                <w:szCs w:val="14"/>
                <w:color w:val="auto"/>
              </w:rPr>
              <w:t>Fair Value as of September 30, 2014</w:t>
            </w:r>
          </w:p>
        </w:tc>
        <w:tc>
          <w:tcPr>
            <w:tcW w:w="80" w:type="dxa"/>
            <w:vAlign w:val="bottom"/>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91"/>
              </w:rPr>
              <w:t>82,754,840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89"/>
              </w:rPr>
              <w:t>169,113,115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861,302</w:t>
            </w: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570,377</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w w:val="92"/>
              </w:rPr>
              <w:t>253,299,634</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84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Net change in unrealized appreciation</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of Level 3 investments still</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held as of September 30, 2014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4"/>
              </w:rPr>
              <w:t>(2,241,704)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(5,484,429)</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12,692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(23,978)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(7,737,419)</w:t>
            </w:r>
          </w:p>
        </w:tc>
        <w:tc>
          <w:tcPr>
            <w:tcW w:w="0" w:type="dxa"/>
            <w:vAlign w:val="bottom"/>
          </w:tcPr>
          <w:p>
            <w:pPr>
              <w:spacing w:after="0"/>
              <w:rPr>
                <w:sz w:val="1"/>
                <w:szCs w:val="1"/>
                <w:color w:val="auto"/>
              </w:rPr>
            </w:pPr>
          </w:p>
        </w:tc>
      </w:tr>
      <w:tr>
        <w:trPr>
          <w:trHeight w:val="142"/>
        </w:trPr>
        <w:tc>
          <w:tcPr>
            <w:tcW w:w="2840" w:type="dxa"/>
            <w:vAlign w:val="bottom"/>
            <w:tcBorders>
              <w:top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Fair Value of June 30, 2014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159,000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159,000</w:t>
            </w:r>
          </w:p>
        </w:tc>
        <w:tc>
          <w:tcPr>
            <w:tcW w:w="0" w:type="dxa"/>
            <w:vAlign w:val="bottom"/>
          </w:tcPr>
          <w:p>
            <w:pPr>
              <w:spacing w:after="0"/>
              <w:rPr>
                <w:sz w:val="1"/>
                <w:szCs w:val="1"/>
                <w:color w:val="auto"/>
              </w:rPr>
            </w:pPr>
          </w:p>
        </w:tc>
      </w:tr>
      <w:tr>
        <w:trPr>
          <w:trHeight w:val="123"/>
        </w:trPr>
        <w:tc>
          <w:tcPr>
            <w:tcW w:w="2840" w:type="dxa"/>
            <w:vAlign w:val="bottom"/>
            <w:tcBorders>
              <w:top w:val="single" w:sz="8" w:color="CCEEFF"/>
            </w:tcBorders>
          </w:tcPr>
          <w:p>
            <w:pPr>
              <w:ind w:left="20"/>
              <w:spacing w:after="0" w:line="123" w:lineRule="exact"/>
              <w:rPr>
                <w:sz w:val="20"/>
                <w:szCs w:val="20"/>
                <w:color w:val="auto"/>
              </w:rPr>
            </w:pPr>
            <w:r>
              <w:rPr>
                <w:rFonts w:ascii="Arial" w:cs="Arial" w:eastAsia="Arial" w:hAnsi="Arial"/>
                <w:sz w:val="14"/>
                <w:szCs w:val="14"/>
                <w:color w:val="auto"/>
              </w:rPr>
              <w:t>Gain on fair value adjustment for embedded</w:t>
            </w: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40" w:type="dxa"/>
            <w:vAlign w:val="bottom"/>
          </w:tcPr>
          <w:p>
            <w:pPr>
              <w:ind w:left="200"/>
              <w:spacing w:after="0"/>
              <w:rPr>
                <w:sz w:val="20"/>
                <w:szCs w:val="20"/>
                <w:color w:val="auto"/>
              </w:rPr>
            </w:pPr>
            <w:r>
              <w:rPr>
                <w:rFonts w:ascii="Arial" w:cs="Arial" w:eastAsia="Arial" w:hAnsi="Arial"/>
                <w:sz w:val="14"/>
                <w:szCs w:val="14"/>
                <w:color w:val="auto"/>
              </w:rPr>
              <w:t>derivative</w:t>
            </w: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(147,000)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(147,000)</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8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Fair Value as of September 30, 2014</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12,000</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-1002665</wp:posOffset>
            </wp:positionV>
            <wp:extent cx="5213985"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-582295</wp:posOffset>
            </wp:positionV>
            <wp:extent cx="521398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2317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3985" cy="23177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7" w:name="page38"/>
    <w:bookmarkEnd w:id="3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057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9"/>
          </w:tcPr>
          <w:p>
            <w:pPr>
              <w:jc w:val="right"/>
              <w:ind w:right="100"/>
              <w:spacing w:after="0"/>
              <w:rPr>
                <w:sz w:val="20"/>
                <w:szCs w:val="20"/>
                <w:color w:val="auto"/>
              </w:rPr>
            </w:pPr>
            <w:r>
              <w:rPr>
                <w:rFonts w:ascii="Arial" w:cs="Arial" w:eastAsia="Arial" w:hAnsi="Arial"/>
                <w:sz w:val="14"/>
                <w:szCs w:val="14"/>
                <w:b w:val="1"/>
                <w:bCs w:val="1"/>
                <w:color w:val="auto"/>
                <w:w w:val="93"/>
              </w:rPr>
              <w:t>Nine months ended September 30, 2015 (Unaudited)</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6"/>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Common</w:t>
            </w:r>
          </w:p>
        </w:tc>
        <w:tc>
          <w:tcPr>
            <w:tcW w:w="140" w:type="dxa"/>
            <w:vAlign w:val="bottom"/>
          </w:tcPr>
          <w:p>
            <w:pPr>
              <w:spacing w:after="0"/>
              <w:rPr>
                <w:sz w:val="10"/>
                <w:szCs w:val="10"/>
                <w:color w:val="auto"/>
              </w:rPr>
            </w:pPr>
          </w:p>
        </w:tc>
        <w:tc>
          <w:tcPr>
            <w:tcW w:w="68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rPr>
              <w:t>Preferred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88"/>
              <w:spacing w:after="0" w:line="119" w:lineRule="exact"/>
              <w:rPr>
                <w:sz w:val="20"/>
                <w:szCs w:val="20"/>
                <w:color w:val="auto"/>
              </w:rPr>
            </w:pPr>
            <w:r>
              <w:rPr>
                <w:rFonts w:ascii="Arial" w:cs="Arial" w:eastAsia="Arial" w:hAnsi="Arial"/>
                <w:sz w:val="13"/>
                <w:szCs w:val="13"/>
                <w:b w:val="1"/>
                <w:bCs w:val="1"/>
                <w:color w:val="auto"/>
              </w:rPr>
              <w:t>Debt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4"/>
            <w:vMerge w:val="restart"/>
          </w:tcPr>
          <w:p>
            <w:pPr>
              <w:jc w:val="right"/>
              <w:ind w:right="128"/>
              <w:spacing w:after="0"/>
              <w:rPr>
                <w:sz w:val="20"/>
                <w:szCs w:val="20"/>
                <w:color w:val="auto"/>
              </w:rPr>
            </w:pPr>
            <w:r>
              <w:rPr>
                <w:rFonts w:ascii="Arial" w:cs="Arial" w:eastAsia="Arial" w:hAnsi="Arial"/>
                <w:sz w:val="14"/>
                <w:szCs w:val="14"/>
                <w:b w:val="1"/>
                <w:bCs w:val="1"/>
                <w:color w:val="auto"/>
                <w:w w:val="95"/>
              </w:rPr>
              <w:t>Warrants</w:t>
            </w:r>
          </w:p>
        </w:tc>
        <w:tc>
          <w:tcPr>
            <w:tcW w:w="20" w:type="dxa"/>
            <w:vAlign w:val="bottom"/>
          </w:tcPr>
          <w:p>
            <w:pPr>
              <w:spacing w:after="0"/>
              <w:rPr>
                <w:sz w:val="10"/>
                <w:szCs w:val="10"/>
                <w:color w:val="auto"/>
              </w:rPr>
            </w:pPr>
          </w:p>
        </w:tc>
        <w:tc>
          <w:tcPr>
            <w:tcW w:w="7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Embedded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0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Investments</w:t>
            </w:r>
          </w:p>
        </w:tc>
        <w:tc>
          <w:tcPr>
            <w:tcW w:w="8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Derivative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3"/>
              </w:rPr>
              <w:t>Fair value as of December 31, 2014</w:t>
            </w:r>
          </w:p>
        </w:tc>
        <w:tc>
          <w:tcPr>
            <w:tcW w:w="100" w:type="dxa"/>
            <w:vAlign w:val="bottom"/>
            <w:shd w:val="clear" w:color="auto" w:fill="CCEEFF"/>
          </w:tcPr>
          <w:p>
            <w:pPr>
              <w:spacing w:after="0"/>
              <w:rPr>
                <w:sz w:val="12"/>
                <w:szCs w:val="12"/>
                <w:color w:val="auto"/>
              </w:rPr>
            </w:pPr>
          </w:p>
        </w:tc>
        <w:tc>
          <w:tcPr>
            <w:tcW w:w="1440" w:type="dxa"/>
            <w:vAlign w:val="bottom"/>
            <w:gridSpan w:val="8"/>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$85,598,467</w:t>
            </w:r>
          </w:p>
        </w:tc>
        <w:tc>
          <w:tcPr>
            <w:tcW w:w="80" w:type="dxa"/>
            <w:vAlign w:val="bottom"/>
            <w:tcBorders>
              <w:right w:val="single" w:sz="8" w:color="CCEEFF"/>
            </w:tcBorders>
            <w:shd w:val="clear" w:color="auto" w:fill="CCEEFF"/>
          </w:tcPr>
          <w:p>
            <w:pPr>
              <w:spacing w:after="0"/>
              <w:rPr>
                <w:sz w:val="12"/>
                <w:szCs w:val="12"/>
                <w:color w:val="auto"/>
              </w:rPr>
            </w:pPr>
          </w:p>
        </w:tc>
        <w:tc>
          <w:tcPr>
            <w:tcW w:w="820" w:type="dxa"/>
            <w:vAlign w:val="bottom"/>
            <w:tcBorders>
              <w:right w:val="single" w:sz="8" w:color="CCEEFF"/>
            </w:tcBorders>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$ 193,847,045</w:t>
            </w:r>
          </w:p>
        </w:tc>
        <w:tc>
          <w:tcPr>
            <w:tcW w:w="980" w:type="dxa"/>
            <w:vAlign w:val="bottom"/>
            <w:tcBorders>
              <w:right w:val="single" w:sz="8" w:color="CCEEFF"/>
            </w:tcBorders>
            <w:gridSpan w:val="5"/>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$ 1,374,210</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gridSpan w:val="4"/>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904,345</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2"/>
              </w:rPr>
              <w:t>281,724,067</w:t>
            </w:r>
          </w:p>
        </w:tc>
        <w:tc>
          <w:tcPr>
            <w:tcW w:w="0" w:type="dxa"/>
            <w:vAlign w:val="bottom"/>
          </w:tcPr>
          <w:p>
            <w:pPr>
              <w:spacing w:after="0"/>
              <w:rPr>
                <w:sz w:val="1"/>
                <w:szCs w:val="1"/>
                <w:color w:val="auto"/>
              </w:rPr>
            </w:pPr>
          </w:p>
        </w:tc>
      </w:tr>
      <w:tr>
        <w:trPr>
          <w:trHeight w:val="149"/>
        </w:trPr>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Purchases of investments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2,680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4"/>
          </w:tcPr>
          <w:p>
            <w:pPr>
              <w:jc w:val="right"/>
              <w:spacing w:after="0" w:line="149" w:lineRule="exact"/>
              <w:rPr>
                <w:sz w:val="20"/>
                <w:szCs w:val="20"/>
                <w:color w:val="auto"/>
              </w:rPr>
            </w:pPr>
            <w:r>
              <w:rPr>
                <w:rFonts w:ascii="Arial" w:cs="Arial" w:eastAsia="Arial" w:hAnsi="Arial"/>
                <w:sz w:val="14"/>
                <w:szCs w:val="14"/>
                <w:color w:val="auto"/>
                <w:w w:val="94"/>
              </w:rPr>
              <w:t>16,168,653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w w:val="89"/>
              </w:rPr>
              <w:t>1,022,107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17,193,440</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Sales of investments</w:t>
            </w:r>
          </w:p>
        </w:tc>
        <w:tc>
          <w:tcPr>
            <w:tcW w:w="100" w:type="dxa"/>
            <w:vAlign w:val="bottom"/>
            <w:shd w:val="clear" w:color="auto" w:fill="CCEEFF"/>
          </w:tcPr>
          <w:p>
            <w:pPr>
              <w:spacing w:after="0"/>
              <w:rPr>
                <w:sz w:val="12"/>
                <w:szCs w:val="12"/>
                <w:color w:val="auto"/>
              </w:rPr>
            </w:pPr>
          </w:p>
        </w:tc>
        <w:tc>
          <w:tcPr>
            <w:tcW w:w="1440" w:type="dxa"/>
            <w:vAlign w:val="bottom"/>
            <w:gridSpan w:val="8"/>
            <w:shd w:val="clear" w:color="auto" w:fill="CCEEFF"/>
          </w:tcPr>
          <w:p>
            <w:pPr>
              <w:jc w:val="right"/>
              <w:spacing w:after="0" w:line="149" w:lineRule="exact"/>
              <w:rPr>
                <w:sz w:val="20"/>
                <w:szCs w:val="20"/>
                <w:color w:val="auto"/>
              </w:rPr>
            </w:pPr>
            <w:r>
              <w:rPr>
                <w:rFonts w:ascii="Arial" w:cs="Arial" w:eastAsia="Arial" w:hAnsi="Arial"/>
                <w:sz w:val="14"/>
                <w:szCs w:val="14"/>
                <w:color w:val="auto"/>
              </w:rPr>
              <w:t>(1,886,373)</w:t>
            </w:r>
          </w:p>
        </w:tc>
        <w:tc>
          <w:tcPr>
            <w:tcW w:w="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5"/>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7"/>
              </w:rPr>
              <w:t>(3,362,594)</w:t>
            </w: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(50,000)</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(5,298,967)</w:t>
            </w:r>
          </w:p>
        </w:tc>
        <w:tc>
          <w:tcPr>
            <w:tcW w:w="0" w:type="dxa"/>
            <w:vAlign w:val="bottom"/>
          </w:tcPr>
          <w:p>
            <w:pPr>
              <w:spacing w:after="0"/>
              <w:rPr>
                <w:sz w:val="1"/>
                <w:szCs w:val="1"/>
                <w:color w:val="auto"/>
              </w:rPr>
            </w:pPr>
          </w:p>
        </w:tc>
      </w:tr>
      <w:tr>
        <w:trPr>
          <w:trHeight w:val="149"/>
        </w:trPr>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Realized losses</w:t>
            </w:r>
          </w:p>
        </w:tc>
        <w:tc>
          <w:tcPr>
            <w:tcW w:w="100" w:type="dxa"/>
            <w:vAlign w:val="bottom"/>
          </w:tcPr>
          <w:p>
            <w:pPr>
              <w:spacing w:after="0"/>
              <w:rPr>
                <w:sz w:val="12"/>
                <w:szCs w:val="12"/>
                <w:color w:val="auto"/>
              </w:rPr>
            </w:pPr>
          </w:p>
        </w:tc>
        <w:tc>
          <w:tcPr>
            <w:tcW w:w="1440" w:type="dxa"/>
            <w:vAlign w:val="bottom"/>
            <w:gridSpan w:val="8"/>
          </w:tcPr>
          <w:p>
            <w:pPr>
              <w:jc w:val="right"/>
              <w:spacing w:after="0" w:line="149" w:lineRule="exact"/>
              <w:rPr>
                <w:sz w:val="20"/>
                <w:szCs w:val="20"/>
                <w:color w:val="auto"/>
              </w:rPr>
            </w:pPr>
            <w:r>
              <w:rPr>
                <w:rFonts w:ascii="Arial" w:cs="Arial" w:eastAsia="Arial" w:hAnsi="Arial"/>
                <w:sz w:val="14"/>
                <w:szCs w:val="14"/>
                <w:color w:val="auto"/>
              </w:rPr>
              <w:t>(2,290,880)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5"/>
          </w:tcPr>
          <w:p>
            <w:pPr>
              <w:jc w:val="right"/>
              <w:ind w:right="48"/>
              <w:spacing w:after="0" w:line="149" w:lineRule="exact"/>
              <w:rPr>
                <w:sz w:val="20"/>
                <w:szCs w:val="20"/>
                <w:color w:val="auto"/>
              </w:rPr>
            </w:pPr>
            <w:r>
              <w:rPr>
                <w:rFonts w:ascii="Arial" w:cs="Arial" w:eastAsia="Arial" w:hAnsi="Arial"/>
                <w:sz w:val="14"/>
                <w:szCs w:val="14"/>
                <w:color w:val="auto"/>
                <w:w w:val="97"/>
              </w:rPr>
              <w:t>(7,563,262)</w:t>
            </w:r>
          </w:p>
        </w:tc>
        <w:tc>
          <w:tcPr>
            <w:tcW w:w="120" w:type="dxa"/>
            <w:vAlign w:val="bottom"/>
          </w:tcPr>
          <w:p>
            <w:pPr>
              <w:spacing w:after="0"/>
              <w:rPr>
                <w:sz w:val="12"/>
                <w:szCs w:val="12"/>
                <w:color w:val="auto"/>
              </w:rPr>
            </w:pPr>
          </w:p>
        </w:tc>
        <w:tc>
          <w:tcPr>
            <w:tcW w:w="70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(27,190)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(9,881,332)</w:t>
            </w:r>
          </w:p>
        </w:tc>
        <w:tc>
          <w:tcPr>
            <w:tcW w:w="0" w:type="dxa"/>
            <w:vAlign w:val="bottom"/>
          </w:tcPr>
          <w:p>
            <w:pPr>
              <w:spacing w:after="0"/>
              <w:rPr>
                <w:sz w:val="1"/>
                <w:szCs w:val="1"/>
                <w:color w:val="auto"/>
              </w:rPr>
            </w:pPr>
          </w:p>
        </w:tc>
      </w:tr>
      <w:tr>
        <w:trPr>
          <w:trHeight w:val="189"/>
        </w:trPr>
        <w:tc>
          <w:tcPr>
            <w:tcW w:w="2980" w:type="dxa"/>
            <w:vAlign w:val="bottom"/>
            <w:gridSpan w:val="5"/>
            <w:shd w:val="clear" w:color="auto" w:fill="CCEEFF"/>
          </w:tcPr>
          <w:p>
            <w:pPr>
              <w:ind w:left="20"/>
              <w:spacing w:after="0" w:line="189" w:lineRule="exact"/>
              <w:rPr>
                <w:sz w:val="20"/>
                <w:szCs w:val="20"/>
                <w:color w:val="auto"/>
              </w:rPr>
            </w:pPr>
            <w:r>
              <w:rPr>
                <w:rFonts w:ascii="Arial" w:cs="Arial" w:eastAsia="Arial" w:hAnsi="Arial"/>
                <w:sz w:val="13"/>
                <w:szCs w:val="13"/>
                <w:color w:val="auto"/>
              </w:rPr>
              <w:t>Exercises, conversions and assignments</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295,801</w:t>
            </w:r>
          </w:p>
        </w:tc>
        <w:tc>
          <w:tcPr>
            <w:tcW w:w="1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tcBorders>
              <w:right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4"/>
                <w:szCs w:val="14"/>
                <w:color w:val="auto"/>
              </w:rPr>
              <w:t>(295,801)</w:t>
            </w: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220" w:type="dxa"/>
            <w:vAlign w:val="bottom"/>
            <w:gridSpan w:val="2"/>
          </w:tcPr>
          <w:p>
            <w:pPr>
              <w:ind w:left="20"/>
              <w:spacing w:after="0" w:line="130" w:lineRule="exact"/>
              <w:rPr>
                <w:sz w:val="20"/>
                <w:szCs w:val="20"/>
                <w:color w:val="auto"/>
              </w:rPr>
            </w:pPr>
            <w:r>
              <w:rPr>
                <w:rFonts w:ascii="Arial" w:cs="Arial" w:eastAsia="Arial" w:hAnsi="Arial"/>
                <w:sz w:val="14"/>
                <w:szCs w:val="14"/>
                <w:color w:val="auto"/>
                <w:w w:val="95"/>
              </w:rPr>
              <w:t>Amortization of fixed income security</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20" w:type="dxa"/>
            <w:vAlign w:val="bottom"/>
          </w:tcPr>
          <w:p>
            <w:pPr>
              <w:ind w:left="200"/>
              <w:spacing w:after="0"/>
              <w:rPr>
                <w:sz w:val="20"/>
                <w:szCs w:val="20"/>
                <w:color w:val="auto"/>
              </w:rPr>
            </w:pPr>
            <w:r>
              <w:rPr>
                <w:rFonts w:ascii="Arial" w:cs="Arial" w:eastAsia="Arial" w:hAnsi="Arial"/>
                <w:sz w:val="14"/>
                <w:szCs w:val="14"/>
                <w:color w:val="auto"/>
              </w:rPr>
              <w:t>premiums and discounts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w w:val="93"/>
              </w:rPr>
              <w:t>36,117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36,117</w:t>
            </w:r>
          </w:p>
        </w:tc>
        <w:tc>
          <w:tcPr>
            <w:tcW w:w="0" w:type="dxa"/>
            <w:vAlign w:val="bottom"/>
          </w:tcPr>
          <w:p>
            <w:pPr>
              <w:spacing w:after="0"/>
              <w:rPr>
                <w:sz w:val="1"/>
                <w:szCs w:val="1"/>
                <w:color w:val="auto"/>
              </w:rPr>
            </w:pPr>
          </w:p>
        </w:tc>
      </w:tr>
      <w:tr>
        <w:trPr>
          <w:trHeight w:val="130"/>
        </w:trPr>
        <w:tc>
          <w:tcPr>
            <w:tcW w:w="222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w w:val="92"/>
              </w:rPr>
              <w:t>Net change in unrealized appreciation</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3"/>
              </w:rPr>
              <w:t>(depreciation) included in earnings</w:t>
            </w:r>
          </w:p>
        </w:tc>
        <w:tc>
          <w:tcPr>
            <w:tcW w:w="620" w:type="dxa"/>
            <w:vAlign w:val="bottom"/>
            <w:shd w:val="clear" w:color="auto" w:fill="CCEEFF"/>
          </w:tcPr>
          <w:p>
            <w:pPr>
              <w:spacing w:after="0"/>
              <w:rPr>
                <w:sz w:val="14"/>
                <w:szCs w:val="14"/>
                <w:color w:val="auto"/>
              </w:rPr>
            </w:pPr>
          </w:p>
        </w:tc>
        <w:tc>
          <w:tcPr>
            <w:tcW w:w="74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13,710,261</w:t>
            </w:r>
          </w:p>
        </w:tc>
        <w:tc>
          <w:tcPr>
            <w:tcW w:w="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w w:val="94"/>
              </w:rPr>
              <w:t>22,232,398</w:t>
            </w: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148,118</w:t>
            </w: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right w:val="single" w:sz="8" w:color="CCEEFF"/>
            </w:tcBorders>
            <w:gridSpan w:val="4"/>
            <w:shd w:val="clear" w:color="auto" w:fill="CCEEFF"/>
          </w:tcPr>
          <w:p>
            <w:pPr>
              <w:jc w:val="right"/>
              <w:ind w:right="88"/>
              <w:spacing w:after="0"/>
              <w:rPr>
                <w:sz w:val="20"/>
                <w:szCs w:val="20"/>
                <w:color w:val="auto"/>
              </w:rPr>
            </w:pPr>
            <w:r>
              <w:rPr>
                <w:rFonts w:ascii="Arial" w:cs="Arial" w:eastAsia="Arial" w:hAnsi="Arial"/>
                <w:sz w:val="14"/>
                <w:szCs w:val="14"/>
                <w:color w:val="auto"/>
              </w:rPr>
              <w:t>(408,468)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35,682,309</w:t>
            </w:r>
          </w:p>
        </w:tc>
        <w:tc>
          <w:tcPr>
            <w:tcW w:w="0" w:type="dxa"/>
            <w:vAlign w:val="bottom"/>
          </w:tcPr>
          <w:p>
            <w:pPr>
              <w:spacing w:after="0"/>
              <w:rPr>
                <w:sz w:val="1"/>
                <w:szCs w:val="1"/>
                <w:color w:val="auto"/>
              </w:rPr>
            </w:pPr>
          </w:p>
        </w:tc>
      </w:tr>
      <w:tr>
        <w:trPr>
          <w:trHeight w:val="20"/>
        </w:trPr>
        <w:tc>
          <w:tcPr>
            <w:tcW w:w="2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Pr>
          <w:p>
            <w:pPr>
              <w:ind w:left="20"/>
              <w:spacing w:after="0" w:line="142" w:lineRule="exact"/>
              <w:rPr>
                <w:sz w:val="20"/>
                <w:szCs w:val="20"/>
                <w:color w:val="auto"/>
              </w:rPr>
            </w:pPr>
            <w:r>
              <w:rPr>
                <w:rFonts w:ascii="Arial" w:cs="Arial" w:eastAsia="Arial" w:hAnsi="Arial"/>
                <w:sz w:val="14"/>
                <w:szCs w:val="14"/>
                <w:color w:val="auto"/>
                <w:w w:val="90"/>
              </w:rPr>
              <w:t>Fair Value as of September 30, 2015</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gridSpan w:val="6"/>
          </w:tcPr>
          <w:p>
            <w:pPr>
              <w:jc w:val="right"/>
              <w:spacing w:after="0" w:line="142"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95,134,155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5"/>
          </w:tcPr>
          <w:p>
            <w:pPr>
              <w:jc w:val="right"/>
              <w:spacing w:after="0" w:line="142" w:lineRule="exact"/>
              <w:rPr>
                <w:sz w:val="20"/>
                <w:szCs w:val="20"/>
                <w:color w:val="auto"/>
              </w:rPr>
            </w:pPr>
            <w:r>
              <w:rPr>
                <w:rFonts w:ascii="Arial" w:cs="Arial" w:eastAsia="Arial" w:hAnsi="Arial"/>
                <w:sz w:val="14"/>
                <w:szCs w:val="14"/>
                <w:color w:val="auto"/>
                <w:w w:val="89"/>
              </w:rPr>
              <w:t>$ 221,618,041</w:t>
            </w:r>
          </w:p>
        </w:tc>
        <w:tc>
          <w:tcPr>
            <w:tcW w:w="980" w:type="dxa"/>
            <w:vAlign w:val="bottom"/>
            <w:gridSpan w:val="5"/>
          </w:tcPr>
          <w:p>
            <w:pPr>
              <w:jc w:val="right"/>
              <w:ind w:right="48"/>
              <w:spacing w:after="0" w:line="142" w:lineRule="exact"/>
              <w:rPr>
                <w:sz w:val="20"/>
                <w:szCs w:val="20"/>
                <w:color w:val="auto"/>
              </w:rPr>
            </w:pPr>
            <w:r>
              <w:rPr>
                <w:rFonts w:ascii="Arial" w:cs="Arial" w:eastAsia="Arial" w:hAnsi="Arial"/>
                <w:sz w:val="14"/>
                <w:szCs w:val="14"/>
                <w:color w:val="auto"/>
              </w:rPr>
              <w:t>$ 2,207,561</w:t>
            </w: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4"/>
          </w:tcPr>
          <w:p>
            <w:pPr>
              <w:jc w:val="right"/>
              <w:ind w:right="128"/>
              <w:spacing w:after="0" w:line="142" w:lineRule="exact"/>
              <w:rPr>
                <w:sz w:val="20"/>
                <w:szCs w:val="20"/>
                <w:color w:val="auto"/>
              </w:rPr>
            </w:pPr>
            <w:r>
              <w:rPr>
                <w:rFonts w:ascii="Arial" w:cs="Arial" w:eastAsia="Arial" w:hAnsi="Arial"/>
                <w:sz w:val="14"/>
                <w:szCs w:val="14"/>
                <w:color w:val="auto"/>
              </w:rPr>
              <w:t>495,877</w:t>
            </w:r>
          </w:p>
        </w:tc>
        <w:tc>
          <w:tcPr>
            <w:tcW w:w="12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w w:val="92"/>
              </w:rPr>
              <w:t>319,455,634</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220" w:type="dxa"/>
            <w:vAlign w:val="bottom"/>
            <w:gridSpan w:val="2"/>
            <w:shd w:val="clear" w:color="auto" w:fill="CCEEFF"/>
          </w:tcPr>
          <w:p>
            <w:pPr>
              <w:ind w:left="20"/>
              <w:spacing w:after="0" w:line="123" w:lineRule="exact"/>
              <w:rPr>
                <w:sz w:val="20"/>
                <w:szCs w:val="20"/>
                <w:color w:val="auto"/>
              </w:rPr>
            </w:pPr>
            <w:r>
              <w:rPr>
                <w:rFonts w:ascii="Arial" w:cs="Arial" w:eastAsia="Arial" w:hAnsi="Arial"/>
                <w:sz w:val="14"/>
                <w:szCs w:val="14"/>
                <w:color w:val="auto"/>
                <w:w w:val="92"/>
              </w:rPr>
              <w:t>Net change in unrealized appreciation</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80" w:type="dxa"/>
            <w:vAlign w:val="bottom"/>
            <w:gridSpan w:val="5"/>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of Level 3 investments still</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1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9"/>
              </w:rPr>
              <w:t>held as of September 30, 2015</w:t>
            </w:r>
          </w:p>
        </w:tc>
        <w:tc>
          <w:tcPr>
            <w:tcW w:w="100" w:type="dxa"/>
            <w:vAlign w:val="bottom"/>
            <w:shd w:val="clear" w:color="auto" w:fill="CCEEFF"/>
          </w:tcPr>
          <w:p>
            <w:pPr>
              <w:spacing w:after="0"/>
              <w:rPr>
                <w:sz w:val="18"/>
                <w:szCs w:val="18"/>
                <w:color w:val="auto"/>
              </w:rPr>
            </w:pPr>
          </w:p>
        </w:tc>
        <w:tc>
          <w:tcPr>
            <w:tcW w:w="1440" w:type="dxa"/>
            <w:vAlign w:val="bottom"/>
            <w:gridSpan w:val="8"/>
            <w:shd w:val="clear" w:color="auto" w:fill="CCEEFF"/>
          </w:tcPr>
          <w:p>
            <w:pPr>
              <w:jc w:val="right"/>
              <w:ind w:right="8"/>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10,869,673</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w w:val="94"/>
              </w:rPr>
              <w:t>15,198,644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142,426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gridSpan w:val="4"/>
            <w:shd w:val="clear" w:color="auto" w:fill="CCEEFF"/>
          </w:tcPr>
          <w:p>
            <w:pPr>
              <w:jc w:val="right"/>
              <w:ind w:right="88"/>
              <w:spacing w:after="0"/>
              <w:rPr>
                <w:sz w:val="20"/>
                <w:szCs w:val="20"/>
                <w:color w:val="auto"/>
              </w:rPr>
            </w:pPr>
            <w:r>
              <w:rPr>
                <w:rFonts w:ascii="Arial" w:cs="Arial" w:eastAsia="Arial" w:hAnsi="Arial"/>
                <w:sz w:val="14"/>
                <w:szCs w:val="14"/>
                <w:color w:val="auto"/>
              </w:rPr>
              <w:t>(408,468)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25,802,275</w:t>
            </w:r>
          </w:p>
        </w:tc>
        <w:tc>
          <w:tcPr>
            <w:tcW w:w="0" w:type="dxa"/>
            <w:vAlign w:val="bottom"/>
          </w:tcPr>
          <w:p>
            <w:pPr>
              <w:spacing w:after="0"/>
              <w:rPr>
                <w:sz w:val="1"/>
                <w:szCs w:val="1"/>
                <w:color w:val="auto"/>
              </w:rPr>
            </w:pPr>
          </w:p>
        </w:tc>
      </w:tr>
      <w:tr>
        <w:trPr>
          <w:trHeight w:val="142"/>
        </w:trPr>
        <w:tc>
          <w:tcPr>
            <w:tcW w:w="2120" w:type="dxa"/>
            <w:vAlign w:val="bottom"/>
            <w:tcBorders>
              <w:top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Liabilities:</w:t>
            </w:r>
          </w:p>
        </w:tc>
        <w:tc>
          <w:tcPr>
            <w:tcW w:w="10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Fair Value of December 31, 2014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gridSpan w:val="2"/>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23"/>
        </w:trPr>
        <w:tc>
          <w:tcPr>
            <w:tcW w:w="2840" w:type="dxa"/>
            <w:vAlign w:val="bottom"/>
            <w:tcBorders>
              <w:top w:val="single" w:sz="8" w:color="CCEEFF"/>
            </w:tcBorders>
            <w:gridSpan w:val="3"/>
          </w:tcPr>
          <w:p>
            <w:pPr>
              <w:ind w:left="20"/>
              <w:spacing w:after="0" w:line="123" w:lineRule="exact"/>
              <w:rPr>
                <w:sz w:val="20"/>
                <w:szCs w:val="20"/>
                <w:color w:val="auto"/>
              </w:rPr>
            </w:pPr>
            <w:r>
              <w:rPr>
                <w:rFonts w:ascii="Arial" w:cs="Arial" w:eastAsia="Arial" w:hAnsi="Arial"/>
                <w:sz w:val="14"/>
                <w:szCs w:val="14"/>
                <w:color w:val="auto"/>
              </w:rPr>
              <w:t>Gain on fair value adjustment for embedded</w:t>
            </w:r>
          </w:p>
        </w:tc>
        <w:tc>
          <w:tcPr>
            <w:tcW w:w="140" w:type="dxa"/>
            <w:vAlign w:val="bottom"/>
            <w:tcBorders>
              <w:top w:val="single" w:sz="8" w:color="auto"/>
            </w:tcBorders>
            <w:gridSpan w:val="2"/>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120" w:type="dxa"/>
            <w:vAlign w:val="bottom"/>
          </w:tcPr>
          <w:p>
            <w:pPr>
              <w:ind w:left="200"/>
              <w:spacing w:after="0"/>
              <w:rPr>
                <w:sz w:val="20"/>
                <w:szCs w:val="20"/>
                <w:color w:val="auto"/>
              </w:rPr>
            </w:pPr>
            <w:r>
              <w:rPr>
                <w:rFonts w:ascii="Arial" w:cs="Arial" w:eastAsia="Arial" w:hAnsi="Arial"/>
                <w:sz w:val="14"/>
                <w:szCs w:val="14"/>
                <w:color w:val="auto"/>
              </w:rPr>
              <w:t>derivative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w w:val="90"/>
              </w:rPr>
              <w:t>Fair Value as of September 30, 2015</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22"/>
          </w:tcPr>
          <w:p>
            <w:pPr>
              <w:jc w:val="right"/>
              <w:ind w:right="460"/>
              <w:spacing w:after="0"/>
              <w:rPr>
                <w:sz w:val="20"/>
                <w:szCs w:val="20"/>
                <w:color w:val="auto"/>
              </w:rPr>
            </w:pPr>
            <w:r>
              <w:rPr>
                <w:rFonts w:ascii="Arial" w:cs="Arial" w:eastAsia="Arial" w:hAnsi="Arial"/>
                <w:sz w:val="14"/>
                <w:szCs w:val="14"/>
                <w:b w:val="1"/>
                <w:bCs w:val="1"/>
                <w:color w:val="auto"/>
                <w:w w:val="91"/>
              </w:rPr>
              <w:t>Nine months ended September 30, 2014 (Unaudited)</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w w:val="99"/>
              </w:rPr>
              <w:t>Common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2"/>
              </w:rPr>
              <w:t>Embedded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Membership</w:t>
            </w:r>
          </w:p>
        </w:tc>
        <w:tc>
          <w:tcPr>
            <w:tcW w:w="80" w:type="dxa"/>
            <w:vAlign w:val="bottom"/>
          </w:tcPr>
          <w:p>
            <w:pPr>
              <w:spacing w:after="0"/>
              <w:rPr>
                <w:sz w:val="12"/>
                <w:szCs w:val="12"/>
                <w:color w:val="auto"/>
              </w:rPr>
            </w:pPr>
          </w:p>
        </w:tc>
        <w:tc>
          <w:tcPr>
            <w:tcW w:w="80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Term Loan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ind w:left="20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3"/>
              </w:rPr>
              <w:t>Fair value as of December 31, 2013</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$ 81,410,161</w:t>
            </w:r>
          </w:p>
        </w:tc>
        <w:tc>
          <w:tcPr>
            <w:tcW w:w="60" w:type="dxa"/>
            <w:vAlign w:val="bottom"/>
            <w:shd w:val="clear" w:color="auto" w:fill="CCEEFF"/>
          </w:tcPr>
          <w:p>
            <w:pPr>
              <w:spacing w:after="0"/>
              <w:rPr>
                <w:sz w:val="12"/>
                <w:szCs w:val="12"/>
                <w:color w:val="auto"/>
              </w:rPr>
            </w:pPr>
          </w:p>
        </w:tc>
        <w:tc>
          <w:tcPr>
            <w:tcW w:w="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129,925,500</w:t>
            </w:r>
          </w:p>
        </w:tc>
        <w:tc>
          <w:tcPr>
            <w:tcW w:w="2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557,084</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750,000</w:t>
            </w:r>
          </w:p>
        </w:tc>
        <w:tc>
          <w:tcPr>
            <w:tcW w:w="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90"/>
              </w:rPr>
              <w:t>489,657</w:t>
            </w:r>
          </w:p>
        </w:tc>
        <w:tc>
          <w:tcPr>
            <w:tcW w:w="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2"/>
              </w:rPr>
              <w:t>213,132,402</w:t>
            </w:r>
          </w:p>
        </w:tc>
        <w:tc>
          <w:tcPr>
            <w:tcW w:w="0" w:type="dxa"/>
            <w:vAlign w:val="bottom"/>
          </w:tcPr>
          <w:p>
            <w:pPr>
              <w:spacing w:after="0"/>
              <w:rPr>
                <w:sz w:val="1"/>
                <w:szCs w:val="1"/>
                <w:color w:val="auto"/>
              </w:rPr>
            </w:pPr>
          </w:p>
        </w:tc>
      </w:tr>
      <w:tr>
        <w:trPr>
          <w:trHeight w:val="149"/>
        </w:trPr>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Purchases of investments</w:t>
            </w: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1,788,941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40,317,993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3,664,225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90"/>
              </w:rPr>
              <w:t>159,993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45,931,152</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Sales of investments</w:t>
            </w: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(4,556,650)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(9,286,230)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2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72"/>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5"/>
              </w:rPr>
              <w:t>(75,988)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(13,918,868)</w:t>
            </w:r>
          </w:p>
        </w:tc>
        <w:tc>
          <w:tcPr>
            <w:tcW w:w="0" w:type="dxa"/>
            <w:vAlign w:val="bottom"/>
          </w:tcPr>
          <w:p>
            <w:pPr>
              <w:spacing w:after="0"/>
              <w:rPr>
                <w:sz w:val="1"/>
                <w:szCs w:val="1"/>
                <w:color w:val="auto"/>
              </w:rPr>
            </w:pPr>
          </w:p>
        </w:tc>
      </w:tr>
      <w:tr>
        <w:trPr>
          <w:trHeight w:val="149"/>
        </w:trPr>
        <w:tc>
          <w:tcPr>
            <w:tcW w:w="2120" w:type="dxa"/>
            <w:vAlign w:val="bottom"/>
          </w:tcPr>
          <w:p>
            <w:pPr>
              <w:ind w:left="20"/>
              <w:spacing w:after="0" w:line="149" w:lineRule="exact"/>
              <w:rPr>
                <w:sz w:val="20"/>
                <w:szCs w:val="20"/>
                <w:color w:val="auto"/>
              </w:rPr>
            </w:pPr>
            <w:r>
              <w:rPr>
                <w:rFonts w:ascii="Arial" w:cs="Arial" w:eastAsia="Arial" w:hAnsi="Arial"/>
                <w:sz w:val="14"/>
                <w:szCs w:val="14"/>
                <w:color w:val="auto"/>
                <w:w w:val="94"/>
              </w:rPr>
              <w:t>Realized gains included in earnings</w:t>
            </w: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1,951,444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4,969,326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1"/>
                <w:szCs w:val="11"/>
                <w:color w:val="auto"/>
                <w:w w:val="72"/>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6,920,770</w:t>
            </w:r>
          </w:p>
        </w:tc>
        <w:tc>
          <w:tcPr>
            <w:tcW w:w="0" w:type="dxa"/>
            <w:vAlign w:val="bottom"/>
          </w:tcPr>
          <w:p>
            <w:pPr>
              <w:spacing w:after="0"/>
              <w:rPr>
                <w:sz w:val="1"/>
                <w:szCs w:val="1"/>
                <w:color w:val="auto"/>
              </w:rPr>
            </w:pPr>
          </w:p>
        </w:tc>
      </w:tr>
      <w:tr>
        <w:trPr>
          <w:trHeight w:val="140"/>
        </w:trPr>
        <w:tc>
          <w:tcPr>
            <w:tcW w:w="212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ind w:left="200"/>
              <w:spacing w:after="0" w:line="198" w:lineRule="exact"/>
              <w:rPr>
                <w:sz w:val="20"/>
                <w:szCs w:val="20"/>
                <w:color w:val="auto"/>
              </w:rPr>
            </w:pPr>
            <w:r>
              <w:rPr>
                <w:rFonts w:ascii="Arial" w:cs="Arial" w:eastAsia="Arial" w:hAnsi="Arial"/>
                <w:sz w:val="14"/>
                <w:szCs w:val="14"/>
                <w:color w:val="auto"/>
              </w:rPr>
              <w:t>assignments – In</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1,273,125</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6,074,063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2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72"/>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7,347,188</w:t>
            </w:r>
          </w:p>
        </w:tc>
        <w:tc>
          <w:tcPr>
            <w:tcW w:w="0" w:type="dxa"/>
            <w:vAlign w:val="bottom"/>
          </w:tcPr>
          <w:p>
            <w:pPr>
              <w:spacing w:after="0"/>
              <w:rPr>
                <w:sz w:val="1"/>
                <w:szCs w:val="1"/>
                <w:color w:val="auto"/>
              </w:rPr>
            </w:pPr>
          </w:p>
        </w:tc>
      </w:tr>
      <w:tr>
        <w:trPr>
          <w:trHeight w:val="140"/>
        </w:trPr>
        <w:tc>
          <w:tcPr>
            <w:tcW w:w="2120" w:type="dxa"/>
            <w:vAlign w:val="bottom"/>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120" w:type="dxa"/>
            <w:vAlign w:val="bottom"/>
          </w:tcPr>
          <w:p>
            <w:pPr>
              <w:ind w:left="200"/>
              <w:spacing w:after="0" w:line="198" w:lineRule="exact"/>
              <w:rPr>
                <w:sz w:val="20"/>
                <w:szCs w:val="20"/>
                <w:color w:val="auto"/>
              </w:rPr>
            </w:pPr>
            <w:r>
              <w:rPr>
                <w:rFonts w:ascii="Arial" w:cs="Arial" w:eastAsia="Arial" w:hAnsi="Arial"/>
                <w:sz w:val="14"/>
                <w:szCs w:val="14"/>
                <w:color w:val="auto"/>
              </w:rPr>
              <w:t>assignments – Out</w:t>
            </w:r>
            <w:r>
              <w:rPr>
                <w:rFonts w:ascii="Arial" w:cs="Arial" w:eastAsia="Arial" w:hAnsi="Arial"/>
                <w:sz w:val="22"/>
                <w:szCs w:val="22"/>
                <w:color w:val="auto"/>
                <w:vertAlign w:val="superscript"/>
              </w:rPr>
              <w:t>(2)</w:t>
            </w:r>
          </w:p>
        </w:tc>
        <w:tc>
          <w:tcPr>
            <w:tcW w:w="100" w:type="dxa"/>
            <w:vAlign w:val="bottom"/>
          </w:tcPr>
          <w:p>
            <w:pPr>
              <w:spacing w:after="0"/>
              <w:rPr>
                <w:sz w:val="17"/>
                <w:szCs w:val="17"/>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(2,006,077)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5"/>
          </w:tcPr>
          <w:p>
            <w:pPr>
              <w:jc w:val="right"/>
              <w:spacing w:after="0"/>
              <w:rPr>
                <w:sz w:val="20"/>
                <w:szCs w:val="20"/>
                <w:color w:val="auto"/>
              </w:rPr>
            </w:pPr>
            <w:r>
              <w:rPr>
                <w:rFonts w:ascii="Arial" w:cs="Arial" w:eastAsia="Arial" w:hAnsi="Arial"/>
                <w:sz w:val="14"/>
                <w:szCs w:val="14"/>
                <w:color w:val="auto"/>
              </w:rPr>
              <w:t>(1,273,125)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w w:val="92"/>
              </w:rPr>
              <w:t>(3,567,986)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(7,347,188)</w:t>
            </w:r>
          </w:p>
        </w:tc>
        <w:tc>
          <w:tcPr>
            <w:tcW w:w="0" w:type="dxa"/>
            <w:vAlign w:val="bottom"/>
          </w:tcPr>
          <w:p>
            <w:pPr>
              <w:spacing w:after="0"/>
              <w:rPr>
                <w:sz w:val="1"/>
                <w:szCs w:val="1"/>
                <w:color w:val="auto"/>
              </w:rPr>
            </w:pPr>
          </w:p>
        </w:tc>
      </w:tr>
      <w:tr>
        <w:trPr>
          <w:trHeight w:val="130"/>
        </w:trPr>
        <w:tc>
          <w:tcPr>
            <w:tcW w:w="21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Net change in unrealized</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appreciation (depreciation)</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included in earnings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20,817,652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(1,614,412)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(57,084)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15,063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(3,285)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19,157,934</w:t>
            </w:r>
          </w:p>
        </w:tc>
        <w:tc>
          <w:tcPr>
            <w:tcW w:w="0" w:type="dxa"/>
            <w:vAlign w:val="bottom"/>
          </w:tcPr>
          <w:p>
            <w:pPr>
              <w:spacing w:after="0"/>
              <w:rPr>
                <w:sz w:val="1"/>
                <w:szCs w:val="1"/>
                <w:color w:val="auto"/>
              </w:rPr>
            </w:pPr>
          </w:p>
        </w:tc>
      </w:tr>
      <w:tr>
        <w:trPr>
          <w:trHeight w:val="149"/>
        </w:trPr>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Transfers Out of Level 3</w:t>
            </w:r>
          </w:p>
        </w:tc>
        <w:tc>
          <w:tcPr>
            <w:tcW w:w="100" w:type="dxa"/>
            <w:vAlign w:val="bottom"/>
          </w:tcPr>
          <w:p>
            <w:pPr>
              <w:spacing w:after="0"/>
              <w:rPr>
                <w:sz w:val="12"/>
                <w:szCs w:val="12"/>
                <w:color w:val="auto"/>
              </w:rPr>
            </w:pPr>
          </w:p>
        </w:tc>
        <w:tc>
          <w:tcPr>
            <w:tcW w:w="7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0"/>
              </w:rPr>
              <w:t>(17,923,756)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1"/>
                <w:szCs w:val="11"/>
                <w:color w:val="auto"/>
                <w:w w:val="72"/>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(17,923,756)</w:t>
            </w:r>
          </w:p>
        </w:tc>
        <w:tc>
          <w:tcPr>
            <w:tcW w:w="0" w:type="dxa"/>
            <w:vAlign w:val="bottom"/>
          </w:tcPr>
          <w:p>
            <w:pPr>
              <w:spacing w:after="0"/>
              <w:rPr>
                <w:sz w:val="1"/>
                <w:szCs w:val="1"/>
                <w:color w:val="auto"/>
              </w:rPr>
            </w:pPr>
          </w:p>
        </w:tc>
      </w:tr>
      <w:tr>
        <w:trPr>
          <w:trHeight w:val="123"/>
        </w:trPr>
        <w:tc>
          <w:tcPr>
            <w:tcW w:w="212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Fair Value as of September 30,</w:t>
            </w: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right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tcBorders>
              <w:top w:val="single" w:sz="8" w:color="auto"/>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right w:val="single" w:sz="8" w:color="CCEEFF"/>
            </w:tcBorders>
            <w:shd w:val="clear" w:color="auto" w:fill="CCEEFF"/>
          </w:tcPr>
          <w:p>
            <w:pPr>
              <w:spacing w:after="0"/>
              <w:rPr>
                <w:sz w:val="10"/>
                <w:szCs w:val="10"/>
                <w:color w:val="auto"/>
              </w:rPr>
            </w:pPr>
          </w:p>
        </w:tc>
        <w:tc>
          <w:tcPr>
            <w:tcW w:w="100" w:type="dxa"/>
            <w:vAlign w:val="bottom"/>
            <w:tcBorders>
              <w:top w:val="single" w:sz="8" w:color="auto"/>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2014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5"/>
              </w:rPr>
              <w:t>$ 82,754,840</w:t>
            </w:r>
          </w:p>
        </w:tc>
        <w:tc>
          <w:tcPr>
            <w:tcW w:w="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92"/>
              </w:rPr>
              <w:t>169,113,115</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861,302</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90"/>
              </w:rPr>
              <w:t>570,377</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2"/>
              </w:rPr>
              <w:t>253,299,634</w:t>
            </w:r>
          </w:p>
        </w:tc>
        <w:tc>
          <w:tcPr>
            <w:tcW w:w="0" w:type="dxa"/>
            <w:vAlign w:val="bottom"/>
          </w:tcPr>
          <w:p>
            <w:pPr>
              <w:spacing w:after="0"/>
              <w:rPr>
                <w:sz w:val="1"/>
                <w:szCs w:val="1"/>
                <w:color w:val="auto"/>
              </w:rPr>
            </w:pPr>
          </w:p>
        </w:tc>
      </w:tr>
      <w:tr>
        <w:trPr>
          <w:trHeight w:val="123"/>
        </w:trPr>
        <w:tc>
          <w:tcPr>
            <w:tcW w:w="2120" w:type="dxa"/>
            <w:vAlign w:val="bottom"/>
            <w:tcBorders>
              <w:top w:val="single" w:sz="8" w:color="CCEEFF"/>
            </w:tcBorders>
          </w:tcPr>
          <w:p>
            <w:pPr>
              <w:ind w:left="20"/>
              <w:spacing w:after="0" w:line="123" w:lineRule="exact"/>
              <w:rPr>
                <w:sz w:val="20"/>
                <w:szCs w:val="20"/>
                <w:color w:val="auto"/>
              </w:rPr>
            </w:pPr>
            <w:r>
              <w:rPr>
                <w:rFonts w:ascii="Arial" w:cs="Arial" w:eastAsia="Arial" w:hAnsi="Arial"/>
                <w:sz w:val="14"/>
                <w:szCs w:val="14"/>
                <w:color w:val="auto"/>
              </w:rPr>
              <w:t>Net change in unrealized</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00"/>
              <w:spacing w:after="0" w:line="149" w:lineRule="exact"/>
              <w:rPr>
                <w:sz w:val="20"/>
                <w:szCs w:val="20"/>
                <w:color w:val="auto"/>
              </w:rPr>
            </w:pPr>
            <w:r>
              <w:rPr>
                <w:rFonts w:ascii="Arial" w:cs="Arial" w:eastAsia="Arial" w:hAnsi="Arial"/>
                <w:sz w:val="14"/>
                <w:szCs w:val="14"/>
                <w:color w:val="auto"/>
              </w:rPr>
              <w:t>appreciation (depreciation) of</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00"/>
              <w:spacing w:after="0" w:line="149" w:lineRule="exact"/>
              <w:rPr>
                <w:sz w:val="20"/>
                <w:szCs w:val="20"/>
                <w:color w:val="auto"/>
              </w:rPr>
            </w:pPr>
            <w:r>
              <w:rPr>
                <w:rFonts w:ascii="Arial" w:cs="Arial" w:eastAsia="Arial" w:hAnsi="Arial"/>
                <w:sz w:val="14"/>
                <w:szCs w:val="14"/>
                <w:color w:val="auto"/>
                <w:w w:val="96"/>
              </w:rPr>
              <w:t>Level 3 investments still held as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20" w:type="dxa"/>
            <w:vAlign w:val="bottom"/>
          </w:tcPr>
          <w:p>
            <w:pPr>
              <w:ind w:left="200"/>
              <w:spacing w:after="0"/>
              <w:rPr>
                <w:sz w:val="20"/>
                <w:szCs w:val="20"/>
                <w:color w:val="auto"/>
              </w:rPr>
            </w:pPr>
            <w:r>
              <w:rPr>
                <w:rFonts w:ascii="Arial" w:cs="Arial" w:eastAsia="Arial" w:hAnsi="Arial"/>
                <w:sz w:val="14"/>
                <w:szCs w:val="14"/>
                <w:color w:val="auto"/>
              </w:rPr>
              <w:t>of September 30, 2014</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w w:val="95"/>
              </w:rPr>
              <w:t>$ 15,754,143</w:t>
            </w:r>
          </w:p>
        </w:tc>
        <w:tc>
          <w:tcPr>
            <w:tcW w:w="60" w:type="dxa"/>
            <w:vAlign w:val="bottom"/>
          </w:tcPr>
          <w:p>
            <w:pPr>
              <w:spacing w:after="0"/>
              <w:rPr>
                <w:sz w:val="14"/>
                <w:szCs w:val="14"/>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4"/>
          </w:tcPr>
          <w:p>
            <w:pPr>
              <w:jc w:val="right"/>
              <w:spacing w:after="0"/>
              <w:rPr>
                <w:sz w:val="20"/>
                <w:szCs w:val="20"/>
                <w:color w:val="auto"/>
              </w:rPr>
            </w:pPr>
            <w:r>
              <w:rPr>
                <w:rFonts w:ascii="Arial" w:cs="Arial" w:eastAsia="Arial" w:hAnsi="Arial"/>
                <w:sz w:val="14"/>
                <w:szCs w:val="14"/>
                <w:color w:val="auto"/>
              </w:rPr>
              <w:t>343,302</w:t>
            </w:r>
          </w:p>
        </w:tc>
        <w:tc>
          <w:tcPr>
            <w:tcW w:w="240" w:type="dxa"/>
            <w:vAlign w:val="bottom"/>
            <w:gridSpan w:val="3"/>
          </w:tcPr>
          <w:p>
            <w:pPr>
              <w:ind w:lef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80" w:type="dxa"/>
            <w:vAlign w:val="bottom"/>
            <w:gridSpan w:val="2"/>
          </w:tcPr>
          <w:p>
            <w:pPr>
              <w:jc w:val="right"/>
              <w:ind w:right="48"/>
              <w:spacing w:after="0"/>
              <w:rPr>
                <w:sz w:val="20"/>
                <w:szCs w:val="20"/>
                <w:color w:val="auto"/>
              </w:rPr>
            </w:pPr>
            <w:r>
              <w:rPr>
                <w:rFonts w:ascii="Arial" w:cs="Arial" w:eastAsia="Arial" w:hAnsi="Arial"/>
                <w:sz w:val="14"/>
                <w:szCs w:val="14"/>
                <w:color w:val="auto"/>
                <w:w w:val="99"/>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11,212</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39,370</w:t>
            </w: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16,148,027</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Liabilities: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Fair Value of December 31, 2013</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1"/>
                <w:szCs w:val="11"/>
                <w:color w:val="auto"/>
                <w:w w:val="72"/>
              </w:rPr>
              <w:t>—</w:t>
            </w:r>
          </w:p>
        </w:tc>
        <w:tc>
          <w:tcPr>
            <w:tcW w:w="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w w:val="99"/>
              </w:rPr>
              <w:t>$ 799,000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799,000</w:t>
            </w:r>
          </w:p>
        </w:tc>
        <w:tc>
          <w:tcPr>
            <w:tcW w:w="0" w:type="dxa"/>
            <w:vAlign w:val="bottom"/>
          </w:tcPr>
          <w:p>
            <w:pPr>
              <w:spacing w:after="0"/>
              <w:rPr>
                <w:sz w:val="1"/>
                <w:szCs w:val="1"/>
                <w:color w:val="auto"/>
              </w:rPr>
            </w:pPr>
          </w:p>
        </w:tc>
      </w:tr>
      <w:tr>
        <w:trPr>
          <w:trHeight w:val="123"/>
        </w:trPr>
        <w:tc>
          <w:tcPr>
            <w:tcW w:w="212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Gain on fair value adjustment for</w:t>
            </w: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right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tcBorders>
              <w:top w:val="single" w:sz="8" w:color="auto"/>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right w:val="single" w:sz="8" w:color="CCEEFF"/>
            </w:tcBorders>
            <w:shd w:val="clear" w:color="auto" w:fill="CCEEFF"/>
          </w:tcPr>
          <w:p>
            <w:pPr>
              <w:spacing w:after="0"/>
              <w:rPr>
                <w:sz w:val="10"/>
                <w:szCs w:val="10"/>
                <w:color w:val="auto"/>
              </w:rPr>
            </w:pPr>
          </w:p>
        </w:tc>
        <w:tc>
          <w:tcPr>
            <w:tcW w:w="100" w:type="dxa"/>
            <w:vAlign w:val="bottom"/>
            <w:tcBorders>
              <w:top w:val="single" w:sz="8" w:color="auto"/>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embedded derivative</w:t>
            </w: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2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72"/>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0"/>
              </w:rPr>
              <w:t>(787,000)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(787,000)</w:t>
            </w:r>
          </w:p>
        </w:tc>
        <w:tc>
          <w:tcPr>
            <w:tcW w:w="0" w:type="dxa"/>
            <w:vAlign w:val="bottom"/>
          </w:tcPr>
          <w:p>
            <w:pPr>
              <w:spacing w:after="0"/>
              <w:rPr>
                <w:sz w:val="1"/>
                <w:szCs w:val="1"/>
                <w:color w:val="auto"/>
              </w:rPr>
            </w:pPr>
          </w:p>
        </w:tc>
      </w:tr>
      <w:tr>
        <w:trPr>
          <w:trHeight w:val="123"/>
        </w:trPr>
        <w:tc>
          <w:tcPr>
            <w:tcW w:w="2120" w:type="dxa"/>
            <w:vAlign w:val="bottom"/>
            <w:tcBorders>
              <w:top w:val="single" w:sz="8" w:color="CCEEFF"/>
            </w:tcBorders>
          </w:tcPr>
          <w:p>
            <w:pPr>
              <w:ind w:left="20"/>
              <w:spacing w:after="0" w:line="123" w:lineRule="exact"/>
              <w:rPr>
                <w:sz w:val="20"/>
                <w:szCs w:val="20"/>
                <w:color w:val="auto"/>
              </w:rPr>
            </w:pPr>
            <w:r>
              <w:rPr>
                <w:rFonts w:ascii="Arial" w:cs="Arial" w:eastAsia="Arial" w:hAnsi="Arial"/>
                <w:sz w:val="14"/>
                <w:szCs w:val="14"/>
                <w:color w:val="auto"/>
              </w:rPr>
              <w:t>Fair Value as of September 30,</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120" w:type="dxa"/>
            <w:vAlign w:val="bottom"/>
          </w:tcPr>
          <w:p>
            <w:pPr>
              <w:ind w:left="200"/>
              <w:spacing w:after="0"/>
              <w:rPr>
                <w:sz w:val="20"/>
                <w:szCs w:val="20"/>
                <w:color w:val="auto"/>
              </w:rPr>
            </w:pPr>
            <w:r>
              <w:rPr>
                <w:rFonts w:ascii="Arial" w:cs="Arial" w:eastAsia="Arial" w:hAnsi="Arial"/>
                <w:sz w:val="14"/>
                <w:szCs w:val="14"/>
                <w:color w:val="auto"/>
              </w:rPr>
              <w:t>2014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40" w:type="dxa"/>
            <w:vAlign w:val="bottom"/>
            <w:gridSpan w:val="3"/>
          </w:tcPr>
          <w:p>
            <w:pPr>
              <w:ind w:lef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80" w:type="dxa"/>
            <w:vAlign w:val="bottom"/>
            <w:gridSpan w:val="2"/>
          </w:tcPr>
          <w:p>
            <w:pPr>
              <w:jc w:val="right"/>
              <w:ind w:right="48"/>
              <w:spacing w:after="0"/>
              <w:rPr>
                <w:sz w:val="20"/>
                <w:szCs w:val="20"/>
                <w:color w:val="auto"/>
              </w:rPr>
            </w:pPr>
            <w:r>
              <w:rPr>
                <w:rFonts w:ascii="Arial" w:cs="Arial" w:eastAsia="Arial" w:hAnsi="Arial"/>
                <w:sz w:val="14"/>
                <w:szCs w:val="14"/>
                <w:color w:val="auto"/>
                <w:w w:val="99"/>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1"/>
                <w:szCs w:val="11"/>
                <w:color w:val="auto"/>
                <w:w w:val="72"/>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12,000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-3995420</wp:posOffset>
            </wp:positionV>
            <wp:extent cx="5213985"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-3575685</wp:posOffset>
            </wp:positionV>
            <wp:extent cx="521398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-3352800</wp:posOffset>
            </wp:positionV>
            <wp:extent cx="5213985" cy="2317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3985" cy="23177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-3026410</wp:posOffset>
            </wp:positionV>
            <wp:extent cx="5213985"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-1062990</wp:posOffset>
            </wp:positionV>
            <wp:extent cx="5213985" cy="4457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3985" cy="4457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-231140</wp:posOffset>
            </wp:positionV>
            <wp:extent cx="5213985" cy="2317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13985" cy="23177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-2983865</wp:posOffset>
            </wp:positionV>
            <wp:extent cx="51885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8" w:name="page39"/>
    <w:bookmarkEnd w:id="3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189230</wp:posOffset>
            </wp:positionV>
            <wp:extent cx="6172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00" w:right="539" w:hanging="272"/>
        <w:spacing w:after="0" w:line="277"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three and nine months ended September 30, 2015,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510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248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Transfer from</w:t>
            </w:r>
          </w:p>
        </w:tc>
        <w:tc>
          <w:tcPr>
            <w:tcW w:w="180" w:type="dxa"/>
            <w:vAlign w:val="bottom"/>
          </w:tcPr>
          <w:p>
            <w:pPr>
              <w:spacing w:after="0"/>
              <w:rPr>
                <w:sz w:val="14"/>
                <w:szCs w:val="14"/>
                <w:color w:val="auto"/>
              </w:rPr>
            </w:pPr>
          </w:p>
        </w:tc>
        <w:tc>
          <w:tcPr>
            <w:tcW w:w="212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Transfer to</w:t>
            </w:r>
          </w:p>
        </w:tc>
      </w:tr>
      <w:tr>
        <w:trPr>
          <w:trHeight w:val="195"/>
        </w:trPr>
        <w:tc>
          <w:tcPr>
            <w:tcW w:w="2560" w:type="dxa"/>
            <w:vAlign w:val="bottom"/>
          </w:tcPr>
          <w:p>
            <w:pPr>
              <w:ind w:left="20"/>
              <w:spacing w:after="0" w:line="195" w:lineRule="exact"/>
              <w:rPr>
                <w:sz w:val="20"/>
                <w:szCs w:val="20"/>
                <w:color w:val="auto"/>
              </w:rPr>
            </w:pPr>
            <w:r>
              <w:rPr>
                <w:rFonts w:ascii="Arial" w:cs="Arial" w:eastAsia="Arial" w:hAnsi="Arial"/>
                <w:sz w:val="18"/>
                <w:szCs w:val="18"/>
                <w:color w:val="auto"/>
              </w:rPr>
              <w:t>Circle Media (f/k/a S3 Digital</w:t>
            </w:r>
          </w:p>
        </w:tc>
        <w:tc>
          <w:tcPr>
            <w:tcW w:w="160" w:type="dxa"/>
            <w:vAlign w:val="bottom"/>
          </w:tcPr>
          <w:p>
            <w:pPr>
              <w:spacing w:after="0"/>
              <w:rPr>
                <w:sz w:val="16"/>
                <w:szCs w:val="16"/>
                <w:color w:val="auto"/>
              </w:rPr>
            </w:pPr>
          </w:p>
        </w:tc>
        <w:tc>
          <w:tcPr>
            <w:tcW w:w="2480" w:type="dxa"/>
            <w:vAlign w:val="bottom"/>
          </w:tcPr>
          <w:p>
            <w:pPr>
              <w:spacing w:after="0" w:line="195" w:lineRule="exact"/>
              <w:rPr>
                <w:sz w:val="20"/>
                <w:szCs w:val="20"/>
                <w:color w:val="auto"/>
              </w:rPr>
            </w:pPr>
            <w:r>
              <w:rPr>
                <w:rFonts w:ascii="Arial" w:cs="Arial" w:eastAsia="Arial" w:hAnsi="Arial"/>
                <w:sz w:val="18"/>
                <w:szCs w:val="18"/>
                <w:color w:val="auto"/>
              </w:rPr>
              <w:t>Term Loan, 12%, 09/30/15</w:t>
            </w:r>
          </w:p>
        </w:tc>
        <w:tc>
          <w:tcPr>
            <w:tcW w:w="180" w:type="dxa"/>
            <w:vAlign w:val="bottom"/>
          </w:tcPr>
          <w:p>
            <w:pPr>
              <w:spacing w:after="0"/>
              <w:rPr>
                <w:sz w:val="16"/>
                <w:szCs w:val="16"/>
                <w:color w:val="auto"/>
              </w:rPr>
            </w:pPr>
          </w:p>
        </w:tc>
        <w:tc>
          <w:tcPr>
            <w:tcW w:w="2120" w:type="dxa"/>
            <w:vAlign w:val="bottom"/>
          </w:tcPr>
          <w:p>
            <w:pPr>
              <w:spacing w:after="0" w:line="195" w:lineRule="exact"/>
              <w:rPr>
                <w:sz w:val="20"/>
                <w:szCs w:val="20"/>
                <w:color w:val="auto"/>
              </w:rPr>
            </w:pPr>
            <w:r>
              <w:rPr>
                <w:rFonts w:ascii="Arial" w:cs="Arial" w:eastAsia="Arial" w:hAnsi="Arial"/>
                <w:sz w:val="18"/>
                <w:szCs w:val="18"/>
                <w:color w:val="auto"/>
                <w:w w:val="98"/>
              </w:rPr>
              <w:t>Preferred shares, Series A</w:t>
            </w:r>
          </w:p>
        </w:tc>
      </w:tr>
      <w:tr>
        <w:trPr>
          <w:trHeight w:val="230"/>
        </w:trPr>
        <w:tc>
          <w:tcPr>
            <w:tcW w:w="2560" w:type="dxa"/>
            <w:vAlign w:val="bottom"/>
          </w:tcPr>
          <w:p>
            <w:pPr>
              <w:ind w:left="200"/>
              <w:spacing w:after="0"/>
              <w:rPr>
                <w:sz w:val="20"/>
                <w:szCs w:val="20"/>
                <w:color w:val="auto"/>
              </w:rPr>
            </w:pPr>
            <w:r>
              <w:rPr>
                <w:rFonts w:ascii="Arial" w:cs="Arial" w:eastAsia="Arial" w:hAnsi="Arial"/>
                <w:sz w:val="18"/>
                <w:szCs w:val="18"/>
                <w:color w:val="auto"/>
              </w:rPr>
              <w:t>Corp. (d/b/a S3i))</w:t>
            </w:r>
          </w:p>
        </w:tc>
        <w:tc>
          <w:tcPr>
            <w:tcW w:w="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r>
    </w:tbl>
    <w:p>
      <w:pPr>
        <w:spacing w:after="0" w:line="94" w:lineRule="exact"/>
        <w:rPr>
          <w:sz w:val="20"/>
          <w:szCs w:val="20"/>
          <w:color w:val="auto"/>
        </w:rPr>
      </w:pPr>
    </w:p>
    <w:p>
      <w:pPr>
        <w:ind w:left="300" w:right="519" w:hanging="272"/>
        <w:spacing w:after="0" w:line="277" w:lineRule="auto"/>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nine months ended September 30, 2014,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250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Transfer from</w:t>
            </w:r>
          </w:p>
        </w:tc>
        <w:tc>
          <w:tcPr>
            <w:tcW w:w="180" w:type="dxa"/>
            <w:vAlign w:val="bottom"/>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Transfer to</w:t>
            </w:r>
          </w:p>
        </w:tc>
      </w:tr>
      <w:tr>
        <w:trPr>
          <w:trHeight w:val="195"/>
        </w:trPr>
        <w:tc>
          <w:tcPr>
            <w:tcW w:w="2480" w:type="dxa"/>
            <w:vAlign w:val="bottom"/>
          </w:tcPr>
          <w:p>
            <w:pPr>
              <w:ind w:left="20"/>
              <w:spacing w:after="0" w:line="195" w:lineRule="exact"/>
              <w:rPr>
                <w:sz w:val="20"/>
                <w:szCs w:val="20"/>
                <w:color w:val="auto"/>
              </w:rPr>
            </w:pPr>
            <w:r>
              <w:rPr>
                <w:rFonts w:ascii="Arial" w:cs="Arial" w:eastAsia="Arial" w:hAnsi="Arial"/>
                <w:sz w:val="18"/>
                <w:szCs w:val="18"/>
                <w:color w:val="auto"/>
              </w:rPr>
              <w:t>2U, Inc. (f/k/a 2tor, Inc.)</w:t>
            </w:r>
          </w:p>
        </w:tc>
        <w:tc>
          <w:tcPr>
            <w:tcW w:w="160" w:type="dxa"/>
            <w:vAlign w:val="bottom"/>
          </w:tcPr>
          <w:p>
            <w:pPr>
              <w:spacing w:after="0"/>
              <w:rPr>
                <w:sz w:val="16"/>
                <w:szCs w:val="16"/>
                <w:color w:val="auto"/>
              </w:rPr>
            </w:pPr>
          </w:p>
        </w:tc>
        <w:tc>
          <w:tcPr>
            <w:tcW w:w="2520" w:type="dxa"/>
            <w:vAlign w:val="bottom"/>
          </w:tcPr>
          <w:p>
            <w:pPr>
              <w:jc w:val="center"/>
              <w:spacing w:after="0" w:line="195" w:lineRule="exact"/>
              <w:rPr>
                <w:sz w:val="20"/>
                <w:szCs w:val="20"/>
                <w:color w:val="auto"/>
              </w:rPr>
            </w:pPr>
            <w:r>
              <w:rPr>
                <w:rFonts w:ascii="Arial" w:cs="Arial" w:eastAsia="Arial" w:hAnsi="Arial"/>
                <w:sz w:val="18"/>
                <w:szCs w:val="18"/>
                <w:color w:val="auto"/>
                <w:w w:val="87"/>
              </w:rPr>
              <w:t>Preferred shares, Series A</w:t>
            </w:r>
          </w:p>
        </w:tc>
        <w:tc>
          <w:tcPr>
            <w:tcW w:w="180" w:type="dxa"/>
            <w:vAlign w:val="bottom"/>
          </w:tcPr>
          <w:p>
            <w:pPr>
              <w:spacing w:after="0"/>
              <w:rPr>
                <w:sz w:val="16"/>
                <w:szCs w:val="16"/>
                <w:color w:val="auto"/>
              </w:rPr>
            </w:pPr>
          </w:p>
        </w:tc>
        <w:tc>
          <w:tcPr>
            <w:tcW w:w="2160" w:type="dxa"/>
            <w:vAlign w:val="bottom"/>
          </w:tcPr>
          <w:p>
            <w:pPr>
              <w:jc w:val="center"/>
              <w:spacing w:after="0" w:line="195" w:lineRule="exact"/>
              <w:rPr>
                <w:sz w:val="20"/>
                <w:szCs w:val="20"/>
                <w:color w:val="auto"/>
              </w:rPr>
            </w:pPr>
            <w:r>
              <w:rPr>
                <w:rFonts w:ascii="Arial" w:cs="Arial" w:eastAsia="Arial" w:hAnsi="Arial"/>
                <w:sz w:val="18"/>
                <w:szCs w:val="18"/>
                <w:color w:val="auto"/>
                <w:w w:val="90"/>
              </w:rPr>
              <w:t>Common Stock</w:t>
            </w: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Fullbridge, Inc.</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0"/>
              </w:rPr>
              <w:t>Term loan, 10%, 3/31/15</w:t>
            </w:r>
          </w:p>
        </w:tc>
        <w:tc>
          <w:tcPr>
            <w:tcW w:w="1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Preferred shares, Series D</w:t>
            </w: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CUX, Inc. (d/b/a CorpU)</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2"/>
              </w:rPr>
              <w:t>Common Stock</w:t>
            </w:r>
          </w:p>
        </w:tc>
        <w:tc>
          <w:tcPr>
            <w:tcW w:w="1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Convertible preferred</w:t>
            </w:r>
          </w:p>
        </w:tc>
      </w:tr>
      <w:tr>
        <w:trPr>
          <w:trHeight w:val="216"/>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5"/>
              </w:rPr>
              <w:t>shares, Series C</w:t>
            </w: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NestGSV Silicon Valley, LLC</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Common Membership Interest</w:t>
            </w:r>
          </w:p>
        </w:tc>
        <w:tc>
          <w:tcPr>
            <w:tcW w:w="1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Preferred shares, Series C</w:t>
            </w: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NestGSV, Inc.</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Convertible Promissory</w:t>
            </w:r>
          </w:p>
        </w:tc>
        <w:tc>
          <w:tcPr>
            <w:tcW w:w="1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Preferred shares, Series C</w:t>
            </w:r>
          </w:p>
        </w:tc>
      </w:tr>
      <w:tr>
        <w:trPr>
          <w:trHeight w:val="216"/>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2"/>
              </w:rPr>
              <w:t>Note, 12%, 6/30/14</w:t>
            </w: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NestGSV, Inc.</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Convertible Promissory</w:t>
            </w:r>
          </w:p>
        </w:tc>
        <w:tc>
          <w:tcPr>
            <w:tcW w:w="1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Preferred shares, Series C</w:t>
            </w:r>
          </w:p>
        </w:tc>
      </w:tr>
      <w:tr>
        <w:trPr>
          <w:trHeight w:val="216"/>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2"/>
              </w:rPr>
              <w:t>Note, 12%, 6/30/14</w:t>
            </w: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Fullbridge, Inc.</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Convertible Promissory</w:t>
            </w:r>
          </w:p>
        </w:tc>
        <w:tc>
          <w:tcPr>
            <w:tcW w:w="1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Preferred shares, Series D</w:t>
            </w:r>
          </w:p>
        </w:tc>
      </w:tr>
      <w:tr>
        <w:trPr>
          <w:trHeight w:val="230"/>
        </w:trPr>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2"/>
              </w:rPr>
              <w:t>Note, 10%, 2/16/15</w:t>
            </w:r>
          </w:p>
        </w:tc>
        <w:tc>
          <w:tcPr>
            <w:tcW w:w="18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pacing w:after="0" w:line="94"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During the three and nine months ended September 30, 2015, there were no transfers between levels. During the three and nine months ended September 30, 2014, the following transfers between levels occurred as a result of the IPOs of several portfolio companies, as well as the expiration of lock-up agreements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52139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8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Corporate Action</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9"/>
              </w:rPr>
              <w:t>IPO/Lock-up</w:t>
            </w:r>
          </w:p>
        </w:tc>
        <w:tc>
          <w:tcPr>
            <w:tcW w:w="10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Transfer from</w:t>
            </w: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2014</w:t>
            </w:r>
          </w:p>
        </w:tc>
        <w:tc>
          <w:tcPr>
            <w:tcW w:w="0" w:type="dxa"/>
            <w:vAlign w:val="bottom"/>
          </w:tcPr>
          <w:p>
            <w:pPr>
              <w:spacing w:after="0"/>
              <w:rPr>
                <w:sz w:val="1"/>
                <w:szCs w:val="1"/>
                <w:color w:val="auto"/>
              </w:rPr>
            </w:pPr>
          </w:p>
        </w:tc>
      </w:tr>
      <w:tr>
        <w:trPr>
          <w:trHeight w:val="171"/>
        </w:trPr>
        <w:tc>
          <w:tcPr>
            <w:tcW w:w="19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100" w:type="dxa"/>
            <w:vAlign w:val="bottom"/>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Valuation Method</w:t>
            </w:r>
          </w:p>
        </w:tc>
        <w:tc>
          <w:tcPr>
            <w:tcW w:w="0" w:type="dxa"/>
            <w:vAlign w:val="bottom"/>
          </w:tcPr>
          <w:p>
            <w:pPr>
              <w:spacing w:after="0"/>
              <w:rPr>
                <w:sz w:val="1"/>
                <w:szCs w:val="1"/>
                <w:color w:val="auto"/>
              </w:rPr>
            </w:pPr>
          </w:p>
        </w:tc>
      </w:tr>
      <w:tr>
        <w:trPr>
          <w:trHeight w:val="195"/>
        </w:trPr>
        <w:tc>
          <w:tcPr>
            <w:tcW w:w="1980" w:type="dxa"/>
            <w:vAlign w:val="bottom"/>
          </w:tcPr>
          <w:p>
            <w:pPr>
              <w:ind w:left="20"/>
              <w:spacing w:after="0" w:line="195" w:lineRule="exact"/>
              <w:rPr>
                <w:sz w:val="20"/>
                <w:szCs w:val="20"/>
                <w:color w:val="auto"/>
              </w:rPr>
            </w:pPr>
            <w:r>
              <w:rPr>
                <w:rFonts w:ascii="Arial" w:cs="Arial" w:eastAsia="Arial" w:hAnsi="Arial"/>
                <w:sz w:val="18"/>
                <w:szCs w:val="18"/>
                <w:color w:val="auto"/>
              </w:rPr>
              <w:t>2U, Inc. (f/k/a 2tor, Inc.)</w:t>
            </w:r>
          </w:p>
        </w:tc>
        <w:tc>
          <w:tcPr>
            <w:tcW w:w="80" w:type="dxa"/>
            <w:vAlign w:val="bottom"/>
          </w:tcPr>
          <w:p>
            <w:pPr>
              <w:spacing w:after="0"/>
              <w:rPr>
                <w:sz w:val="16"/>
                <w:szCs w:val="16"/>
                <w:color w:val="auto"/>
              </w:rPr>
            </w:pPr>
          </w:p>
        </w:tc>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5"/>
              </w:rPr>
              <w:t>Lock-up Expiration</w:t>
            </w:r>
          </w:p>
        </w:tc>
        <w:tc>
          <w:tcPr>
            <w:tcW w:w="100" w:type="dxa"/>
            <w:vAlign w:val="bottom"/>
          </w:tcPr>
          <w:p>
            <w:pPr>
              <w:spacing w:after="0"/>
              <w:rPr>
                <w:sz w:val="16"/>
                <w:szCs w:val="16"/>
                <w:color w:val="auto"/>
              </w:rPr>
            </w:pP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89"/>
              </w:rPr>
              <w:t>9/24/2014</w:t>
            </w:r>
          </w:p>
        </w:tc>
        <w:tc>
          <w:tcPr>
            <w:tcW w:w="100" w:type="dxa"/>
            <w:vAlign w:val="bottom"/>
          </w:tcPr>
          <w:p>
            <w:pPr>
              <w:spacing w:after="0"/>
              <w:rPr>
                <w:sz w:val="16"/>
                <w:szCs w:val="16"/>
                <w:color w:val="auto"/>
              </w:rPr>
            </w:pPr>
          </w:p>
        </w:tc>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3"/>
              </w:rPr>
              <w:t>Level 2 to Level 1</w:t>
            </w:r>
          </w:p>
        </w:tc>
        <w:tc>
          <w:tcPr>
            <w:tcW w:w="100" w:type="dxa"/>
            <w:vAlign w:val="bottom"/>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Price, 10.0% DLOM</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Arial" w:cs="Arial" w:eastAsia="Arial" w:hAnsi="Arial"/>
                <w:sz w:val="18"/>
                <w:szCs w:val="18"/>
                <w:color w:val="auto"/>
              </w:rPr>
              <w:t>2U, Inc. (f/k/a 2tor, Inc.)</w:t>
            </w:r>
          </w:p>
        </w:tc>
        <w:tc>
          <w:tcPr>
            <w:tcW w:w="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6"/>
              </w:rPr>
              <w:t>IPO</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3/28/2014</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Level 3 to Level 2</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Price, 17.5% DLOM</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Arial" w:cs="Arial" w:eastAsia="Arial" w:hAnsi="Arial"/>
                <w:sz w:val="18"/>
                <w:szCs w:val="18"/>
                <w:color w:val="auto"/>
              </w:rPr>
              <w:t>Twitter, Inc.</w:t>
            </w:r>
          </w:p>
        </w:tc>
        <w:tc>
          <w:tcPr>
            <w:tcW w:w="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Lock-up Expiration</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5/5/2014</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Level 2 to Level 1</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Price, 0% DLOM</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Arial" w:cs="Arial" w:eastAsia="Arial" w:hAnsi="Arial"/>
                <w:sz w:val="18"/>
                <w:szCs w:val="18"/>
                <w:color w:val="auto"/>
              </w:rPr>
              <w:t>Chegg, Inc.</w:t>
            </w:r>
          </w:p>
        </w:tc>
        <w:tc>
          <w:tcPr>
            <w:tcW w:w="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Lock-up Expiration</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5/11/2014</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Level 2 to Level 1</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Price, 0% DLOM</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Arial" w:cs="Arial" w:eastAsia="Arial" w:hAnsi="Arial"/>
                <w:sz w:val="18"/>
                <w:szCs w:val="18"/>
                <w:color w:val="auto"/>
              </w:rPr>
              <w:t>TrueCar, Inc.</w:t>
            </w:r>
          </w:p>
        </w:tc>
        <w:tc>
          <w:tcPr>
            <w:tcW w:w="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6"/>
              </w:rPr>
              <w:t>IPO</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5/15/2014</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Level 3 to Level 2</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Price, 17.5% DLOM</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Lock-up Expiration</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1/29/2014</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Level 2 to Level 1</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Price, 0% DLOM</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Arial" w:cs="Arial" w:eastAsia="Arial" w:hAnsi="Arial"/>
                <w:sz w:val="18"/>
                <w:szCs w:val="18"/>
                <w:color w:val="auto"/>
              </w:rPr>
              <w:t>Violin Memory, Inc.</w:t>
            </w:r>
          </w:p>
        </w:tc>
        <w:tc>
          <w:tcPr>
            <w:tcW w:w="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Lock-up Expiration</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3/26/2014</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Level 2 to Level 1</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Price, 0% DLOM</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The portfolio companies in which the Company invests periodically offer their shares in IPOs, which are typically subject to lock-up agreements for 180 days following the IPO. Refer to “Note 1 — Nature of Operations and Significant Accounting Policies — Summary of Significant Accounting Policies — Levelling Policy” for further detail.</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9" w:name="page40"/>
    <w:bookmarkEnd w:id="3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121"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No new shares of the Company’s common stock were issued during the nine months ended September 30, 2015 or the nine months ended September 30, 2014.</w:t>
      </w:r>
    </w:p>
    <w:p>
      <w:pPr>
        <w:spacing w:after="0" w:line="99" w:lineRule="exact"/>
        <w:rPr>
          <w:sz w:val="20"/>
          <w:szCs w:val="20"/>
          <w:color w:val="auto"/>
        </w:rPr>
      </w:pPr>
    </w:p>
    <w:p>
      <w:pPr>
        <w:ind w:left="560" w:right="2159" w:hanging="494"/>
        <w:spacing w:after="0" w:line="282" w:lineRule="auto"/>
        <w:rPr>
          <w:sz w:val="20"/>
          <w:szCs w:val="20"/>
          <w:color w:val="auto"/>
        </w:rPr>
      </w:pPr>
      <w:r>
        <w:rPr>
          <w:rFonts w:ascii="Arial" w:cs="Arial" w:eastAsia="Arial" w:hAnsi="Arial"/>
          <w:sz w:val="18"/>
          <w:szCs w:val="18"/>
          <w:b w:val="1"/>
          <w:bCs w:val="1"/>
          <w:color w:val="auto"/>
        </w:rPr>
        <w:t>NOTE 5 — NET INCREASE IN NET ASSETS RESULTING FROM OPERATIONS PER COMMON SHARE — BASIC AND DILUTED</w:t>
      </w:r>
    </w:p>
    <w:p>
      <w:pPr>
        <w:spacing w:after="0" w:line="58" w:lineRule="exact"/>
        <w:rPr>
          <w:sz w:val="20"/>
          <w:szCs w:val="20"/>
          <w:color w:val="auto"/>
        </w:rPr>
      </w:pPr>
    </w:p>
    <w:p>
      <w:pPr>
        <w:jc w:val="both"/>
        <w:ind w:left="60" w:right="519" w:firstLine="270"/>
        <w:spacing w:after="0" w:line="270" w:lineRule="auto"/>
        <w:rPr>
          <w:sz w:val="20"/>
          <w:szCs w:val="20"/>
          <w:color w:val="auto"/>
        </w:rPr>
      </w:pPr>
      <w:r>
        <w:rPr>
          <w:rFonts w:ascii="Arial" w:cs="Arial" w:eastAsia="Arial" w:hAnsi="Arial"/>
          <w:sz w:val="17"/>
          <w:szCs w:val="17"/>
          <w:color w:val="auto"/>
        </w:rPr>
        <w:t>The following information sets forth the computation of basic and diluted net increase in net assets resulting from operations per common share for the three and nine months ended September 30, 2015 and September 30, 2014. The use of the if-converted method as promulgated under ASC 260 considers all potentially dilutive securities in a company’s capital structure when calculating diluted earnings per share, regardless of whether it would be economically beneficial for a holder of such potentially dilutive security to exercise their conversion option (such as out of the money warrants.) In scenarios where diluted net increase in net assets resulting from operations per share is higher than basic net increase in net assets resulting from operations per share, ASC 260 prohibits the separate presentation of the diluted net increase in net assets resulting from operations per share figure. In scenarios where diluted net decrease in net assets resulting from operations per share is lower than basic net decrease in net assets resulting from operations per share, ASC 260 prohibits the separate presentation of the net decrease in net assets resulting from operations per share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52139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32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7"/>
                <w:szCs w:val="17"/>
                <w:color w:val="auto"/>
              </w:rPr>
            </w:pPr>
          </w:p>
        </w:tc>
      </w:tr>
      <w:tr>
        <w:trPr>
          <w:trHeight w:val="191"/>
        </w:trPr>
        <w:tc>
          <w:tcPr>
            <w:tcW w:w="3420" w:type="dxa"/>
            <w:vAlign w:val="bottom"/>
            <w:gridSpan w:val="3"/>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7"/>
              </w:rPr>
              <w:t>Net increase in net assets resulting from</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4"/>
        </w:trPr>
        <w:tc>
          <w:tcPr>
            <w:tcW w:w="2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operations per share – basic:</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2"/>
        </w:trPr>
        <w:tc>
          <w:tcPr>
            <w:tcW w:w="342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Net increase in net assets resulting from</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80"/>
              <w:spacing w:after="0"/>
              <w:rPr>
                <w:sz w:val="20"/>
                <w:szCs w:val="20"/>
                <w:color w:val="auto"/>
              </w:rPr>
            </w:pPr>
            <w:r>
              <w:rPr>
                <w:rFonts w:ascii="Arial" w:cs="Arial" w:eastAsia="Arial" w:hAnsi="Arial"/>
                <w:sz w:val="18"/>
                <w:szCs w:val="18"/>
                <w:color w:val="auto"/>
              </w:rPr>
              <w:t>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8,852,691</w:t>
            </w:r>
          </w:p>
        </w:tc>
        <w:tc>
          <w:tcPr>
            <w:tcW w:w="6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6,018,713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26,598,814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5,178,111</w:t>
            </w:r>
          </w:p>
        </w:tc>
      </w:tr>
      <w:tr>
        <w:trPr>
          <w:trHeight w:val="216"/>
        </w:trPr>
        <w:tc>
          <w:tcPr>
            <w:tcW w:w="3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8"/>
              </w:rPr>
              <w:t>Weighted-average common shares – basic</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19,320,100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19,320,100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19,320,100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19,320,100</w:t>
            </w:r>
          </w:p>
        </w:tc>
      </w:tr>
      <w:tr>
        <w:trPr>
          <w:trHeight w:val="191"/>
        </w:trPr>
        <w:tc>
          <w:tcPr>
            <w:tcW w:w="3420" w:type="dxa"/>
            <w:vAlign w:val="bottom"/>
            <w:tcBorders>
              <w:top w:val="single" w:sz="8" w:color="CCEEFF"/>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7"/>
              </w:rPr>
              <w:t>Net increase in net assets resulting from</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40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operations per share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r>
      <w:tr>
        <w:trPr>
          <w:trHeight w:val="191"/>
        </w:trPr>
        <w:tc>
          <w:tcPr>
            <w:tcW w:w="3420" w:type="dxa"/>
            <w:vAlign w:val="bottom"/>
            <w:gridSpan w:val="3"/>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7"/>
              </w:rPr>
              <w:t>Net increase in net assets resulting from</w:t>
            </w:r>
          </w:p>
        </w:tc>
        <w:tc>
          <w:tcPr>
            <w:tcW w:w="1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4"/>
        </w:trPr>
        <w:tc>
          <w:tcPr>
            <w:tcW w:w="2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operations per share – diluted:</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2"/>
        </w:trPr>
        <w:tc>
          <w:tcPr>
            <w:tcW w:w="342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Net increase in net assets resulting from</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80"/>
              <w:spacing w:after="0"/>
              <w:rPr>
                <w:sz w:val="20"/>
                <w:szCs w:val="20"/>
                <w:color w:val="auto"/>
              </w:rPr>
            </w:pPr>
            <w:r>
              <w:rPr>
                <w:rFonts w:ascii="Arial" w:cs="Arial" w:eastAsia="Arial" w:hAnsi="Arial"/>
                <w:sz w:val="18"/>
                <w:szCs w:val="18"/>
                <w:color w:val="auto"/>
              </w:rPr>
              <w:t>operations, before adjustments</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8,852,691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6,018,713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26,598,814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5,178,111</w:t>
            </w:r>
          </w:p>
        </w:tc>
      </w:tr>
      <w:tr>
        <w:trPr>
          <w:trHeight w:val="202"/>
        </w:trPr>
        <w:tc>
          <w:tcPr>
            <w:tcW w:w="342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Adjustments for interest on Convertible</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Senior Notes and deferred financing costs</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1,121,043</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1,138,887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3,284,307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342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Net increase in net assets resulting from</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80"/>
              <w:spacing w:after="0"/>
              <w:rPr>
                <w:sz w:val="20"/>
                <w:szCs w:val="20"/>
                <w:color w:val="auto"/>
              </w:rPr>
            </w:pPr>
            <w:r>
              <w:rPr>
                <w:rFonts w:ascii="Arial" w:cs="Arial" w:eastAsia="Arial" w:hAnsi="Arial"/>
                <w:sz w:val="18"/>
                <w:szCs w:val="18"/>
                <w:color w:val="auto"/>
              </w:rPr>
              <w:t>operations, as adjusted</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9,973,734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7,157,600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29,883,121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5,178,111</w:t>
            </w:r>
          </w:p>
        </w:tc>
      </w:tr>
      <w:tr>
        <w:trPr>
          <w:trHeight w:val="202"/>
        </w:trPr>
        <w:tc>
          <w:tcPr>
            <w:tcW w:w="342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Weighted-average common 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 basic</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19,320,100</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19,320,100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19,320,100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19,320,100</w:t>
            </w:r>
          </w:p>
        </w:tc>
      </w:tr>
      <w:tr>
        <w:trPr>
          <w:trHeight w:val="205"/>
        </w:trPr>
        <w:tc>
          <w:tcPr>
            <w:tcW w:w="3420" w:type="dxa"/>
            <w:vAlign w:val="bottom"/>
            <w:gridSpan w:val="3"/>
          </w:tcPr>
          <w:p>
            <w:pPr>
              <w:ind w:left="20"/>
              <w:spacing w:after="0" w:line="206" w:lineRule="exact"/>
              <w:rPr>
                <w:sz w:val="20"/>
                <w:szCs w:val="20"/>
                <w:color w:val="auto"/>
              </w:rPr>
            </w:pPr>
            <w:r>
              <w:rPr>
                <w:rFonts w:ascii="Arial" w:cs="Arial" w:eastAsia="Arial" w:hAnsi="Arial"/>
                <w:sz w:val="18"/>
                <w:szCs w:val="18"/>
                <w:color w:val="auto"/>
                <w:w w:val="96"/>
              </w:rPr>
              <w:t>Adjustments for dilutive effect of Convertible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7"/>
        </w:trPr>
        <w:tc>
          <w:tcPr>
            <w:tcW w:w="20" w:type="dxa"/>
            <w:vAlign w:val="bottom"/>
          </w:tcPr>
          <w:p>
            <w:pPr>
              <w:spacing w:after="0"/>
              <w:rPr>
                <w:sz w:val="23"/>
                <w:szCs w:val="23"/>
                <w:color w:val="auto"/>
              </w:rPr>
            </w:pPr>
          </w:p>
        </w:tc>
        <w:tc>
          <w:tcPr>
            <w:tcW w:w="3400" w:type="dxa"/>
            <w:vAlign w:val="bottom"/>
            <w:gridSpan w:val="2"/>
          </w:tcPr>
          <w:p>
            <w:pPr>
              <w:ind w:left="180"/>
              <w:spacing w:after="0" w:line="266" w:lineRule="exact"/>
              <w:rPr>
                <w:sz w:val="20"/>
                <w:szCs w:val="20"/>
                <w:color w:val="auto"/>
              </w:rPr>
            </w:pPr>
            <w:r>
              <w:rPr>
                <w:rFonts w:ascii="Arial" w:cs="Arial" w:eastAsia="Arial" w:hAnsi="Arial"/>
                <w:sz w:val="18"/>
                <w:szCs w:val="18"/>
                <w:color w:val="auto"/>
              </w:rPr>
              <w:t>Senior Notes</w:t>
            </w:r>
            <w:r>
              <w:rPr>
                <w:rFonts w:ascii="Arial" w:cs="Arial" w:eastAsia="Arial" w:hAnsi="Arial"/>
                <w:sz w:val="30"/>
                <w:szCs w:val="30"/>
                <w:color w:val="auto"/>
                <w:vertAlign w:val="superscript"/>
              </w:rPr>
              <w:t>(1)</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4,244,128</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4,244,128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4,244,128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342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Weighted-average common 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 diluted</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23,564,228</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23,564,228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23,564,228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19,320,100</w:t>
            </w:r>
          </w:p>
        </w:tc>
      </w:tr>
      <w:tr>
        <w:trPr>
          <w:trHeight w:val="191"/>
        </w:trPr>
        <w:tc>
          <w:tcPr>
            <w:tcW w:w="3420" w:type="dxa"/>
            <w:vAlign w:val="bottom"/>
            <w:tcBorders>
              <w:top w:val="single" w:sz="8" w:color="CCEEFF"/>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7"/>
              </w:rPr>
              <w:t>Net increase in net assets resulting from</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40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operations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0.42</w:t>
            </w:r>
          </w:p>
        </w:tc>
        <w:tc>
          <w:tcPr>
            <w:tcW w:w="6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-2734945</wp:posOffset>
            </wp:positionV>
            <wp:extent cx="5213985" cy="291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-496570</wp:posOffset>
            </wp:positionV>
            <wp:extent cx="5213985" cy="3175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3985" cy="317500"/>
                    </a:xfrm>
                    <a:prstGeom prst="rect">
                      <a:avLst/>
                    </a:prstGeom>
                    <a:noFill/>
                  </pic:spPr>
                </pic:pic>
              </a:graphicData>
            </a:graphic>
          </wp:anchor>
        </w:drawing>
      </w:r>
    </w:p>
    <w:p>
      <w:pPr>
        <w:spacing w:after="0" w:line="236" w:lineRule="exact"/>
        <w:rPr>
          <w:sz w:val="20"/>
          <w:szCs w:val="20"/>
          <w:color w:val="auto"/>
        </w:rPr>
      </w:pPr>
    </w:p>
    <w:p>
      <w:pPr>
        <w:jc w:val="both"/>
        <w:ind w:left="300" w:right="519" w:hanging="272"/>
        <w:spacing w:after="0" w:line="264" w:lineRule="auto"/>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nine months ended September 30, 2014, 4,244,128 potentially dilutive common shares were excluded from the calculation of the diluted weighted-average common shares outstanding because the effect of these shares would have been anti-dilutive.</w:t>
      </w:r>
    </w:p>
    <w:p>
      <w:pPr>
        <w:spacing w:after="0" w:line="200" w:lineRule="exact"/>
        <w:rPr>
          <w:sz w:val="20"/>
          <w:szCs w:val="20"/>
          <w:color w:val="auto"/>
        </w:rPr>
      </w:pP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 At September 30, 2015 and December 31, 2014, the Company had not entered into any investment agreements that required it to make a future investment in a portfolio company.</w:t>
      </w:r>
    </w:p>
    <w:p>
      <w:pPr>
        <w:spacing w:after="0" w:line="79"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The Company is currently not subject to any material legal proceedings, nor, to its knowledge, is any material legal proceeding threatened against it.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ectPr>
          <w:pgSz w:w="11900" w:h="16838" w:orient="portrait"/>
          <w:cols w:equalWidth="0" w:num="1">
            <w:col w:w="10079"/>
          </w:cols>
          <w:pgMar w:left="380" w:top="792" w:right="1440" w:bottom="1440" w:gutter="0" w:footer="0" w:header="0"/>
        </w:sectPr>
      </w:pP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32245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5213985"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7" w:lineRule="exact"/>
        <w:rPr>
          <w:sz w:val="20"/>
          <w:szCs w:val="20"/>
          <w:color w:val="auto"/>
        </w:rPr>
      </w:pPr>
    </w:p>
    <w:p>
      <w:pPr>
        <w:ind w:right="2300"/>
        <w:spacing w:after="0" w:line="261" w:lineRule="auto"/>
        <w:rPr>
          <w:sz w:val="20"/>
          <w:szCs w:val="20"/>
          <w:color w:val="auto"/>
        </w:rPr>
      </w:pPr>
      <w:r>
        <w:rPr>
          <w:rFonts w:ascii="Arial" w:cs="Arial" w:eastAsia="Arial" w:hAnsi="Arial"/>
          <w:sz w:val="18"/>
          <w:szCs w:val="18"/>
          <w:color w:val="auto"/>
        </w:rPr>
        <w:t>Net asset value at beginning of period Net investment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-147955</wp:posOffset>
            </wp:positionV>
            <wp:extent cx="5213985"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realized gains on investments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(Provision)/Benefit for taxes on net realized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5213985" cy="163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Net change in unrealized appreciation/(depreciation) of investments</w:t>
      </w:r>
    </w:p>
    <w:p>
      <w:pPr>
        <w:spacing w:after="0" w:line="73" w:lineRule="exact"/>
        <w:rPr>
          <w:sz w:val="20"/>
          <w:szCs w:val="20"/>
          <w:color w:val="auto"/>
        </w:rPr>
      </w:pPr>
    </w:p>
    <w:p>
      <w:pPr>
        <w:ind w:left="180" w:hanging="179"/>
        <w:spacing w:after="0" w:line="258" w:lineRule="auto"/>
        <w:rPr>
          <w:sz w:val="20"/>
          <w:szCs w:val="20"/>
          <w:color w:val="auto"/>
        </w:rPr>
      </w:pPr>
      <w:r>
        <w:rPr>
          <w:rFonts w:ascii="Arial" w:cs="Arial" w:eastAsia="Arial" w:hAnsi="Arial"/>
          <w:sz w:val="18"/>
          <w:szCs w:val="18"/>
          <w:color w:val="auto"/>
        </w:rPr>
        <w:t>(Provision)/Benefit for taxes on unrealized appreciation/(deprecation)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-273050</wp:posOffset>
            </wp:positionV>
            <wp:extent cx="5213985" cy="4546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1398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asset value at end of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Per share market value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5213985"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Total return based on net asset value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return based on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5213985"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Shares outstanding at end of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Ratios/Supplemental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213985"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assets at end of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Average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213985"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Annualized ratios</w:t>
      </w:r>
    </w:p>
    <w:p>
      <w:pPr>
        <w:spacing w:after="0" w:line="185" w:lineRule="auto"/>
        <w:rPr>
          <w:sz w:val="20"/>
          <w:szCs w:val="20"/>
          <w:color w:val="auto"/>
        </w:rPr>
      </w:pPr>
      <w:r>
        <w:rPr>
          <w:rFonts w:ascii="Arial" w:cs="Arial" w:eastAsia="Arial" w:hAnsi="Arial"/>
          <w:sz w:val="18"/>
          <w:szCs w:val="18"/>
          <w:color w:val="auto"/>
        </w:rPr>
        <w:t>Ratio of total operating expenses to average net assets</w:t>
      </w:r>
      <w:r>
        <w:rPr>
          <w:rFonts w:ascii="Arial" w:cs="Arial" w:eastAsia="Arial" w:hAnsi="Arial"/>
          <w:sz w:val="30"/>
          <w:szCs w:val="3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-162560</wp:posOffset>
            </wp:positionV>
            <wp:extent cx="5213985" cy="163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188" w:lineRule="auto"/>
        <w:rPr>
          <w:sz w:val="20"/>
          <w:szCs w:val="20"/>
          <w:color w:val="auto"/>
        </w:rPr>
      </w:pPr>
      <w:r>
        <w:rPr>
          <w:rFonts w:ascii="Arial" w:cs="Arial" w:eastAsia="Arial" w:hAnsi="Arial"/>
          <w:sz w:val="18"/>
          <w:szCs w:val="18"/>
          <w:color w:val="auto"/>
        </w:rPr>
        <w:t>Ratio of net income tax provisions to average net assets</w:t>
      </w:r>
      <w:r>
        <w:rPr>
          <w:rFonts w:ascii="Arial" w:cs="Arial" w:eastAsia="Arial" w:hAnsi="Arial"/>
          <w:sz w:val="30"/>
          <w:szCs w:val="3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5213985" cy="163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Ratio of net operating expenses to average net assets</w:t>
      </w:r>
      <w:r>
        <w:rPr>
          <w:rFonts w:ascii="Arial" w:cs="Arial" w:eastAsia="Arial" w:hAnsi="Arial"/>
          <w:sz w:val="29"/>
          <w:szCs w:val="29"/>
          <w:color w:val="auto"/>
          <w:vertAlign w:val="superscript"/>
        </w:rPr>
        <w:t>(3)</w:t>
      </w:r>
    </w:p>
    <w:p>
      <w:pPr>
        <w:spacing w:after="0" w:line="185" w:lineRule="auto"/>
        <w:rPr>
          <w:sz w:val="20"/>
          <w:szCs w:val="20"/>
          <w:color w:val="auto"/>
        </w:rPr>
      </w:pPr>
      <w:r>
        <w:rPr>
          <w:rFonts w:ascii="Arial" w:cs="Arial" w:eastAsia="Arial" w:hAnsi="Arial"/>
          <w:sz w:val="18"/>
          <w:szCs w:val="18"/>
          <w:color w:val="auto"/>
        </w:rPr>
        <w:t>Ratio of net investment loss to average net assets</w:t>
      </w:r>
      <w:r>
        <w:rPr>
          <w:rFonts w:ascii="Arial" w:cs="Arial" w:eastAsia="Arial" w:hAnsi="Arial"/>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5213985"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Portfolio turnover ratio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 2015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September 30, 2014</w:t>
            </w:r>
          </w:p>
        </w:tc>
        <w:tc>
          <w:tcPr>
            <w:tcW w:w="0" w:type="dxa"/>
            <w:vAlign w:val="bottom"/>
          </w:tcPr>
          <w:p>
            <w:pPr>
              <w:spacing w:after="0"/>
              <w:rPr>
                <w:sz w:val="1"/>
                <w:szCs w:val="1"/>
                <w:color w:val="auto"/>
              </w:rPr>
            </w:pPr>
          </w:p>
        </w:tc>
      </w:tr>
      <w:tr>
        <w:trPr>
          <w:trHeight w:val="171"/>
        </w:trPr>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415"/>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15.72</w:t>
            </w:r>
          </w:p>
        </w:tc>
        <w:tc>
          <w:tcPr>
            <w:tcW w:w="4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340" w:type="dxa"/>
            <w:vAlign w:val="bottom"/>
            <w:gridSpan w:val="3"/>
          </w:tcPr>
          <w:p>
            <w:pPr>
              <w:jc w:val="right"/>
              <w:ind w:right="200"/>
              <w:spacing w:after="0" w:line="256" w:lineRule="exact"/>
              <w:rPr>
                <w:sz w:val="20"/>
                <w:szCs w:val="20"/>
                <w:color w:val="auto"/>
              </w:rPr>
            </w:pPr>
            <w:r>
              <w:rPr>
                <w:rFonts w:ascii="Arial" w:cs="Arial" w:eastAsia="Arial" w:hAnsi="Arial"/>
                <w:sz w:val="18"/>
                <w:szCs w:val="18"/>
                <w:color w:val="auto"/>
              </w:rPr>
              <w:t>(1.70)</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(0.25)</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340" w:type="dxa"/>
            <w:vAlign w:val="bottom"/>
            <w:gridSpan w:val="3"/>
          </w:tcPr>
          <w:p>
            <w:pPr>
              <w:jc w:val="right"/>
              <w:ind w:right="260"/>
              <w:spacing w:after="0" w:line="256" w:lineRule="exact"/>
              <w:rPr>
                <w:sz w:val="20"/>
                <w:szCs w:val="20"/>
                <w:color w:val="auto"/>
              </w:rPr>
            </w:pPr>
            <w:r>
              <w:rPr>
                <w:rFonts w:ascii="Arial" w:cs="Arial" w:eastAsia="Arial" w:hAnsi="Arial"/>
                <w:sz w:val="18"/>
                <w:szCs w:val="18"/>
                <w:color w:val="auto"/>
              </w:rPr>
              <w:t>1.40</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60"/>
              <w:spacing w:after="0" w:line="256" w:lineRule="exact"/>
              <w:rPr>
                <w:sz w:val="20"/>
                <w:szCs w:val="20"/>
                <w:color w:val="auto"/>
              </w:rPr>
            </w:pPr>
            <w:r>
              <w:rPr>
                <w:rFonts w:ascii="Arial" w:cs="Arial" w:eastAsia="Arial" w:hAnsi="Arial"/>
                <w:sz w:val="18"/>
                <w:szCs w:val="18"/>
                <w:color w:val="auto"/>
              </w:rPr>
              <w:t>0.89</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340" w:type="dxa"/>
            <w:vAlign w:val="bottom"/>
            <w:gridSpan w:val="3"/>
          </w:tcPr>
          <w:p>
            <w:pPr>
              <w:jc w:val="right"/>
              <w:ind w:right="260"/>
              <w:spacing w:after="0" w:line="256" w:lineRule="exact"/>
              <w:rPr>
                <w:sz w:val="20"/>
                <w:szCs w:val="20"/>
                <w:color w:val="auto"/>
              </w:rPr>
            </w:pPr>
            <w:r>
              <w:rPr>
                <w:rFonts w:ascii="Arial" w:cs="Arial" w:eastAsia="Arial" w:hAnsi="Arial"/>
                <w:sz w:val="18"/>
                <w:szCs w:val="18"/>
                <w:color w:val="auto"/>
              </w:rPr>
              <w:t>0.59</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(0.36)</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390"/>
        </w:trPr>
        <w:tc>
          <w:tcPr>
            <w:tcW w:w="100" w:type="dxa"/>
            <w:vAlign w:val="bottom"/>
          </w:tcPr>
          <w:p>
            <w:pPr>
              <w:spacing w:after="0"/>
              <w:rPr>
                <w:sz w:val="24"/>
                <w:szCs w:val="24"/>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(1.14)</w:t>
            </w:r>
            <w:r>
              <w:rPr>
                <w:rFonts w:ascii="Arial" w:cs="Arial" w:eastAsia="Arial" w:hAnsi="Arial"/>
                <w:sz w:val="30"/>
                <w:szCs w:val="30"/>
                <w:color w:val="auto"/>
                <w:vertAlign w:val="superscript"/>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0.06</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40" w:type="dxa"/>
            <w:vAlign w:val="bottom"/>
            <w:gridSpan w:val="3"/>
          </w:tcPr>
          <w:p>
            <w:pPr>
              <w:jc w:val="right"/>
              <w:ind w:right="260"/>
              <w:spacing w:after="0" w:line="310" w:lineRule="exact"/>
              <w:rPr>
                <w:sz w:val="20"/>
                <w:szCs w:val="20"/>
                <w:color w:val="auto"/>
              </w:rPr>
            </w:pPr>
            <w:r>
              <w:rPr>
                <w:rFonts w:ascii="Arial" w:cs="Arial" w:eastAsia="Arial" w:hAnsi="Arial"/>
                <w:sz w:val="18"/>
                <w:szCs w:val="18"/>
                <w:color w:val="auto"/>
              </w:rPr>
              <w:t>1.30</w:t>
            </w:r>
            <w:r>
              <w:rPr>
                <w:rFonts w:ascii="Arial" w:cs="Arial" w:eastAsia="Arial" w:hAnsi="Arial"/>
                <w:sz w:val="30"/>
                <w:szCs w:val="30"/>
                <w:color w:val="auto"/>
                <w:vertAlign w:val="superscript"/>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0"/>
              <w:spacing w:after="0" w:line="310" w:lineRule="exact"/>
              <w:rPr>
                <w:sz w:val="20"/>
                <w:szCs w:val="20"/>
                <w:color w:val="auto"/>
              </w:rPr>
            </w:pPr>
            <w:r>
              <w:rPr>
                <w:rFonts w:ascii="Arial" w:cs="Arial" w:eastAsia="Arial" w:hAnsi="Arial"/>
                <w:sz w:val="18"/>
                <w:szCs w:val="18"/>
                <w:color w:val="auto"/>
              </w:rPr>
              <w:t>(0.03)</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1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16.17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10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9" w:lineRule="exact"/>
              <w:rPr>
                <w:sz w:val="20"/>
                <w:szCs w:val="20"/>
                <w:color w:val="auto"/>
              </w:rPr>
            </w:pPr>
            <w:r>
              <w:rPr>
                <w:rFonts w:ascii="Arial" w:cs="Arial" w:eastAsia="Arial" w:hAnsi="Arial"/>
                <w:sz w:val="18"/>
                <w:szCs w:val="18"/>
                <w:color w:val="auto"/>
              </w:rPr>
              <w:t>7.85</w:t>
            </w:r>
          </w:p>
        </w:tc>
        <w:tc>
          <w:tcPr>
            <w:tcW w:w="44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9" w:lineRule="exact"/>
              <w:rPr>
                <w:sz w:val="20"/>
                <w:szCs w:val="20"/>
                <w:color w:val="auto"/>
              </w:rPr>
            </w:pPr>
            <w:r>
              <w:rPr>
                <w:rFonts w:ascii="Arial" w:cs="Arial" w:eastAsia="Arial" w:hAnsi="Arial"/>
                <w:sz w:val="18"/>
                <w:szCs w:val="18"/>
                <w:color w:val="auto"/>
              </w:rPr>
              <w:t>10.01</w:t>
            </w:r>
          </w:p>
        </w:tc>
        <w:tc>
          <w:tcPr>
            <w:tcW w:w="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340" w:type="dxa"/>
            <w:vAlign w:val="bottom"/>
            <w:gridSpan w:val="3"/>
          </w:tcPr>
          <w:p>
            <w:pPr>
              <w:jc w:val="right"/>
              <w:ind w:right="100"/>
              <w:spacing w:after="0" w:line="256" w:lineRule="exact"/>
              <w:rPr>
                <w:sz w:val="20"/>
                <w:szCs w:val="20"/>
                <w:color w:val="auto"/>
              </w:rPr>
            </w:pPr>
            <w:r>
              <w:rPr>
                <w:rFonts w:ascii="Arial" w:cs="Arial" w:eastAsia="Arial" w:hAnsi="Arial"/>
                <w:sz w:val="18"/>
                <w:szCs w:val="18"/>
                <w:color w:val="auto"/>
              </w:rPr>
              <w:t>2.86%</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100"/>
              <w:spacing w:after="0" w:line="256" w:lineRule="exact"/>
              <w:rPr>
                <w:sz w:val="20"/>
                <w:szCs w:val="20"/>
                <w:color w:val="auto"/>
              </w:rPr>
            </w:pPr>
            <w:r>
              <w:rPr>
                <w:rFonts w:ascii="Arial" w:cs="Arial" w:eastAsia="Arial" w:hAnsi="Arial"/>
                <w:sz w:val="18"/>
                <w:szCs w:val="18"/>
                <w:color w:val="auto"/>
              </w:rPr>
              <w:t>2.09%</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1340" w:type="dxa"/>
            <w:vAlign w:val="bottom"/>
            <w:gridSpan w:val="3"/>
          </w:tcPr>
          <w:p>
            <w:pPr>
              <w:jc w:val="right"/>
              <w:ind w:right="40"/>
              <w:spacing w:after="0" w:line="253" w:lineRule="exact"/>
              <w:rPr>
                <w:sz w:val="20"/>
                <w:szCs w:val="20"/>
                <w:color w:val="auto"/>
              </w:rPr>
            </w:pPr>
            <w:r>
              <w:rPr>
                <w:rFonts w:ascii="Arial" w:cs="Arial" w:eastAsia="Arial" w:hAnsi="Arial"/>
                <w:sz w:val="18"/>
                <w:szCs w:val="18"/>
                <w:color w:val="auto"/>
              </w:rPr>
              <w:t>(23.86)%</w:t>
            </w:r>
            <w:r>
              <w:rPr>
                <w:rFonts w:ascii="Arial" w:cs="Arial" w:eastAsia="Arial" w:hAnsi="Arial"/>
                <w:sz w:val="29"/>
                <w:szCs w:val="29"/>
                <w:color w:val="auto"/>
                <w:vertAlign w:val="superscript"/>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40"/>
              <w:spacing w:after="0" w:line="253" w:lineRule="exact"/>
              <w:rPr>
                <w:sz w:val="20"/>
                <w:szCs w:val="20"/>
                <w:color w:val="auto"/>
              </w:rPr>
            </w:pPr>
            <w:r>
              <w:rPr>
                <w:rFonts w:ascii="Arial" w:cs="Arial" w:eastAsia="Arial" w:hAnsi="Arial"/>
                <w:sz w:val="18"/>
                <w:szCs w:val="18"/>
                <w:color w:val="auto"/>
              </w:rPr>
              <w:t>(5.30)%</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w w:val="97"/>
              </w:rPr>
              <w:t>19,320,100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19,320,100</w:t>
            </w:r>
          </w:p>
        </w:tc>
        <w:tc>
          <w:tcPr>
            <w:tcW w:w="0" w:type="dxa"/>
            <w:vAlign w:val="bottom"/>
          </w:tcPr>
          <w:p>
            <w:pPr>
              <w:spacing w:after="0"/>
              <w:rPr>
                <w:sz w:val="1"/>
                <w:szCs w:val="1"/>
                <w:color w:val="auto"/>
              </w:rPr>
            </w:pPr>
          </w:p>
        </w:tc>
      </w:tr>
      <w:tr>
        <w:trPr>
          <w:trHeight w:val="418"/>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312,502,487</w:t>
            </w:r>
          </w:p>
        </w:tc>
        <w:tc>
          <w:tcPr>
            <w:tcW w:w="4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293,144,555</w:t>
            </w:r>
          </w:p>
        </w:tc>
        <w:tc>
          <w:tcPr>
            <w:tcW w:w="0" w:type="dxa"/>
            <w:vAlign w:val="bottom"/>
          </w:tcPr>
          <w:p>
            <w:pPr>
              <w:spacing w:after="0"/>
              <w:rPr>
                <w:sz w:val="1"/>
                <w:szCs w:val="1"/>
                <w:color w:val="auto"/>
              </w:rPr>
            </w:pPr>
          </w:p>
        </w:tc>
      </w:tr>
      <w:tr>
        <w:trPr>
          <w:trHeight w:val="230"/>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303,720,148</w:t>
            </w:r>
          </w:p>
        </w:tc>
        <w:tc>
          <w:tcPr>
            <w:tcW w:w="4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293,430,624</w:t>
            </w:r>
          </w:p>
        </w:tc>
        <w:tc>
          <w:tcPr>
            <w:tcW w:w="0" w:type="dxa"/>
            <w:vAlign w:val="bottom"/>
          </w:tcPr>
          <w:p>
            <w:pPr>
              <w:spacing w:after="0"/>
              <w:rPr>
                <w:sz w:val="1"/>
                <w:szCs w:val="1"/>
                <w:color w:val="auto"/>
              </w:rPr>
            </w:pPr>
          </w:p>
        </w:tc>
      </w:tr>
      <w:tr>
        <w:trPr>
          <w:trHeight w:val="473"/>
        </w:trPr>
        <w:tc>
          <w:tcPr>
            <w:tcW w:w="100" w:type="dxa"/>
            <w:vAlign w:val="bottom"/>
          </w:tcPr>
          <w:p>
            <w:pPr>
              <w:spacing w:after="0"/>
              <w:rPr>
                <w:sz w:val="24"/>
                <w:szCs w:val="24"/>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(43.30)%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-3695700</wp:posOffset>
            </wp:positionV>
            <wp:extent cx="18865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180"/>
            <w:col w:w="4879"/>
          </w:cols>
          <w:pgMar w:left="380" w:top="792" w:right="1440" w:bottom="1440" w:gutter="0" w:footer="0" w:header="0"/>
          <w:type w:val="continuous"/>
        </w:sect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119380</wp:posOffset>
            </wp:positionV>
            <wp:extent cx="6114415" cy="596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 FINANCIAL HIGHLIGHTS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519684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4" w:lineRule="exact"/>
        <w:rPr>
          <w:sz w:val="20"/>
          <w:szCs w:val="20"/>
          <w:color w:val="auto"/>
        </w:rPr>
      </w:pPr>
    </w:p>
    <w:tbl>
      <w:tblPr>
        <w:tblLayout w:type="fixed"/>
        <w:tblInd w:w="5320" w:type="dxa"/>
        <w:tblCellMar>
          <w:top w:w="0" w:type="dxa"/>
          <w:left w:w="0" w:type="dxa"/>
          <w:bottom w:w="0" w:type="dxa"/>
          <w:right w:w="0" w:type="dxa"/>
        </w:tblCellMar>
      </w:tblPr>
      <w:tr>
        <w:trPr>
          <w:trHeight w:val="161"/>
        </w:trPr>
        <w:tc>
          <w:tcPr>
            <w:tcW w:w="1380" w:type="dxa"/>
            <w:vAlign w:val="bottom"/>
          </w:tcPr>
          <w:p>
            <w:pPr>
              <w:jc w:val="center"/>
              <w:ind w:right="88"/>
              <w:spacing w:after="0"/>
              <w:rPr>
                <w:sz w:val="20"/>
                <w:szCs w:val="20"/>
                <w:color w:val="auto"/>
              </w:rPr>
            </w:pPr>
            <w:r>
              <w:rPr>
                <w:rFonts w:ascii="Arial" w:cs="Arial" w:eastAsia="Arial" w:hAnsi="Arial"/>
                <w:sz w:val="14"/>
                <w:szCs w:val="14"/>
                <w:b w:val="1"/>
                <w:bCs w:val="1"/>
                <w:color w:val="auto"/>
                <w:w w:val="90"/>
              </w:rPr>
              <w:t>Nine months ended</w:t>
            </w:r>
          </w:p>
        </w:tc>
        <w:tc>
          <w:tcPr>
            <w:tcW w:w="1400" w:type="dxa"/>
            <w:vAlign w:val="bottom"/>
          </w:tcPr>
          <w:p>
            <w:pPr>
              <w:jc w:val="center"/>
              <w:ind w:left="108"/>
              <w:spacing w:after="0"/>
              <w:rPr>
                <w:sz w:val="20"/>
                <w:szCs w:val="20"/>
                <w:color w:val="auto"/>
              </w:rPr>
            </w:pPr>
            <w:r>
              <w:rPr>
                <w:rFonts w:ascii="Arial" w:cs="Arial" w:eastAsia="Arial" w:hAnsi="Arial"/>
                <w:sz w:val="14"/>
                <w:szCs w:val="14"/>
                <w:b w:val="1"/>
                <w:bCs w:val="1"/>
                <w:color w:val="auto"/>
                <w:w w:val="90"/>
              </w:rPr>
              <w:t>Nine months ended</w:t>
            </w:r>
          </w:p>
        </w:tc>
      </w:tr>
      <w:tr>
        <w:trPr>
          <w:trHeight w:val="149"/>
        </w:trPr>
        <w:tc>
          <w:tcPr>
            <w:tcW w:w="13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1"/>
              </w:rPr>
              <w:t>September 30, 2015</w:t>
            </w:r>
          </w:p>
        </w:tc>
        <w:tc>
          <w:tcPr>
            <w:tcW w:w="14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September 30, 2014</w:t>
            </w:r>
          </w:p>
        </w:tc>
      </w:tr>
      <w:tr>
        <w:trPr>
          <w:trHeight w:val="186"/>
        </w:trPr>
        <w:tc>
          <w:tcPr>
            <w:tcW w:w="13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(Unaudited)</w:t>
            </w:r>
          </w:p>
        </w:tc>
        <w:tc>
          <w:tcPr>
            <w:tcW w:w="1400" w:type="dxa"/>
            <w:vAlign w:val="bottom"/>
          </w:tcPr>
          <w:p>
            <w:pPr>
              <w:jc w:val="center"/>
              <w:ind w:left="108"/>
              <w:spacing w:after="0"/>
              <w:rPr>
                <w:sz w:val="20"/>
                <w:szCs w:val="20"/>
                <w:color w:val="auto"/>
              </w:rPr>
            </w:pPr>
            <w:r>
              <w:rPr>
                <w:rFonts w:ascii="Arial" w:cs="Arial" w:eastAsia="Arial" w:hAnsi="Arial"/>
                <w:sz w:val="14"/>
                <w:szCs w:val="14"/>
                <w:b w:val="1"/>
                <w:bCs w:val="1"/>
                <w:color w:val="auto"/>
                <w:w w:val="95"/>
              </w:rPr>
              <w:t>(Unaudited)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5213985" cy="146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Per Share Data</w:t>
      </w:r>
    </w:p>
    <w:p>
      <w:pPr>
        <w:sectPr>
          <w:pgSz w:w="11900" w:h="16838" w:orient="portrait"/>
          <w:cols w:equalWidth="0" w:num="1">
            <w:col w:w="10079"/>
          </w:cols>
          <w:pgMar w:left="380" w:top="792" w:right="1440"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Net asset value at beginning of period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5213985"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Net realized gains on investments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(Provision)/Benefit for taxes on net realized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5213985"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Net change in unrealized appreciation of investments</w:t>
      </w:r>
    </w:p>
    <w:p>
      <w:pPr>
        <w:spacing w:after="0" w:line="61" w:lineRule="exact"/>
        <w:rPr>
          <w:sz w:val="20"/>
          <w:szCs w:val="20"/>
          <w:color w:val="auto"/>
        </w:rPr>
      </w:pPr>
    </w:p>
    <w:p>
      <w:pPr>
        <w:ind w:left="180" w:right="280" w:hanging="179"/>
        <w:spacing w:after="0" w:line="258" w:lineRule="auto"/>
        <w:rPr>
          <w:sz w:val="20"/>
          <w:szCs w:val="20"/>
          <w:color w:val="auto"/>
        </w:rPr>
      </w:pPr>
      <w:r>
        <w:rPr>
          <w:rFonts w:ascii="Arial" w:cs="Arial" w:eastAsia="Arial" w:hAnsi="Arial"/>
          <w:sz w:val="18"/>
          <w:szCs w:val="18"/>
          <w:color w:val="auto"/>
        </w:rPr>
        <w:t>(Provision)/Benefit for taxes on unrealized appreciation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-273050</wp:posOffset>
            </wp:positionV>
            <wp:extent cx="5213985" cy="4546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21398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asset value at end of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Per share market value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5213985"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Total return based on net asset value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return based on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5213985" cy="163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Shares outstanding at end of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Ratios/Supplemental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213985"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assets at end of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Average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213985"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Annualized ratios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Ratio of total operating expenses to average net assets</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-189230</wp:posOffset>
            </wp:positionV>
            <wp:extent cx="5213985" cy="163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184" w:lineRule="auto"/>
        <w:rPr>
          <w:sz w:val="20"/>
          <w:szCs w:val="20"/>
          <w:color w:val="auto"/>
        </w:rPr>
      </w:pPr>
      <w:r>
        <w:rPr>
          <w:rFonts w:ascii="Arial" w:cs="Arial" w:eastAsia="Arial" w:hAnsi="Arial"/>
          <w:sz w:val="16"/>
          <w:szCs w:val="16"/>
          <w:color w:val="auto"/>
        </w:rPr>
        <w:t>Ratio of net income tax provisions to average net assets</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5213985"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206" w:lineRule="auto"/>
        <w:rPr>
          <w:sz w:val="20"/>
          <w:szCs w:val="20"/>
          <w:color w:val="auto"/>
        </w:rPr>
      </w:pPr>
      <w:r>
        <w:rPr>
          <w:rFonts w:ascii="Arial" w:cs="Arial" w:eastAsia="Arial" w:hAnsi="Arial"/>
          <w:sz w:val="16"/>
          <w:szCs w:val="16"/>
          <w:color w:val="auto"/>
        </w:rPr>
        <w:t>Ratio of net operating expenses to average net assets</w:t>
      </w:r>
      <w:r>
        <w:rPr>
          <w:rFonts w:ascii="Arial" w:cs="Arial" w:eastAsia="Arial" w:hAnsi="Arial"/>
          <w:sz w:val="26"/>
          <w:szCs w:val="26"/>
          <w:color w:val="auto"/>
          <w:vertAlign w:val="superscript"/>
        </w:rPr>
        <w:t>(3)</w:t>
      </w:r>
    </w:p>
    <w:p>
      <w:pPr>
        <w:spacing w:after="0" w:line="191" w:lineRule="auto"/>
        <w:rPr>
          <w:sz w:val="20"/>
          <w:szCs w:val="20"/>
          <w:color w:val="auto"/>
        </w:rPr>
      </w:pPr>
      <w:r>
        <w:rPr>
          <w:rFonts w:ascii="Arial" w:cs="Arial" w:eastAsia="Arial" w:hAnsi="Arial"/>
          <w:sz w:val="17"/>
          <w:szCs w:val="17"/>
          <w:color w:val="auto"/>
        </w:rPr>
        <w:t>Ratio of net investment loss to average net assets</w:t>
      </w:r>
      <w:r>
        <w:rPr>
          <w:rFonts w:ascii="Arial" w:cs="Arial" w:eastAsia="Arial" w:hAnsi="Arial"/>
          <w:sz w:val="28"/>
          <w:szCs w:val="2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5213985"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Portfolio turnover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176530</wp:posOffset>
            </wp:positionV>
            <wp:extent cx="6172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3"/>
          </w:tcPr>
          <w:p>
            <w:pPr>
              <w:jc w:val="right"/>
              <w:ind w:right="380"/>
              <w:spacing w:after="0" w:line="253" w:lineRule="exact"/>
              <w:rPr>
                <w:sz w:val="20"/>
                <w:szCs w:val="20"/>
                <w:color w:val="auto"/>
              </w:rPr>
            </w:pPr>
            <w:r>
              <w:rPr>
                <w:rFonts w:ascii="Arial" w:cs="Arial" w:eastAsia="Arial" w:hAnsi="Arial"/>
                <w:sz w:val="18"/>
                <w:szCs w:val="18"/>
                <w:color w:val="auto"/>
              </w:rPr>
              <w:t>14.80</w:t>
            </w:r>
            <w:r>
              <w:rPr>
                <w:rFonts w:ascii="Arial" w:cs="Arial" w:eastAsia="Arial" w:hAnsi="Arial"/>
                <w:sz w:val="29"/>
                <w:szCs w:val="29"/>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line="253" w:lineRule="exact"/>
              <w:rPr>
                <w:sz w:val="20"/>
                <w:szCs w:val="20"/>
                <w:color w:val="auto"/>
              </w:rPr>
            </w:pPr>
            <w:r>
              <w:rPr>
                <w:rFonts w:ascii="Arial" w:cs="Arial" w:eastAsia="Arial" w:hAnsi="Arial"/>
                <w:sz w:val="18"/>
                <w:szCs w:val="18"/>
                <w:color w:val="auto"/>
              </w:rPr>
              <w:t>14.91</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460" w:type="dxa"/>
            <w:vAlign w:val="bottom"/>
            <w:gridSpan w:val="3"/>
          </w:tcPr>
          <w:p>
            <w:pPr>
              <w:jc w:val="right"/>
              <w:ind w:right="320"/>
              <w:spacing w:after="0" w:line="256" w:lineRule="exact"/>
              <w:rPr>
                <w:sz w:val="20"/>
                <w:szCs w:val="20"/>
                <w:color w:val="auto"/>
              </w:rPr>
            </w:pPr>
            <w:r>
              <w:rPr>
                <w:rFonts w:ascii="Arial" w:cs="Arial" w:eastAsia="Arial" w:hAnsi="Arial"/>
                <w:sz w:val="18"/>
                <w:szCs w:val="18"/>
                <w:color w:val="auto"/>
              </w:rPr>
              <w:t>(2.28)</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300" w:type="dxa"/>
            <w:vAlign w:val="bottom"/>
            <w:gridSpan w:val="2"/>
          </w:tcPr>
          <w:p>
            <w:pPr>
              <w:jc w:val="right"/>
              <w:ind w:right="160"/>
              <w:spacing w:after="0" w:line="256" w:lineRule="exact"/>
              <w:rPr>
                <w:sz w:val="20"/>
                <w:szCs w:val="20"/>
                <w:color w:val="auto"/>
              </w:rPr>
            </w:pPr>
            <w:r>
              <w:rPr>
                <w:rFonts w:ascii="Arial" w:cs="Arial" w:eastAsia="Arial" w:hAnsi="Arial"/>
                <w:sz w:val="18"/>
                <w:szCs w:val="18"/>
                <w:color w:val="auto"/>
              </w:rPr>
              <w:t>(0.57)</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460" w:type="dxa"/>
            <w:vAlign w:val="bottom"/>
            <w:gridSpan w:val="3"/>
          </w:tcPr>
          <w:p>
            <w:pPr>
              <w:jc w:val="right"/>
              <w:ind w:right="380"/>
              <w:spacing w:after="0" w:line="256" w:lineRule="exact"/>
              <w:rPr>
                <w:sz w:val="20"/>
                <w:szCs w:val="20"/>
                <w:color w:val="auto"/>
              </w:rPr>
            </w:pPr>
            <w:r>
              <w:rPr>
                <w:rFonts w:ascii="Arial" w:cs="Arial" w:eastAsia="Arial" w:hAnsi="Arial"/>
                <w:sz w:val="18"/>
                <w:szCs w:val="18"/>
                <w:color w:val="auto"/>
              </w:rPr>
              <w:t>2.80</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300" w:type="dxa"/>
            <w:vAlign w:val="bottom"/>
            <w:gridSpan w:val="2"/>
          </w:tcPr>
          <w:p>
            <w:pPr>
              <w:jc w:val="right"/>
              <w:ind w:right="220"/>
              <w:spacing w:after="0" w:line="256" w:lineRule="exact"/>
              <w:rPr>
                <w:sz w:val="20"/>
                <w:szCs w:val="20"/>
                <w:color w:val="auto"/>
              </w:rPr>
            </w:pPr>
            <w:r>
              <w:rPr>
                <w:rFonts w:ascii="Arial" w:cs="Arial" w:eastAsia="Arial" w:hAnsi="Arial"/>
                <w:sz w:val="18"/>
                <w:szCs w:val="18"/>
                <w:color w:val="auto"/>
              </w:rPr>
              <w:t>0.92</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460" w:type="dxa"/>
            <w:vAlign w:val="bottom"/>
            <w:gridSpan w:val="3"/>
          </w:tcPr>
          <w:p>
            <w:pPr>
              <w:jc w:val="right"/>
              <w:ind w:right="380"/>
              <w:spacing w:after="0" w:line="256" w:lineRule="exact"/>
              <w:rPr>
                <w:sz w:val="20"/>
                <w:szCs w:val="20"/>
                <w:color w:val="auto"/>
              </w:rPr>
            </w:pPr>
            <w:r>
              <w:rPr>
                <w:rFonts w:ascii="Arial" w:cs="Arial" w:eastAsia="Arial" w:hAnsi="Arial"/>
                <w:sz w:val="18"/>
                <w:szCs w:val="18"/>
                <w:color w:val="auto"/>
              </w:rPr>
              <w:t>0.02</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300" w:type="dxa"/>
            <w:vAlign w:val="bottom"/>
            <w:gridSpan w:val="2"/>
          </w:tcPr>
          <w:p>
            <w:pPr>
              <w:jc w:val="right"/>
              <w:ind w:right="160"/>
              <w:spacing w:after="0" w:line="256" w:lineRule="exact"/>
              <w:rPr>
                <w:sz w:val="20"/>
                <w:szCs w:val="20"/>
                <w:color w:val="auto"/>
              </w:rPr>
            </w:pPr>
            <w:r>
              <w:rPr>
                <w:rFonts w:ascii="Arial" w:cs="Arial" w:eastAsia="Arial" w:hAnsi="Arial"/>
                <w:sz w:val="18"/>
                <w:szCs w:val="18"/>
                <w:color w:val="auto"/>
              </w:rPr>
              <w:t>(0.38)</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390"/>
        </w:trPr>
        <w:tc>
          <w:tcPr>
            <w:tcW w:w="100" w:type="dxa"/>
            <w:vAlign w:val="bottom"/>
          </w:tcPr>
          <w:p>
            <w:pPr>
              <w:spacing w:after="0"/>
              <w:rPr>
                <w:sz w:val="24"/>
                <w:szCs w:val="24"/>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0.00</w:t>
            </w:r>
            <w:r>
              <w:rPr>
                <w:rFonts w:ascii="Arial" w:cs="Arial" w:eastAsia="Arial" w:hAnsi="Arial"/>
                <w:sz w:val="30"/>
                <w:szCs w:val="30"/>
                <w:color w:val="auto"/>
                <w:vertAlign w:val="superscript"/>
              </w:rPr>
              <w:t>(1)</w:t>
            </w:r>
          </w:p>
        </w:tc>
        <w:tc>
          <w:tcPr>
            <w:tcW w:w="10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0.49</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460" w:type="dxa"/>
            <w:vAlign w:val="bottom"/>
            <w:gridSpan w:val="3"/>
          </w:tcPr>
          <w:p>
            <w:pPr>
              <w:jc w:val="right"/>
              <w:ind w:right="380"/>
              <w:spacing w:after="0" w:line="310" w:lineRule="exact"/>
              <w:rPr>
                <w:sz w:val="20"/>
                <w:szCs w:val="20"/>
                <w:color w:val="auto"/>
              </w:rPr>
            </w:pPr>
            <w:r>
              <w:rPr>
                <w:rFonts w:ascii="Arial" w:cs="Arial" w:eastAsia="Arial" w:hAnsi="Arial"/>
                <w:sz w:val="18"/>
                <w:szCs w:val="18"/>
                <w:color w:val="auto"/>
              </w:rPr>
              <w:t>0.83</w:t>
            </w:r>
            <w:r>
              <w:rPr>
                <w:rFonts w:ascii="Arial" w:cs="Arial" w:eastAsia="Arial" w:hAnsi="Arial"/>
                <w:sz w:val="30"/>
                <w:szCs w:val="30"/>
                <w:color w:val="auto"/>
                <w:vertAlign w:val="superscript"/>
              </w:rPr>
              <w:t>(1)</w:t>
            </w:r>
          </w:p>
        </w:tc>
        <w:tc>
          <w:tcPr>
            <w:tcW w:w="100" w:type="dxa"/>
            <w:vAlign w:val="bottom"/>
          </w:tcPr>
          <w:p>
            <w:pPr>
              <w:spacing w:after="0"/>
              <w:rPr>
                <w:sz w:val="24"/>
                <w:szCs w:val="24"/>
                <w:color w:val="auto"/>
              </w:rPr>
            </w:pPr>
          </w:p>
        </w:tc>
        <w:tc>
          <w:tcPr>
            <w:tcW w:w="1300" w:type="dxa"/>
            <w:vAlign w:val="bottom"/>
            <w:gridSpan w:val="2"/>
          </w:tcPr>
          <w:p>
            <w:pPr>
              <w:jc w:val="right"/>
              <w:ind w:right="160"/>
              <w:spacing w:after="0" w:line="310" w:lineRule="exact"/>
              <w:rPr>
                <w:sz w:val="20"/>
                <w:szCs w:val="20"/>
                <w:color w:val="auto"/>
              </w:rPr>
            </w:pPr>
            <w:r>
              <w:rPr>
                <w:rFonts w:ascii="Arial" w:cs="Arial" w:eastAsia="Arial" w:hAnsi="Arial"/>
                <w:sz w:val="18"/>
                <w:szCs w:val="18"/>
                <w:color w:val="auto"/>
              </w:rPr>
              <w:t>(0.20)</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1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16.17</w:t>
            </w:r>
          </w:p>
        </w:tc>
        <w:tc>
          <w:tcPr>
            <w:tcW w:w="5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gridSpan w:val="2"/>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10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9" w:lineRule="exact"/>
              <w:rPr>
                <w:sz w:val="20"/>
                <w:szCs w:val="20"/>
                <w:color w:val="auto"/>
              </w:rPr>
            </w:pPr>
            <w:r>
              <w:rPr>
                <w:rFonts w:ascii="Arial" w:cs="Arial" w:eastAsia="Arial" w:hAnsi="Arial"/>
                <w:sz w:val="18"/>
                <w:szCs w:val="18"/>
                <w:color w:val="auto"/>
              </w:rPr>
              <w:t>7.85</w:t>
            </w:r>
          </w:p>
        </w:tc>
        <w:tc>
          <w:tcPr>
            <w:tcW w:w="560" w:type="dxa"/>
            <w:vAlign w:val="bottom"/>
            <w:gridSpan w:val="2"/>
            <w:vMerge w:val="continue"/>
          </w:tcPr>
          <w:p>
            <w:pPr>
              <w:spacing w:after="0"/>
              <w:rPr>
                <w:sz w:val="17"/>
                <w:szCs w:val="17"/>
                <w:color w:val="auto"/>
              </w:rPr>
            </w:pPr>
          </w:p>
        </w:tc>
        <w:tc>
          <w:tcPr>
            <w:tcW w:w="10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9" w:lineRule="exact"/>
              <w:rPr>
                <w:sz w:val="20"/>
                <w:szCs w:val="20"/>
                <w:color w:val="auto"/>
              </w:rPr>
            </w:pPr>
            <w:r>
              <w:rPr>
                <w:rFonts w:ascii="Arial" w:cs="Arial" w:eastAsia="Arial" w:hAnsi="Arial"/>
                <w:sz w:val="18"/>
                <w:szCs w:val="18"/>
                <w:color w:val="auto"/>
              </w:rPr>
              <w:t>10.01</w:t>
            </w:r>
          </w:p>
        </w:tc>
        <w:tc>
          <w:tcPr>
            <w:tcW w:w="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460" w:type="dxa"/>
            <w:vAlign w:val="bottom"/>
            <w:gridSpan w:val="3"/>
          </w:tcPr>
          <w:p>
            <w:pPr>
              <w:jc w:val="right"/>
              <w:ind w:right="220"/>
              <w:spacing w:after="0" w:line="256" w:lineRule="exact"/>
              <w:rPr>
                <w:sz w:val="20"/>
                <w:szCs w:val="20"/>
                <w:color w:val="auto"/>
              </w:rPr>
            </w:pPr>
            <w:r>
              <w:rPr>
                <w:rFonts w:ascii="Arial" w:cs="Arial" w:eastAsia="Arial" w:hAnsi="Arial"/>
                <w:sz w:val="18"/>
                <w:szCs w:val="18"/>
                <w:color w:val="auto"/>
              </w:rPr>
              <w:t>9.26%</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130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1.74%</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1460" w:type="dxa"/>
            <w:vAlign w:val="bottom"/>
            <w:gridSpan w:val="3"/>
          </w:tcPr>
          <w:p>
            <w:pPr>
              <w:jc w:val="right"/>
              <w:ind w:right="160"/>
              <w:spacing w:after="0" w:line="253" w:lineRule="exact"/>
              <w:rPr>
                <w:sz w:val="20"/>
                <w:szCs w:val="20"/>
                <w:color w:val="auto"/>
              </w:rPr>
            </w:pPr>
            <w:r>
              <w:rPr>
                <w:rFonts w:ascii="Arial" w:cs="Arial" w:eastAsia="Arial" w:hAnsi="Arial"/>
                <w:sz w:val="18"/>
                <w:szCs w:val="18"/>
                <w:color w:val="auto"/>
              </w:rPr>
              <w:t>(9.04)%</w:t>
            </w:r>
            <w:r>
              <w:rPr>
                <w:rFonts w:ascii="Arial" w:cs="Arial" w:eastAsia="Arial" w:hAnsi="Arial"/>
                <w:sz w:val="29"/>
                <w:szCs w:val="29"/>
                <w:color w:val="auto"/>
                <w:vertAlign w:val="superscript"/>
              </w:rPr>
              <w:t>(2)</w:t>
            </w:r>
          </w:p>
        </w:tc>
        <w:tc>
          <w:tcPr>
            <w:tcW w:w="100" w:type="dxa"/>
            <w:vAlign w:val="bottom"/>
          </w:tcPr>
          <w:p>
            <w:pPr>
              <w:spacing w:after="0"/>
              <w:rPr>
                <w:sz w:val="21"/>
                <w:szCs w:val="21"/>
                <w:color w:val="auto"/>
              </w:rPr>
            </w:pPr>
          </w:p>
        </w:tc>
        <w:tc>
          <w:tcPr>
            <w:tcW w:w="1300" w:type="dxa"/>
            <w:vAlign w:val="bottom"/>
            <w:gridSpan w:val="2"/>
          </w:tcPr>
          <w:p>
            <w:pPr>
              <w:jc w:val="right"/>
              <w:spacing w:after="0" w:line="253" w:lineRule="exact"/>
              <w:rPr>
                <w:sz w:val="20"/>
                <w:szCs w:val="20"/>
                <w:color w:val="auto"/>
              </w:rPr>
            </w:pPr>
            <w:r>
              <w:rPr>
                <w:rFonts w:ascii="Arial" w:cs="Arial" w:eastAsia="Arial" w:hAnsi="Arial"/>
                <w:sz w:val="18"/>
                <w:szCs w:val="18"/>
                <w:color w:val="auto"/>
              </w:rPr>
              <w:t>(17.20)%</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460" w:type="dxa"/>
            <w:vAlign w:val="bottom"/>
            <w:gridSpan w:val="3"/>
          </w:tcPr>
          <w:p>
            <w:pPr>
              <w:jc w:val="right"/>
              <w:ind w:right="560"/>
              <w:spacing w:after="0"/>
              <w:rPr>
                <w:sz w:val="20"/>
                <w:szCs w:val="20"/>
                <w:color w:val="auto"/>
              </w:rPr>
            </w:pPr>
            <w:r>
              <w:rPr>
                <w:rFonts w:ascii="Arial" w:cs="Arial" w:eastAsia="Arial" w:hAnsi="Arial"/>
                <w:sz w:val="18"/>
                <w:szCs w:val="18"/>
                <w:color w:val="auto"/>
                <w:w w:val="97"/>
              </w:rPr>
              <w:t>19,320,100</w:t>
            </w:r>
          </w:p>
        </w:tc>
        <w:tc>
          <w:tcPr>
            <w:tcW w:w="10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19,320,100</w:t>
            </w:r>
          </w:p>
        </w:tc>
        <w:tc>
          <w:tcPr>
            <w:tcW w:w="0" w:type="dxa"/>
            <w:vAlign w:val="bottom"/>
          </w:tcPr>
          <w:p>
            <w:pPr>
              <w:spacing w:after="0"/>
              <w:rPr>
                <w:sz w:val="1"/>
                <w:szCs w:val="1"/>
                <w:color w:val="auto"/>
              </w:rPr>
            </w:pPr>
          </w:p>
        </w:tc>
      </w:tr>
      <w:tr>
        <w:trPr>
          <w:trHeight w:val="418"/>
        </w:trPr>
        <w:tc>
          <w:tcPr>
            <w:tcW w:w="1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312,502,487</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293,144,555</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299,491,050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285,484,323</w:t>
            </w:r>
          </w:p>
        </w:tc>
        <w:tc>
          <w:tcPr>
            <w:tcW w:w="0" w:type="dxa"/>
            <w:vAlign w:val="bottom"/>
          </w:tcPr>
          <w:p>
            <w:pPr>
              <w:spacing w:after="0"/>
              <w:rPr>
                <w:sz w:val="1"/>
                <w:szCs w:val="1"/>
                <w:color w:val="auto"/>
              </w:rPr>
            </w:pPr>
          </w:p>
        </w:tc>
      </w:tr>
      <w:tr>
        <w:trPr>
          <w:trHeight w:val="473"/>
        </w:trPr>
        <w:tc>
          <w:tcPr>
            <w:tcW w:w="100" w:type="dxa"/>
            <w:vAlign w:val="bottom"/>
          </w:tcPr>
          <w:p>
            <w:pPr>
              <w:spacing w:after="0"/>
              <w:rPr>
                <w:sz w:val="24"/>
                <w:szCs w:val="24"/>
                <w:color w:val="auto"/>
              </w:rPr>
            </w:pP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480" w:space="720"/>
            <w:col w:w="4879"/>
          </w:cols>
          <w:pgMar w:left="380" w:top="792" w:right="1440" w:bottom="1440" w:gutter="0" w:footer="0" w:header="0"/>
          <w:type w:val="continuous"/>
        </w:sectPr>
      </w:pPr>
    </w:p>
    <w:p>
      <w:pPr>
        <w:spacing w:after="0" w:line="353"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weighted-average number of shares outstanding for the year/period.</w:t>
      </w:r>
    </w:p>
    <w:p>
      <w:pPr>
        <w:spacing w:after="0" w:line="117" w:lineRule="exact"/>
        <w:rPr>
          <w:rFonts w:ascii="Arial" w:cs="Arial" w:eastAsia="Arial" w:hAnsi="Arial"/>
          <w:sz w:val="18"/>
          <w:szCs w:val="18"/>
          <w:color w:val="auto"/>
        </w:rPr>
      </w:pPr>
    </w:p>
    <w:p>
      <w:pPr>
        <w:jc w:val="both"/>
        <w:ind w:left="280" w:right="539" w:hanging="272"/>
        <w:spacing w:after="0" w:line="264"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w:t>
      </w:r>
    </w:p>
    <w:p>
      <w:pPr>
        <w:spacing w:after="0" w:line="73" w:lineRule="exact"/>
        <w:rPr>
          <w:rFonts w:ascii="Arial" w:cs="Arial" w:eastAsia="Arial" w:hAnsi="Arial"/>
          <w:sz w:val="18"/>
          <w:szCs w:val="18"/>
          <w:color w:val="auto"/>
        </w:rPr>
      </w:pPr>
    </w:p>
    <w:p>
      <w:pPr>
        <w:jc w:val="both"/>
        <w:ind w:left="280" w:right="519" w:hanging="272"/>
        <w:spacing w:after="0" w:line="257"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Highlights for periods of less than one year are annualized and the ratios of operating expenses to average net assets and net investment loss to average net assets are adjusted accordingly. Non-recurring expenses are not annualized. For each of the three and nine months ended September 30, 2015 and 2014, the Company did not incur any non-recurring expenses. Because the ratios are calculated for the Company’s common stock taken as a whole, an individual investor’s ratios may vary from these ratios.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TAXES</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has elected to be treated as a RIC for U.S. federal income tax purposes for the 2014 taxable year. Accordingly, the Company must generally distribute at least 90% of its ICTI to qualify for the treatment accorded to a RIC and to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federal income tax return for that fiscal year.</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TAXES – (continued)</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As a result of the Company electing to be treated as a RIC in September 2015 in connection with the filing of its 2014 tax return, it may be required to pay a corporate-level U.S. federal income tax on the amount of the net built-in gains, if any, in its assets (the amount by which the net fair market value of the Company’s assets exceeds the net adjusted basis in its assets) as of the date of conversion (</w:t>
      </w:r>
      <w:r>
        <w:rPr>
          <w:rFonts w:ascii="Arial" w:cs="Arial" w:eastAsia="Arial" w:hAnsi="Arial"/>
          <w:sz w:val="18"/>
          <w:szCs w:val="18"/>
          <w:i w:val="1"/>
          <w:iCs w:val="1"/>
          <w:color w:val="auto"/>
        </w:rPr>
        <w:t>i.e.</w:t>
      </w:r>
      <w:r>
        <w:rPr>
          <w:rFonts w:ascii="Arial" w:cs="Arial" w:eastAsia="Arial" w:hAnsi="Arial"/>
          <w:sz w:val="18"/>
          <w:szCs w:val="18"/>
          <w:color w:val="auto"/>
        </w:rPr>
        <w:t>, the beginning of the first taxable year that the Company qualifies as a RIC, which would be January 1, 2014) to the extent that such gains are recognized by the Company during the applicable recognition period, which is the five-year period beginning on the date of conversion.</w:t>
      </w:r>
    </w:p>
    <w:p>
      <w:pPr>
        <w:spacing w:after="0" w:line="85"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Any corporate-level built-in-gains tax is payable at the time the built-in gains are recognized (which generally will be the years in which the assets with built-in gains are sold in a taxable transaction). The amount of this tax will vary depending on the assets that are actually sold by the Company in this 5-year period, the actual amount of net built-in gain or loss present in those assets as of the date of conversion, and the effective tax rates at such times. The payment of any such corporate-level U.S. federal income tax on built-in gains will be a Company expense that will reduce the amount available for distribution to stockholders. The built-in-gains tax is calculated by determining the RIC’s net unrealized built-in gains, if any, by which the fair market value of the assets of the RIC at the beginning of its first RIC year exceeds the aggregate adjusted basis of such assets at that time.</w:t>
      </w:r>
    </w:p>
    <w:p>
      <w:pPr>
        <w:spacing w:after="0" w:line="59"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As of January 1, 2014, the Company had net unrealized built-in gains. It did not incur a built-in-gains tax for the 2014 tax year due to the fact that there are sufficient net capital loss carryforwards to completely offset recognized built-in gains as well as available net operating losses. The Company has recorded a $9.4 million deferred tax liability as of September 30, 2015, of which approximately $7.1 million has been recorded in the event such gains are recognized by December 31, 2019. As a result of the Company’s election to be treated as a RIC, the Company recognized $9.7 million in tax benefits for the three months ended September 30, 2015.</w:t>
      </w:r>
    </w:p>
    <w:p>
      <w:pPr>
        <w:spacing w:after="0" w:line="85"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The GSVC Holdings are C corporations for U.S. federal and state income tax purposes. The Company uses the asset and liability method to account for the GSVC Holdings’ income taxes. Using this method, the Company recognizes deferred tax assets and liabilities for the estimated future tax effects attributable to temporary differences between the financial reporting and tax bases of assets and liabilities. In addition, the Company recognizes deferred tax benefits associated with net operating loss carryforwards that it may use to offset future tax obligations. The Company measures deferred tax assets and liabilities using the enacted tax rates expected to apply to taxable income in the years in which it expects to recover or settle those temporary differences. The Company has recorded a $9.4 million deferred tax liability as of September 30, 2015, of which approximately $2.3 million relates to the difference in the book and tax basis of certain equity investments and tax net operating losses held by the GSVC Holdings.</w:t>
      </w:r>
    </w:p>
    <w:p>
      <w:pPr>
        <w:spacing w:after="0" w:line="58"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For the three and nine months ended September 30, 2015, the Company and the GSVC Holdings recorded a current income tax expense of $0.8 million. Of this amount, $0.8 million was income tax paid by the Company on undistributed long-term capital gains for the 2014 tax year.</w:t>
      </w:r>
    </w:p>
    <w:p>
      <w:pPr>
        <w:spacing w:after="0" w:line="73"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For the three and nine months ended September 30, 2014, the Company did not recognize a current income tax expense or benefit.</w:t>
      </w:r>
    </w:p>
    <w:p>
      <w:pPr>
        <w:spacing w:after="0" w:line="62"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For U.S. federal and state income tax purposes, a portion of the GSVC Holdings’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INCOME TAXES – (continued)</w:t>
      </w:r>
    </w:p>
    <w:p>
      <w:pPr>
        <w:spacing w:after="0" w:line="121"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The Company and the GSVC Holdings identified their major tax jurisdictions as U.S. federal and California and may be subject to the taxing authorities’ examination for the tax years 2011 – 2014 and 2010 – 2014, respectively.</w:t>
      </w:r>
    </w:p>
    <w:p>
      <w:pPr>
        <w:spacing w:after="0" w:line="62"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The Company and the GSVC Holdings accrue all interest and penalties related to uncertain tax positions as incurred. As of September 30, 2015, there were no interest or penalties incurred related to uncertain tax positions.</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LONG TERM LIABILITIES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jc w:val="both"/>
        <w:ind w:left="60" w:right="519" w:firstLine="270"/>
        <w:spacing w:after="0" w:line="270" w:lineRule="auto"/>
        <w:rPr>
          <w:sz w:val="20"/>
          <w:szCs w:val="20"/>
          <w:color w:val="auto"/>
        </w:rPr>
      </w:pPr>
      <w:r>
        <w:rPr>
          <w:rFonts w:ascii="Arial" w:cs="Arial" w:eastAsia="Arial" w:hAnsi="Arial"/>
          <w:sz w:val="17"/>
          <w:szCs w:val="17"/>
          <w:color w:val="auto"/>
        </w:rPr>
        <w:t>On September 17, 2013, the Company issued $69 million aggregate principal amount of the Convertible Senior Notes (including $9 million aggregate principal amount issued pursuant to the exercise of the initial purchasers’ option to purchase additional Convertible Senior Notes). The Convertible Senior Notes bear interest at a fixed rate of 5.25% per year, payable semi-annually in arrears on March 15 and September 15 of each year, commencing on March 15, 2014. The Convertible Senior Notes are convertible into shares of the Company’s common stock based on an initial conversion rate of 61.5091 shares of the Company’s common stock per $1,000 of principal amount of Convertible Senior Notes, which is equivalent to an initial conversion price of approximately $16.26 per share of common stock. The Convertible Senior Notes mature on September 15, 2018, unless previously repurchased or converted in accordance with their terms. The Company does not have the right to redeem the Convertible Senior Notes prior to maturity.</w:t>
      </w:r>
    </w:p>
    <w:p>
      <w:pPr>
        <w:spacing w:after="0" w:line="74" w:lineRule="exact"/>
        <w:rPr>
          <w:sz w:val="20"/>
          <w:szCs w:val="20"/>
          <w:color w:val="auto"/>
        </w:rPr>
      </w:pPr>
    </w:p>
    <w:p>
      <w:pPr>
        <w:jc w:val="both"/>
        <w:ind w:left="60" w:right="519" w:firstLine="270"/>
        <w:spacing w:after="0" w:line="269" w:lineRule="auto"/>
        <w:rPr>
          <w:sz w:val="20"/>
          <w:szCs w:val="20"/>
          <w:color w:val="auto"/>
        </w:rPr>
      </w:pPr>
      <w:r>
        <w:rPr>
          <w:rFonts w:ascii="Arial" w:cs="Arial" w:eastAsia="Arial" w:hAnsi="Arial"/>
          <w:sz w:val="17"/>
          <w:szCs w:val="17"/>
          <w:color w:val="auto"/>
        </w:rPr>
        <w:t>The terms of the offering required the Company to place a portion of the proceeds of the offering ($10,867,500) in an escrow account (the “Interest Escrow”) with U.S. Bank National Association (the “Trustee”) under the indenture pursuant to which the notes were issued. Funds in the Interest Escrow were used to purchase six U.S. Treasury Strips (“Government Securities”) with an original cost of $10,845,236. The Government Securities have been, and will continue to be used to make the first six scheduled interest payments on the notes, unless the Company elects to make the interest payments from the Company’s available funds. The interest payments on the Convertible Senior Notes are secured by a pledge of the Company’s interest in the Interest Escrow. At September 30, 2015, the remaining Government Securities are shown on the Condensed Consolidated Schedule of Investments and have an amortized cost of $3,669,246. In addition to the Government Securities, at September 30, 2015, the Interest Escrow contained $27,931 of excess funds from the offering that will be used to secure the payment of the notes and is included as “Restricted Cash” on the Condensed Consolidated Statements of Assets and Liabilities. “Restricted Cash” also includes a $25,000 deposit for the Company’s fidelity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520573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September 30, 2015</w:t>
            </w:r>
          </w:p>
        </w:tc>
        <w:tc>
          <w:tcPr>
            <w:tcW w:w="160" w:type="dxa"/>
            <w:vAlign w:val="bottom"/>
          </w:tcPr>
          <w:p>
            <w:pPr>
              <w:spacing w:after="0"/>
              <w:rPr>
                <w:sz w:val="14"/>
                <w:szCs w:val="14"/>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December 31, 2014</w:t>
            </w:r>
          </w:p>
        </w:tc>
      </w:tr>
      <w:tr>
        <w:trPr>
          <w:trHeight w:val="195"/>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Aggregate Principal Amount of Convertible Senior Notes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69,000,000</w:t>
            </w:r>
          </w:p>
        </w:tc>
        <w:tc>
          <w:tcPr>
            <w:tcW w:w="140" w:type="dxa"/>
            <w:vAlign w:val="bottom"/>
          </w:tcPr>
          <w:p>
            <w:pPr>
              <w:spacing w:after="0"/>
              <w:rPr>
                <w:sz w:val="20"/>
                <w:szCs w:val="20"/>
                <w:color w:val="auto"/>
              </w:rPr>
            </w:pP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69,000,000</w:t>
            </w: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Amortization of Embedded Derivative Discount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(437,923)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(537,647)</w:t>
            </w:r>
          </w:p>
        </w:tc>
      </w:tr>
      <w:tr>
        <w:trPr>
          <w:trHeight w:val="20"/>
        </w:trPr>
        <w:tc>
          <w:tcPr>
            <w:tcW w:w="56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Convertible Senior Notes payable 5.25% due September 15, 2018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68,562,077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68,462,353</w:t>
            </w:r>
          </w:p>
        </w:tc>
      </w:tr>
      <w:tr>
        <w:trPr>
          <w:trHeight w:val="20"/>
        </w:trPr>
        <w:tc>
          <w:tcPr>
            <w:tcW w:w="5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77" w:lineRule="auto"/>
        <w:rPr>
          <w:sz w:val="20"/>
          <w:szCs w:val="20"/>
          <w:color w:val="auto"/>
        </w:rPr>
      </w:pPr>
      <w:r>
        <w:rPr>
          <w:rFonts w:ascii="Arial" w:cs="Arial" w:eastAsia="Arial" w:hAnsi="Arial"/>
          <w:sz w:val="18"/>
          <w:szCs w:val="18"/>
          <w:color w:val="auto"/>
        </w:rPr>
        <w:t>As of September 30, 2015, the principal amount of the Convertible Senior Notes exceeded the value of the underlying shares multiplied by the per share closing price of the Company’s common stock.</w:t>
      </w:r>
    </w:p>
    <w:p>
      <w:pPr>
        <w:spacing w:after="0" w:line="62" w:lineRule="exact"/>
        <w:rPr>
          <w:sz w:val="20"/>
          <w:szCs w:val="20"/>
          <w:color w:val="auto"/>
        </w:rPr>
      </w:pPr>
    </w:p>
    <w:p>
      <w:pPr>
        <w:jc w:val="both"/>
        <w:ind w:left="60" w:right="519" w:firstLine="270"/>
        <w:spacing w:after="0" w:line="297" w:lineRule="auto"/>
        <w:rPr>
          <w:sz w:val="20"/>
          <w:szCs w:val="20"/>
          <w:color w:val="auto"/>
        </w:rPr>
      </w:pPr>
      <w:r>
        <w:rPr>
          <w:rFonts w:ascii="Arial" w:cs="Arial" w:eastAsia="Arial" w:hAnsi="Arial"/>
          <w:sz w:val="16"/>
          <w:szCs w:val="16"/>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the Company’s subsidiaries.</w:t>
      </w:r>
    </w:p>
    <w:p>
      <w:pPr>
        <w:spacing w:after="0" w:line="200" w:lineRule="exact"/>
        <w:rPr>
          <w:sz w:val="20"/>
          <w:szCs w:val="20"/>
          <w:color w:val="auto"/>
        </w:rPr>
      </w:pPr>
    </w:p>
    <w:p>
      <w:pPr>
        <w:spacing w:after="0" w:line="29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LONG TERM LIABILITIES – (continued)</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jc w:val="both"/>
        <w:ind w:left="40" w:right="539" w:firstLine="270"/>
        <w:spacing w:after="0" w:line="293" w:lineRule="auto"/>
        <w:rPr>
          <w:sz w:val="20"/>
          <w:szCs w:val="20"/>
          <w:color w:val="auto"/>
        </w:rPr>
      </w:pPr>
      <w:r>
        <w:rPr>
          <w:rFonts w:ascii="Arial" w:cs="Arial" w:eastAsia="Arial" w:hAnsi="Arial"/>
          <w:sz w:val="16"/>
          <w:szCs w:val="16"/>
          <w:color w:val="auto"/>
        </w:rPr>
        <w:t>The Convertible Senior Notes contain an interest make-whole payment provision pursuant to which holders who convert their notes prior to September 15, 2016 will receive, in addition to a number of shares the Company’s common stock calculated at the applicable conversion rate for the principal amount of notes being converted, the cash proceeds from sale by the escrow agent of the portion of the Government Securities in the escrow account that are remaining with respect to any of the first six interest payments that have not been made on the notes being converted. Under ASC 815-10-15-74(a), the interest make-whole payment is considered an embedded derivative and is separated from the host contract, the Convertible Senior Notes, and carried at fair value.</w:t>
      </w:r>
    </w:p>
    <w:p>
      <w:pPr>
        <w:spacing w:after="0" w:line="5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Company used a binomial lattice model to estimate the fair value of the embedded derivative in the Convertible Senior Notes. A binomial lattice model generates potential outcomes at various points in time, starting from the date of valuation until the expiration date of the embedded derivative. The estimated fair value of the embedded derivative as of September 30, 2015 is $0 as shown on the Condensed Consolidated Statement of Assets and Liabilities.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Company entered into the Loan Agreement, effective December 31, 2013, with Silicon Valley Bank to provide the Company with an $18 million Credit Facility. Under the Credit Facility, the Company is permitted to borrow an amount equal to the lesser of $18 million or 20% of the Company’s then-current net asset value.</w:t>
      </w:r>
    </w:p>
    <w:p>
      <w:pPr>
        <w:spacing w:after="0" w:line="73"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The Credit Facility, matures on December 31, 2016, and bears interest at a per annum rate equal to the greater of (i) the prime rate plus 4.75% and (ii) 8.0% on amounts drawn under the facility based on a 360-day year. In addition, a fee of $180,000 per annum (1.0% of the $18 million revolving line of credit) is charged under the Loan Agreement. Under the terms of the Credit Facility, the Company must repay all outstanding borrowings so that there is at least one 30-day period every twelve months during which the Company has no balance outstanding. Under the Loan Agreement, the Company has made certain customary representations and warranties and is required to comply with various covenants, reporting requirements, and other customary requirements for similar credit facilities.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change of control, and the occurrence of a material adverse effect.</w:t>
      </w:r>
    </w:p>
    <w:p>
      <w:pPr>
        <w:spacing w:after="0" w:line="87"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The Credit Facility is secured by all of the Company’s property and assets, except for the Company’s assets pledged to secure certain obligations in connection with the Company’s issuance of the Convertible Senior Notes and, as provided for in the Loan Agreement, as may be pledged in connection with any future issuance by the Company of Convertible Senior Notes on substantially similar terms. As of September 30, 2015, the Company had no borrowings under the Credit Facility. For the nine months ended September 30, 2015, the Company had average borrowings outstanding of $4,963,370 under the Credit Facility.</w:t>
      </w:r>
    </w:p>
    <w:p>
      <w:pPr>
        <w:spacing w:after="0" w:line="50"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Borrowing under the Credit Facility is subject to the leverage restrictions contained in the 1940 Act. In addition, under the Loan Agreement, and as provided for therein, the Company has agreed not to incur certain additional permitted indebtedness in an aggregate amount exceeding 50% of the Company’s then-applicable net asset value.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 w:name="page46"/>
    <w:bookmarkEnd w:id="4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2015 (Unaudited)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SUBSEQUENT EVENTS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Portfolio Activity</w:t>
      </w:r>
    </w:p>
    <w:p>
      <w:pPr>
        <w:spacing w:after="0" w:line="117" w:lineRule="exact"/>
        <w:rPr>
          <w:sz w:val="20"/>
          <w:szCs w:val="20"/>
          <w:color w:val="auto"/>
        </w:rPr>
      </w:pPr>
    </w:p>
    <w:p>
      <w:pPr>
        <w:jc w:val="both"/>
        <w:ind w:left="60" w:right="539" w:firstLine="270"/>
        <w:spacing w:after="0" w:line="286" w:lineRule="auto"/>
        <w:rPr>
          <w:sz w:val="20"/>
          <w:szCs w:val="20"/>
          <w:color w:val="auto"/>
        </w:rPr>
      </w:pPr>
      <w:r>
        <w:rPr>
          <w:rFonts w:ascii="Arial" w:cs="Arial" w:eastAsia="Arial" w:hAnsi="Arial"/>
          <w:sz w:val="17"/>
          <w:szCs w:val="17"/>
          <w:color w:val="auto"/>
        </w:rPr>
        <w:t>From September 30, 2015 through November 9, 2015, the Company closed on investment purchases of $1,200,000 plus transaction costs as shown in following table. “Total Gross Payments” include the cost of entering into a portfolio company investment. Refer to “Note 1 — Nature of Operations and Significant Accounting Policies”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wp:posOffset>
            </wp:positionV>
            <wp:extent cx="521398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Transaction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71"/>
        </w:trPr>
        <w:tc>
          <w:tcPr>
            <w:tcW w:w="38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 Sustainability Partners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Clean Technology</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1, 2015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GSV Sustainability Partners</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Clean Technology</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November 2, 2015</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Gross Payments</w:t>
            </w: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1,200,000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September 30, 2015 through November 9, 2015, the Company sold no investments.</w:t>
      </w:r>
    </w:p>
    <w:p>
      <w:pPr>
        <w:spacing w:after="0" w:line="117" w:lineRule="exact"/>
        <w:rPr>
          <w:sz w:val="20"/>
          <w:szCs w:val="20"/>
          <w:color w:val="auto"/>
        </w:rPr>
      </w:pPr>
    </w:p>
    <w:p>
      <w:pPr>
        <w:jc w:val="both"/>
        <w:ind w:left="60" w:right="519" w:firstLine="270"/>
        <w:spacing w:after="0" w:line="272" w:lineRule="auto"/>
        <w:rPr>
          <w:sz w:val="20"/>
          <w:szCs w:val="20"/>
          <w:color w:val="auto"/>
        </w:rPr>
      </w:pPr>
      <w:r>
        <w:rPr>
          <w:rFonts w:ascii="Arial" w:cs="Arial" w:eastAsia="Arial" w:hAnsi="Arial"/>
          <w:sz w:val="17"/>
          <w:szCs w:val="17"/>
          <w:color w:val="auto"/>
        </w:rPr>
        <w:t>The Company is presently in the final stages of negotiations with respect to several private company investments that it anticipates entering into within the next 30 to 60 days,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From September 30, 2015 through November 9, 2015, the Company has made no such escrow deposits.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Dividends</w:t>
      </w:r>
    </w:p>
    <w:p>
      <w:pPr>
        <w:spacing w:after="0" w:line="117" w:lineRule="exact"/>
        <w:rPr>
          <w:sz w:val="20"/>
          <w:szCs w:val="20"/>
          <w:color w:val="auto"/>
        </w:rPr>
      </w:pPr>
    </w:p>
    <w:p>
      <w:pPr>
        <w:jc w:val="both"/>
        <w:ind w:left="60" w:right="519" w:firstLine="270"/>
        <w:spacing w:after="0" w:line="289" w:lineRule="auto"/>
        <w:rPr>
          <w:sz w:val="20"/>
          <w:szCs w:val="20"/>
          <w:color w:val="auto"/>
        </w:rPr>
      </w:pPr>
      <w:r>
        <w:rPr>
          <w:rFonts w:ascii="Arial" w:cs="Arial" w:eastAsia="Arial" w:hAnsi="Arial"/>
          <w:sz w:val="16"/>
          <w:szCs w:val="16"/>
          <w:color w:val="auto"/>
        </w:rPr>
        <w:t>On November 4, 2015, the Company’s board of directors declared a dividend of $2.76 per share payable on December 31, 2015 to stockholders of record at the close of business on November 16, 2015. The ex-dividend date, which is the day that the Company’s common stock will begin trading without the dividend, is January 4, 2016. The dividend will be paid in cash or shares of the Company’s common stock at the election of the stockholders, although the total amount of cash to be distributed to all stockholders will be limited to approximately 50% of the total dividend to be paid to all stockholders; provided, however, that in no event will the Company distribute less than 20% of the total dividend in cash. The remainder of the dividend (approximately 50%) will be paid in the form of shares of the Company’s common stock. The number of shares of the Company’s common stock to be issued to stockholders receiving all or a portion of the dividend in shares of common stock will be based on the volume weighted-average price per share of GSV Capital’s common stock on the Nasdaq Capital Market on December 28, 29 and 30, 2015.</w:t>
      </w:r>
    </w:p>
    <w:p>
      <w:pPr>
        <w:spacing w:after="0" w:line="59"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This dividend is being made in accordance with certain applicable Treasury regulations and private letter rulings on cash/stock dividends issued by the Internal Revenue Service (“IRS”) over the years that allow a publicly traded RIC to satisfy its distribution requirements from a distribution paid partly in common stock provided that at least 20% of the distribution is payable in cash and certain other requirements are satisfied.</w:t>
      </w:r>
    </w:p>
    <w:p>
      <w:pPr>
        <w:spacing w:after="0" w:line="200" w:lineRule="exact"/>
        <w:rPr>
          <w:sz w:val="20"/>
          <w:szCs w:val="20"/>
          <w:color w:val="auto"/>
        </w:rPr>
      </w:pPr>
    </w:p>
    <w:p>
      <w:pPr>
        <w:spacing w:after="0" w:line="33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2619"/>
        <w:spacing w:after="0" w:line="40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GSV Capital,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85"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forward-looking statements contained in this quarterly report on Form 10-Q involve risks and uncertainties, including statements as to:</w:t>
      </w:r>
    </w:p>
    <w:p>
      <w:pPr>
        <w:spacing w:after="0" w:line="62" w:lineRule="exact"/>
        <w:rPr>
          <w:sz w:val="20"/>
          <w:szCs w:val="20"/>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3" w:lineRule="exact"/>
        <w:rPr>
          <w:sz w:val="20"/>
          <w:szCs w:val="20"/>
          <w:color w:val="auto"/>
        </w:rPr>
      </w:pPr>
    </w:p>
    <w:p>
      <w:pPr>
        <w:ind w:left="600" w:right="539" w:hanging="32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equity investments in such portfolio companies;</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investment activities;</w:t>
      </w:r>
    </w:p>
    <w:p>
      <w:pPr>
        <w:spacing w:after="0" w:line="117"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in our annual report on Form 10-K and elsewhere in this quarterly report on Form 10-Q and in our filings with the SEC.</w:t>
      </w:r>
    </w:p>
    <w:p>
      <w:pPr>
        <w:spacing w:after="0" w:line="6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annual report on Form 10-K, in the “Risk Factors” section. You should not place undue reliance on these forward-looking statements, which apply only as of the date of this quarterly report on Form 10-Q.</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firstLine="270"/>
        <w:spacing w:after="0" w:line="342" w:lineRule="auto"/>
        <w:rPr>
          <w:sz w:val="20"/>
          <w:szCs w:val="20"/>
          <w:color w:val="auto"/>
        </w:rPr>
      </w:pPr>
      <w:r>
        <w:rPr>
          <w:rFonts w:ascii="Arial" w:cs="Arial" w:eastAsia="Arial" w:hAnsi="Arial"/>
          <w:sz w:val="16"/>
          <w:szCs w:val="16"/>
          <w:color w:val="auto"/>
        </w:rPr>
        <w:t>The following analysis of our financial condition and results of operations should be read in conjunction with our condensed consolidated financial statements and the related notes thereto contained elsewhere in this quarterly report on Form 10-Q.</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We (the “Company,” “we,” “our,” “GSV Capital” or “GSV”) are an externally managed, non-diversified closed-end management investment company that has elected to be regulated as a business development company under the 1940 Act. 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have also invested, on an opportunistic basis, in select publicly traded equity securities of rapidly growing companies that otherwise meet our investment criteria, and may continue to do so in the future. In addition, while we invest primarily in U.S. companies, we may invest on an opportunistic basis in certain non-U.S. companies that otherwise meet our investment criteria. In regards to the regulatory requirements for business development companies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75"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We acquire our investments through direct investments with prospective portfolio companies, secondary marketplaces for private companies and negotiations with selling stockholders. Our investment activities are managed by GSV Asset Management. GSV Capital Service Company provides the administrative services necessary for us to operate.</w:t>
      </w:r>
    </w:p>
    <w:p>
      <w:pPr>
        <w:spacing w:after="0" w:line="57"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Our investment philosophy is premised on a disciplined approach of identifying high-growth emerging companies across several key industry themes which may include, among others, social mobile, cloud computing and big data, internet commerce, sustainability and education technology. Our investment adviser’s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GSV Asset Management, evaluates have financial backing from top-tier venture capital funds or other financial or strategic sponsors.</w:t>
      </w:r>
    </w:p>
    <w:p>
      <w:pPr>
        <w:spacing w:after="0" w:line="70"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common stock and are generally convertible into common stock at our discretion. Our investments generally do not produce current income and therefore we may be dependent on future capital raising to meet our operating needs if no other source of liquidity is available.</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 — (Portfolio Activity)</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The value of our investment portfolio will change over time due to changes in the fair value of our underlying investments, as well as changes in the composition of our portfolio resulting from purchases of new and follow-on investments as well as sales of existing investments. The fair value, as of September 30, 2015, of all of our portfolio investments, excluding U.S. Treasury Bills and Strips, was $349,790,374. The following table summarizes the investment purchases we funded during the nine months ended September 30, 2015. “Total Gross Payments” include both the actual cost of an investment as well as capitalized costs, (such as legal and other fees) associated with entering into a portfolio company investment. Refer to “Note 1 — Nature of Operations and Significant Accounting Policies” to our Condensed Consolidated Financial Statements for the period ended September 30, 2015 for further detail.</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4060" w:type="dxa"/>
            <w:vAlign w:val="bottom"/>
            <w:gridSpan w:val="3"/>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Quarter ended</w:t>
            </w:r>
          </w:p>
        </w:tc>
        <w:tc>
          <w:tcPr>
            <w:tcW w:w="10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Quarter ended</w:t>
            </w:r>
          </w:p>
        </w:tc>
        <w:tc>
          <w:tcPr>
            <w:tcW w:w="8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10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Total through</w:t>
            </w:r>
          </w:p>
        </w:tc>
        <w:tc>
          <w:tcPr>
            <w:tcW w:w="0" w:type="dxa"/>
            <w:vAlign w:val="bottom"/>
          </w:tcPr>
          <w:p>
            <w:pPr>
              <w:spacing w:after="0"/>
              <w:rPr>
                <w:sz w:val="1"/>
                <w:szCs w:val="1"/>
                <w:color w:val="auto"/>
              </w:rPr>
            </w:pPr>
          </w:p>
        </w:tc>
      </w:tr>
      <w:tr>
        <w:trPr>
          <w:trHeight w:val="149"/>
        </w:trPr>
        <w:tc>
          <w:tcPr>
            <w:tcW w:w="4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Fundings by Portfolio Company (Industry)</w:t>
            </w:r>
          </w:p>
        </w:tc>
        <w:tc>
          <w:tcPr>
            <w:tcW w:w="1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4060" w:type="dxa"/>
            <w:vAlign w:val="bottom"/>
            <w:tcBorders>
              <w:bottom w:val="single" w:sz="8" w:color="auto"/>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NestGSV, Inc. (d/b/a GSV Labs, Inc.) (Incubator)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$ 1,000,000</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$ 1,499,999</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$ 1,000,000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3,499,999</w:t>
            </w:r>
          </w:p>
        </w:tc>
        <w:tc>
          <w:tcPr>
            <w:tcW w:w="0" w:type="dxa"/>
            <w:vAlign w:val="bottom"/>
          </w:tcPr>
          <w:p>
            <w:pPr>
              <w:spacing w:after="0"/>
              <w:rPr>
                <w:sz w:val="1"/>
                <w:szCs w:val="1"/>
                <w:color w:val="auto"/>
              </w:rPr>
            </w:pPr>
          </w:p>
        </w:tc>
      </w:tr>
      <w:tr>
        <w:trPr>
          <w:trHeight w:val="216"/>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Fullbridge, Inc. (Business Education)</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964,042</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964,042</w:t>
            </w:r>
          </w:p>
        </w:tc>
        <w:tc>
          <w:tcPr>
            <w:tcW w:w="0" w:type="dxa"/>
            <w:vAlign w:val="bottom"/>
          </w:tcPr>
          <w:p>
            <w:pPr>
              <w:spacing w:after="0"/>
              <w:rPr>
                <w:sz w:val="1"/>
                <w:szCs w:val="1"/>
                <w:color w:val="auto"/>
              </w:rPr>
            </w:pPr>
          </w:p>
        </w:tc>
      </w:tr>
      <w:tr>
        <w:trPr>
          <w:trHeight w:val="216"/>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Lyft, Inc. (Peer to Peer Ridesharing)</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2,499,985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2,499,985</w:t>
            </w:r>
          </w:p>
        </w:tc>
        <w:tc>
          <w:tcPr>
            <w:tcW w:w="0" w:type="dxa"/>
            <w:vAlign w:val="bottom"/>
          </w:tcPr>
          <w:p>
            <w:pPr>
              <w:spacing w:after="0"/>
              <w:rPr>
                <w:sz w:val="1"/>
                <w:szCs w:val="1"/>
                <w:color w:val="auto"/>
              </w:rPr>
            </w:pPr>
          </w:p>
        </w:tc>
      </w:tr>
      <w:tr>
        <w:trPr>
          <w:trHeight w:val="216"/>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PayNearMe, Inc. (Cash Payment Network)</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3,999,998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3,999,998</w:t>
            </w:r>
          </w:p>
        </w:tc>
        <w:tc>
          <w:tcPr>
            <w:tcW w:w="0" w:type="dxa"/>
            <w:vAlign w:val="bottom"/>
          </w:tcPr>
          <w:p>
            <w:pPr>
              <w:spacing w:after="0"/>
              <w:rPr>
                <w:sz w:val="1"/>
                <w:szCs w:val="1"/>
                <w:color w:val="auto"/>
              </w:rPr>
            </w:pPr>
          </w:p>
        </w:tc>
      </w:tr>
      <w:tr>
        <w:trPr>
          <w:trHeight w:val="216"/>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GSV Sustainability Partners (Clean Technology)</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1,100,000</w:t>
            </w:r>
          </w:p>
        </w:tc>
        <w:tc>
          <w:tcPr>
            <w:tcW w:w="0" w:type="dxa"/>
            <w:vAlign w:val="bottom"/>
          </w:tcPr>
          <w:p>
            <w:pPr>
              <w:spacing w:after="0"/>
              <w:rPr>
                <w:sz w:val="1"/>
                <w:szCs w:val="1"/>
                <w:color w:val="auto"/>
              </w:rPr>
            </w:pPr>
          </w:p>
        </w:tc>
      </w:tr>
      <w:tr>
        <w:trPr>
          <w:trHeight w:val="216"/>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Earlyshares.com, Inc. (Equity Crowdfunding)</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Enjoy Technology, Inc. (Online Shopping)</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4,000,000</w:t>
            </w:r>
          </w:p>
        </w:tc>
        <w:tc>
          <w:tcPr>
            <w:tcW w:w="0" w:type="dxa"/>
            <w:vAlign w:val="bottom"/>
          </w:tcPr>
          <w:p>
            <w:pPr>
              <w:spacing w:after="0"/>
              <w:rPr>
                <w:sz w:val="1"/>
                <w:szCs w:val="1"/>
                <w:color w:val="auto"/>
              </w:rPr>
            </w:pPr>
          </w:p>
        </w:tc>
      </w:tr>
      <w:tr>
        <w:trPr>
          <w:trHeight w:val="216"/>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Aspiration Partners, Inc. (Financial Services)</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999,975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999,975</w:t>
            </w:r>
          </w:p>
        </w:tc>
        <w:tc>
          <w:tcPr>
            <w:tcW w:w="0" w:type="dxa"/>
            <w:vAlign w:val="bottom"/>
          </w:tcPr>
          <w:p>
            <w:pPr>
              <w:spacing w:after="0"/>
              <w:rPr>
                <w:sz w:val="1"/>
                <w:szCs w:val="1"/>
                <w:color w:val="auto"/>
              </w:rPr>
            </w:pPr>
          </w:p>
        </w:tc>
      </w:tr>
      <w:tr>
        <w:trPr>
          <w:trHeight w:val="216"/>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Capitalized Fees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26,100</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4,440</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32,660</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gridSpan w:val="3"/>
          </w:tcPr>
          <w:p>
            <w:pPr>
              <w:ind w:left="20"/>
              <w:spacing w:after="0"/>
              <w:rPr>
                <w:sz w:val="20"/>
                <w:szCs w:val="20"/>
                <w:color w:val="auto"/>
              </w:rPr>
            </w:pPr>
            <w:r>
              <w:rPr>
                <w:rFonts w:ascii="Arial" w:cs="Arial" w:eastAsia="Arial" w:hAnsi="Arial"/>
                <w:sz w:val="18"/>
                <w:szCs w:val="18"/>
                <w:color w:val="auto"/>
              </w:rPr>
              <w:t>Total Gross Payments</w:t>
            </w: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$ 8,990,125</w:t>
            </w: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$ 1,554,439</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$ 6,602,095</w:t>
            </w: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17,146,659</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-1757680</wp:posOffset>
            </wp:positionV>
            <wp:extent cx="521398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the investments we sold during the nine months ended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521398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Sales by Portfolio Company</w:t>
            </w:r>
          </w:p>
        </w:tc>
        <w:tc>
          <w:tcPr>
            <w:tcW w:w="6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6"/>
                <w:szCs w:val="16"/>
                <w:color w:val="auto"/>
              </w:rPr>
            </w:pPr>
          </w:p>
        </w:tc>
        <w:tc>
          <w:tcPr>
            <w:tcW w:w="880" w:type="dxa"/>
            <w:vAlign w:val="bottom"/>
          </w:tcPr>
          <w:p>
            <w:pPr>
              <w:jc w:val="right"/>
              <w:ind w:right="13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 Share</w:t>
            </w:r>
          </w:p>
        </w:tc>
        <w:tc>
          <w:tcPr>
            <w:tcW w:w="80" w:type="dxa"/>
            <w:vAlign w:val="bottom"/>
          </w:tcPr>
          <w:p>
            <w:pPr>
              <w:spacing w:after="0"/>
              <w:rPr>
                <w:sz w:val="16"/>
                <w:szCs w:val="16"/>
                <w:color w:val="auto"/>
              </w:rPr>
            </w:pPr>
          </w:p>
        </w:tc>
        <w:tc>
          <w:tcPr>
            <w:tcW w:w="1040" w:type="dxa"/>
            <w:vAlign w:val="bottom"/>
          </w:tcPr>
          <w:p>
            <w:pPr>
              <w:jc w:val="right"/>
              <w:ind w:right="319"/>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76"/>
        </w:trPr>
        <w:tc>
          <w:tcPr>
            <w:tcW w:w="2300" w:type="dxa"/>
            <w:vAlign w:val="bottom"/>
            <w:tcBorders>
              <w:bottom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5"/>
                <w:szCs w:val="15"/>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Sold</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4"/>
              <w:spacing w:after="0" w:line="176" w:lineRule="exact"/>
              <w:rPr>
                <w:sz w:val="20"/>
                <w:szCs w:val="20"/>
                <w:color w:val="auto"/>
              </w:rPr>
            </w:pPr>
            <w:r>
              <w:rPr>
                <w:rFonts w:ascii="Arial" w:cs="Arial" w:eastAsia="Arial" w:hAnsi="Arial"/>
                <w:sz w:val="13"/>
                <w:szCs w:val="13"/>
                <w:b w:val="1"/>
                <w:bCs w:val="1"/>
                <w:color w:val="auto"/>
                <w:w w:val="99"/>
              </w:rPr>
              <w:t>Price</w:t>
            </w:r>
            <w:r>
              <w:rPr>
                <w:rFonts w:ascii="Arial" w:cs="Arial" w:eastAsia="Arial" w:hAnsi="Arial"/>
                <w:sz w:val="20"/>
                <w:szCs w:val="20"/>
                <w:b w:val="1"/>
                <w:bCs w:val="1"/>
                <w:color w:val="auto"/>
                <w:w w:val="99"/>
                <w:vertAlign w:val="superscript"/>
              </w:rPr>
              <w:t>(1)</w:t>
            </w:r>
          </w:p>
        </w:tc>
        <w:tc>
          <w:tcPr>
            <w:tcW w:w="80" w:type="dxa"/>
            <w:vAlign w:val="bottom"/>
          </w:tcPr>
          <w:p>
            <w:pPr>
              <w:spacing w:after="0"/>
              <w:rPr>
                <w:sz w:val="15"/>
                <w:szCs w:val="15"/>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Proceeds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120"/>
              <w:spacing w:after="0" w:line="176" w:lineRule="exact"/>
              <w:rPr>
                <w:sz w:val="20"/>
                <w:szCs w:val="20"/>
                <w:color w:val="auto"/>
              </w:rPr>
            </w:pPr>
            <w:r>
              <w:rPr>
                <w:rFonts w:ascii="Arial" w:cs="Arial" w:eastAsia="Arial" w:hAnsi="Arial"/>
                <w:sz w:val="13"/>
                <w:szCs w:val="13"/>
                <w:b w:val="1"/>
                <w:bCs w:val="1"/>
                <w:color w:val="auto"/>
                <w:w w:val="97"/>
              </w:rPr>
              <w:t>Gain/(Loss)</w:t>
            </w:r>
            <w:r>
              <w:rPr>
                <w:rFonts w:ascii="Arial" w:cs="Arial" w:eastAsia="Arial" w:hAnsi="Arial"/>
                <w:sz w:val="20"/>
                <w:szCs w:val="20"/>
                <w:b w:val="1"/>
                <w:bCs w:val="1"/>
                <w:color w:val="auto"/>
                <w:w w:val="97"/>
                <w:vertAlign w:val="superscript"/>
              </w:rPr>
              <w:t>(2)</w:t>
            </w:r>
          </w:p>
        </w:tc>
        <w:tc>
          <w:tcPr>
            <w:tcW w:w="0" w:type="dxa"/>
            <w:vAlign w:val="bottom"/>
          </w:tcPr>
          <w:p>
            <w:pPr>
              <w:spacing w:after="0"/>
              <w:rPr>
                <w:sz w:val="1"/>
                <w:szCs w:val="1"/>
                <w:color w:val="auto"/>
              </w:rPr>
            </w:pPr>
          </w:p>
        </w:tc>
      </w:tr>
      <w:tr>
        <w:trPr>
          <w:trHeight w:val="210"/>
        </w:trPr>
        <w:tc>
          <w:tcPr>
            <w:tcW w:w="2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Twitter, Inc.</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31, 2015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$ 19,558,200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13,220,095</w:t>
            </w:r>
          </w:p>
        </w:tc>
        <w:tc>
          <w:tcPr>
            <w:tcW w:w="0" w:type="dxa"/>
            <w:vAlign w:val="bottom"/>
          </w:tcPr>
          <w:p>
            <w:pPr>
              <w:spacing w:after="0"/>
              <w:rPr>
                <w:sz w:val="1"/>
                <w:szCs w:val="1"/>
                <w:color w:val="auto"/>
              </w:rPr>
            </w:pPr>
          </w:p>
        </w:tc>
      </w:tr>
      <w:tr>
        <w:trPr>
          <w:trHeight w:val="216"/>
        </w:trPr>
        <w:tc>
          <w:tcPr>
            <w:tcW w:w="2300" w:type="dxa"/>
            <w:vAlign w:val="bottom"/>
            <w:gridSpan w:val="3"/>
          </w:tcPr>
          <w:p>
            <w:pPr>
              <w:ind w:left="20"/>
              <w:spacing w:after="0"/>
              <w:rPr>
                <w:sz w:val="20"/>
                <w:szCs w:val="20"/>
                <w:color w:val="auto"/>
              </w:rPr>
            </w:pPr>
            <w:r>
              <w:rPr>
                <w:rFonts w:ascii="Arial" w:cs="Arial" w:eastAsia="Arial" w:hAnsi="Arial"/>
                <w:sz w:val="18"/>
                <w:szCs w:val="18"/>
                <w:color w:val="auto"/>
              </w:rPr>
              <w:t>Twitter, Inc.</w:t>
            </w:r>
          </w:p>
        </w:tc>
        <w:tc>
          <w:tcPr>
            <w:tcW w:w="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51.52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20,608,011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13,666,419</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2U, Inc. (f/k/a 2tor, Inc.)</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 2015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1,319,233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47,192,835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37,160,718</w:t>
            </w:r>
          </w:p>
        </w:tc>
        <w:tc>
          <w:tcPr>
            <w:tcW w:w="0" w:type="dxa"/>
            <w:vAlign w:val="bottom"/>
          </w:tcPr>
          <w:p>
            <w:pPr>
              <w:spacing w:after="0"/>
              <w:rPr>
                <w:sz w:val="1"/>
                <w:szCs w:val="1"/>
                <w:color w:val="auto"/>
              </w:rPr>
            </w:pPr>
          </w:p>
        </w:tc>
      </w:tr>
      <w:tr>
        <w:trPr>
          <w:trHeight w:val="216"/>
        </w:trPr>
        <w:tc>
          <w:tcPr>
            <w:tcW w:w="2300" w:type="dxa"/>
            <w:vAlign w:val="bottom"/>
            <w:gridSpan w:val="3"/>
          </w:tcPr>
          <w:p>
            <w:pPr>
              <w:ind w:left="20"/>
              <w:spacing w:after="0"/>
              <w:rPr>
                <w:sz w:val="20"/>
                <w:szCs w:val="20"/>
                <w:color w:val="auto"/>
              </w:rPr>
            </w:pPr>
            <w:r>
              <w:rPr>
                <w:rFonts w:ascii="Arial" w:cs="Arial" w:eastAsia="Arial" w:hAnsi="Arial"/>
                <w:sz w:val="18"/>
                <w:szCs w:val="18"/>
                <w:color w:val="auto"/>
              </w:rPr>
              <w:t>SugarCRM, Inc.</w:t>
            </w:r>
          </w:p>
        </w:tc>
        <w:tc>
          <w:tcPr>
            <w:tcW w:w="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September 30, 2015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1,874,000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549,710</w:t>
            </w:r>
          </w:p>
        </w:tc>
        <w:tc>
          <w:tcPr>
            <w:tcW w:w="0" w:type="dxa"/>
            <w:vAlign w:val="bottom"/>
          </w:tcPr>
          <w:p>
            <w:pPr>
              <w:spacing w:after="0"/>
              <w:rPr>
                <w:sz w:val="1"/>
                <w:szCs w:val="1"/>
                <w:color w:val="auto"/>
              </w:rPr>
            </w:pPr>
          </w:p>
        </w:tc>
      </w:tr>
      <w:tr>
        <w:trPr>
          <w:trHeight w:val="205"/>
        </w:trPr>
        <w:tc>
          <w:tcPr>
            <w:tcW w:w="2300" w:type="dxa"/>
            <w:vAlign w:val="bottom"/>
            <w:gridSpan w:val="3"/>
            <w:shd w:val="clear" w:color="auto" w:fill="CCEEFF"/>
          </w:tcPr>
          <w:p>
            <w:pPr>
              <w:ind w:left="20"/>
              <w:spacing w:after="0" w:line="206" w:lineRule="exact"/>
              <w:rPr>
                <w:sz w:val="20"/>
                <w:szCs w:val="20"/>
                <w:color w:val="auto"/>
              </w:rPr>
            </w:pPr>
            <w:r>
              <w:rPr>
                <w:rFonts w:ascii="Arial" w:cs="Arial" w:eastAsia="Arial" w:hAnsi="Arial"/>
                <w:sz w:val="18"/>
                <w:szCs w:val="18"/>
                <w:color w:val="auto"/>
              </w:rPr>
              <w:t>Global Education Learning</w:t>
            </w:r>
          </w:p>
        </w:tc>
        <w:tc>
          <w:tcPr>
            <w:tcW w:w="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EEFF"/>
          </w:tcPr>
          <w:p>
            <w:pPr>
              <w:spacing w:after="0"/>
              <w:rPr>
                <w:sz w:val="23"/>
                <w:szCs w:val="23"/>
                <w:color w:val="auto"/>
              </w:rPr>
            </w:pPr>
          </w:p>
        </w:tc>
        <w:tc>
          <w:tcPr>
            <w:tcW w:w="228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(Holdings) Ltd.</w:t>
            </w:r>
            <w:r>
              <w:rPr>
                <w:rFonts w:ascii="Arial" w:cs="Arial" w:eastAsia="Arial" w:hAnsi="Arial"/>
                <w:sz w:val="30"/>
                <w:szCs w:val="30"/>
                <w:color w:val="auto"/>
                <w:vertAlign w:val="superscript"/>
              </w:rPr>
              <w:t>(3)</w:t>
            </w:r>
          </w:p>
        </w:tc>
        <w:tc>
          <w:tcPr>
            <w:tcW w:w="60" w:type="dxa"/>
            <w:vAlign w:val="bottom"/>
            <w:shd w:val="clear" w:color="auto" w:fill="CCEEFF"/>
          </w:tcPr>
          <w:p>
            <w:pPr>
              <w:spacing w:after="0"/>
              <w:rPr>
                <w:sz w:val="23"/>
                <w:szCs w:val="23"/>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 2015</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3,354,594</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Totus Solutions, Inc.</w:t>
            </w:r>
            <w:r>
              <w:rPr>
                <w:rFonts w:ascii="Arial" w:cs="Arial" w:eastAsia="Arial" w:hAnsi="Arial"/>
                <w:sz w:val="29"/>
                <w:szCs w:val="29"/>
                <w:color w:val="auto"/>
                <w:vertAlign w:val="superscript"/>
              </w:rPr>
              <w:t>(4)</w:t>
            </w:r>
          </w:p>
        </w:tc>
        <w:tc>
          <w:tcPr>
            <w:tcW w:w="6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September 30, 2015</w:t>
            </w: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(6,052,203)</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DailyBreak, Inc.</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 2015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2,225,795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(2,854,204)</w:t>
            </w:r>
          </w:p>
        </w:tc>
        <w:tc>
          <w:tcPr>
            <w:tcW w:w="0" w:type="dxa"/>
            <w:vAlign w:val="bottom"/>
          </w:tcPr>
          <w:p>
            <w:pPr>
              <w:spacing w:after="0"/>
              <w:rPr>
                <w:sz w:val="1"/>
                <w:szCs w:val="1"/>
                <w:color w:val="auto"/>
              </w:rPr>
            </w:pPr>
          </w:p>
        </w:tc>
      </w:tr>
      <w:tr>
        <w:trPr>
          <w:trHeight w:val="216"/>
        </w:trPr>
        <w:tc>
          <w:tcPr>
            <w:tcW w:w="2300" w:type="dxa"/>
            <w:vAlign w:val="bottom"/>
            <w:gridSpan w:val="3"/>
          </w:tcPr>
          <w:p>
            <w:pPr>
              <w:ind w:left="20"/>
              <w:spacing w:after="0"/>
              <w:rPr>
                <w:sz w:val="20"/>
                <w:szCs w:val="20"/>
                <w:color w:val="auto"/>
              </w:rPr>
            </w:pPr>
            <w:r>
              <w:rPr>
                <w:rFonts w:ascii="Arial" w:cs="Arial" w:eastAsia="Arial" w:hAnsi="Arial"/>
                <w:sz w:val="18"/>
                <w:szCs w:val="18"/>
                <w:color w:val="auto"/>
              </w:rPr>
              <w:t>The rSmart Group, Inc.</w:t>
            </w:r>
          </w:p>
        </w:tc>
        <w:tc>
          <w:tcPr>
            <w:tcW w:w="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September 30, 2015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1,201,923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(1,264,160)</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NewZoom, Inc.</w:t>
            </w: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 2015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(260,476)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gridSpan w:val="3"/>
          </w:tcPr>
          <w:p>
            <w:pPr>
              <w:ind w:left="20"/>
              <w:spacing w:after="0"/>
              <w:rPr>
                <w:sz w:val="20"/>
                <w:szCs w:val="20"/>
                <w:color w:val="auto"/>
              </w:rPr>
            </w:pPr>
            <w:r>
              <w:rPr>
                <w:rFonts w:ascii="Arial" w:cs="Arial" w:eastAsia="Arial" w:hAnsi="Arial"/>
                <w:sz w:val="18"/>
                <w:szCs w:val="18"/>
                <w:color w:val="auto"/>
              </w:rPr>
              <w:t>Totals</w:t>
            </w: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1"/>
              </w:rPr>
              <w:t>$ 92,645,640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54,165,899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average net share price is the net share price realized after deducting all commissions and fees on the sale(s).</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Realized gains (losses) excludes any realized gains (losses) incurred on the maturity of our treasury investments.</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 tax distribution from Global Education Learning (Holdings) Ltd.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sales of multiple share classes as well a debt investment in Totus Solutions, Inc.</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49" w:name="page50"/>
    <w:bookmarkEnd w:id="4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 the three months ended September 30, 2015 and 2014</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results for the three months ended September 30, 2015 and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rPr>
              <w:t>September 30, 2015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September 30, 2014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Per Basic</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7"/>
              </w:rPr>
              <w:t>Per Basic</w:t>
            </w:r>
          </w:p>
        </w:tc>
        <w:tc>
          <w:tcPr>
            <w:tcW w:w="0" w:type="dxa"/>
            <w:vAlign w:val="bottom"/>
          </w:tcPr>
          <w:p>
            <w:pPr>
              <w:spacing w:after="0"/>
              <w:rPr>
                <w:sz w:val="1"/>
                <w:szCs w:val="1"/>
                <w:color w:val="auto"/>
              </w:rPr>
            </w:pPr>
          </w:p>
        </w:tc>
      </w:tr>
      <w:tr>
        <w:trPr>
          <w:trHeight w:val="202"/>
        </w:trPr>
        <w:tc>
          <w:tcPr>
            <w:tcW w:w="43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4"/>
                <w:szCs w:val="14"/>
                <w:b w:val="1"/>
                <w:bCs w:val="1"/>
                <w:color w:val="auto"/>
                <w:w w:val="86"/>
              </w:rPr>
              <w:t>Share</w:t>
            </w:r>
            <w:r>
              <w:rPr>
                <w:rFonts w:ascii="Arial" w:cs="Arial" w:eastAsia="Arial" w:hAnsi="Arial"/>
                <w:sz w:val="23"/>
                <w:szCs w:val="23"/>
                <w:b w:val="1"/>
                <w:bCs w:val="1"/>
                <w:color w:val="auto"/>
                <w:w w:val="86"/>
                <w:vertAlign w:val="superscript"/>
              </w:rPr>
              <w:t>(1)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4"/>
                <w:szCs w:val="14"/>
                <w:b w:val="1"/>
                <w:bCs w:val="1"/>
                <w:color w:val="auto"/>
                <w:w w:val="90"/>
              </w:rPr>
              <w:t>Share</w:t>
            </w:r>
            <w:r>
              <w:rPr>
                <w:rFonts w:ascii="Arial" w:cs="Arial" w:eastAsia="Arial" w:hAnsi="Arial"/>
                <w:sz w:val="23"/>
                <w:szCs w:val="23"/>
                <w:b w:val="1"/>
                <w:bCs w:val="1"/>
                <w:color w:val="auto"/>
                <w:w w:val="90"/>
                <w:vertAlign w:val="superscript"/>
              </w:rPr>
              <w:t>(1)</w:t>
            </w:r>
          </w:p>
        </w:tc>
        <w:tc>
          <w:tcPr>
            <w:tcW w:w="0" w:type="dxa"/>
            <w:vAlign w:val="bottom"/>
          </w:tcPr>
          <w:p>
            <w:pPr>
              <w:spacing w:after="0"/>
              <w:rPr>
                <w:sz w:val="1"/>
                <w:szCs w:val="1"/>
                <w:color w:val="auto"/>
              </w:rPr>
            </w:pPr>
          </w:p>
        </w:tc>
      </w:tr>
      <w:tr>
        <w:trPr>
          <w:trHeight w:val="210"/>
        </w:trPr>
        <w:tc>
          <w:tcPr>
            <w:tcW w:w="434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39,363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31"/>
              <w:spacing w:after="0"/>
              <w:rPr>
                <w:sz w:val="20"/>
                <w:szCs w:val="20"/>
                <w:color w:val="auto"/>
              </w:rPr>
            </w:pPr>
            <w:r>
              <w:rPr>
                <w:rFonts w:ascii="Arial" w:cs="Arial" w:eastAsia="Arial" w:hAnsi="Arial"/>
                <w:sz w:val="18"/>
                <w:szCs w:val="18"/>
                <w:b w:val="1"/>
                <w:bCs w:val="1"/>
                <w:color w:val="auto"/>
              </w:rPr>
              <w:t>0.00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21,971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ind w:right="52"/>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39,363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21,971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80"/>
              <w:spacing w:after="0"/>
              <w:rPr>
                <w:sz w:val="20"/>
                <w:szCs w:val="20"/>
                <w:color w:val="auto"/>
              </w:rPr>
            </w:pPr>
            <w:r>
              <w:rPr>
                <w:rFonts w:ascii="Arial" w:cs="Arial" w:eastAsia="Arial" w:hAnsi="Arial"/>
                <w:sz w:val="18"/>
                <w:szCs w:val="18"/>
                <w:color w:val="auto"/>
              </w:rPr>
              <w:t>Dividend income</w:t>
            </w: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6,239,277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0.31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9"/>
              </w:rPr>
              <w:t>8,271,569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8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2,063,017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1,949,705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1,062,535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3,684,300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80"/>
              <w:spacing w:after="0"/>
              <w:rPr>
                <w:sz w:val="20"/>
                <w:szCs w:val="20"/>
                <w:color w:val="auto"/>
              </w:rPr>
            </w:pPr>
            <w:r>
              <w:rPr>
                <w:rFonts w:ascii="Arial" w:cs="Arial" w:eastAsia="Arial" w:hAnsi="Arial"/>
                <w:sz w:val="18"/>
                <w:szCs w:val="18"/>
                <w:color w:val="auto"/>
              </w:rPr>
              <w:t>Costs incurred under Administration Agreement</w:t>
            </w: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598,456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718,896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94,620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8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265,429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442,683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and credit facility expense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1,183,833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1,442,063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852,970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118,417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115,922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Gain on fair value adjustment for embedded</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ind w:left="360"/>
              <w:spacing w:after="0"/>
              <w:rPr>
                <w:sz w:val="20"/>
                <w:szCs w:val="20"/>
                <w:color w:val="auto"/>
              </w:rPr>
            </w:pPr>
            <w:r>
              <w:rPr>
                <w:rFonts w:ascii="Arial" w:cs="Arial" w:eastAsia="Arial" w:hAnsi="Arial"/>
                <w:sz w:val="18"/>
                <w:szCs w:val="18"/>
                <w:color w:val="auto"/>
              </w:rPr>
              <w:t>derivative</w:t>
            </w:r>
          </w:p>
        </w:tc>
        <w:tc>
          <w:tcPr>
            <w:tcW w:w="10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(Provision)/Benefit for Taxes on Net Investment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(26,583,935)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3,368,311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80"/>
              <w:spacing w:after="0"/>
              <w:rPr>
                <w:sz w:val="20"/>
                <w:szCs w:val="20"/>
                <w:color w:val="auto"/>
              </w:rPr>
            </w:pPr>
            <w:r>
              <w:rPr>
                <w:rFonts w:ascii="Arial" w:cs="Arial" w:eastAsia="Arial" w:hAnsi="Arial"/>
                <w:sz w:val="18"/>
                <w:szCs w:val="18"/>
                <w:color w:val="auto"/>
              </w:rPr>
              <w:t>Net Investment Loss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8"/>
              </w:rPr>
              <w:t>(32,783,849)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(4,881,287)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Realized Gains on Investments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3"/>
              </w:rPr>
              <w:t>27,289,816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8"/>
              </w:rPr>
              <w:t>17,160,816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4"/>
              </w:rPr>
              <w:t>(Provision)/Benefit for Taxes on Net Realized Gains on</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ind w:left="3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w w:val="93"/>
              </w:rPr>
              <w:t>11,307,706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(7,006,762)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Net Change in Unrealized Appreciation/(Depreciation)</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of Investments</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(21,981,668)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1,260,683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(Provision)/Benefit for Taxes on Unrealized</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ind w:left="360"/>
              <w:spacing w:after="0"/>
              <w:rPr>
                <w:sz w:val="20"/>
                <w:szCs w:val="20"/>
                <w:color w:val="auto"/>
              </w:rPr>
            </w:pPr>
            <w:r>
              <w:rPr>
                <w:rFonts w:ascii="Arial" w:cs="Arial" w:eastAsia="Arial" w:hAnsi="Arial"/>
                <w:sz w:val="18"/>
                <w:szCs w:val="18"/>
                <w:color w:val="auto"/>
              </w:rPr>
              <w:t>Appreciation/Depreciation of Investments</w:t>
            </w:r>
          </w:p>
        </w:tc>
        <w:tc>
          <w:tcPr>
            <w:tcW w:w="10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w w:val="93"/>
              </w:rPr>
              <w:t>25,020,686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(514,737)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Net Increase in Net Assets Resulting from</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8,852,691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6,018,713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519" w:hanging="272"/>
        <w:spacing w:after="0" w:line="277" w:lineRule="auto"/>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per-share figures noted are based on a weighted average of 19,320,100 shares outstanding for each of the three months ended September 30, 2015 and 2014.</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0" w:name="page51"/>
    <w:bookmarkEnd w:id="5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 the nine months ended September 30, 2015 and 2014</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results for the nine months ended September 30, 2015 and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September 30, 2015</w:t>
            </w:r>
          </w:p>
        </w:tc>
        <w:tc>
          <w:tcPr>
            <w:tcW w:w="120" w:type="dxa"/>
            <w:vAlign w:val="bottom"/>
          </w:tcPr>
          <w:p>
            <w:pPr>
              <w:spacing w:after="0"/>
              <w:rPr>
                <w:sz w:val="14"/>
                <w:szCs w:val="14"/>
                <w:color w:val="auto"/>
              </w:rPr>
            </w:pPr>
          </w:p>
        </w:tc>
        <w:tc>
          <w:tcPr>
            <w:tcW w:w="200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3"/>
              </w:rPr>
              <w:t>September 30, 2014 (Unaudited)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20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Per Basic</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12"/>
              <w:spacing w:after="0" w:line="129" w:lineRule="exact"/>
              <w:rPr>
                <w:sz w:val="20"/>
                <w:szCs w:val="20"/>
                <w:color w:val="auto"/>
              </w:rPr>
            </w:pPr>
            <w:r>
              <w:rPr>
                <w:rFonts w:ascii="Arial" w:cs="Arial" w:eastAsia="Arial" w:hAnsi="Arial"/>
                <w:sz w:val="14"/>
                <w:szCs w:val="14"/>
                <w:b w:val="1"/>
                <w:bCs w:val="1"/>
                <w:color w:val="auto"/>
                <w:w w:val="87"/>
              </w:rPr>
              <w:t>Per Basic</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41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Pr>
          <w:p>
            <w:pPr>
              <w:spacing w:after="0"/>
              <w:rPr>
                <w:sz w:val="17"/>
                <w:szCs w:val="17"/>
                <w:color w:val="auto"/>
              </w:rPr>
            </w:pPr>
          </w:p>
        </w:tc>
        <w:tc>
          <w:tcPr>
            <w:tcW w:w="98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4"/>
                <w:szCs w:val="14"/>
                <w:b w:val="1"/>
                <w:bCs w:val="1"/>
                <w:color w:val="auto"/>
                <w:w w:val="90"/>
              </w:rPr>
              <w:t>Share</w:t>
            </w:r>
            <w:r>
              <w:rPr>
                <w:rFonts w:ascii="Arial" w:cs="Arial" w:eastAsia="Arial" w:hAnsi="Arial"/>
                <w:sz w:val="23"/>
                <w:szCs w:val="23"/>
                <w:b w:val="1"/>
                <w:bCs w:val="1"/>
                <w:color w:val="auto"/>
                <w:w w:val="90"/>
                <w:vertAlign w:val="superscript"/>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120"/>
              <w:spacing w:after="0" w:line="202" w:lineRule="exact"/>
              <w:rPr>
                <w:sz w:val="20"/>
                <w:szCs w:val="20"/>
                <w:color w:val="auto"/>
              </w:rPr>
            </w:pPr>
            <w:r>
              <w:rPr>
                <w:rFonts w:ascii="Arial" w:cs="Arial" w:eastAsia="Arial" w:hAnsi="Arial"/>
                <w:sz w:val="14"/>
                <w:szCs w:val="14"/>
                <w:b w:val="1"/>
                <w:bCs w:val="1"/>
                <w:color w:val="auto"/>
                <w:w w:val="83"/>
              </w:rPr>
              <w:t>Share</w:t>
            </w:r>
            <w:r>
              <w:rPr>
                <w:rFonts w:ascii="Arial" w:cs="Arial" w:eastAsia="Arial" w:hAnsi="Arial"/>
                <w:sz w:val="23"/>
                <w:szCs w:val="23"/>
                <w:b w:val="1"/>
                <w:bCs w:val="1"/>
                <w:color w:val="auto"/>
                <w:w w:val="83"/>
                <w:vertAlign w:val="superscript"/>
              </w:rPr>
              <w:t>(1)</w:t>
            </w:r>
          </w:p>
        </w:tc>
        <w:tc>
          <w:tcPr>
            <w:tcW w:w="0" w:type="dxa"/>
            <w:vAlign w:val="bottom"/>
          </w:tcPr>
          <w:p>
            <w:pPr>
              <w:spacing w:after="0"/>
              <w:rPr>
                <w:sz w:val="1"/>
                <w:szCs w:val="1"/>
                <w:color w:val="auto"/>
              </w:rPr>
            </w:pPr>
          </w:p>
        </w:tc>
      </w:tr>
      <w:tr>
        <w:trPr>
          <w:trHeight w:val="210"/>
        </w:trPr>
        <w:tc>
          <w:tcPr>
            <w:tcW w:w="4180" w:type="dxa"/>
            <w:vAlign w:val="bottom"/>
            <w:gridSpan w:val="3"/>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222,278</w:t>
            </w:r>
          </w:p>
        </w:tc>
        <w:tc>
          <w:tcPr>
            <w:tcW w:w="1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0.01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159,819</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175,497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158,932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Dividend income</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46,781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5"/>
              </w:rPr>
              <w:t>25,325,131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1.30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3"/>
              </w:rPr>
              <w:t>18,995,663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5,994,530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5,639,564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10,839,602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5,498,585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Costs incurred under Administration Agreement</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2,185,888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2,557,129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287,426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1,001,401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1,301,777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and credit facility expense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3,781,419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4,155,759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852,970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382,895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434,849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Gain on fair value adjustment for embedded</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2"/>
          </w:tcPr>
          <w:p>
            <w:pPr>
              <w:ind w:left="360"/>
              <w:spacing w:after="0"/>
              <w:rPr>
                <w:sz w:val="20"/>
                <w:szCs w:val="20"/>
                <w:color w:val="auto"/>
              </w:rPr>
            </w:pPr>
            <w:r>
              <w:rPr>
                <w:rFonts w:ascii="Arial" w:cs="Arial" w:eastAsia="Arial" w:hAnsi="Arial"/>
                <w:sz w:val="18"/>
                <w:szCs w:val="18"/>
                <w:color w:val="auto"/>
              </w:rPr>
              <w:t>derivative</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(787,000)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(Provision)/Benefit for Taxes on Net Investment Loss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(18,865,865)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7,740,594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Net Investment Loss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0"/>
              </w:rPr>
              <w:t>(43,968,718)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88"/>
              </w:rPr>
              <w:t>(11,095,250)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Realized Gains on Investments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54,144,833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3"/>
              </w:rPr>
              <w:t>17,842,995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6"/>
              </w:rPr>
              <w:t>(Provision)/Benefit for Taxes on Net Realized Gains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2"/>
          </w:tcPr>
          <w:p>
            <w:pPr>
              <w:ind w:left="360"/>
              <w:spacing w:after="0"/>
              <w:rPr>
                <w:sz w:val="20"/>
                <w:szCs w:val="20"/>
                <w:color w:val="auto"/>
              </w:rPr>
            </w:pPr>
            <w:r>
              <w:rPr>
                <w:rFonts w:ascii="Arial" w:cs="Arial" w:eastAsia="Arial" w:hAnsi="Arial"/>
                <w:sz w:val="18"/>
                <w:szCs w:val="18"/>
                <w:color w:val="auto"/>
              </w:rPr>
              <w:t>on Investments</w:t>
            </w:r>
          </w:p>
        </w:tc>
        <w:tc>
          <w:tcPr>
            <w:tcW w:w="1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342,802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(7,285,295)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1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Net Change in Unrealized Appreciation of</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58,014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9,659,729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(Provision)/Benefit for Taxes on Unrealized</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2"/>
          </w:tcPr>
          <w:p>
            <w:pPr>
              <w:ind w:left="360"/>
              <w:spacing w:after="0"/>
              <w:rPr>
                <w:sz w:val="20"/>
                <w:szCs w:val="20"/>
                <w:color w:val="auto"/>
              </w:rPr>
            </w:pPr>
            <w:r>
              <w:rPr>
                <w:rFonts w:ascii="Arial" w:cs="Arial" w:eastAsia="Arial" w:hAnsi="Arial"/>
                <w:sz w:val="18"/>
                <w:szCs w:val="18"/>
                <w:color w:val="auto"/>
              </w:rPr>
              <w:t>Appreciation of Investments</w:t>
            </w:r>
          </w:p>
        </w:tc>
        <w:tc>
          <w:tcPr>
            <w:tcW w:w="1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95"/>
              </w:rPr>
              <w:t>16,021,883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(3,944,068)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Net 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26,598,814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5,178,111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539" w:hanging="272"/>
        <w:spacing w:after="0" w:line="277" w:lineRule="auto"/>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per-share figures noted are based on a weighted average of 19,320,100 shares outstanding for each of the nine months ended September 30, 2015 and 2014.</w:t>
      </w:r>
    </w:p>
    <w:p>
      <w:pPr>
        <w:spacing w:after="0" w:line="89" w:lineRule="exact"/>
        <w:rPr>
          <w:sz w:val="20"/>
          <w:szCs w:val="20"/>
          <w:color w:val="auto"/>
        </w:rPr>
      </w:pPr>
    </w:p>
    <w:p>
      <w:pPr>
        <w:ind w:left="60" w:right="4219"/>
        <w:spacing w:after="0" w:line="399" w:lineRule="auto"/>
        <w:rPr>
          <w:sz w:val="20"/>
          <w:szCs w:val="20"/>
          <w:color w:val="auto"/>
        </w:rPr>
      </w:pPr>
      <w:r>
        <w:rPr>
          <w:rFonts w:ascii="Arial" w:cs="Arial" w:eastAsia="Arial" w:hAnsi="Arial"/>
          <w:sz w:val="18"/>
          <w:szCs w:val="18"/>
          <w:b w:val="1"/>
          <w:bCs w:val="1"/>
          <w:i w:val="1"/>
          <w:iCs w:val="1"/>
          <w:color w:val="auto"/>
        </w:rPr>
        <w:t>Comparison of the three and nine months ended September 30, 2015 and 2014 Investment Income</w:t>
      </w:r>
    </w:p>
    <w:p>
      <w:pPr>
        <w:spacing w:after="0" w:line="1" w:lineRule="exact"/>
        <w:rPr>
          <w:sz w:val="20"/>
          <w:szCs w:val="20"/>
          <w:color w:val="auto"/>
        </w:rPr>
      </w:pPr>
    </w:p>
    <w:p>
      <w:pPr>
        <w:jc w:val="both"/>
        <w:ind w:left="60" w:right="519" w:firstLine="270"/>
        <w:spacing w:after="0" w:line="286" w:lineRule="auto"/>
        <w:rPr>
          <w:sz w:val="20"/>
          <w:szCs w:val="20"/>
          <w:color w:val="auto"/>
        </w:rPr>
      </w:pPr>
      <w:r>
        <w:rPr>
          <w:rFonts w:ascii="Arial" w:cs="Arial" w:eastAsia="Arial" w:hAnsi="Arial"/>
          <w:sz w:val="17"/>
          <w:szCs w:val="17"/>
          <w:color w:val="auto"/>
        </w:rPr>
        <w:t>Investment income increased to $39,363 for the three months ended September 30, 2015, as compared to $21,971 for the three months ended September 30, 2014. The increase was primarily due to a larger average balance of debt investments held during the three months ended September 30, 2015, as compared to the three months ended September 30, 2014.</w:t>
      </w:r>
    </w:p>
    <w:p>
      <w:pPr>
        <w:spacing w:after="0" w:line="57" w:lineRule="exact"/>
        <w:rPr>
          <w:sz w:val="20"/>
          <w:szCs w:val="20"/>
          <w:color w:val="auto"/>
        </w:rPr>
      </w:pPr>
    </w:p>
    <w:p>
      <w:pPr>
        <w:jc w:val="both"/>
        <w:ind w:left="60" w:right="519" w:firstLine="270"/>
        <w:spacing w:after="0" w:line="286" w:lineRule="auto"/>
        <w:rPr>
          <w:sz w:val="20"/>
          <w:szCs w:val="20"/>
          <w:color w:val="auto"/>
        </w:rPr>
      </w:pPr>
      <w:r>
        <w:rPr>
          <w:rFonts w:ascii="Arial" w:cs="Arial" w:eastAsia="Arial" w:hAnsi="Arial"/>
          <w:sz w:val="17"/>
          <w:szCs w:val="17"/>
          <w:color w:val="auto"/>
        </w:rPr>
        <w:t>Investment income increased to $222,278 for the nine months ended September 30, 2015, as compared to $159,819 for the nine months ended September 30, 2014. The increase was primarily due to a larger average balance of debt investments held during the nine months ended September 30, 2015, as compared to the nine months ended September 30, 2014.</w:t>
      </w:r>
    </w:p>
    <w:p>
      <w:pPr>
        <w:spacing w:after="0" w:line="200" w:lineRule="exact"/>
        <w:rPr>
          <w:sz w:val="20"/>
          <w:szCs w:val="20"/>
          <w:color w:val="auto"/>
        </w:rPr>
      </w:pPr>
    </w:p>
    <w:p>
      <w:pPr>
        <w:spacing w:after="0" w:line="3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Total operating expenses decreased to $6,239,277 for the three months ended September 30, 2015, as compared to $8,271,569 for the three months ended September 30, 2014. The decrease of $2,032,292 was primarily due to a decrease in incentive fees and, to a lesser extent, a decrease in interest expense. These decreases were partially offset by increases in income taxes and management fees. The decrease in incentive fees resulted from the decrease in the fair value of our portfolio for the three months ended September 30, 2015 relative to the three months ended September 30, 2014. The primary drivers of the decrease in our portfolio’s fair value were the sales of 2U, Inc. (f/k/a 2tor, Inc.) and the change in unrealized depreciation of Twitter, Inc., Dropbox, Inc. and Learnist Inc. (f/k/a Grockit, Inc.). The decrease in interest expense resulted from decreased average borrowings under the Credit Facility for the three months ended September 30, 2015, as compared to the three months ended September 30, 2014. The increase in income tax expense resulted from income derived from the GSVC Holdings and tax on undistributed gains we earned. The increase in management fees resulted from an increase in our average gross assets under management for the three months ended September 30, 2015, as compared to the three months ended September 30, 2014.</w:t>
      </w:r>
    </w:p>
    <w:p>
      <w:pPr>
        <w:spacing w:after="0" w:line="65"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Total operating expenses increased to $25,325,131 for the nine months ended September 30, 2015, as compared to $18,995,663 for the nine months ended September 30, 2014. The increase of $6,329,468 was primarily due to a significant increase in incentive fees and, to a lesser extent, an increase in income taxes and a significant decrease in the gain on the fair value of the embedded derivative liability for the nine months ended September 30, 2015. These increases were partially offset by decreases in costs incurred under the Administration Agreement and interest expense. The increase in incentive fees resulted from the appreciation of the fair value of our portfolio for the nine months ended September 30, 2015 relative to the nine months ended September 30, 2014. The primary drivers of the increase in our portfolio’s fair value were the unrealized appreciation of Palantir Technologies, Inc., Dataminr, Inc., Totus Solutions, Inc., General Assembly Space, Inc. and Lyft, Inc., as partially offset by changes in the unrealized depreciation of Learnist Inc. (f/k/a Grockit, Inc.) and the sales of our investments Twitter, Inc. and 2U, Inc. The increase in income tax expense resulted from income derived from the GSVC Holdings and tax on undistributed gains we earned. As the embedded derivative is a liability, decreases in the value of the embedded derivative create a gain on the embedded derivative which reduces operating expenses. Conversely increases in the value will create a loss on the embedded derivative which increases operating expenses. For the nine months ended September 30, 2015, the gain on the fair value adjustment of the embedded derivative was $1,000, while for the nine months ended September 30, 2014 the gain on the fair value adjustment of the embedded derivative was $787,000. The decreased gains on the fair value adjustment of the embedded derivative are primarily the result of time elapsed until the expiration of the interest make-whole provision on our embedded derivative. The decrease in costs incurred under the Administration Agreement resulted from lower overhead allocation and travel expenses for the nine months ended September 30, 2015, as compared to the nine months ended September 30, 2014. The decrease in the interest expense resulted from a decrease in our average borrowings under the Credit Facility for the nine months ended September 30, 2015, as compared to the nine months ended September 30, 2014.</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Provision/Benefit for Taxes on Net Investment Loss</w:t>
      </w:r>
    </w:p>
    <w:p>
      <w:pPr>
        <w:spacing w:after="0" w:line="117"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For the three months ended September 30, 2015, we recognized a provision of $26,583,935 for taxes on net investment loss, compared to a corresponding benefit of $3,368,311 for the three months ended September 30, 2014. Typically for a taxable entity, a net investment loss will generate a benefit for taxes; however, as a result of our election to be treated as a RIC, we have reversed the previous accrued benefits for taxes on net investment loss from prior periods. This reversal resulted in a provision for taxes on net investment loss for the three months ended September 30, 2015.</w:t>
      </w:r>
    </w:p>
    <w:p>
      <w:pPr>
        <w:spacing w:after="0" w:line="64"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For the nine months ended September 30, 2015, we recognized a provision of $18,865,865 for taxes on net investment loss, compared to a corresponding benefit of $7,740,594 for the nine months ended September 30, 2014. Typically for a taxable entity, a net investment loss will generate a benefit for taxes; however, as a result of our election to be treated as a RIC, we have reversed the previous accrued benefits for taxes on net investment loss from prior periods. This reversal resulted in a provision for taxes on net investment loss for the nine months ended September 30, 2015.</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Investment Loss</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For the three months ended September 30, 2015, we recognized a net investment loss of $32,783,849, compared to a corresponding net investment loss of $4,881,287 for the three months ended September 30, 2014. The $27,902,562 increase in net investment loss is primarily the result of the increased provision for taxes on net investment loss, which was partially offset by the decreased operating expenses discussed above.</w:t>
      </w:r>
    </w:p>
    <w:p>
      <w:pPr>
        <w:spacing w:after="0" w:line="7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For the nine months ended September 30, 2015, we recognized a net investment loss of $43,968,718, compared to a corresponding net investment loss of $11,095,250 for the nine months ended September 30, 2014. The $32,873,468 increase in net investment loss is primarily the result of the increased provision for taxes on net investment loss and the increased operating expenses discussed above.</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Realized Gains on Investments</w:t>
      </w:r>
    </w:p>
    <w:p>
      <w:pPr>
        <w:spacing w:after="0" w:line="117"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For the three months ended September 30, 2015, net realized gains on investments were $27,289,816, which resulted from the sales of our investments in 2U, Inc. and SugarCRM Inc. These net realized gains were partially offset by losses from other smaller positions. For the three months ended September 30, 2014, net realized gains on investments were $17,160,816. The realized gains resulted primarily from the sales Twitter, Inc., DianRong (f/k/a SinoLending Ltd.) and ZocDoc Inc., which were partially offset by significant losses on our investments in Totus Solutions, Inc., DailyBreak, Inc., and the rSmart Group, Inc. We also wrote-off New Zoom, Inc. and recognized a complete loss on our investment as a result of its bankruptcy.</w:t>
      </w:r>
    </w:p>
    <w:p>
      <w:pPr>
        <w:spacing w:after="0" w:line="5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For the nine months ended September 30, 2015, net realized gains on investments were $54,144,833, which resulted from the sales of our investments in Twitter, Inc., 2U Inc. and SugarCRM Inc. These net realized gains were partially offset by losses from other smaller positions. For the nine months ended September 30, 2014, net realized gains on investments were $17,842,995. The realized gains resulted primarily from the sales of Twitter, Inc., Control4 Corporation, Facebook, Inc., DianRong (f/k/a SinoLending Ltd.) and ZocDoc Inc. These gains were offset by losses resulting from the sales of Violin Memory, Inc. and Silver Springs Networks, Inc.</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Provision/Benefit for Taxes on Net Realized Gains on Investments</w:t>
      </w:r>
    </w:p>
    <w:p>
      <w:pPr>
        <w:spacing w:after="0" w:line="117"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For the three months ended September 30, 2015, we recognized a benefit of $11,307,706 for taxes on net realized capital gains. Typically for a taxable entity, net realized capital gains will generate a provision for taxes; however, as a result of our election to be treated as a RIC, we have reversed the previous accrued provisions for taxes on net realized capital gains from prior periods. This reversal resulted in a benefit for taxes on net realized capital gains for the three months ended September 30, 2015.</w:t>
      </w:r>
    </w:p>
    <w:p>
      <w:pPr>
        <w:spacing w:after="0" w:line="46"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For the three months ended September 30, 2014, we recognized a provision of $7,006,762 for taxes on net realized capital gains. The provision for taxes on net realized capital gains was due to the significant net realized gains on the sales of Twitter, Inc., DianRong (f/k/a SinoLending Ltd.) and ZocDoc Inc.</w:t>
      </w:r>
    </w:p>
    <w:p>
      <w:pPr>
        <w:spacing w:after="0" w:line="73"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For the nine months ended September 30, 2015, we recognized a benefit of $342,802 for taxes on net realized capital gains. Typically for a taxable entity, net realized capital gains will generate a provision for taxes; however, as a result of our election to be treated as a RIC, we have reversed the previous accrued provisions for taxes on net realized capital gains from prior periods. This reversal resulted in a benefit for taxes on net realized capital gains for the nine months ended September 30, 2015.</w:t>
      </w:r>
    </w:p>
    <w:p>
      <w:pPr>
        <w:spacing w:after="0" w:line="46"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For the nine months ended September 30, 2014, we recognized a provision of $7,285,295 for taxes on net realized capital gains. The provision for taxes on net realized capital gains was due to gains from the sales of our shares of Twitter, Inc., Control4 Corporation, Facebook, Inc., DianRong (f/k/a SinoLending Ltd.) and ZocDoc Inc., which were offset by losses resulting from the sales of Violin Memory, Inc. and Silver Springs Networks, Inc.</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3" w:name="page54"/>
    <w:bookmarkEnd w:id="5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Change in Unrealized Appreciation/(Depreciation) of Investments</w:t>
      </w:r>
    </w:p>
    <w:p>
      <w:pPr>
        <w:spacing w:after="0" w:line="117"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For the three months ended September 30, 2015, we had a net change in unrealized depreciation of $21,981,668. For the three months ended September 30, 2014, we had a net change in unrealized appreciation of $1,260,683. The following tables summarize, by portfolio company, the significant changes in unrealized appreciation (depreciation) of our investment portfolio for the three months ended September 30, 2015 and 2014,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63633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5"/>
          </w:tcPr>
          <w:p>
            <w:pPr>
              <w:jc w:val="center"/>
              <w:ind w:right="74"/>
              <w:spacing w:after="0"/>
              <w:rPr>
                <w:sz w:val="20"/>
                <w:szCs w:val="20"/>
                <w:color w:val="auto"/>
              </w:rPr>
            </w:pPr>
            <w:r>
              <w:rPr>
                <w:rFonts w:ascii="Arial" w:cs="Arial" w:eastAsia="Arial" w:hAnsi="Arial"/>
                <w:sz w:val="14"/>
                <w:szCs w:val="14"/>
                <w:b w:val="1"/>
                <w:bCs w:val="1"/>
                <w:color w:val="auto"/>
                <w:w w:val="90"/>
              </w:rPr>
              <w:t>As of September 30, 2015</w:t>
            </w:r>
          </w:p>
        </w:tc>
        <w:tc>
          <w:tcPr>
            <w:tcW w:w="1100" w:type="dxa"/>
            <w:vAlign w:val="bottom"/>
          </w:tcPr>
          <w:p>
            <w:pPr>
              <w:spacing w:after="0"/>
              <w:rPr>
                <w:sz w:val="14"/>
                <w:szCs w:val="14"/>
                <w:color w:val="auto"/>
              </w:rPr>
            </w:pPr>
          </w:p>
        </w:tc>
        <w:tc>
          <w:tcPr>
            <w:tcW w:w="2160" w:type="dxa"/>
            <w:vAlign w:val="bottom"/>
            <w:gridSpan w:val="5"/>
          </w:tcPr>
          <w:p>
            <w:pPr>
              <w:jc w:val="center"/>
              <w:ind w:right="1040"/>
              <w:spacing w:after="0"/>
              <w:rPr>
                <w:sz w:val="20"/>
                <w:szCs w:val="20"/>
                <w:color w:val="auto"/>
              </w:rPr>
            </w:pPr>
            <w:r>
              <w:rPr>
                <w:rFonts w:ascii="Arial" w:cs="Arial" w:eastAsia="Arial" w:hAnsi="Arial"/>
                <w:sz w:val="14"/>
                <w:szCs w:val="14"/>
                <w:b w:val="1"/>
                <w:bCs w:val="1"/>
                <w:color w:val="auto"/>
                <w:w w:val="86"/>
              </w:rPr>
              <w:t>As of June 30, 2015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Change in</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5"/>
              </w:rPr>
              <w:t>(Unaudited)</w:t>
            </w: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75"/>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0"/>
                <w:szCs w:val="10"/>
                <w:color w:val="auto"/>
              </w:rPr>
            </w:pPr>
          </w:p>
        </w:tc>
        <w:tc>
          <w:tcPr>
            <w:tcW w:w="980" w:type="dxa"/>
            <w:vAlign w:val="bottom"/>
          </w:tcPr>
          <w:p>
            <w:pPr>
              <w:jc w:val="center"/>
              <w:ind w:right="54"/>
              <w:spacing w:after="0" w:line="119" w:lineRule="exact"/>
              <w:rPr>
                <w:sz w:val="20"/>
                <w:szCs w:val="20"/>
                <w:color w:val="auto"/>
              </w:rPr>
            </w:pPr>
            <w:r>
              <w:rPr>
                <w:rFonts w:ascii="Arial" w:cs="Arial" w:eastAsia="Arial" w:hAnsi="Arial"/>
                <w:sz w:val="13"/>
                <w:szCs w:val="13"/>
                <w:b w:val="1"/>
                <w:bCs w:val="1"/>
                <w:color w:val="auto"/>
              </w:rPr>
              <w:t>Unrealized</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rPr>
              <w:t>Fair</w:t>
            </w:r>
          </w:p>
        </w:tc>
        <w:tc>
          <w:tcPr>
            <w:tcW w:w="104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2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Pr>
          <w:p>
            <w:pPr>
              <w:spacing w:after="0"/>
              <w:rPr>
                <w:sz w:val="12"/>
                <w:szCs w:val="12"/>
                <w:color w:val="auto"/>
              </w:rPr>
            </w:pPr>
          </w:p>
        </w:tc>
        <w:tc>
          <w:tcPr>
            <w:tcW w:w="104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10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1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236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Value</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210"/>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2U, Inc. (f/k/a 2tor,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w w:val="90"/>
              </w:rPr>
              <w:t>(28,187,382)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w w:val="93"/>
              </w:rPr>
              <w:t>$ 10,032,117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w w:val="97"/>
              </w:rPr>
              <w:t>38,219,499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$ 28,187,382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Twitter, Inc.</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(7,429,568)</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14,271,866</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21,568,164</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7,296,298</w:t>
            </w:r>
          </w:p>
        </w:tc>
        <w:tc>
          <w:tcPr>
            <w:tcW w:w="11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14,271,866</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7"/>
              </w:rPr>
              <w:t>28,997,732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14,725,866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Dropbox, Inc.</w:t>
            </w:r>
          </w:p>
        </w:tc>
        <w:tc>
          <w:tcPr>
            <w:tcW w:w="100" w:type="dxa"/>
            <w:vAlign w:val="bottom"/>
          </w:tcPr>
          <w:p>
            <w:pPr>
              <w:spacing w:after="0"/>
              <w:rPr>
                <w:sz w:val="18"/>
                <w:szCs w:val="18"/>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w w:val="99"/>
              </w:rPr>
              <w:t>(5,014,207)</w:t>
            </w:r>
          </w:p>
        </w:tc>
        <w:tc>
          <w:tcPr>
            <w:tcW w:w="10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w w:val="97"/>
              </w:rPr>
              <w:t>13,656,926</w:t>
            </w:r>
          </w:p>
        </w:tc>
        <w:tc>
          <w:tcPr>
            <w:tcW w:w="10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w w:val="97"/>
              </w:rPr>
              <w:t>25,013,272</w:t>
            </w:r>
          </w:p>
        </w:tc>
        <w:tc>
          <w:tcPr>
            <w:tcW w:w="10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w w:val="88"/>
              </w:rPr>
              <w:t>11,356,346</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13,656,926</w:t>
            </w:r>
          </w:p>
        </w:tc>
        <w:tc>
          <w:tcPr>
            <w:tcW w:w="10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w w:val="97"/>
              </w:rPr>
              <w:t>30,027,479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16,370,553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60" w:type="dxa"/>
            <w:vAlign w:val="bottom"/>
            <w:tcBorders>
              <w:right w:val="single" w:sz="8" w:color="CCEEFF"/>
            </w:tcBorders>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Learnist Inc. (f/k/a Grockit,</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w:t>
            </w: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(4,987,430)</w:t>
            </w: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4,959,615</w:t>
            </w: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431,925</w:t>
            </w:r>
          </w:p>
        </w:tc>
        <w:tc>
          <w:tcPr>
            <w:tcW w:w="1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(4,527,690)</w:t>
            </w:r>
          </w:p>
        </w:tc>
        <w:tc>
          <w:tcPr>
            <w:tcW w:w="11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4,959,615</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5,419,355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459,740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Totus Solutions, Inc.</w:t>
            </w:r>
          </w:p>
        </w:tc>
        <w:tc>
          <w:tcPr>
            <w:tcW w:w="10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6,061,859</w:t>
            </w:r>
          </w:p>
        </w:tc>
        <w:tc>
          <w:tcPr>
            <w:tcW w:w="10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6,102,203</w:t>
            </w:r>
          </w:p>
        </w:tc>
        <w:tc>
          <w:tcPr>
            <w:tcW w:w="10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40,344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(6,061,859)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Palantir Technologies, Inc.</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5,826,172</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17,200,023</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54,609,192</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88"/>
              </w:rPr>
              <w:t>37,409,169</w:t>
            </w:r>
          </w:p>
        </w:tc>
        <w:tc>
          <w:tcPr>
            <w:tcW w:w="11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17,200,023</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7"/>
              </w:rPr>
              <w:t>48,783,020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31,582,997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6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General Assembly Space,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Inc.</w:t>
            </w:r>
          </w:p>
        </w:tc>
        <w:tc>
          <w:tcPr>
            <w:tcW w:w="100" w:type="dxa"/>
            <w:vAlign w:val="bottom"/>
          </w:tcPr>
          <w:p>
            <w:pPr>
              <w:spacing w:after="0"/>
              <w:rPr>
                <w:sz w:val="20"/>
                <w:szCs w:val="20"/>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5,404,670</w:t>
            </w:r>
          </w:p>
        </w:tc>
        <w:tc>
          <w:tcPr>
            <w:tcW w:w="10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5,999,961</w:t>
            </w:r>
          </w:p>
        </w:tc>
        <w:tc>
          <w:tcPr>
            <w:tcW w:w="10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w w:val="97"/>
              </w:rPr>
              <w:t>11,521,372</w:t>
            </w:r>
          </w:p>
        </w:tc>
        <w:tc>
          <w:tcPr>
            <w:tcW w:w="100" w:type="dxa"/>
            <w:vAlign w:val="bottom"/>
          </w:tcPr>
          <w:p>
            <w:pPr>
              <w:spacing w:after="0"/>
              <w:rPr>
                <w:sz w:val="20"/>
                <w:szCs w:val="20"/>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w w:val="99"/>
              </w:rPr>
              <w:t>5,521,411</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5,999,961</w:t>
            </w:r>
          </w:p>
        </w:tc>
        <w:tc>
          <w:tcPr>
            <w:tcW w:w="10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6,116,702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116,741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Dailybreak, Inc.</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2,857,204</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2,857,204</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(2,857,204)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The rSmart Group, Inc.</w:t>
            </w:r>
          </w:p>
        </w:tc>
        <w:tc>
          <w:tcPr>
            <w:tcW w:w="10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1,058,472</w:t>
            </w:r>
          </w:p>
        </w:tc>
        <w:tc>
          <w:tcPr>
            <w:tcW w:w="10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1,269,163</w:t>
            </w:r>
          </w:p>
        </w:tc>
        <w:tc>
          <w:tcPr>
            <w:tcW w:w="10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210,691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(1,058,472)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60" w:type="dxa"/>
            <w:vAlign w:val="bottom"/>
            <w:tcBorders>
              <w:right w:val="single" w:sz="8" w:color="CCEEFF"/>
            </w:tcBorders>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2,428,542</w:t>
            </w:r>
          </w:p>
        </w:tc>
        <w:tc>
          <w:tcPr>
            <w:tcW w:w="100" w:type="dxa"/>
            <w:vAlign w:val="bottom"/>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7"/>
              </w:rPr>
              <w:t>252,442,487</w:t>
            </w:r>
          </w:p>
        </w:tc>
        <w:tc>
          <w:tcPr>
            <w:tcW w:w="100" w:type="dxa"/>
            <w:vAlign w:val="bottom"/>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87"/>
              </w:rPr>
              <w:t>265,327,669</w:t>
            </w:r>
          </w:p>
        </w:tc>
        <w:tc>
          <w:tcPr>
            <w:tcW w:w="100" w:type="dxa"/>
            <w:vAlign w:val="bottom"/>
            <w:shd w:val="clear" w:color="auto" w:fill="CCEEFF"/>
          </w:tcPr>
          <w:p>
            <w:pPr>
              <w:spacing w:after="0"/>
              <w:rPr>
                <w:sz w:val="22"/>
                <w:szCs w:val="22"/>
                <w:color w:val="auto"/>
              </w:rPr>
            </w:pPr>
          </w:p>
        </w:tc>
        <w:tc>
          <w:tcPr>
            <w:tcW w:w="980" w:type="dxa"/>
            <w:vAlign w:val="bottom"/>
            <w:tcBorders>
              <w:right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88"/>
              </w:rPr>
              <w:t>12,885,182</w:t>
            </w:r>
          </w:p>
        </w:tc>
        <w:tc>
          <w:tcPr>
            <w:tcW w:w="110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327,570,878</w:t>
            </w: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87"/>
              </w:rPr>
              <w:t>338,027,518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10,456,640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Totals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w w:val="90"/>
              </w:rPr>
              <w:t>(21,981,668)</w:t>
            </w:r>
          </w:p>
        </w:tc>
        <w:tc>
          <w:tcPr>
            <w:tcW w:w="1100" w:type="dxa"/>
            <w:vAlign w:val="bottom"/>
            <w:gridSpan w:val="2"/>
          </w:tcPr>
          <w:p>
            <w:pPr>
              <w:jc w:val="right"/>
              <w:ind w:right="13"/>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308,530,878</w:t>
            </w:r>
          </w:p>
        </w:tc>
        <w:tc>
          <w:tcPr>
            <w:tcW w:w="1100" w:type="dxa"/>
            <w:vAlign w:val="bottom"/>
            <w:gridSpan w:val="2"/>
          </w:tcPr>
          <w:p>
            <w:pPr>
              <w:jc w:val="right"/>
              <w:ind w:right="15"/>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378,471,594</w:t>
            </w:r>
          </w:p>
        </w:tc>
        <w:tc>
          <w:tcPr>
            <w:tcW w:w="1080" w:type="dxa"/>
            <w:vAlign w:val="bottom"/>
            <w:gridSpan w:val="2"/>
          </w:tcPr>
          <w:p>
            <w:pPr>
              <w:jc w:val="right"/>
              <w:ind w:right="74"/>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69,940,716</w:t>
            </w:r>
          </w:p>
        </w:tc>
        <w:tc>
          <w:tcPr>
            <w:tcW w:w="1100" w:type="dxa"/>
            <w:vAlign w:val="bottom"/>
          </w:tcPr>
          <w:p>
            <w:pPr>
              <w:jc w:val="right"/>
              <w:ind w:right="1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403,919,956</w:t>
            </w:r>
          </w:p>
        </w:tc>
        <w:tc>
          <w:tcPr>
            <w:tcW w:w="1120" w:type="dxa"/>
            <w:vAlign w:val="bottom"/>
            <w:gridSpan w:val="2"/>
          </w:tcPr>
          <w:p>
            <w:pPr>
              <w:jc w:val="right"/>
              <w:ind w:right="35"/>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495,842,340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91,922,384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gridSpan w:val="5"/>
          </w:tcPr>
          <w:p>
            <w:pPr>
              <w:jc w:val="right"/>
              <w:ind w:right="854"/>
              <w:spacing w:after="0"/>
              <w:rPr>
                <w:sz w:val="20"/>
                <w:szCs w:val="20"/>
                <w:color w:val="auto"/>
              </w:rPr>
            </w:pPr>
            <w:r>
              <w:rPr>
                <w:rFonts w:ascii="Arial" w:cs="Arial" w:eastAsia="Arial" w:hAnsi="Arial"/>
                <w:sz w:val="14"/>
                <w:szCs w:val="14"/>
                <w:b w:val="1"/>
                <w:bCs w:val="1"/>
                <w:color w:val="auto"/>
              </w:rPr>
              <w:t>As of September 30, 2014</w:t>
            </w:r>
          </w:p>
        </w:tc>
        <w:tc>
          <w:tcPr>
            <w:tcW w:w="1100" w:type="dxa"/>
            <w:vAlign w:val="bottom"/>
          </w:tcPr>
          <w:p>
            <w:pPr>
              <w:spacing w:after="0"/>
              <w:rPr>
                <w:sz w:val="24"/>
                <w:szCs w:val="24"/>
                <w:color w:val="auto"/>
              </w:rPr>
            </w:pPr>
          </w:p>
        </w:tc>
        <w:tc>
          <w:tcPr>
            <w:tcW w:w="2160" w:type="dxa"/>
            <w:vAlign w:val="bottom"/>
            <w:gridSpan w:val="5"/>
          </w:tcPr>
          <w:p>
            <w:pPr>
              <w:jc w:val="center"/>
              <w:ind w:right="1080"/>
              <w:spacing w:after="0"/>
              <w:rPr>
                <w:sz w:val="20"/>
                <w:szCs w:val="20"/>
                <w:color w:val="auto"/>
              </w:rPr>
            </w:pPr>
            <w:r>
              <w:rPr>
                <w:rFonts w:ascii="Arial" w:cs="Arial" w:eastAsia="Arial" w:hAnsi="Arial"/>
                <w:sz w:val="14"/>
                <w:szCs w:val="14"/>
                <w:b w:val="1"/>
                <w:bCs w:val="1"/>
                <w:color w:val="auto"/>
                <w:w w:val="83"/>
              </w:rPr>
              <w:t>As of June 30, 2014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Change in</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2"/>
              </w:rPr>
              <w:t>(Unaudited)</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5"/>
              </w:rPr>
              <w:t>(Unaudited)</w:t>
            </w: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115"/>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0"/>
                <w:szCs w:val="10"/>
                <w:color w:val="auto"/>
              </w:rPr>
            </w:pPr>
          </w:p>
        </w:tc>
        <w:tc>
          <w:tcPr>
            <w:tcW w:w="980" w:type="dxa"/>
            <w:vAlign w:val="bottom"/>
          </w:tcPr>
          <w:p>
            <w:pPr>
              <w:jc w:val="center"/>
              <w:ind w:right="134"/>
              <w:spacing w:after="0" w:line="119" w:lineRule="exact"/>
              <w:rPr>
                <w:sz w:val="20"/>
                <w:szCs w:val="20"/>
                <w:color w:val="auto"/>
              </w:rPr>
            </w:pPr>
            <w:r>
              <w:rPr>
                <w:rFonts w:ascii="Arial" w:cs="Arial" w:eastAsia="Arial" w:hAnsi="Arial"/>
                <w:sz w:val="13"/>
                <w:szCs w:val="13"/>
                <w:b w:val="1"/>
                <w:bCs w:val="1"/>
                <w:color w:val="auto"/>
              </w:rPr>
              <w:t>Unrealized</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Pr>
          <w:p>
            <w:pPr>
              <w:spacing w:after="0"/>
              <w:rPr>
                <w:sz w:val="12"/>
                <w:szCs w:val="12"/>
                <w:color w:val="auto"/>
              </w:rPr>
            </w:pPr>
          </w:p>
        </w:tc>
        <w:tc>
          <w:tcPr>
            <w:tcW w:w="10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10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80" w:type="dxa"/>
            <w:vAlign w:val="bottom"/>
            <w:gridSpan w:val="2"/>
          </w:tcPr>
          <w:p>
            <w:pPr>
              <w:jc w:val="center"/>
              <w:ind w:right="34"/>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1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2360" w:type="dxa"/>
            <w:vAlign w:val="bottom"/>
            <w:gridSpan w:val="3"/>
            <w:vMerge w:val="continue"/>
          </w:tcPr>
          <w:p>
            <w:pPr>
              <w:spacing w:after="0"/>
              <w:rPr>
                <w:sz w:val="14"/>
                <w:szCs w:val="14"/>
                <w:color w:val="auto"/>
              </w:rPr>
            </w:pPr>
          </w:p>
        </w:tc>
        <w:tc>
          <w:tcPr>
            <w:tcW w:w="1140" w:type="dxa"/>
            <w:vAlign w:val="bottom"/>
            <w:gridSpan w:val="2"/>
          </w:tcPr>
          <w:p>
            <w:pPr>
              <w:jc w:val="center"/>
              <w:ind w:right="15"/>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35"/>
              <w:spacing w:after="0"/>
              <w:rPr>
                <w:sz w:val="20"/>
                <w:szCs w:val="20"/>
                <w:color w:val="auto"/>
              </w:rPr>
            </w:pPr>
            <w:r>
              <w:rPr>
                <w:rFonts w:ascii="Arial" w:cs="Arial" w:eastAsia="Arial" w:hAnsi="Arial"/>
                <w:sz w:val="14"/>
                <w:szCs w:val="14"/>
                <w:b w:val="1"/>
                <w:bCs w:val="1"/>
                <w:color w:val="auto"/>
                <w:w w:val="90"/>
              </w:rPr>
              <w:t>Value</w:t>
            </w:r>
          </w:p>
        </w:tc>
        <w:tc>
          <w:tcPr>
            <w:tcW w:w="108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w w:val="93"/>
              </w:rPr>
              <w:t>(Depreciation)</w:t>
            </w: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55"/>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210"/>
        </w:trPr>
        <w:tc>
          <w:tcPr>
            <w:tcW w:w="23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Twitter, Inc.</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color w:val="auto"/>
                <w:w w:val="88"/>
              </w:rPr>
              <w:t>10,130,914</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93"/>
              </w:rPr>
              <w:t>27,551,563</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w w:val="93"/>
              </w:rPr>
              <w:t>82,558,948</w:t>
            </w:r>
          </w:p>
        </w:tc>
        <w:tc>
          <w:tcPr>
            <w:tcW w:w="1080" w:type="dxa"/>
            <w:vAlign w:val="bottom"/>
            <w:tcBorders>
              <w:top w:val="single" w:sz="8" w:color="auto"/>
            </w:tcBorders>
            <w:gridSpan w:val="2"/>
          </w:tcPr>
          <w:p>
            <w:pPr>
              <w:jc w:val="right"/>
              <w:ind w:right="114"/>
              <w:spacing w:after="0"/>
              <w:rPr>
                <w:sz w:val="20"/>
                <w:szCs w:val="20"/>
                <w:color w:val="auto"/>
              </w:rPr>
            </w:pPr>
            <w:r>
              <w:rPr>
                <w:rFonts w:ascii="Arial" w:cs="Arial" w:eastAsia="Arial" w:hAnsi="Arial"/>
                <w:sz w:val="18"/>
                <w:szCs w:val="18"/>
                <w:color w:val="auto"/>
                <w:w w:val="85"/>
              </w:rPr>
              <w:t>$55,007,385</w:t>
            </w: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89"/>
              </w:rPr>
              <w:t>$ 32,991,111</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w w:val="93"/>
              </w:rPr>
              <w:t>77,867,582</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1"/>
              </w:rPr>
              <w:t>$ 44,876,471</w:t>
            </w:r>
          </w:p>
        </w:tc>
        <w:tc>
          <w:tcPr>
            <w:tcW w:w="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SugarCRM, Inc.</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w w:val="99"/>
              </w:rPr>
              <w:t>1,026,679</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8,299,914</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3"/>
              </w:rPr>
              <w:t>12,124,407</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4"/>
              </w:rPr>
              <w:t>3,824,493</w:t>
            </w:r>
          </w:p>
        </w:tc>
        <w:tc>
          <w:tcPr>
            <w:tcW w:w="110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8,299,914</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3"/>
              </w:rPr>
              <w:t>11,097,728</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2,797,814</w:t>
            </w: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ZocDoc Inc.</w:t>
            </w:r>
          </w:p>
        </w:tc>
        <w:tc>
          <w:tcPr>
            <w:tcW w:w="10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w w:val="93"/>
              </w:rPr>
              <w:t>(2,498,594)</w:t>
            </w:r>
          </w:p>
        </w:tc>
        <w:tc>
          <w:tcPr>
            <w:tcW w:w="10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5,298,056</w:t>
            </w:r>
          </w:p>
        </w:tc>
        <w:tc>
          <w:tcPr>
            <w:tcW w:w="10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7,796,650</w:t>
            </w:r>
          </w:p>
        </w:tc>
        <w:tc>
          <w:tcPr>
            <w:tcW w:w="900" w:type="dxa"/>
            <w:vAlign w:val="bottom"/>
          </w:tcPr>
          <w:p>
            <w:pPr>
              <w:jc w:val="right"/>
              <w:spacing w:after="0"/>
              <w:rPr>
                <w:sz w:val="20"/>
                <w:szCs w:val="20"/>
                <w:color w:val="auto"/>
              </w:rPr>
            </w:pPr>
            <w:r>
              <w:rPr>
                <w:rFonts w:ascii="Arial" w:cs="Arial" w:eastAsia="Arial" w:hAnsi="Arial"/>
                <w:sz w:val="18"/>
                <w:szCs w:val="18"/>
                <w:color w:val="auto"/>
              </w:rPr>
              <w:t>2,498,594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Dropbox, Inc.</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3"/>
              </w:rPr>
              <w:t>(1,726,810)</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3"/>
              </w:rPr>
              <w:t>13,656,486</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3"/>
              </w:rPr>
              <w:t>26,430,187</w:t>
            </w:r>
          </w:p>
        </w:tc>
        <w:tc>
          <w:tcPr>
            <w:tcW w:w="1080" w:type="dxa"/>
            <w:vAlign w:val="bottom"/>
            <w:tcBorders>
              <w:right w:val="single" w:sz="8" w:color="CCEEFF"/>
            </w:tcBorders>
            <w:gridSpan w:val="2"/>
            <w:shd w:val="clear" w:color="auto" w:fill="CCEEFF"/>
          </w:tcPr>
          <w:p>
            <w:pPr>
              <w:jc w:val="right"/>
              <w:ind w:right="114"/>
              <w:spacing w:after="0"/>
              <w:rPr>
                <w:sz w:val="20"/>
                <w:szCs w:val="20"/>
                <w:color w:val="auto"/>
              </w:rPr>
            </w:pPr>
            <w:r>
              <w:rPr>
                <w:rFonts w:ascii="Arial" w:cs="Arial" w:eastAsia="Arial" w:hAnsi="Arial"/>
                <w:sz w:val="18"/>
                <w:szCs w:val="18"/>
                <w:color w:val="auto"/>
                <w:w w:val="95"/>
              </w:rPr>
              <w:t>12,773,701</w:t>
            </w:r>
          </w:p>
        </w:tc>
        <w:tc>
          <w:tcPr>
            <w:tcW w:w="110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13,656,486</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3"/>
              </w:rPr>
              <w:t>28,156,997</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14,500,511</w:t>
            </w: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Dailybreak, Inc.</w:t>
            </w:r>
          </w:p>
        </w:tc>
        <w:tc>
          <w:tcPr>
            <w:tcW w:w="10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w w:val="93"/>
              </w:rPr>
              <w:t>(1,486,152)</w:t>
            </w:r>
          </w:p>
        </w:tc>
        <w:tc>
          <w:tcPr>
            <w:tcW w:w="10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2,882,186</w:t>
            </w:r>
          </w:p>
        </w:tc>
        <w:tc>
          <w:tcPr>
            <w:tcW w:w="10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
              <w:spacing w:after="0"/>
              <w:rPr>
                <w:sz w:val="20"/>
                <w:szCs w:val="20"/>
                <w:color w:val="auto"/>
              </w:rPr>
            </w:pPr>
            <w:r>
              <w:rPr>
                <w:rFonts w:ascii="Arial" w:cs="Arial" w:eastAsia="Arial" w:hAnsi="Arial"/>
                <w:sz w:val="18"/>
                <w:szCs w:val="18"/>
                <w:color w:val="auto"/>
                <w:w w:val="99"/>
              </w:rPr>
              <w:t>(2,882,186)</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2,882,186</w:t>
            </w:r>
          </w:p>
        </w:tc>
        <w:tc>
          <w:tcPr>
            <w:tcW w:w="10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1,486,152</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(1,396,034)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Bloom Energy Corporation</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3"/>
              </w:rPr>
              <w:t>(1,372,632)</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3,855,601</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3,097,422</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(758,179)</w:t>
            </w:r>
          </w:p>
        </w:tc>
        <w:tc>
          <w:tcPr>
            <w:tcW w:w="110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3,855,601</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4,470,054</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614,453</w:t>
            </w: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Fullbridge, Inc.</w:t>
            </w:r>
          </w:p>
        </w:tc>
        <w:tc>
          <w:tcPr>
            <w:tcW w:w="10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w w:val="93"/>
              </w:rPr>
              <w:t>(1,165,476)</w:t>
            </w:r>
          </w:p>
        </w:tc>
        <w:tc>
          <w:tcPr>
            <w:tcW w:w="10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6,396,180</w:t>
            </w:r>
          </w:p>
        </w:tc>
        <w:tc>
          <w:tcPr>
            <w:tcW w:w="10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4,770,109</w:t>
            </w:r>
          </w:p>
        </w:tc>
        <w:tc>
          <w:tcPr>
            <w:tcW w:w="1080" w:type="dxa"/>
            <w:vAlign w:val="bottom"/>
            <w:gridSpan w:val="2"/>
          </w:tcPr>
          <w:p>
            <w:pPr>
              <w:jc w:val="right"/>
              <w:ind w:right="54"/>
              <w:spacing w:after="0"/>
              <w:rPr>
                <w:sz w:val="20"/>
                <w:szCs w:val="20"/>
                <w:color w:val="auto"/>
              </w:rPr>
            </w:pPr>
            <w:r>
              <w:rPr>
                <w:rFonts w:ascii="Arial" w:cs="Arial" w:eastAsia="Arial" w:hAnsi="Arial"/>
                <w:sz w:val="18"/>
                <w:szCs w:val="18"/>
                <w:color w:val="auto"/>
                <w:w w:val="99"/>
              </w:rPr>
              <w:t>(1,626,071)</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6,396,180</w:t>
            </w:r>
          </w:p>
        </w:tc>
        <w:tc>
          <w:tcPr>
            <w:tcW w:w="10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5,935,585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(460,595)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60" w:type="dxa"/>
            <w:vAlign w:val="bottom"/>
            <w:tcBorders>
              <w:right w:val="single" w:sz="8" w:color="CCEEFF"/>
            </w:tcBorders>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40" w:type="dxa"/>
            <w:vAlign w:val="bottom"/>
            <w:tcBorders>
              <w:right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3"/>
              </w:rPr>
              <w:t>(1,647,246)</w:t>
            </w:r>
          </w:p>
        </w:tc>
        <w:tc>
          <w:tcPr>
            <w:tcW w:w="1100" w:type="dxa"/>
            <w:vAlign w:val="bottom"/>
            <w:tcBorders>
              <w:right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w w:val="93"/>
              </w:rPr>
              <w:t>325,543,686</w:t>
            </w:r>
          </w:p>
        </w:tc>
        <w:tc>
          <w:tcPr>
            <w:tcW w:w="1100" w:type="dxa"/>
            <w:vAlign w:val="bottom"/>
            <w:tcBorders>
              <w:right w:val="single" w:sz="8" w:color="CCEEFF"/>
            </w:tcBorders>
            <w:gridSpan w:val="2"/>
            <w:shd w:val="clear" w:color="auto" w:fill="CCEEFF"/>
          </w:tcPr>
          <w:p>
            <w:pPr>
              <w:jc w:val="right"/>
              <w:ind w:right="55"/>
              <w:spacing w:after="0"/>
              <w:rPr>
                <w:sz w:val="20"/>
                <w:szCs w:val="20"/>
                <w:color w:val="auto"/>
              </w:rPr>
            </w:pPr>
            <w:r>
              <w:rPr>
                <w:rFonts w:ascii="Arial" w:cs="Arial" w:eastAsia="Arial" w:hAnsi="Arial"/>
                <w:sz w:val="18"/>
                <w:szCs w:val="18"/>
                <w:color w:val="auto"/>
                <w:w w:val="93"/>
              </w:rPr>
              <w:t>344,558,771</w:t>
            </w:r>
          </w:p>
        </w:tc>
        <w:tc>
          <w:tcPr>
            <w:tcW w:w="1080" w:type="dxa"/>
            <w:vAlign w:val="bottom"/>
            <w:tcBorders>
              <w:right w:val="single" w:sz="8" w:color="CCEEFF"/>
            </w:tcBorders>
            <w:gridSpan w:val="2"/>
            <w:shd w:val="clear" w:color="auto" w:fill="CCEEFF"/>
          </w:tcPr>
          <w:p>
            <w:pPr>
              <w:jc w:val="right"/>
              <w:ind w:right="114"/>
              <w:spacing w:after="0"/>
              <w:rPr>
                <w:sz w:val="20"/>
                <w:szCs w:val="20"/>
                <w:color w:val="auto"/>
              </w:rPr>
            </w:pPr>
            <w:r>
              <w:rPr>
                <w:rFonts w:ascii="Arial" w:cs="Arial" w:eastAsia="Arial" w:hAnsi="Arial"/>
                <w:sz w:val="18"/>
                <w:szCs w:val="18"/>
                <w:color w:val="auto"/>
                <w:w w:val="95"/>
              </w:rPr>
              <w:t>19,015,085</w:t>
            </w:r>
          </w:p>
        </w:tc>
        <w:tc>
          <w:tcPr>
            <w:tcW w:w="110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3"/>
              </w:rPr>
              <w:t>298,667,345</w:t>
            </w:r>
          </w:p>
        </w:tc>
        <w:tc>
          <w:tcPr>
            <w:tcW w:w="112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8"/>
                <w:szCs w:val="18"/>
                <w:color w:val="auto"/>
                <w:w w:val="93"/>
              </w:rPr>
              <w:t>319,329,676</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20,662,331</w:t>
            </w:r>
          </w:p>
        </w:tc>
        <w:tc>
          <w:tcPr>
            <w:tcW w:w="8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Totals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5"/>
              <w:spacing w:after="0"/>
              <w:rPr>
                <w:sz w:val="20"/>
                <w:szCs w:val="20"/>
                <w:color w:val="auto"/>
              </w:rPr>
            </w:pPr>
            <w:r>
              <w:rPr>
                <w:rFonts w:ascii="Arial" w:cs="Arial" w:eastAsia="Arial" w:hAnsi="Arial"/>
                <w:sz w:val="18"/>
                <w:szCs w:val="18"/>
                <w:color w:val="auto"/>
                <w:w w:val="99"/>
              </w:rPr>
              <w:t>1,260,683</w:t>
            </w:r>
          </w:p>
        </w:tc>
        <w:tc>
          <w:tcPr>
            <w:tcW w:w="1100" w:type="dxa"/>
            <w:vAlign w:val="bottom"/>
            <w:gridSpan w:val="2"/>
          </w:tcPr>
          <w:p>
            <w:pPr>
              <w:jc w:val="right"/>
              <w:ind w:right="53"/>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388,185,616</w:t>
            </w:r>
          </w:p>
        </w:tc>
        <w:tc>
          <w:tcPr>
            <w:tcW w:w="1100" w:type="dxa"/>
            <w:vAlign w:val="bottom"/>
            <w:gridSpan w:val="2"/>
          </w:tcPr>
          <w:p>
            <w:pPr>
              <w:jc w:val="right"/>
              <w:ind w:right="55"/>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473,539,844</w:t>
            </w:r>
          </w:p>
        </w:tc>
        <w:tc>
          <w:tcPr>
            <w:tcW w:w="1080" w:type="dxa"/>
            <w:vAlign w:val="bottom"/>
            <w:gridSpan w:val="2"/>
          </w:tcPr>
          <w:p>
            <w:pPr>
              <w:jc w:val="right"/>
              <w:ind w:right="114"/>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85,354,228</w:t>
            </w:r>
          </w:p>
        </w:tc>
        <w:tc>
          <w:tcPr>
            <w:tcW w:w="1100" w:type="dxa"/>
            <w:vAlign w:val="bottom"/>
          </w:tcPr>
          <w:p>
            <w:pPr>
              <w:jc w:val="right"/>
              <w:ind w:right="52"/>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372,046,879</w:t>
            </w:r>
          </w:p>
        </w:tc>
        <w:tc>
          <w:tcPr>
            <w:tcW w:w="1120" w:type="dxa"/>
            <w:vAlign w:val="bottom"/>
            <w:gridSpan w:val="2"/>
          </w:tcPr>
          <w:p>
            <w:pPr>
              <w:jc w:val="right"/>
              <w:ind w:right="75"/>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456,140,424</w:t>
            </w: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 xml:space="preserve"> 84,093,545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-2400300</wp:posOffset>
            </wp:positionV>
            <wp:extent cx="6363335" cy="1803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36333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-368300</wp:posOffset>
            </wp:positionV>
            <wp:extent cx="6337300" cy="1803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33730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-2194560</wp:posOffset>
            </wp:positionV>
            <wp:extent cx="63373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33730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-2057400</wp:posOffset>
            </wp:positionV>
            <wp:extent cx="63373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236" w:lineRule="exact"/>
        <w:rPr>
          <w:sz w:val="20"/>
          <w:szCs w:val="20"/>
          <w:color w:val="auto"/>
        </w:rPr>
      </w:pPr>
    </w:p>
    <w:p>
      <w:pPr>
        <w:jc w:val="both"/>
        <w:ind w:left="300" w:right="519" w:hanging="272"/>
        <w:spacing w:after="0" w:line="264"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represents all investments (including U.S. Treasury Bills and U.S. Treasury Strips) for which individual change in unrealized appreciation (depreciation) was less than $1,000,000 for each of the three months ended September 30, 2015 and 2014.</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4" w:name="page55"/>
    <w:bookmarkEnd w:id="5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For the nine months ended September 30, 2015, we had a net change in unrealized appreciation of $58,014. For the nine months ended September 30, 2014, we had a net change in unrealized appreciation of $9,659,729. The following tables summarize, by portfolio company, the significant changes in unrealized appreciation (depreciation) of our investment portfolio for the nine months ended September 30, 2015 and 2014,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63633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0"/>
              </w:rPr>
              <w:t>As of September 30, 2015</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Change in</w:t>
            </w: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0"/>
              </w:rPr>
              <w:t>As of December 31, 2014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Unrealized</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0"/>
                <w:szCs w:val="10"/>
                <w:color w:val="auto"/>
              </w:rPr>
            </w:pPr>
          </w:p>
        </w:tc>
        <w:tc>
          <w:tcPr>
            <w:tcW w:w="108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Unrealized</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0"/>
                <w:szCs w:val="10"/>
                <w:color w:val="auto"/>
              </w:rPr>
            </w:pPr>
          </w:p>
        </w:tc>
        <w:tc>
          <w:tcPr>
            <w:tcW w:w="104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3"/>
              </w:rPr>
              <w:t>(Depreciation)</w:t>
            </w: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10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3"/>
              </w:rPr>
              <w:t>(Depreciation)</w:t>
            </w: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Twitter,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(22,565,661)</w:t>
            </w: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$ 14,271,866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21,568,164</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$ 7,296,298</w:t>
            </w: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$ 27,551,563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57,413,522</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85"/>
              </w:rPr>
              <w:t>$ 29,861,959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2U, Inc. (f/k/a 2tor, Inc.)</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(13,310,392)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10,032,117</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23,342,509</w:t>
            </w:r>
          </w:p>
        </w:tc>
        <w:tc>
          <w:tcPr>
            <w:tcW w:w="108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13,310,392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6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Learnist Inc. (f/k/a Grockit,</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Inc.)</w:t>
            </w: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(4,947,385)</w:t>
            </w:r>
          </w:p>
        </w:tc>
        <w:tc>
          <w:tcPr>
            <w:tcW w:w="1000" w:type="dxa"/>
            <w:vAlign w:val="bottom"/>
          </w:tcPr>
          <w:p>
            <w:pPr>
              <w:jc w:val="right"/>
              <w:spacing w:after="0"/>
              <w:rPr>
                <w:sz w:val="20"/>
                <w:szCs w:val="20"/>
                <w:color w:val="auto"/>
              </w:rPr>
            </w:pPr>
            <w:r>
              <w:rPr>
                <w:rFonts w:ascii="Arial" w:cs="Arial" w:eastAsia="Arial" w:hAnsi="Arial"/>
                <w:sz w:val="18"/>
                <w:szCs w:val="18"/>
                <w:color w:val="auto"/>
              </w:rPr>
              <w:t>4,959,615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431,925</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(4,527,690)</w:t>
            </w:r>
          </w:p>
        </w:tc>
        <w:tc>
          <w:tcPr>
            <w:tcW w:w="1000" w:type="dxa"/>
            <w:vAlign w:val="bottom"/>
          </w:tcPr>
          <w:p>
            <w:pPr>
              <w:jc w:val="right"/>
              <w:spacing w:after="0"/>
              <w:rPr>
                <w:sz w:val="20"/>
                <w:szCs w:val="20"/>
                <w:color w:val="auto"/>
              </w:rPr>
            </w:pPr>
            <w:r>
              <w:rPr>
                <w:rFonts w:ascii="Arial" w:cs="Arial" w:eastAsia="Arial" w:hAnsi="Arial"/>
                <w:sz w:val="18"/>
                <w:szCs w:val="18"/>
                <w:color w:val="auto"/>
              </w:rPr>
              <w:t>4,959,615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5,379,310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419,695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Gilt Groupe Holdings, Inc.</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(1,979,736)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6,594,433</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1,188,372</w:t>
            </w:r>
          </w:p>
        </w:tc>
        <w:tc>
          <w:tcPr>
            <w:tcW w:w="118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(5,406,061)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6,594,433</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3,168,108</w:t>
            </w:r>
          </w:p>
        </w:tc>
        <w:tc>
          <w:tcPr>
            <w:tcW w:w="116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(3,426,325)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Palantir Technologies, Inc.</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9,132,757</w:t>
            </w:r>
          </w:p>
        </w:tc>
        <w:tc>
          <w:tcPr>
            <w:tcW w:w="1000" w:type="dxa"/>
            <w:vAlign w:val="bottom"/>
          </w:tcPr>
          <w:p>
            <w:pPr>
              <w:jc w:val="right"/>
              <w:spacing w:after="0"/>
              <w:rPr>
                <w:sz w:val="20"/>
                <w:szCs w:val="20"/>
                <w:color w:val="auto"/>
              </w:rPr>
            </w:pPr>
            <w:r>
              <w:rPr>
                <w:rFonts w:ascii="Arial" w:cs="Arial" w:eastAsia="Arial" w:hAnsi="Arial"/>
                <w:sz w:val="18"/>
                <w:szCs w:val="18"/>
                <w:color w:val="auto"/>
              </w:rPr>
              <w:t>17,200,023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54,609,192</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37,409,169</w:t>
            </w:r>
          </w:p>
        </w:tc>
        <w:tc>
          <w:tcPr>
            <w:tcW w:w="1000" w:type="dxa"/>
            <w:vAlign w:val="bottom"/>
          </w:tcPr>
          <w:p>
            <w:pPr>
              <w:jc w:val="right"/>
              <w:spacing w:after="0"/>
              <w:rPr>
                <w:sz w:val="20"/>
                <w:szCs w:val="20"/>
                <w:color w:val="auto"/>
              </w:rPr>
            </w:pPr>
            <w:r>
              <w:rPr>
                <w:rFonts w:ascii="Arial" w:cs="Arial" w:eastAsia="Arial" w:hAnsi="Arial"/>
                <w:sz w:val="18"/>
                <w:szCs w:val="18"/>
                <w:color w:val="auto"/>
              </w:rPr>
              <w:t>17,198,903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45,475,315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28,276,412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Dataminr, Inc.</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7,931,309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3,164,265</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11,876,054</w:t>
            </w:r>
          </w:p>
        </w:tc>
        <w:tc>
          <w:tcPr>
            <w:tcW w:w="1180" w:type="dxa"/>
            <w:vAlign w:val="bottom"/>
            <w:tcBorders>
              <w:left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8,711,789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3,164,265</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3,944,745</w:t>
            </w:r>
          </w:p>
        </w:tc>
        <w:tc>
          <w:tcPr>
            <w:tcW w:w="108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780,480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Totus Solutions, Inc.</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5,894,116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6,101,443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207,327</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(5,894,116)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60" w:type="dxa"/>
            <w:vAlign w:val="bottom"/>
            <w:tcBorders>
              <w:right w:val="single" w:sz="8" w:color="CCEEFF"/>
            </w:tcBorders>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General Assembly Space,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w:t>
            </w: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5,395,948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5,999,961</w:t>
            </w:r>
          </w:p>
        </w:tc>
        <w:tc>
          <w:tcPr>
            <w:tcW w:w="10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11,521,372</w:t>
            </w:r>
          </w:p>
        </w:tc>
        <w:tc>
          <w:tcPr>
            <w:tcW w:w="1180" w:type="dxa"/>
            <w:vAlign w:val="bottom"/>
            <w:tcBorders>
              <w:left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5,521,411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5,999,961</w:t>
            </w:r>
          </w:p>
        </w:tc>
        <w:tc>
          <w:tcPr>
            <w:tcW w:w="10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6,125,424</w:t>
            </w:r>
          </w:p>
        </w:tc>
        <w:tc>
          <w:tcPr>
            <w:tcW w:w="108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125,463</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Lyft, Inc.</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4,448,202</w:t>
            </w:r>
          </w:p>
        </w:tc>
        <w:tc>
          <w:tcPr>
            <w:tcW w:w="1000" w:type="dxa"/>
            <w:vAlign w:val="bottom"/>
          </w:tcPr>
          <w:p>
            <w:pPr>
              <w:jc w:val="right"/>
              <w:spacing w:after="0"/>
              <w:rPr>
                <w:sz w:val="20"/>
                <w:szCs w:val="20"/>
                <w:color w:val="auto"/>
              </w:rPr>
            </w:pPr>
            <w:r>
              <w:rPr>
                <w:rFonts w:ascii="Arial" w:cs="Arial" w:eastAsia="Arial" w:hAnsi="Arial"/>
                <w:sz w:val="18"/>
                <w:szCs w:val="18"/>
                <w:color w:val="auto"/>
              </w:rPr>
              <w:t>7,507,216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11,950,838</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4,443,622</w:t>
            </w:r>
          </w:p>
        </w:tc>
        <w:tc>
          <w:tcPr>
            <w:tcW w:w="1000" w:type="dxa"/>
            <w:vAlign w:val="bottom"/>
          </w:tcPr>
          <w:p>
            <w:pPr>
              <w:jc w:val="right"/>
              <w:spacing w:after="0"/>
              <w:rPr>
                <w:sz w:val="20"/>
                <w:szCs w:val="20"/>
                <w:color w:val="auto"/>
              </w:rPr>
            </w:pPr>
            <w:r>
              <w:rPr>
                <w:rFonts w:ascii="Arial" w:cs="Arial" w:eastAsia="Arial" w:hAnsi="Arial"/>
                <w:sz w:val="18"/>
                <w:szCs w:val="18"/>
                <w:color w:val="auto"/>
              </w:rPr>
              <w:t>5,003,634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4,999,054</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(4,580)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Dailybreak, Inc.</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2,857,204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2,857,204</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(2,857,204)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Spotify Technology S.A.</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2,481,351</w:t>
            </w:r>
          </w:p>
        </w:tc>
        <w:tc>
          <w:tcPr>
            <w:tcW w:w="1000" w:type="dxa"/>
            <w:vAlign w:val="bottom"/>
          </w:tcPr>
          <w:p>
            <w:pPr>
              <w:jc w:val="right"/>
              <w:spacing w:after="0"/>
              <w:rPr>
                <w:sz w:val="20"/>
                <w:szCs w:val="20"/>
                <w:color w:val="auto"/>
              </w:rPr>
            </w:pPr>
            <w:r>
              <w:rPr>
                <w:rFonts w:ascii="Arial" w:cs="Arial" w:eastAsia="Arial" w:hAnsi="Arial"/>
                <w:sz w:val="18"/>
                <w:szCs w:val="18"/>
                <w:color w:val="auto"/>
              </w:rPr>
              <w:t>3,598,472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8,158,224</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4,559,752</w:t>
            </w:r>
          </w:p>
        </w:tc>
        <w:tc>
          <w:tcPr>
            <w:tcW w:w="1000" w:type="dxa"/>
            <w:vAlign w:val="bottom"/>
          </w:tcPr>
          <w:p>
            <w:pPr>
              <w:jc w:val="right"/>
              <w:spacing w:after="0"/>
              <w:rPr>
                <w:sz w:val="20"/>
                <w:szCs w:val="20"/>
                <w:color w:val="auto"/>
              </w:rPr>
            </w:pPr>
            <w:r>
              <w:rPr>
                <w:rFonts w:ascii="Arial" w:cs="Arial" w:eastAsia="Arial" w:hAnsi="Arial"/>
                <w:sz w:val="18"/>
                <w:szCs w:val="18"/>
                <w:color w:val="auto"/>
              </w:rPr>
              <w:t>3,598,472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5,676,873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2,078,401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JAMF Holdings, Inc.</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1,584,038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9,999,928</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11,583,628</w:t>
            </w:r>
          </w:p>
        </w:tc>
        <w:tc>
          <w:tcPr>
            <w:tcW w:w="1180" w:type="dxa"/>
            <w:vAlign w:val="bottom"/>
            <w:tcBorders>
              <w:left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1,583,700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9,999,928</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9,999,590</w:t>
            </w:r>
          </w:p>
        </w:tc>
        <w:tc>
          <w:tcPr>
            <w:tcW w:w="116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The rSmart Group, Inc.</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1,074,654</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1,267,240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192,586</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(1,074,654)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60" w:type="dxa"/>
            <w:vAlign w:val="bottom"/>
            <w:tcBorders>
              <w:right w:val="single" w:sz="8" w:color="CCEEFF"/>
            </w:tcBorders>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2,061,609</w:t>
            </w:r>
          </w:p>
        </w:tc>
        <w:tc>
          <w:tcPr>
            <w:tcW w:w="160" w:type="dxa"/>
            <w:vAlign w:val="bottom"/>
            <w:tcBorders>
              <w:right w:val="single" w:sz="8" w:color="CCEEFF"/>
            </w:tcBorders>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235,235,099</w:t>
            </w:r>
          </w:p>
        </w:tc>
        <w:tc>
          <w:tcPr>
            <w:tcW w:w="10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245,583,825</w:t>
            </w:r>
          </w:p>
        </w:tc>
        <w:tc>
          <w:tcPr>
            <w:tcW w:w="1180" w:type="dxa"/>
            <w:vAlign w:val="bottom"/>
            <w:tcBorders>
              <w:left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10,348,726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304,070,935</w:t>
            </w:r>
          </w:p>
        </w:tc>
        <w:tc>
          <w:tcPr>
            <w:tcW w:w="10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312,358,052</w:t>
            </w:r>
          </w:p>
        </w:tc>
        <w:tc>
          <w:tcPr>
            <w:tcW w:w="108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8,287,117</w:t>
            </w:r>
          </w:p>
        </w:tc>
        <w:tc>
          <w:tcPr>
            <w:tcW w:w="8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Totals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58,014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308,530,878</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378,471,594</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69,940,716</w:t>
            </w:r>
          </w:p>
        </w:tc>
        <w:tc>
          <w:tcPr>
            <w:tcW w:w="100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408,399,713</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478,282,415</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69,882,702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8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0"/>
              </w:rPr>
              <w:t>As of September 30, 2014</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Change in</w:t>
            </w: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0"/>
              </w:rPr>
              <w:t>As of December 31, 2013</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Unrealized</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0"/>
                <w:szCs w:val="10"/>
                <w:color w:val="auto"/>
              </w:rPr>
            </w:pPr>
          </w:p>
        </w:tc>
        <w:tc>
          <w:tcPr>
            <w:tcW w:w="108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Unrealized</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0"/>
                <w:szCs w:val="10"/>
                <w:color w:val="auto"/>
              </w:rPr>
            </w:pPr>
          </w:p>
        </w:tc>
        <w:tc>
          <w:tcPr>
            <w:tcW w:w="10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3"/>
              </w:rPr>
              <w:t>(Depreciation)</w:t>
            </w: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10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3"/>
              </w:rPr>
              <w:t>(Depreciation)</w:t>
            </w: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Twitter,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(14,823,964)</w:t>
            </w: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$ 27,551,563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82,558,948</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$55,007,385</w:t>
            </w: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$ 32,991,111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102,822,460</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$ 69,831,349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Control4 Corporation</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(6,289,367)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7,010,762</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13,300,129</w:t>
            </w:r>
          </w:p>
        </w:tc>
        <w:tc>
          <w:tcPr>
            <w:tcW w:w="11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6,289,367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Facebook, Inc.</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(4,327,603)</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5,236,147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9,563,750</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4,327,603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Totus Solutions, Inc.</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(3,458,100)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6,100,523</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369,289</w:t>
            </w:r>
          </w:p>
        </w:tc>
        <w:tc>
          <w:tcPr>
            <w:tcW w:w="118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(5,731,234)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6,023,973</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3,750,839</w:t>
            </w:r>
          </w:p>
        </w:tc>
        <w:tc>
          <w:tcPr>
            <w:tcW w:w="116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(2,273,134)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Dailybreak, Inc.</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(1,662,629)</w:t>
            </w:r>
          </w:p>
        </w:tc>
        <w:tc>
          <w:tcPr>
            <w:tcW w:w="1000" w:type="dxa"/>
            <w:vAlign w:val="bottom"/>
          </w:tcPr>
          <w:p>
            <w:pPr>
              <w:jc w:val="right"/>
              <w:spacing w:after="0"/>
              <w:rPr>
                <w:sz w:val="20"/>
                <w:szCs w:val="20"/>
                <w:color w:val="auto"/>
              </w:rPr>
            </w:pPr>
            <w:r>
              <w:rPr>
                <w:rFonts w:ascii="Arial" w:cs="Arial" w:eastAsia="Arial" w:hAnsi="Arial"/>
                <w:sz w:val="18"/>
                <w:szCs w:val="18"/>
                <w:color w:val="auto"/>
              </w:rPr>
              <w:t>2,882,186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(2,882,186)</w:t>
            </w:r>
          </w:p>
        </w:tc>
        <w:tc>
          <w:tcPr>
            <w:tcW w:w="1000" w:type="dxa"/>
            <w:vAlign w:val="bottom"/>
          </w:tcPr>
          <w:p>
            <w:pPr>
              <w:jc w:val="right"/>
              <w:spacing w:after="0"/>
              <w:rPr>
                <w:sz w:val="20"/>
                <w:szCs w:val="20"/>
                <w:color w:val="auto"/>
              </w:rPr>
            </w:pPr>
            <w:r>
              <w:rPr>
                <w:rFonts w:ascii="Arial" w:cs="Arial" w:eastAsia="Arial" w:hAnsi="Arial"/>
                <w:sz w:val="18"/>
                <w:szCs w:val="18"/>
                <w:color w:val="auto"/>
              </w:rPr>
              <w:t>2,430,950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1,211,393</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(1,219,557)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Fullbridge, Inc.</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(1,582,537)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6,396,180</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4,770,109</w:t>
            </w:r>
          </w:p>
        </w:tc>
        <w:tc>
          <w:tcPr>
            <w:tcW w:w="118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(1,626,071)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3,784,016</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3,740,482</w:t>
            </w:r>
          </w:p>
        </w:tc>
        <w:tc>
          <w:tcPr>
            <w:tcW w:w="116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(43,534)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3"/>
          </w:tcPr>
          <w:p>
            <w:pPr>
              <w:ind w:left="20"/>
              <w:spacing w:after="0"/>
              <w:rPr>
                <w:sz w:val="20"/>
                <w:szCs w:val="20"/>
                <w:color w:val="auto"/>
              </w:rPr>
            </w:pPr>
            <w:r>
              <w:rPr>
                <w:rFonts w:ascii="Arial" w:cs="Arial" w:eastAsia="Arial" w:hAnsi="Arial"/>
                <w:sz w:val="18"/>
                <w:szCs w:val="18"/>
                <w:color w:val="auto"/>
                <w:w w:val="93"/>
              </w:rPr>
              <w:t>Cricket Media (f/k/a ePals Inc.)</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(1,269,670)</w:t>
            </w:r>
          </w:p>
        </w:tc>
        <w:tc>
          <w:tcPr>
            <w:tcW w:w="1000" w:type="dxa"/>
            <w:vAlign w:val="bottom"/>
          </w:tcPr>
          <w:p>
            <w:pPr>
              <w:jc w:val="right"/>
              <w:spacing w:after="0"/>
              <w:rPr>
                <w:sz w:val="20"/>
                <w:szCs w:val="20"/>
                <w:color w:val="auto"/>
              </w:rPr>
            </w:pPr>
            <w:r>
              <w:rPr>
                <w:rFonts w:ascii="Arial" w:cs="Arial" w:eastAsia="Arial" w:hAnsi="Arial"/>
                <w:sz w:val="18"/>
                <w:szCs w:val="18"/>
                <w:color w:val="auto"/>
              </w:rPr>
              <w:t>2,448,276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433,847</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(2,014,429)</w:t>
            </w:r>
          </w:p>
        </w:tc>
        <w:tc>
          <w:tcPr>
            <w:tcW w:w="1000" w:type="dxa"/>
            <w:vAlign w:val="bottom"/>
          </w:tcPr>
          <w:p>
            <w:pPr>
              <w:jc w:val="right"/>
              <w:spacing w:after="0"/>
              <w:rPr>
                <w:sz w:val="20"/>
                <w:szCs w:val="20"/>
                <w:color w:val="auto"/>
              </w:rPr>
            </w:pPr>
            <w:r>
              <w:rPr>
                <w:rFonts w:ascii="Arial" w:cs="Arial" w:eastAsia="Arial" w:hAnsi="Arial"/>
                <w:sz w:val="18"/>
                <w:szCs w:val="18"/>
                <w:color w:val="auto"/>
              </w:rPr>
              <w:t>2,444,759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1,700,000</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(744,759)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Chegg, Inc.</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(1,170,967)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14,022,863</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7,380,622</w:t>
            </w:r>
          </w:p>
        </w:tc>
        <w:tc>
          <w:tcPr>
            <w:tcW w:w="118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(6,642,241)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14,022,863</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8,551,589</w:t>
            </w:r>
          </w:p>
        </w:tc>
        <w:tc>
          <w:tcPr>
            <w:tcW w:w="116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(5,471,274)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Violin Memory, Inc.</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10,615,550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14,819,618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4,204,068</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(10,615,550)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Dropbox, Inc.</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10,574,990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13,656,486</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26,430,187</w:t>
            </w:r>
          </w:p>
        </w:tc>
        <w:tc>
          <w:tcPr>
            <w:tcW w:w="1180" w:type="dxa"/>
            <w:vAlign w:val="bottom"/>
            <w:tcBorders>
              <w:left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12,773,701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13,656,486</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15,855,197</w:t>
            </w:r>
          </w:p>
        </w:tc>
        <w:tc>
          <w:tcPr>
            <w:tcW w:w="11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2,198,711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2U, Inc. (f/k/a 2tor, Inc.)</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7,197,331</w:t>
            </w:r>
          </w:p>
        </w:tc>
        <w:tc>
          <w:tcPr>
            <w:tcW w:w="1000" w:type="dxa"/>
            <w:vAlign w:val="bottom"/>
          </w:tcPr>
          <w:p>
            <w:pPr>
              <w:jc w:val="right"/>
              <w:spacing w:after="0"/>
              <w:rPr>
                <w:sz w:val="20"/>
                <w:szCs w:val="20"/>
                <w:color w:val="auto"/>
              </w:rPr>
            </w:pPr>
            <w:r>
              <w:rPr>
                <w:rFonts w:ascii="Arial" w:cs="Arial" w:eastAsia="Arial" w:hAnsi="Arial"/>
                <w:sz w:val="18"/>
                <w:szCs w:val="18"/>
                <w:color w:val="auto"/>
              </w:rPr>
              <w:t>10,032,117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18,508,839</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8,476,722</w:t>
            </w:r>
          </w:p>
        </w:tc>
        <w:tc>
          <w:tcPr>
            <w:tcW w:w="1000" w:type="dxa"/>
            <w:vAlign w:val="bottom"/>
          </w:tcPr>
          <w:p>
            <w:pPr>
              <w:jc w:val="right"/>
              <w:spacing w:after="0"/>
              <w:rPr>
                <w:sz w:val="20"/>
                <w:szCs w:val="20"/>
                <w:color w:val="auto"/>
              </w:rPr>
            </w:pPr>
            <w:r>
              <w:rPr>
                <w:rFonts w:ascii="Arial" w:cs="Arial" w:eastAsia="Arial" w:hAnsi="Arial"/>
                <w:sz w:val="18"/>
                <w:szCs w:val="18"/>
                <w:color w:val="auto"/>
              </w:rPr>
              <w:t>10,031,318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11,310,709</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1,279,391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Palantir Technologies, Inc.</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6,570,658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20,195,520</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39,544,561</w:t>
            </w:r>
          </w:p>
        </w:tc>
        <w:tc>
          <w:tcPr>
            <w:tcW w:w="1180" w:type="dxa"/>
            <w:vAlign w:val="bottom"/>
            <w:tcBorders>
              <w:left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19,349,041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21,060,447</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33,838,830</w:t>
            </w:r>
          </w:p>
        </w:tc>
        <w:tc>
          <w:tcPr>
            <w:tcW w:w="11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12,778,383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Silver Spring Networks, Inc.</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3,002,683</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5,145,271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2,142,588</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(3,002,683)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SugarCRM, Inc.</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2,744,614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8,299,914</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12,124,407</w:t>
            </w:r>
          </w:p>
        </w:tc>
        <w:tc>
          <w:tcPr>
            <w:tcW w:w="1180" w:type="dxa"/>
            <w:vAlign w:val="bottom"/>
            <w:tcBorders>
              <w:left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3,824,493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8,299,794</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9,379,673</w:t>
            </w:r>
          </w:p>
        </w:tc>
        <w:tc>
          <w:tcPr>
            <w:tcW w:w="11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1,079,879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TrueCar, Inc.</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1,763,989</w:t>
            </w:r>
          </w:p>
        </w:tc>
        <w:tc>
          <w:tcPr>
            <w:tcW w:w="1000" w:type="dxa"/>
            <w:vAlign w:val="bottom"/>
          </w:tcPr>
          <w:p>
            <w:pPr>
              <w:jc w:val="right"/>
              <w:spacing w:after="0"/>
              <w:rPr>
                <w:sz w:val="20"/>
                <w:szCs w:val="20"/>
                <w:color w:val="auto"/>
              </w:rPr>
            </w:pPr>
            <w:r>
              <w:rPr>
                <w:rFonts w:ascii="Arial" w:cs="Arial" w:eastAsia="Arial" w:hAnsi="Arial"/>
                <w:sz w:val="18"/>
                <w:szCs w:val="18"/>
                <w:color w:val="auto"/>
              </w:rPr>
              <w:t>2,015,023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4,064,146</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2,049,123</w:t>
            </w:r>
          </w:p>
        </w:tc>
        <w:tc>
          <w:tcPr>
            <w:tcW w:w="1000" w:type="dxa"/>
            <w:vAlign w:val="bottom"/>
          </w:tcPr>
          <w:p>
            <w:pPr>
              <w:jc w:val="right"/>
              <w:spacing w:after="0"/>
              <w:rPr>
                <w:sz w:val="20"/>
                <w:szCs w:val="20"/>
                <w:color w:val="auto"/>
              </w:rPr>
            </w:pPr>
            <w:r>
              <w:rPr>
                <w:rFonts w:ascii="Arial" w:cs="Arial" w:eastAsia="Arial" w:hAnsi="Arial"/>
                <w:sz w:val="18"/>
                <w:szCs w:val="18"/>
                <w:color w:val="auto"/>
              </w:rPr>
              <w:t>2,014,863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2,299,997</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285,134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3"/>
              </w:rPr>
              <w:t>Avenues Global Holdings, LLC</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1,223,805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10,151,854</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11,239,445</w:t>
            </w:r>
          </w:p>
        </w:tc>
        <w:tc>
          <w:tcPr>
            <w:tcW w:w="1180" w:type="dxa"/>
            <w:vAlign w:val="bottom"/>
            <w:tcBorders>
              <w:left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1,087,591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10,150,484</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10,014,270</w:t>
            </w:r>
          </w:p>
        </w:tc>
        <w:tc>
          <w:tcPr>
            <w:tcW w:w="116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(136,214)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6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550,946</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264,433,111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266,115,444</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1,682,333</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131,431,492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132,562,879</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1,131,387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9,659,729</w:t>
            </w:r>
          </w:p>
        </w:tc>
        <w:tc>
          <w:tcPr>
            <w:tcW w:w="160" w:type="dxa"/>
            <w:vAlign w:val="bottom"/>
            <w:tcBorders>
              <w:right w:val="single" w:sz="8" w:color="CCEEFF"/>
            </w:tcBorders>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388,185,616</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473,539,844</w:t>
            </w:r>
          </w:p>
        </w:tc>
        <w:tc>
          <w:tcPr>
            <w:tcW w:w="1180" w:type="dxa"/>
            <w:vAlign w:val="bottom"/>
            <w:tcBorders>
              <w:left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85,354,228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290,554,354</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366,248,853</w:t>
            </w:r>
          </w:p>
        </w:tc>
        <w:tc>
          <w:tcPr>
            <w:tcW w:w="11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$ 75,694,499</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3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-3627120</wp:posOffset>
            </wp:positionV>
            <wp:extent cx="6363335" cy="1803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36333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149225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922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-187960</wp:posOffset>
            </wp:positionV>
            <wp:extent cx="149225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92250"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-213995</wp:posOffset>
            </wp:positionV>
            <wp:extent cx="1028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-187960</wp:posOffset>
            </wp:positionV>
            <wp:extent cx="1028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2853055</wp:posOffset>
            </wp:positionH>
            <wp:positionV relativeFrom="paragraph">
              <wp:posOffset>-213995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2853055</wp:posOffset>
            </wp:positionH>
            <wp:positionV relativeFrom="paragraph">
              <wp:posOffset>-187960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-213995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-187960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-213995</wp:posOffset>
            </wp:positionV>
            <wp:extent cx="1028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-187960</wp:posOffset>
            </wp:positionV>
            <wp:extent cx="1028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-213995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-187960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-213995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-187960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6326505</wp:posOffset>
            </wp:positionH>
            <wp:positionV relativeFrom="paragraph">
              <wp:posOffset>-213995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6326505</wp:posOffset>
            </wp:positionH>
            <wp:positionV relativeFrom="paragraph">
              <wp:posOffset>-187960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-3421380</wp:posOffset>
            </wp:positionV>
            <wp:extent cx="63633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-3283585</wp:posOffset>
            </wp:positionV>
            <wp:extent cx="63633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spacing w:after="0" w:line="236" w:lineRule="exact"/>
        <w:rPr>
          <w:sz w:val="20"/>
          <w:szCs w:val="20"/>
          <w:color w:val="auto"/>
        </w:rPr>
      </w:pPr>
    </w:p>
    <w:p>
      <w:pPr>
        <w:jc w:val="both"/>
        <w:ind w:left="300" w:right="519" w:hanging="272"/>
        <w:spacing w:after="0" w:line="264"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represents all investments (including U.S. Treasury Bills and U.S. Treasury Strips) for which individual change in unrealized appreciation (depreciation) was less than $1,000,000 for each of the nine months ended September 30, 2015 and 2014.</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Provision/Benefit for Taxes on Unrealized Appreciation/Depreciation of Investments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For the three months ended September 30, 2015, we recognized a benefit for taxes of $25,020,686, which resulted from the unrealized depreciation of our portfolio investments and the reversal of previous accrued provisions for taxes that resulted from our change in tax status to a RIC.</w:t>
      </w:r>
    </w:p>
    <w:p>
      <w:pPr>
        <w:spacing w:after="0" w:line="73"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For the three months ended September 30, 2014, we recognized a provision of $514,737 for taxes on the unrealized appreciation of our portfolio investments.</w:t>
      </w:r>
    </w:p>
    <w:p>
      <w:pPr>
        <w:spacing w:after="0" w:line="62"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The change between the two periods is due to the fact that the change in unrealized appreciation from investments decreased to approximately $21.9 million of unrealized depreciation from approximately $1.2 million of unrealized appreciation as shown in the tables above, as well as the reversal of previous accrued provisions that resulted from the change in our tax status to a RIC. The primary drivers of the decrease in our portfolio’s fair value were the sales of 2U, Inc. (f/k/a 2tor, Inc.), and the change in unrealized depreciation of Twitter, Inc., Dropbox, Inc. and Learnist Inc. (f/k/a Grockit, Inc.). Refer to the tables above for the largest components of our change in unrealized appreciation (depreciation).</w:t>
      </w:r>
    </w:p>
    <w:p>
      <w:pPr>
        <w:spacing w:after="0" w:line="70"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For the nine months ended September 30, 2015, we recognized a benefit for taxes of $16,021,883 on the unrealized appreciation of our portfolio investments and the reversal of previous accrued provisions for taxes that resulted from our change in tax status to a RIC. Typically for a taxable entity, unrealized appreciation of investments will generate a provision for taxes; however, as a result of our election to be treated as a RIC, we have reversed the previous accrued provisions for taxes on unrealized appreciation on investments from prior periods. This reversal resulted in a benefit for taxes on unrealized appreciation of our portfolio investments for the nine months ended September 30, 2015.</w:t>
      </w:r>
    </w:p>
    <w:p>
      <w:pPr>
        <w:spacing w:after="0" w:line="7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For the nine months ended September 30, 2014, we recognized a provision of $3,944,068 for taxes on the unrealized appreciation of our portfolio investments.</w:t>
      </w:r>
    </w:p>
    <w:p>
      <w:pPr>
        <w:spacing w:after="0" w:line="6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change between the two periods is due to the fact that the change in unrealized appreciation from investments decreased to approximately $0.1 million from approximately $9.7 million as shown in the table above, as well as the reversal of previously accrued provisions for taxes that resulted from the change in our tax status to a RIC. The primary drivers of the increase in our portfolio’s fair value was the unrealized appreciation of Palantir Technologies, Inc., Dataminr, Inc., Totus Solutions, Inc., General Assembly Space, Inc. and Lyft, Inc. These increases were largely offset by changes in unrealized depreciation of Twitter Inc. and Learnist Inc. (f/k/a Grockit, Inc.), and the sales of 2U, Inc. Refer to the tables above for the largest components of our change in unrealized appreciation (depreciation).</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the three months ended September 30, 2015, the net increase in net assets resulting from operations was $8,852,691.</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the three months ended September 30, 2014, the net increase in net assets resulting from operations was $6,018,713.</w:t>
      </w:r>
    </w:p>
    <w:p>
      <w:pPr>
        <w:spacing w:after="0" w:line="129"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The change in net assets resulting from operations for the three months ended September 30, 2015, as compared to the three months ended September 30, 2014, resulted from the increased realized gains, the benefit for taxes on net realized capital gains and the benefit for taxes on unrealized depreciation of the portfolio as a whole, which were offset by the change in unrealized depreciation of the portfolio as a whole and the increase in the provision for taxes on net investment loss.</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the nine months ended September 30, 2015, the net increase in net assets resulting from operations was $26,598,814.</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the nine months ended September 30, 2014, the net increase in net assets resulting from operations was $5,178,111.</w:t>
      </w:r>
    </w:p>
    <w:p>
      <w:pPr>
        <w:spacing w:after="0" w:line="12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change in net assets resulting from operations for the nine months ended September 30, 2015, as compared to the nine months ended September 30, 2014, resulted from the significant increase in realized gains, as well as the benefit for taxes on realized capital gains which resulted from the change in tax status to</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6" w:name="page57"/>
    <w:bookmarkEnd w:id="5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 w:right="539"/>
        <w:spacing w:after="0" w:line="308" w:lineRule="auto"/>
        <w:rPr>
          <w:sz w:val="20"/>
          <w:szCs w:val="20"/>
          <w:color w:val="auto"/>
        </w:rPr>
      </w:pPr>
      <w:r>
        <w:rPr>
          <w:rFonts w:ascii="Arial" w:cs="Arial" w:eastAsia="Arial" w:hAnsi="Arial"/>
          <w:sz w:val="17"/>
          <w:szCs w:val="17"/>
          <w:color w:val="auto"/>
        </w:rPr>
        <w:t>a RIC and the associated reversal of previous accrued provisions. These increases were offset by the decline in the fair value of the portfolio as a whole, the significant increase in operating expenses and the provision for taxes on net investment loss.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Our liquidity and capital resources are generated primarily from the net proceeds of public offerings of our equity and debt securities, advances from our Credit Facility, as well as the sales of our investments.</w:t>
      </w:r>
    </w:p>
    <w:p>
      <w:pPr>
        <w:spacing w:after="0" w:line="62" w:lineRule="exact"/>
        <w:rPr>
          <w:sz w:val="20"/>
          <w:szCs w:val="20"/>
          <w:color w:val="auto"/>
        </w:rPr>
      </w:pPr>
    </w:p>
    <w:p>
      <w:pPr>
        <w:jc w:val="both"/>
        <w:ind w:left="60" w:right="519" w:firstLine="270"/>
        <w:spacing w:after="0" w:line="279" w:lineRule="auto"/>
        <w:rPr>
          <w:sz w:val="20"/>
          <w:szCs w:val="20"/>
          <w:color w:val="auto"/>
        </w:rPr>
      </w:pPr>
      <w:r>
        <w:rPr>
          <w:rFonts w:ascii="Arial" w:cs="Arial" w:eastAsia="Arial" w:hAnsi="Arial"/>
          <w:sz w:val="17"/>
          <w:szCs w:val="17"/>
          <w:color w:val="auto"/>
        </w:rPr>
        <w:t>Our primary use of cash is to make investments and to pay our operating expenses. Our current policy is to maintain cash reserves and liquid securities in an amount sufficient to pay our operating expenses, including investment management fees and costs incurred under the Administration Agreement, for approximately two years. For the nine months ended September 30, 2015 and 2014, our operating expenses were $25,325,131 and $18,995,663,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5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Cash reserves and Liquid securities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552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56,844,097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6,517,389</w:t>
            </w:r>
          </w:p>
        </w:tc>
        <w:tc>
          <w:tcPr>
            <w:tcW w:w="0" w:type="dxa"/>
            <w:vAlign w:val="bottom"/>
          </w:tcPr>
          <w:p>
            <w:pPr>
              <w:spacing w:after="0"/>
              <w:rPr>
                <w:sz w:val="1"/>
                <w:szCs w:val="1"/>
                <w:color w:val="auto"/>
              </w:rPr>
            </w:pPr>
          </w:p>
        </w:tc>
      </w:tr>
      <w:tr>
        <w:trPr>
          <w:trHeight w:val="257"/>
        </w:trPr>
        <w:tc>
          <w:tcPr>
            <w:tcW w:w="55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Amounts available for borrowing under the Credit Facility</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18,000,000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18,000,000</w:t>
            </w:r>
          </w:p>
        </w:tc>
        <w:tc>
          <w:tcPr>
            <w:tcW w:w="0" w:type="dxa"/>
            <w:vAlign w:val="bottom"/>
          </w:tcPr>
          <w:p>
            <w:pPr>
              <w:spacing w:after="0"/>
              <w:rPr>
                <w:sz w:val="1"/>
                <w:szCs w:val="1"/>
                <w:color w:val="auto"/>
              </w:rPr>
            </w:pPr>
          </w:p>
        </w:tc>
      </w:tr>
      <w:tr>
        <w:trPr>
          <w:trHeight w:val="257"/>
        </w:trPr>
        <w:tc>
          <w:tcPr>
            <w:tcW w:w="55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Marketable Securities of Publicly Traded Portfolio Companies</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0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Unrestricted Securities</w:t>
            </w:r>
            <w:r>
              <w:rPr>
                <w:rFonts w:ascii="Arial" w:cs="Arial" w:eastAsia="Arial" w:hAnsi="Arial"/>
                <w:sz w:val="29"/>
                <w:szCs w:val="29"/>
                <w:color w:val="auto"/>
                <w:vertAlign w:val="superscript"/>
              </w:rPr>
              <w:t>(3)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30,096,094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89,939,570</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50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Subject to other Sales Restrictions</w:t>
            </w:r>
            <w:r>
              <w:rPr>
                <w:rFonts w:ascii="Arial" w:cs="Arial" w:eastAsia="Arial" w:hAnsi="Arial"/>
                <w:sz w:val="29"/>
                <w:szCs w:val="29"/>
                <w:color w:val="auto"/>
                <w:vertAlign w:val="superscript"/>
              </w:rPr>
              <w:t>(4)(5)</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238,646</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23,006,832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gridSpan w:val="3"/>
          </w:tcPr>
          <w:p>
            <w:pPr>
              <w:ind w:left="20"/>
              <w:spacing w:after="0" w:line="250" w:lineRule="exact"/>
              <w:rPr>
                <w:sz w:val="20"/>
                <w:szCs w:val="20"/>
                <w:color w:val="auto"/>
              </w:rPr>
            </w:pPr>
            <w:r>
              <w:rPr>
                <w:rFonts w:ascii="Arial" w:cs="Arial" w:eastAsia="Arial" w:hAnsi="Arial"/>
                <w:sz w:val="17"/>
                <w:szCs w:val="17"/>
                <w:color w:val="auto"/>
              </w:rPr>
              <w:t>Total Marketable Securities</w:t>
            </w:r>
            <w:r>
              <w:rPr>
                <w:rFonts w:ascii="Arial" w:cs="Arial" w:eastAsia="Arial" w:hAnsi="Arial"/>
                <w:sz w:val="28"/>
                <w:szCs w:val="28"/>
                <w:color w:val="auto"/>
                <w:vertAlign w:val="superscript"/>
              </w:rPr>
              <w:t>(2)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30,334,740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112,946,402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Cash reserves and Marketable Securities</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105,178,837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137,463,791</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45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-539750</wp:posOffset>
            </wp:positionV>
            <wp:extent cx="5213985" cy="1803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-222250</wp:posOffset>
            </wp:positionV>
            <wp:extent cx="5213985"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519" w:hanging="272"/>
        <w:spacing w:after="0" w:line="342" w:lineRule="auto"/>
        <w:tabs>
          <w:tab w:leader="none" w:pos="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Subject to leverage and borrowing base restrictions under the Credit facility. Refer to “Note 9 — Long Term Liabilities” to our Condensed Consolidated Financial Statements for the period ended September 30, 2015 for detail regarding the Credit Facility.</w:t>
      </w:r>
    </w:p>
    <w:p>
      <w:pPr>
        <w:spacing w:after="0" w:line="15" w:lineRule="exact"/>
        <w:rPr>
          <w:rFonts w:ascii="Arial" w:cs="Arial" w:eastAsia="Arial" w:hAnsi="Arial"/>
          <w:sz w:val="16"/>
          <w:szCs w:val="16"/>
          <w:color w:val="auto"/>
        </w:rPr>
      </w:pPr>
    </w:p>
    <w:p>
      <w:pPr>
        <w:jc w:val="both"/>
        <w:ind w:left="300" w:right="519" w:hanging="272"/>
        <w:spacing w:after="0" w:line="259"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portfolio investments are pledged first to secure the payment of both principal and interest on the Convertible Senior Notes. Thereafter the portfolio investments are pledged as collateral to secure any borrowings under the Credit Facility. We may incur losses if we liquidate these positions to pay operating expenses or fund new investments. The Convertible Senior Notes mature on September 15, 2018.</w:t>
      </w:r>
    </w:p>
    <w:p>
      <w:pPr>
        <w:spacing w:after="0" w:line="78"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“Unrestricted Securities” represents common stock of our publicly traded companies that are not subject to any restrictions upon sale.</w:t>
      </w:r>
    </w:p>
    <w:p>
      <w:pPr>
        <w:spacing w:after="0" w:line="62" w:lineRule="exact"/>
        <w:rPr>
          <w:rFonts w:ascii="Arial" w:cs="Arial" w:eastAsia="Arial" w:hAnsi="Arial"/>
          <w:sz w:val="18"/>
          <w:szCs w:val="18"/>
          <w:color w:val="auto"/>
        </w:rPr>
      </w:pPr>
    </w:p>
    <w:p>
      <w:pPr>
        <w:jc w:val="both"/>
        <w:ind w:left="300" w:right="519" w:hanging="272"/>
        <w:spacing w:after="0" w:line="259"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September 30, 2015, this balance represents our common shares of Cricket Media (f/k/a ePals Inc.). During the majority of the year, these shares are freely tradable, however at certain times during the year, these shares are subject to black-out periods as a result of Michael Moe’s seat on the Cricket Media (f/k/a ePals Inc.) board of directors. During the black-out periods, we are unable to sell these securities under Canadian securities law.</w:t>
      </w:r>
    </w:p>
    <w:p>
      <w:pPr>
        <w:spacing w:after="0" w:line="78" w:lineRule="exact"/>
        <w:rPr>
          <w:rFonts w:ascii="Arial" w:cs="Arial" w:eastAsia="Arial" w:hAnsi="Arial"/>
          <w:sz w:val="18"/>
          <w:szCs w:val="18"/>
          <w:color w:val="auto"/>
        </w:rPr>
      </w:pPr>
    </w:p>
    <w:p>
      <w:pPr>
        <w:jc w:val="both"/>
        <w:ind w:left="300" w:right="519" w:hanging="272"/>
        <w:spacing w:after="0" w:line="273" w:lineRule="auto"/>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As of September 30, 2014, this balance represented our common shares of Cricket Media (f/k/a ePals Inc.), 2U, Inc. (f/k/a 2tor, Inc.) and TrueCar, Inc. As of September 30, 2014, our shares of Cricket Media (f/k/a ePals Inc.) and 2U, Inc. (f/k/a 2tor, Inc.) were freely tradable except for black-out periods as a result of Michael Moe’s seats on the boards of directors of these companies. During the black-out periods, we are unable to sell these securities under U.S. and Canadian securities law. As of September 30, 2014, our shares of TrueCar, Inc. were subject to IPO lock-up restrictions. We are unable to sell securities that are subject to lock-up agreements for 180 days following the IPO date.</w:t>
      </w:r>
    </w:p>
    <w:p>
      <w:pPr>
        <w:spacing w:after="0" w:line="70"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During the nine months ended September 30, 2015, cash and cash equivalents increased to approximately $56.8 million at the end of the period, from approximately $3.5 million at the beginning of the period. Net cash provided by operating activities during the nine months ended September 30, 2015, consisting primarily of the items described in “— Results of Operations,” was approximately $71.4 million. This reflects purchases and sales of portfolio investments of approximately $17.1 million and $92.6 million, respectively, as well as purchases and maturities of treasury investments of approximately $225.0 million and $300.0 million, respectively. During the period, net cash used in financing activities was $18.0 million, reflecting net repayments of borrowings under the Credit Facility.</w:t>
      </w:r>
    </w:p>
    <w:p>
      <w:pPr>
        <w:spacing w:after="0" w:line="200" w:lineRule="exact"/>
        <w:rPr>
          <w:sz w:val="20"/>
          <w:szCs w:val="20"/>
          <w:color w:val="auto"/>
        </w:rPr>
      </w:pPr>
    </w:p>
    <w:p>
      <w:pPr>
        <w:spacing w:after="0" w:line="3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7" w:name="page58"/>
    <w:bookmarkEnd w:id="5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Issuances &amp; Debt Capital Activities</w:t>
      </w:r>
    </w:p>
    <w:p>
      <w:pPr>
        <w:spacing w:after="0" w:line="117"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There were no sales of our equity or debt securities during the nine months ended September 30, 2015 or for the year ended December 31, 2014.</w:t>
      </w:r>
    </w:p>
    <w:p>
      <w:pPr>
        <w:spacing w:after="0" w:line="62" w:lineRule="exact"/>
        <w:rPr>
          <w:sz w:val="20"/>
          <w:szCs w:val="20"/>
          <w:color w:val="auto"/>
        </w:rPr>
      </w:pPr>
    </w:p>
    <w:p>
      <w:pPr>
        <w:ind w:left="60" w:right="759" w:firstLine="270"/>
        <w:spacing w:after="0" w:line="425" w:lineRule="auto"/>
        <w:rPr>
          <w:sz w:val="20"/>
          <w:szCs w:val="20"/>
          <w:color w:val="auto"/>
        </w:rPr>
      </w:pPr>
      <w:r>
        <w:rPr>
          <w:rFonts w:ascii="Arial" w:cs="Arial" w:eastAsia="Arial" w:hAnsi="Arial"/>
          <w:sz w:val="18"/>
          <w:szCs w:val="18"/>
          <w:color w:val="auto"/>
        </w:rPr>
        <w:t xml:space="preserve">As of September 30, 2015, we had no borrowings under the Credit Facility, and $18 million unused under the Credit Facility. </w:t>
      </w:r>
      <w:r>
        <w:rPr>
          <w:rFonts w:ascii="Arial" w:cs="Arial" w:eastAsia="Arial" w:hAnsi="Arial"/>
          <w:sz w:val="18"/>
          <w:szCs w:val="18"/>
          <w:b w:val="1"/>
          <w:bCs w:val="1"/>
          <w:i w:val="1"/>
          <w:i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-60960</wp:posOffset>
            </wp:positionV>
            <wp:extent cx="521398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10"/>
          </w:tcPr>
          <w:p>
            <w:pPr>
              <w:ind w:left="320"/>
              <w:spacing w:after="0" w:line="150" w:lineRule="exact"/>
              <w:rPr>
                <w:sz w:val="20"/>
                <w:szCs w:val="20"/>
                <w:color w:val="auto"/>
              </w:rPr>
            </w:pPr>
            <w:r>
              <w:rPr>
                <w:rFonts w:ascii="Arial" w:cs="Arial" w:eastAsia="Arial" w:hAnsi="Arial"/>
                <w:sz w:val="14"/>
                <w:szCs w:val="14"/>
                <w:b w:val="1"/>
                <w:bCs w:val="1"/>
                <w:color w:val="auto"/>
              </w:rPr>
              <w:t>Payments Due By Period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840" w:type="dxa"/>
            <w:vAlign w:val="bottom"/>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Less than 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1 – 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3 – 5</w:t>
            </w:r>
          </w:p>
        </w:tc>
        <w:tc>
          <w:tcPr>
            <w:tcW w:w="160" w:type="dxa"/>
            <w:vAlign w:val="bottom"/>
          </w:tcPr>
          <w:p>
            <w:pPr>
              <w:spacing w:after="0"/>
              <w:rPr>
                <w:sz w:val="10"/>
                <w:szCs w:val="10"/>
                <w:color w:val="auto"/>
              </w:rPr>
            </w:pPr>
          </w:p>
        </w:tc>
        <w:tc>
          <w:tcPr>
            <w:tcW w:w="7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4040" w:type="dxa"/>
            <w:vAlign w:val="bottom"/>
            <w:gridSpan w:val="3"/>
            <w:vMerge w:val="restart"/>
          </w:tcPr>
          <w:p>
            <w:pPr>
              <w:ind w:left="20"/>
              <w:spacing w:after="0"/>
              <w:rPr>
                <w:sz w:val="20"/>
                <w:szCs w:val="20"/>
                <w:color w:val="auto"/>
              </w:rPr>
            </w:pPr>
            <w:r>
              <w:rPr>
                <w:rFonts w:ascii="Arial" w:cs="Arial" w:eastAsia="Arial" w:hAnsi="Arial"/>
                <w:sz w:val="18"/>
                <w:szCs w:val="18"/>
                <w:color w:val="auto"/>
              </w:rPr>
              <w:t>Payable for securities purchased</w:t>
            </w:r>
            <w:r>
              <w:rPr>
                <w:rFonts w:ascii="Arial" w:cs="Arial" w:eastAsia="Arial" w:hAnsi="Arial"/>
                <w:sz w:val="30"/>
                <w:szCs w:val="30"/>
                <w:color w:val="auto"/>
                <w:vertAlign w:val="superscript"/>
              </w:rPr>
              <w:t>(1)</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040" w:type="dxa"/>
            <w:vAlign w:val="bottom"/>
            <w:gridSpan w:val="3"/>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22.0</w:t>
            </w:r>
          </w:p>
        </w:tc>
        <w:tc>
          <w:tcPr>
            <w:tcW w:w="36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Credit Facility</w:t>
            </w:r>
            <w:r>
              <w:rPr>
                <w:rFonts w:ascii="Arial" w:cs="Arial" w:eastAsia="Arial" w:hAnsi="Arial"/>
                <w:sz w:val="29"/>
                <w:szCs w:val="29"/>
                <w:color w:val="auto"/>
                <w:vertAlign w:val="superscript"/>
              </w:rPr>
              <w:t>(2)(3)</w:t>
            </w:r>
          </w:p>
        </w:tc>
        <w:tc>
          <w:tcPr>
            <w:tcW w:w="120" w:type="dxa"/>
            <w:vAlign w:val="bottom"/>
          </w:tcPr>
          <w:p>
            <w:pPr>
              <w:spacing w:after="0"/>
              <w:rPr>
                <w:sz w:val="22"/>
                <w:szCs w:val="2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91.0</w:t>
            </w:r>
          </w:p>
        </w:tc>
        <w:tc>
          <w:tcPr>
            <w:tcW w:w="3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304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jc w:val="both"/>
        <w:ind w:left="300" w:right="519" w:hanging="272"/>
        <w:spacing w:after="0" w:line="264"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“Payable for securities purchased” relates to the purchase of the United States Treasury Bill on margin. The payable for securities purchased was subsequently repaid on October 1, 2015 when the United States Treasury Bill matured and the $3.0 million margin deposit which was posted as collateral was returned.</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total unused amount of the Credit Facility as of September 30, 2015 was $18 million.</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weighted-average interest rate incurred under the Credit Facility was 6.07% for the nine months ended September 30, 2015.</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ind w:left="60" w:right="519" w:firstLine="270"/>
        <w:spacing w:after="0" w:line="308" w:lineRule="auto"/>
        <w:rPr>
          <w:sz w:val="20"/>
          <w:szCs w:val="20"/>
          <w:color w:val="auto"/>
        </w:rPr>
      </w:pPr>
      <w:r>
        <w:rPr>
          <w:rFonts w:ascii="Arial" w:cs="Arial" w:eastAsia="Arial" w:hAnsi="Arial"/>
          <w:sz w:val="17"/>
          <w:szCs w:val="17"/>
          <w:color w:val="auto"/>
        </w:rPr>
        <w:t>As of September 30, 2015, we had no off-balance sheet arrangements, including any risk management of commodity pricing or other hedging practices. However, we may employ hedging and other risk management techniques in the future.</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117"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The timing and amount of our dividends, if any, will be determined by our board of directors and will be declared out of assets legally available for distribution. Subsequent to quarter end, on November 4, 2015, our board of directors declared a dividend of $2.76 per share payable on December 31, 2015 to stockholders of record at the close of business on November 16, 2015. The dividend will be paid in cash or shares of our common stock at the election of the stockholders, although the total amount of cash to be distributed to all stockholders will be limited to approximately 50% of the total dividend to be paid to all stockholders; provided, however, that in no event will we distribute less than 20% of the total dividend in cash. Refer to “— Recent Developments” below for more information.</w:t>
      </w:r>
    </w:p>
    <w:p>
      <w:pPr>
        <w:spacing w:after="0" w:line="81"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We intend to focus on making capital gains-based investments from which we will derive primarily capital gains. As a consequence, we do not anticipate that we will pay dividends on a quarterly basis or become a predictable distributor of dividends, and we expect that our dividends, if any, will be much less consistent than the dividends of other business development companies that primarily make debt investments. If there are earnings or realized capital gains to be distributed, we intend to declare and pay a dividend at least annually. The amount of realized capital gains available for distribution to stockholders will be impacted by our tax status.</w:t>
      </w:r>
    </w:p>
    <w:p>
      <w:pPr>
        <w:spacing w:after="0" w:line="85" w:lineRule="exact"/>
        <w:rPr>
          <w:sz w:val="20"/>
          <w:szCs w:val="20"/>
          <w:color w:val="auto"/>
        </w:rPr>
      </w:pPr>
    </w:p>
    <w:p>
      <w:pPr>
        <w:jc w:val="both"/>
        <w:ind w:left="60" w:right="519" w:firstLine="270"/>
        <w:spacing w:after="0" w:line="272" w:lineRule="auto"/>
        <w:rPr>
          <w:sz w:val="20"/>
          <w:szCs w:val="20"/>
          <w:color w:val="auto"/>
        </w:rPr>
      </w:pPr>
      <w:r>
        <w:rPr>
          <w:rFonts w:ascii="Arial" w:cs="Arial" w:eastAsia="Arial" w:hAnsi="Arial"/>
          <w:sz w:val="17"/>
          <w:szCs w:val="17"/>
          <w:color w:val="auto"/>
        </w:rPr>
        <w:t>Our current intention is to make any future distributions out of assets legally available therefrom in additional shares of our common stock under our dividend reinvestment plan, unless a stockholder elects to receive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remain taxable to the U.S. stockholder, although no cash distribution has been</w:t>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55" w:lineRule="auto"/>
        <w:rPr>
          <w:sz w:val="20"/>
          <w:szCs w:val="20"/>
          <w:color w:val="auto"/>
        </w:rPr>
      </w:pPr>
      <w:r>
        <w:rPr>
          <w:rFonts w:ascii="Arial" w:cs="Arial" w:eastAsia="Arial" w:hAnsi="Arial"/>
          <w:sz w:val="18"/>
          <w:szCs w:val="18"/>
          <w:color w:val="auto"/>
        </w:rPr>
        <w:t>made. As a result, if a stockholder does not elect to opt out of the dividend reinvestment plan, it will be required to pay applicable federal, state and local taxes on any reinvested dividends even though such stockholder will not receive a corresponding cash distribution. In addition, reinvested dividends have the effect of increasing our gross assets, which may correspondingly increase the management fee payable to our investment adviser, GSV Asset Management. Stockholders who hold shares in the name of a broker or financial intermediary should contact the broker or financial intermediary regarding any election to receive distributions in cash.</w:t>
      </w:r>
    </w:p>
    <w:p>
      <w:pPr>
        <w:spacing w:after="0" w:line="85"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Although we have elected and intend to be taxed as a RIC under Subchapter M of the Code for the 2014 taxable year and subsequent years, we were taxed as a C Corporation under the Code for our 2013 taxable year. So long as we qualify and maintain our status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condensed consolidated financial statements. Included in our condensed consolidated financial statements, the GSVC Holdings are taxable subsidiaries, regardless of whether we are a RIC. These taxable subsidiaries are not consolidated for income tax purposes and may generate income tax expenses as a result of their ownership of the portfolio companies. Such income tax expenses and deferred taxes, if any, will be reflected in our condensed consolidated financial statements.</w:t>
      </w:r>
    </w:p>
    <w:p>
      <w:pPr>
        <w:spacing w:after="0" w:line="74"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We also expect to qualify as a RIC for the 2015 tax year and going forward. At the present time, we cannot assure our investors that we will be eligible to elect to be taxed as a RIC for the 2015 taxable year. If we are not treated as a RIC for 2015, we will be taxed as a C corporation under the Code for the 2015 taxable year. See “Note 1 — Nature of Operations and Significant Accounting Policies — Significant Accounting Policies — U.S. Federal and State Income Taxes” and “Note 8 — Income Taxes” to our Condensed Consolidated Financial Statements for the period ended September 30, 2015 for more information.</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Borrowings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On September 17, 2013, we issued $69 million aggregate principal amount of Convertible Senior Notes which bear interest at a fixed rate of 5.25% per year, are payable semi-annually and mature on September 15, 2018, unless previously repurchased or converted in accordance with their terms. We do not have the right to redeem the Convertible Senior Notes prior to maturity. The Convertible Senior Notes are convertible into shares of our common stock based on an initial conversion rate of 61.5091 shares of common stock per $1,000 principal amount of Convertible Senior Notes, which is equivalent to an initial conversion price of approximately $16.26 per share of common stock, and which represents a premium of 58% to the $10.29 per share closing price of our common stock on November 6, 2015.</w:t>
      </w:r>
    </w:p>
    <w:p>
      <w:pPr>
        <w:spacing w:after="0" w:line="70"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Convertible Senior Notes are our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our subsidiaries. “Structurally junior” indicates that creditors of a parent entity are subordinate to creditors of a subsidiary entity with respect to the subsidiary’s assets.</w:t>
      </w:r>
    </w:p>
    <w:p>
      <w:pPr>
        <w:spacing w:after="0" w:line="57"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terms of the Convertible Senior Notes offering required us to place approximately $10.8 million of the proceeds of the offering in an escrow account with the Trustee to secure the payment of the first six interest payments.</w:t>
      </w:r>
    </w:p>
    <w:p>
      <w:pPr>
        <w:spacing w:after="0" w:line="62" w:lineRule="exact"/>
        <w:rPr>
          <w:sz w:val="20"/>
          <w:szCs w:val="20"/>
          <w:color w:val="auto"/>
        </w:rPr>
      </w:pPr>
    </w:p>
    <w:p>
      <w:pPr>
        <w:jc w:val="both"/>
        <w:ind w:left="40" w:right="539" w:firstLine="270"/>
        <w:spacing w:after="0" w:line="255" w:lineRule="auto"/>
        <w:rPr>
          <w:sz w:val="20"/>
          <w:szCs w:val="20"/>
          <w:color w:val="auto"/>
        </w:rPr>
      </w:pPr>
      <w:r>
        <w:rPr>
          <w:rFonts w:ascii="Arial" w:cs="Arial" w:eastAsia="Arial" w:hAnsi="Arial"/>
          <w:sz w:val="18"/>
          <w:szCs w:val="18"/>
          <w:color w:val="auto"/>
        </w:rPr>
        <w:t>We incurred approximately $3.5 million of legal and other costs associated with issuing the Convertible Senior Notes. These costs were deferred and are being amortized over the life of the Convertible Senior Notes. As of September 30, 2015, of the approximately $3.5 million incurred, approximately $2.1 million remains to be amortized. See “Note 1 — Nature of Operations and Significant Accounting Policies — Summary of Significant Accounting Policies — Deferred Financing Costs” and “Note 9 — Long Term Liabilities” to our Condensed Consolidated Financial Statements for the period ended September 30, 2015 for more information.</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The Convertible Senior Notes contain an interest make-whole payment provision that allows note holders who convert their notes into common stock prior to September 15, 2016 to receive a number of shares of our common stock calculated at the applicable conversion rate for the principal amount of notes being converted, as well as the cash proceeds from the sale by the escrow agent of the portion of the Government Securities in the escrow account that are remaining with respect to any of the first six interest payments that have not been made on the notes being converted.</w:t>
      </w:r>
    </w:p>
    <w:p>
      <w:pPr>
        <w:spacing w:after="0" w:line="80"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Refer to “Note 9 — Long Term Liabilities” to our Condensed Consolidated Financial Statements for the period ended September 30, 2015 for a detailed discussion of the Convertible Senior Notes and their interest make-whole payment provision.</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We entered into the Loan Agreement, effective December 31, 2013, with Silicon Valley Bank to provide us with an $18 million Credit Facility, which matures on December 31, 2016, and bears interest at a per annum rate equal to the greater of (i) the prime rate plus 4.75% and (ii) 8.0% on amounts drawn. In addition, a fee of $180,000 per annum (1.0% of the $18 million revolving line of credit) is charged under the Loan Agreement. Under the Credit Facility, we are permitted to borrow an amount equal to the lesser of $18 million or 20% of our then-current net asset value. The Credit Facility is secured by all of our property and assets, except for our assets pledged to secure certain obligations in connection with our issuance of the Convertible Senior Notes and, as provided for in the Loan Agreement, as may be pledged in connection with any future issuance by us of convertible senior notes on substantially similar terms. As of September 30, 2015, we had no borrowings under the Credit Facility.</w:t>
      </w:r>
    </w:p>
    <w:p>
      <w:pPr>
        <w:spacing w:after="0" w:line="58"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Refer to “Note 9 — Long Term Liabilities” to our Condensed Consolidated Financial Statements for the period ended September 30, 2015 for a detailed discussion of the Credit Facility.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We have entered into the Advisory Agreement with GSV Asset Management. Pursuant to the Advisory Agreement, GSV Asset Management will be paid a base annual fee of 2.00% of gross assets, and an annual incentive fee equal to the lesser of (i) 20% of our realized capital gains during each calendar year, if any, calculated on an investment-by-investment basis, subject to a non-compounded preferred return, or “hurdle,” and a “catch-up” feature, and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Incentive Fees</w:t>
      </w:r>
    </w:p>
    <w:p>
      <w:pPr>
        <w:spacing w:after="0" w:line="117"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We have not paid GSV Asset Management any incentive fees since inception under the terms of the Advisory Agreement. However, for GAAP purposes, in accordance with the AICPA’s TPA (TIS 6910.2), we are required to accrue incentive fees as if we had fully liquidated our entire investment portfolio at the fair value stated on the Condensed Consolidated Statements of Assets and Liabilities as of September 30, 2015 and December 31, 2014. This accrual considers both the hypothetical liquidation of our portfolio described previously, as well as our actual cumulative realized gains and losses since inception.</w:t>
      </w:r>
    </w:p>
    <w:p>
      <w:pPr>
        <w:spacing w:after="0" w:line="64"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For the three and nine months ended September 30, 2015, we accrued incentive fees of $1,062,535 and $10,839,602, respectively, for financial statement purposes. For the three and nine months ended September 30, 2014, we accrued incentive fees of $3,684,300 and $5,498,585, respectively, for financial statement purposes.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Management Fees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GSV Asset Management earned $2,063,017 and $5,994,530 in management fees for the three and nine months ended September 30, 2015, respectively. GSV Asset Management earned $1,949,705 and $5,639,564 in management fees for the three and nine months ended September 30, 2014, respectively.</w:t>
      </w:r>
    </w:p>
    <w:p>
      <w:pPr>
        <w:spacing w:after="0" w:line="7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As of September 30, 2015, we were owed $205,472 from GSV Asset Management for reimbursement of expenses we paid that were the responsibility of GSV Asset Management. In addition as of September 30, 2015, we owed GSV Asset Management $19,980 for reimbursement of other expenses.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As of December 31, 2014, we were owed $204,825 from GSV Asset Management for reimbursement of expenses we paid that were the responsibility of GSV Asset Management. In addition as of December 31, 2014, we owed GSV Asset Management $23,396 for reimbursement of other expenses.</w:t>
      </w:r>
    </w:p>
    <w:p>
      <w:pPr>
        <w:spacing w:after="0" w:line="73"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We have entered into the Administration Agreement with GSV Capital Service Company to provide administrative services, including furnishing us with office facilities, equipment, clerical, bookkeeping services and other administrative services. We reimburse GSV Capital Service Company an allocable portion of overhead and other expenses in performing its obligations under the Administration Agreement. There were $598,456 and $2,185,888 in such costs incurred under the Administration Agreement for the three and nine months ended September 30, 2015, respectively. There were $718,896 and $2,557,129 in such costs incurred under the Administration Agreement for the three and nine months ended September 30, 2014, respectively.</w:t>
      </w:r>
    </w:p>
    <w:p>
      <w:pPr>
        <w:spacing w:after="0" w:line="5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In February 2013, Mark Moe, who is the brother of our Chief Executive Officer, Michael Moe, joined NestGSV, Inc. (d/b/a GSV Labs, Inc.), one of our portfolio companies, as a Vice President of Business Development, Global Expansion. On August 26, 2014, Diane Flynn, who is the spouse of our President, Mark Flynn, joined NestGSV, Inc. (d/b/a GSV Labs, Inc.), on a contract basis as Chief Marketing Officer. In February 2015, she became the Chief Marketing Officer on a full-time basis. Ron Johnson, the CEO of Enjoy Technology, Inc., one of our portfolio companies, is the brother-in-law of our President, Mark Flynn. As of September 30, 2015, the fair value of our investments in NestGSV, Inc. and Enjoy Technology, Inc. were $7,102,299 and $5,701,035, respectively.</w:t>
      </w:r>
    </w:p>
    <w:p>
      <w:pPr>
        <w:spacing w:after="0" w:line="81"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In addition, our executive officers and directors, and the principals of our investment adviser, GSV Asset Management, serve or may serve as officers and directors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For example, as of September 30, 2015, GSV Asset Management also managed GSV X Fund, a global long/short absolute return fund, and Coursera@GSV Fund, LP, a special purpose vehicle comprised of an underlying investment in Coursera stock, and will likely manage one or more private funds in the future.</w:t>
      </w:r>
    </w:p>
    <w:p>
      <w:pPr>
        <w:spacing w:after="0" w:line="5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While the investment focus of each of these entities may be different from our investment objective, it is likely that new investment opportunities that meet our investment objective will come to the attention of one of these entities, or new entities that will likely be formed in the future in connection with another investment advisory client or program, and, if so, such opportunity might not be offered, or otherwise made available, to us. However, our executive officers, directors and investment adviser intend to treat us in a fair and equitable manner consistent with their applicable duties under law so that we will not be disadvantaged in relation to any other particular client. In addition, while GSV Asset Management anticipates that it will from time to time identify investment opportunities that are appropriate for both us and the other funds that are currently, or in the future may be, managed by GSV Asset Management, to the extent it does identify such opportunities, GSV Asset Management has established an allocation policy to ensure that we have priority over such other funds. Our board of directors will monitor on a quarterly basis any such allocation of investment opportunities between us and any such other funds.</w:t>
      </w:r>
    </w:p>
    <w:p>
      <w:pPr>
        <w:spacing w:after="0" w:line="70"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interests of us or our stockholders and may result in actual or perceived conflicts of interest.</w:t>
      </w:r>
    </w:p>
    <w:p>
      <w:pPr>
        <w:spacing w:after="0" w:line="64"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In the ordinary course of business, we may enter into transactions with portfolio companies that may be considered related-party transactions.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us, companies controlled by us and our executive officers and directors.</w:t>
      </w:r>
    </w:p>
    <w:p>
      <w:pPr>
        <w:spacing w:after="0" w:line="200" w:lineRule="exact"/>
        <w:rPr>
          <w:sz w:val="20"/>
          <w:szCs w:val="20"/>
          <w:color w:val="auto"/>
        </w:rPr>
      </w:pPr>
    </w:p>
    <w:p>
      <w:pPr>
        <w:spacing w:after="0" w:line="29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1" w:name="page62"/>
    <w:bookmarkEnd w:id="6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 w:right="519" w:firstLine="270"/>
        <w:spacing w:after="0" w:line="254" w:lineRule="auto"/>
        <w:rPr>
          <w:sz w:val="20"/>
          <w:szCs w:val="20"/>
          <w:color w:val="auto"/>
        </w:rPr>
      </w:pPr>
      <w:r>
        <w:rPr>
          <w:rFonts w:ascii="Arial" w:cs="Arial" w:eastAsia="Arial" w:hAnsi="Arial"/>
          <w:sz w:val="18"/>
          <w:szCs w:val="18"/>
          <w:color w:val="auto"/>
        </w:rPr>
        <w:t>We also adopted a Code of Ethics which applies to, among others, our senior officers, including our Chief Executive Officer and Chief Financial Officer, as well as all of our officers, directors and employees.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See “Note 1 — Nature of Operations and Significant Accounting Policies” to our Condensed Consolidated Financial Statements for the period ended September 30, 2015, which describes our critical accounting policies and recently issued accounting pronouncements not yet required to be adopted by us.</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Portfolio Activity</w:t>
      </w:r>
    </w:p>
    <w:p>
      <w:pPr>
        <w:spacing w:after="0" w:line="117"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From September 30, 2015 through November 9, 2015, we closed on investment purchases of $1,200,000 plus transaction costs as shown in following table. “Total Gross Payments” include the cost of entering into a portfolio company investment. Refer to “Note 1 — Nature of Operations and Significant Accounting Policies” to our Condensed Consolidated Financial Statements for the period ended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519684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9"/>
              </w:rPr>
              <w:t>Payments</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 Sustainability Partners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Clean Technology</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1, 2015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GSV Sustainability Partners</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Clean Technology</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November 2, 2015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Payments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1,200,000</w:t>
            </w: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September 30, 2015 through November 9, 2015, we sold no investments.</w:t>
      </w:r>
    </w:p>
    <w:p>
      <w:pPr>
        <w:spacing w:after="0" w:line="117"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We are presently in the final stages of negotiations with respect to several private company investments that we anticipate entering into within the next 30 to 60 days,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 From September 30, 2015 through November 9, 2015, we made no such escrow deposits.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Dividends</w:t>
      </w:r>
    </w:p>
    <w:p>
      <w:pPr>
        <w:spacing w:after="0" w:line="117" w:lineRule="exact"/>
        <w:rPr>
          <w:sz w:val="20"/>
          <w:szCs w:val="20"/>
          <w:color w:val="auto"/>
        </w:rPr>
      </w:pPr>
    </w:p>
    <w:p>
      <w:pPr>
        <w:jc w:val="both"/>
        <w:ind w:left="60" w:right="519" w:firstLine="270"/>
        <w:spacing w:after="0" w:line="270" w:lineRule="auto"/>
        <w:rPr>
          <w:sz w:val="20"/>
          <w:szCs w:val="20"/>
          <w:color w:val="auto"/>
        </w:rPr>
      </w:pPr>
      <w:r>
        <w:rPr>
          <w:rFonts w:ascii="Arial" w:cs="Arial" w:eastAsia="Arial" w:hAnsi="Arial"/>
          <w:sz w:val="17"/>
          <w:szCs w:val="17"/>
          <w:color w:val="auto"/>
        </w:rPr>
        <w:t>On November 4, 2015, our board of directors declared a dividend of $2.76 per share payable on December 31, 2015 to stockholders of record at the close of business on November 16, 2015. The ex-dividend date, which is the day that our common stock will begin trading without the dividend, is January 4, 2016. The dividend will be paid in cash or shares of our common stock at the election of the stockholders, although the total amount of cash to be distributed to all stockholders will be limited to approximately 50% of the total dividend to be paid to all stockholders; provided, however, that in no event will we distribute less than 20% of the total dividend in cash. The remainder of the dividend (approximately 50%) will be paid in the form of shares of our common stock. The number of shares of our common stock to be issued to stockholders receiving all or a portion of the dividend in shares of common stock will be based on the volume weighted-average price per share of our common stock on the Nasdaq Capital Market on December 28, 29 and 30, 2015.</w:t>
      </w:r>
    </w:p>
    <w:p>
      <w:pPr>
        <w:spacing w:after="0" w:line="74"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This dividend is being made in accordance with certain applicable Treasury regulations and private letter rulings on cash/stock dividends issued by the IRS over the years that allow a publicly traded RIC to satisfy its distribution requirements from a distribution paid partly in common stock provided that at least 20% of the distribution is payable in cash and certain other requirements are satisfied.</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2" w:name="page63"/>
    <w:bookmarkEnd w:id="6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We are subject to financial market risks, which could include changes in interest rates, to the extent we utilize leverage with variable rate structures. As we invest primarily in equity rather than debt instruments, we would not expect fluctuations in interest rates to directly impact the return on our portfolio investments, although any significant change in market interest rates could potentially have an indirect effect on the business, financial condition and results of operations of the portfolio companies in which we invest.</w:t>
      </w:r>
    </w:p>
    <w:p>
      <w:pPr>
        <w:spacing w:after="0" w:line="80" w:lineRule="exact"/>
        <w:rPr>
          <w:sz w:val="20"/>
          <w:szCs w:val="20"/>
          <w:color w:val="auto"/>
        </w:rPr>
      </w:pPr>
    </w:p>
    <w:p>
      <w:pPr>
        <w:jc w:val="both"/>
        <w:ind w:left="60" w:right="539" w:firstLine="270"/>
        <w:spacing w:after="0" w:line="279" w:lineRule="auto"/>
        <w:rPr>
          <w:sz w:val="20"/>
          <w:szCs w:val="20"/>
          <w:color w:val="auto"/>
        </w:rPr>
      </w:pPr>
      <w:r>
        <w:rPr>
          <w:rFonts w:ascii="Arial" w:cs="Arial" w:eastAsia="Arial" w:hAnsi="Arial"/>
          <w:sz w:val="17"/>
          <w:szCs w:val="17"/>
          <w:color w:val="auto"/>
        </w:rPr>
        <w:t>As of September 30, 2015, all of our debt investments bore a fixed rate of interest. As of September 30, 2015, all of our borrowings bore a fixed rate of interest with the exception of the Credit Facility which is indexed to the prime rate. We do not expect a significant impact on net investment income, due to changes in the prime rate, based on its historical stability. The table below, however, indicates the impact an increase in the prime rate would have on our net investment income.</w:t>
      </w:r>
    </w:p>
    <w:p>
      <w:pPr>
        <w:spacing w:after="0" w:line="63" w:lineRule="exact"/>
        <w:rPr>
          <w:sz w:val="20"/>
          <w:szCs w:val="20"/>
          <w:color w:val="auto"/>
        </w:rPr>
      </w:pPr>
    </w:p>
    <w:p>
      <w:pPr>
        <w:jc w:val="both"/>
        <w:ind w:left="60" w:right="519" w:firstLine="270"/>
        <w:spacing w:after="0" w:line="273" w:lineRule="auto"/>
        <w:rPr>
          <w:sz w:val="20"/>
          <w:szCs w:val="20"/>
          <w:color w:val="auto"/>
        </w:rPr>
      </w:pPr>
      <w:r>
        <w:rPr>
          <w:rFonts w:ascii="Arial" w:cs="Arial" w:eastAsia="Arial" w:hAnsi="Arial"/>
          <w:sz w:val="17"/>
          <w:szCs w:val="17"/>
          <w:color w:val="auto"/>
        </w:rPr>
        <w:t>At September 30, 2015 we had no borrowings under the Credit Facility, which allows us to borrow a maximum of $18.0 million. The amount we borrow under the Credit Facility will vary based on our business needs throughout the year. As such, we are not able to forecast our utilization under the Credit Facility and have thus assumed full utilization of the Credit Facility to present the largest impact rising interest rates could have on our net income. The table below shows the impact changes in interest rates could have on our net income, based on our Condensed Consolidated Statement of Assets and Liabilities as of September 30, 2015 (assuming no other changes in our investment and borrowing structure).</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 the nine months ended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0573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Basis Point Change</w:t>
            </w:r>
          </w:p>
        </w:tc>
        <w:tc>
          <w:tcPr>
            <w:tcW w:w="16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6"/>
                <w:szCs w:val="16"/>
                <w:color w:val="auto"/>
              </w:rPr>
            </w:pPr>
          </w:p>
        </w:tc>
        <w:tc>
          <w:tcPr>
            <w:tcW w:w="980" w:type="dxa"/>
            <w:vAlign w:val="bottom"/>
          </w:tcPr>
          <w:p>
            <w:pPr>
              <w:jc w:val="right"/>
              <w:ind w:right="297"/>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6"/>
        </w:trPr>
        <w:tc>
          <w:tcPr>
            <w:tcW w:w="52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3"/>
                <w:szCs w:val="13"/>
                <w:b w:val="1"/>
                <w:bCs w:val="1"/>
                <w:color w:val="auto"/>
              </w:rPr>
              <w:t>Expense</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300 Basis points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$(1,320,000)</w:t>
            </w: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Up 200 Basis points</w:t>
            </w:r>
          </w:p>
        </w:tc>
        <w:tc>
          <w:tcPr>
            <w:tcW w:w="160" w:type="dxa"/>
            <w:vAlign w:val="bottom"/>
          </w:tcPr>
          <w:p>
            <w:pPr>
              <w:spacing w:after="0"/>
              <w:rPr>
                <w:sz w:val="18"/>
                <w:szCs w:val="18"/>
                <w:color w:val="auto"/>
              </w:rPr>
            </w:pP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$(1,200,000)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100 Basis points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$(1,080,000)</w:t>
            </w:r>
          </w:p>
        </w:tc>
        <w:tc>
          <w:tcPr>
            <w:tcW w:w="0" w:type="dxa"/>
            <w:vAlign w:val="bottom"/>
          </w:tcPr>
          <w:p>
            <w:pPr>
              <w:spacing w:after="0"/>
              <w:rPr>
                <w:sz w:val="1"/>
                <w:szCs w:val="1"/>
                <w:color w:val="auto"/>
              </w:rPr>
            </w:pPr>
          </w:p>
        </w:tc>
      </w:tr>
      <w:tr>
        <w:trPr>
          <w:trHeight w:val="257"/>
        </w:trPr>
        <w:tc>
          <w:tcPr>
            <w:tcW w:w="5220" w:type="dxa"/>
            <w:vAlign w:val="bottom"/>
          </w:tcPr>
          <w:p>
            <w:pPr>
              <w:ind w:left="20"/>
              <w:spacing w:after="0" w:line="256" w:lineRule="exact"/>
              <w:rPr>
                <w:sz w:val="20"/>
                <w:szCs w:val="20"/>
                <w:color w:val="auto"/>
              </w:rPr>
            </w:pPr>
            <w:r>
              <w:rPr>
                <w:rFonts w:ascii="Arial" w:cs="Arial" w:eastAsia="Arial" w:hAnsi="Arial"/>
                <w:sz w:val="18"/>
                <w:szCs w:val="18"/>
                <w:color w:val="auto"/>
              </w:rPr>
              <w:t>Down 100 Basis points</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Down 200 Basis points</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0"/>
        </w:trPr>
        <w:tc>
          <w:tcPr>
            <w:tcW w:w="5220" w:type="dxa"/>
            <w:vAlign w:val="bottom"/>
          </w:tcPr>
          <w:p>
            <w:pPr>
              <w:ind w:left="20"/>
              <w:spacing w:after="0"/>
              <w:rPr>
                <w:sz w:val="20"/>
                <w:szCs w:val="20"/>
                <w:color w:val="auto"/>
              </w:rPr>
            </w:pPr>
            <w:r>
              <w:rPr>
                <w:rFonts w:ascii="Arial" w:cs="Arial" w:eastAsia="Arial" w:hAnsi="Arial"/>
                <w:sz w:val="18"/>
                <w:szCs w:val="18"/>
                <w:color w:val="auto"/>
              </w:rPr>
              <w:t>Down 300 Basis points</w:t>
            </w:r>
            <w:r>
              <w:rPr>
                <w:rFonts w:ascii="Arial" w:cs="Arial" w:eastAsia="Arial" w:hAnsi="Arial"/>
                <w:sz w:val="30"/>
                <w:szCs w:val="30"/>
                <w:color w:val="auto"/>
                <w:vertAlign w:val="superscript"/>
              </w:rPr>
              <w:t>(2)</w:t>
            </w:r>
          </w:p>
        </w:tc>
        <w:tc>
          <w:tcPr>
            <w:tcW w:w="160" w:type="dxa"/>
            <w:vAlign w:val="bottom"/>
          </w:tcPr>
          <w:p>
            <w:pPr>
              <w:spacing w:after="0"/>
              <w:rPr>
                <w:sz w:val="24"/>
                <w:szCs w:val="24"/>
                <w:color w:val="auto"/>
              </w:rPr>
            </w:pP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86360</wp:posOffset>
            </wp:positionV>
            <wp:extent cx="6172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86" w:lineRule="exact"/>
        <w:rPr>
          <w:sz w:val="20"/>
          <w:szCs w:val="20"/>
          <w:color w:val="auto"/>
        </w:rPr>
      </w:pPr>
    </w:p>
    <w:p>
      <w:pPr>
        <w:jc w:val="both"/>
        <w:ind w:left="300" w:right="539" w:hanging="272"/>
        <w:spacing w:after="0" w:line="259" w:lineRule="auto"/>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expense amounts are calculated assuming $18 million outstanding, with an 8% interest rate and a 360-day year, increased by the number of basis points indicated. For the nine months ended September 30, 2015, we have excluded 30 days of interest expense, as we are obligated under the terms of the Credit Facility to maintain a $0 balance outstanding for one 30-day period each calendar year.</w:t>
      </w:r>
    </w:p>
    <w:p>
      <w:pPr>
        <w:spacing w:after="0" w:line="78" w:lineRule="exact"/>
        <w:rPr>
          <w:rFonts w:ascii="Arial" w:cs="Arial" w:eastAsia="Arial" w:hAnsi="Arial"/>
          <w:sz w:val="18"/>
          <w:szCs w:val="18"/>
          <w:color w:val="auto"/>
        </w:rPr>
      </w:pPr>
    </w:p>
    <w:p>
      <w:pPr>
        <w:jc w:val="both"/>
        <w:ind w:left="300" w:right="539" w:hanging="272"/>
        <w:spacing w:after="0" w:line="264" w:lineRule="auto"/>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Credit Facility, bears interest at a per annum rate equal to the greater of (i) the prime rate plus 4.75% and (ii) 8.0%. As such, the effective minimum interest rate we will incur on borrowings under the Credit Facility is 8%. As the prime rate was at 3.25% as of September 30, 2015, only increases in the prime rate will affect our net income.</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left="60" w:right="519" w:firstLine="270"/>
        <w:spacing w:after="0" w:line="269" w:lineRule="auto"/>
        <w:rPr>
          <w:sz w:val="20"/>
          <w:szCs w:val="20"/>
          <w:color w:val="auto"/>
        </w:rPr>
      </w:pPr>
      <w:r>
        <w:rPr>
          <w:rFonts w:ascii="Arial" w:cs="Arial" w:eastAsia="Arial" w:hAnsi="Arial"/>
          <w:sz w:val="17"/>
          <w:szCs w:val="17"/>
          <w:color w:val="auto"/>
        </w:rPr>
        <w:t>As of September 30, 2015, we, including our Chief Executive Officer and Chief Financial Officer, evaluated the effectiveness of the design and operation of our disclosure controls and procedures (as defined in Rules 13a-15(e) and 15d-15(e) under the Securities Exchange Act of 1934, as amended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200" w:lineRule="exact"/>
        <w:rPr>
          <w:sz w:val="20"/>
          <w:szCs w:val="20"/>
          <w:color w:val="auto"/>
        </w:rPr>
      </w:pPr>
    </w:p>
    <w:p>
      <w:pPr>
        <w:spacing w:after="0" w:line="32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quarter ended September 30, 2015 that have materially affected, or are reasonably likely to materially affect, our internal control over financial reporting.</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Neither we nor any of our subsidiaries are currently a party to any material pending legal proceedings. From time to time we or our subsidiaries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Item 1A. Risk Factors in our annual report on Form 10-K for the fiscal year ended December 31, 2014, and in our quarterly report on Form 10-Q for the period ended June 30, 2015, which could materially affect our business, financial condition and/or operating results. The risks described in our annual report on Form 10-K and in our quarterly report on Form 10-Q for the period ended June 30, 2015 are not the only risks facing our company. Additional risks and uncertainties not currently known to us or that we currently deem to be immaterial also may materially and adversely affect our business, financial condition and/or operating results. There have been no material changes during the three months ended September 30, 2015 to the risk factors discussed in Item 1A. Risk Factors in our annual report on Form 10-K for the fiscal year ended December 31, 2014, and in our quarterly report on Form 10-Q for the period ended June 30, 2015.</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exhibits are filed as part of this report or hereby incorporated by reference to exhibits previously filed with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51796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48" w:lineRule="exact"/>
        <w:rPr>
          <w:sz w:val="20"/>
          <w:szCs w:val="20"/>
          <w:color w:val="auto"/>
        </w:rPr>
      </w:pPr>
    </w:p>
    <w:tbl>
      <w:tblPr>
        <w:tblLayout w:type="fixed"/>
        <w:tblInd w:w="220" w:type="dxa"/>
        <w:tblCellMar>
          <w:top w:w="0" w:type="dxa"/>
          <w:left w:w="0" w:type="dxa"/>
          <w:bottom w:w="0" w:type="dxa"/>
          <w:right w:w="0" w:type="dxa"/>
        </w:tblCellMar>
      </w:tblPr>
      <w:tr>
        <w:trPr>
          <w:trHeight w:val="345"/>
        </w:trPr>
        <w:tc>
          <w:tcPr>
            <w:tcW w:w="500" w:type="dxa"/>
            <w:vAlign w:val="bottom"/>
          </w:tcPr>
          <w:p>
            <w:pPr>
              <w:jc w:val="center"/>
              <w:ind w:right="70"/>
              <w:spacing w:after="0"/>
              <w:rPr>
                <w:sz w:val="20"/>
                <w:szCs w:val="20"/>
                <w:color w:val="auto"/>
              </w:rPr>
            </w:pPr>
            <w:r>
              <w:rPr>
                <w:rFonts w:ascii="Arial" w:cs="Arial" w:eastAsia="Arial" w:hAnsi="Arial"/>
                <w:sz w:val="18"/>
                <w:szCs w:val="18"/>
                <w:color w:val="auto"/>
                <w:w w:val="87"/>
              </w:rPr>
              <w:t>3.1</w:t>
            </w:r>
          </w:p>
        </w:tc>
        <w:tc>
          <w:tcPr>
            <w:tcW w:w="7320" w:type="dxa"/>
            <w:vAlign w:val="bottom"/>
          </w:tcPr>
          <w:p>
            <w:pPr>
              <w:ind w:left="200"/>
              <w:spacing w:after="0"/>
              <w:rPr>
                <w:sz w:val="20"/>
                <w:szCs w:val="20"/>
                <w:color w:val="auto"/>
              </w:rPr>
            </w:pPr>
            <w:r>
              <w:rPr>
                <w:rFonts w:ascii="Arial" w:cs="Arial" w:eastAsia="Arial" w:hAnsi="Arial"/>
                <w:sz w:val="18"/>
                <w:szCs w:val="18"/>
                <w:color w:val="auto"/>
              </w:rPr>
              <w:t>Articles of Amendment and Restatement</w:t>
            </w:r>
            <w:r>
              <w:rPr>
                <w:rFonts w:ascii="Arial" w:cs="Arial" w:eastAsia="Arial" w:hAnsi="Arial"/>
                <w:sz w:val="30"/>
                <w:szCs w:val="30"/>
                <w:color w:val="auto"/>
                <w:vertAlign w:val="superscript"/>
              </w:rPr>
              <w:t>(1)</w:t>
            </w:r>
          </w:p>
        </w:tc>
      </w:tr>
      <w:tr>
        <w:trPr>
          <w:trHeight w:val="257"/>
        </w:trPr>
        <w:tc>
          <w:tcPr>
            <w:tcW w:w="500" w:type="dxa"/>
            <w:vAlign w:val="bottom"/>
          </w:tcPr>
          <w:p>
            <w:pPr>
              <w:jc w:val="center"/>
              <w:ind w:right="70"/>
              <w:spacing w:after="0"/>
              <w:rPr>
                <w:sz w:val="20"/>
                <w:szCs w:val="20"/>
                <w:color w:val="auto"/>
              </w:rPr>
            </w:pPr>
            <w:r>
              <w:rPr>
                <w:rFonts w:ascii="Arial" w:cs="Arial" w:eastAsia="Arial" w:hAnsi="Arial"/>
                <w:sz w:val="18"/>
                <w:szCs w:val="18"/>
                <w:color w:val="auto"/>
                <w:w w:val="87"/>
              </w:rPr>
              <w:t>3.2</w:t>
            </w:r>
          </w:p>
        </w:tc>
        <w:tc>
          <w:tcPr>
            <w:tcW w:w="7320" w:type="dxa"/>
            <w:vAlign w:val="bottom"/>
          </w:tcPr>
          <w:p>
            <w:pPr>
              <w:ind w:left="200"/>
              <w:spacing w:after="0" w:line="256" w:lineRule="exact"/>
              <w:rPr>
                <w:sz w:val="20"/>
                <w:szCs w:val="20"/>
                <w:color w:val="auto"/>
              </w:rPr>
            </w:pPr>
            <w:r>
              <w:rPr>
                <w:rFonts w:ascii="Arial" w:cs="Arial" w:eastAsia="Arial" w:hAnsi="Arial"/>
                <w:sz w:val="18"/>
                <w:szCs w:val="18"/>
                <w:color w:val="auto"/>
              </w:rPr>
              <w:t>Articles of Amendment</w:t>
            </w:r>
            <w:r>
              <w:rPr>
                <w:rFonts w:ascii="Arial" w:cs="Arial" w:eastAsia="Arial" w:hAnsi="Arial"/>
                <w:sz w:val="29"/>
                <w:szCs w:val="29"/>
                <w:color w:val="auto"/>
                <w:vertAlign w:val="superscript"/>
              </w:rPr>
              <w:t>(2)</w:t>
            </w:r>
          </w:p>
        </w:tc>
      </w:tr>
      <w:tr>
        <w:trPr>
          <w:trHeight w:val="257"/>
        </w:trPr>
        <w:tc>
          <w:tcPr>
            <w:tcW w:w="500" w:type="dxa"/>
            <w:vAlign w:val="bottom"/>
          </w:tcPr>
          <w:p>
            <w:pPr>
              <w:jc w:val="center"/>
              <w:ind w:right="70"/>
              <w:spacing w:after="0"/>
              <w:rPr>
                <w:sz w:val="20"/>
                <w:szCs w:val="20"/>
                <w:color w:val="auto"/>
              </w:rPr>
            </w:pPr>
            <w:r>
              <w:rPr>
                <w:rFonts w:ascii="Arial" w:cs="Arial" w:eastAsia="Arial" w:hAnsi="Arial"/>
                <w:sz w:val="18"/>
                <w:szCs w:val="18"/>
                <w:color w:val="auto"/>
                <w:w w:val="87"/>
              </w:rPr>
              <w:t>3.3</w:t>
            </w:r>
          </w:p>
        </w:tc>
        <w:tc>
          <w:tcPr>
            <w:tcW w:w="7320" w:type="dxa"/>
            <w:vAlign w:val="bottom"/>
          </w:tcPr>
          <w:p>
            <w:pPr>
              <w:ind w:left="200"/>
              <w:spacing w:after="0" w:line="256" w:lineRule="exact"/>
              <w:rPr>
                <w:sz w:val="20"/>
                <w:szCs w:val="20"/>
                <w:color w:val="auto"/>
              </w:rPr>
            </w:pPr>
            <w:r>
              <w:rPr>
                <w:rFonts w:ascii="Arial" w:cs="Arial" w:eastAsia="Arial" w:hAnsi="Arial"/>
                <w:sz w:val="18"/>
                <w:szCs w:val="18"/>
                <w:color w:val="auto"/>
              </w:rPr>
              <w:t>Bylaws</w:t>
            </w:r>
            <w:r>
              <w:rPr>
                <w:rFonts w:ascii="Arial" w:cs="Arial" w:eastAsia="Arial" w:hAnsi="Arial"/>
                <w:sz w:val="29"/>
                <w:szCs w:val="29"/>
                <w:color w:val="auto"/>
                <w:vertAlign w:val="superscript"/>
              </w:rPr>
              <w:t>(1)</w:t>
            </w:r>
          </w:p>
        </w:tc>
      </w:tr>
      <w:tr>
        <w:trPr>
          <w:trHeight w:val="216"/>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11.1</w:t>
            </w:r>
          </w:p>
        </w:tc>
        <w:tc>
          <w:tcPr>
            <w:tcW w:w="7320" w:type="dxa"/>
            <w:vAlign w:val="bottom"/>
          </w:tcPr>
          <w:p>
            <w:pPr>
              <w:ind w:left="200"/>
              <w:spacing w:after="0"/>
              <w:rPr>
                <w:sz w:val="20"/>
                <w:szCs w:val="20"/>
                <w:color w:val="auto"/>
              </w:rPr>
            </w:pPr>
            <w:r>
              <w:rPr>
                <w:rFonts w:ascii="Arial" w:cs="Arial" w:eastAsia="Arial" w:hAnsi="Arial"/>
                <w:sz w:val="18"/>
                <w:szCs w:val="18"/>
                <w:color w:val="auto"/>
                <w:w w:val="92"/>
              </w:rPr>
              <w:t>Computation of Per Share Earnings (Included in “Note 5 — Net Increase in Net Assets Resulting</w:t>
            </w:r>
          </w:p>
        </w:tc>
      </w:tr>
      <w:tr>
        <w:trPr>
          <w:trHeight w:val="216"/>
        </w:trPr>
        <w:tc>
          <w:tcPr>
            <w:tcW w:w="50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w w:val="98"/>
              </w:rPr>
              <w:t>from Operations per Common Share — Basic and Diluted” to our Condensed Consolidated</w:t>
            </w:r>
          </w:p>
        </w:tc>
      </w:tr>
      <w:tr>
        <w:trPr>
          <w:trHeight w:val="216"/>
        </w:trPr>
        <w:tc>
          <w:tcPr>
            <w:tcW w:w="50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Financial Statements contained in this report)</w:t>
            </w:r>
          </w:p>
        </w:tc>
      </w:tr>
      <w:tr>
        <w:trPr>
          <w:trHeight w:val="216"/>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31.1</w:t>
            </w:r>
          </w:p>
        </w:tc>
        <w:tc>
          <w:tcPr>
            <w:tcW w:w="7320" w:type="dxa"/>
            <w:vAlign w:val="bottom"/>
          </w:tcPr>
          <w:p>
            <w:pPr>
              <w:ind w:left="200"/>
              <w:spacing w:after="0"/>
              <w:rPr>
                <w:sz w:val="20"/>
                <w:szCs w:val="20"/>
                <w:color w:val="auto"/>
              </w:rPr>
            </w:pPr>
            <w:r>
              <w:rPr>
                <w:rFonts w:ascii="Arial" w:cs="Arial" w:eastAsia="Arial" w:hAnsi="Arial"/>
                <w:sz w:val="18"/>
                <w:szCs w:val="18"/>
                <w:color w:val="auto"/>
                <w:w w:val="92"/>
              </w:rPr>
              <w:t>Certification of Chief Executive Officer pursuant to Rule 13a-14 of the Securities Exchange Act of</w:t>
            </w:r>
          </w:p>
        </w:tc>
      </w:tr>
      <w:tr>
        <w:trPr>
          <w:trHeight w:val="216"/>
        </w:trPr>
        <w:tc>
          <w:tcPr>
            <w:tcW w:w="50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1934, as amended*</w:t>
            </w:r>
          </w:p>
        </w:tc>
      </w:tr>
      <w:tr>
        <w:trPr>
          <w:trHeight w:val="216"/>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31.2</w:t>
            </w:r>
          </w:p>
        </w:tc>
        <w:tc>
          <w:tcPr>
            <w:tcW w:w="7320" w:type="dxa"/>
            <w:vAlign w:val="bottom"/>
          </w:tcPr>
          <w:p>
            <w:pPr>
              <w:ind w:left="200"/>
              <w:spacing w:after="0"/>
              <w:rPr>
                <w:sz w:val="20"/>
                <w:szCs w:val="20"/>
                <w:color w:val="auto"/>
              </w:rPr>
            </w:pPr>
            <w:r>
              <w:rPr>
                <w:rFonts w:ascii="Arial" w:cs="Arial" w:eastAsia="Arial" w:hAnsi="Arial"/>
                <w:sz w:val="18"/>
                <w:szCs w:val="18"/>
                <w:color w:val="auto"/>
                <w:w w:val="92"/>
              </w:rPr>
              <w:t>Certification of Chief Financial Officer pursuant to Rule 13a-14 of the Securities Exchange Act of</w:t>
            </w:r>
          </w:p>
        </w:tc>
      </w:tr>
      <w:tr>
        <w:trPr>
          <w:trHeight w:val="216"/>
        </w:trPr>
        <w:tc>
          <w:tcPr>
            <w:tcW w:w="50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1934, as amended*</w:t>
            </w:r>
          </w:p>
        </w:tc>
      </w:tr>
      <w:tr>
        <w:trPr>
          <w:trHeight w:val="216"/>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32.1</w:t>
            </w:r>
          </w:p>
        </w:tc>
        <w:tc>
          <w:tcPr>
            <w:tcW w:w="7320" w:type="dxa"/>
            <w:vAlign w:val="bottom"/>
          </w:tcPr>
          <w:p>
            <w:pPr>
              <w:ind w:left="200"/>
              <w:spacing w:after="0"/>
              <w:rPr>
                <w:sz w:val="20"/>
                <w:szCs w:val="20"/>
                <w:color w:val="auto"/>
              </w:rPr>
            </w:pPr>
            <w:r>
              <w:rPr>
                <w:rFonts w:ascii="Arial" w:cs="Arial" w:eastAsia="Arial" w:hAnsi="Arial"/>
                <w:sz w:val="18"/>
                <w:szCs w:val="18"/>
                <w:color w:val="auto"/>
                <w:w w:val="99"/>
              </w:rPr>
              <w:t>Certification of Chief Executive Officer pursuant to Section 906 of the Sarbanes-Oxley Act</w:t>
            </w:r>
          </w:p>
        </w:tc>
      </w:tr>
      <w:tr>
        <w:trPr>
          <w:trHeight w:val="216"/>
        </w:trPr>
        <w:tc>
          <w:tcPr>
            <w:tcW w:w="50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of 2002*</w:t>
            </w:r>
          </w:p>
        </w:tc>
      </w:tr>
      <w:tr>
        <w:trPr>
          <w:trHeight w:val="216"/>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32.2</w:t>
            </w:r>
          </w:p>
        </w:tc>
        <w:tc>
          <w:tcPr>
            <w:tcW w:w="7320" w:type="dxa"/>
            <w:vAlign w:val="bottom"/>
          </w:tcPr>
          <w:p>
            <w:pPr>
              <w:ind w:left="200"/>
              <w:spacing w:after="0"/>
              <w:rPr>
                <w:sz w:val="20"/>
                <w:szCs w:val="20"/>
                <w:color w:val="auto"/>
              </w:rPr>
            </w:pPr>
            <w:r>
              <w:rPr>
                <w:rFonts w:ascii="Arial" w:cs="Arial" w:eastAsia="Arial" w:hAnsi="Arial"/>
                <w:sz w:val="18"/>
                <w:szCs w:val="18"/>
                <w:color w:val="auto"/>
              </w:rPr>
              <w:t>Certification of Chief Financial Officer pursuant to Section 906 of the Sarbanes-Oxley Act</w:t>
            </w:r>
          </w:p>
        </w:tc>
      </w:tr>
      <w:tr>
        <w:trPr>
          <w:trHeight w:val="230"/>
        </w:trPr>
        <w:tc>
          <w:tcPr>
            <w:tcW w:w="500" w:type="dxa"/>
            <w:vAlign w:val="bottom"/>
          </w:tcPr>
          <w:p>
            <w:pPr>
              <w:spacing w:after="0"/>
              <w:rPr>
                <w:sz w:val="20"/>
                <w:szCs w:val="20"/>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172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80" w:right="519" w:hanging="272"/>
        <w:spacing w:after="0" w:line="277"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62" w:lineRule="exact"/>
        <w:rPr>
          <w:rFonts w:ascii="Arial" w:cs="Arial" w:eastAsia="Arial" w:hAnsi="Arial"/>
          <w:sz w:val="18"/>
          <w:szCs w:val="18"/>
          <w:color w:val="auto"/>
        </w:rPr>
      </w:pPr>
    </w:p>
    <w:p>
      <w:pPr>
        <w:ind w:left="280" w:right="519" w:hanging="272"/>
        <w:spacing w:after="0" w:line="277"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June 1, 2011, and incorporated by reference herein.</w:t>
      </w:r>
    </w:p>
    <w:p>
      <w:pPr>
        <w:spacing w:after="0" w:line="6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5" w:name="page66"/>
    <w:bookmarkEnd w:id="6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12-14</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of Investments in and Advances to Affiliates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617474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172085</wp:posOffset>
            </wp:positionV>
            <wp:extent cx="617474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Amount of</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Interest, Fees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or Dividends</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Realized and</w:t>
            </w: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Fair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Credited in</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Transfers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3400" w:type="dxa"/>
            <w:vAlign w:val="bottom"/>
            <w:tcBorders>
              <w:bottom w:val="single" w:sz="8" w:color="auto"/>
            </w:tcBorders>
            <w:gridSpan w:val="13"/>
          </w:tcPr>
          <w:p>
            <w:pPr>
              <w:ind w:left="20"/>
              <w:spacing w:after="0"/>
              <w:rPr>
                <w:sz w:val="20"/>
                <w:szCs w:val="20"/>
                <w:color w:val="auto"/>
              </w:rPr>
            </w:pPr>
            <w:r>
              <w:rPr>
                <w:rFonts w:ascii="Arial" w:cs="Arial" w:eastAsia="Arial" w:hAnsi="Arial"/>
                <w:sz w:val="14"/>
                <w:szCs w:val="14"/>
                <w:b w:val="1"/>
                <w:bCs w:val="1"/>
                <w:color w:val="auto"/>
              </w:rPr>
              <w:t>Portfolio Company/Type of Investment*</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In (Out)</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Purchases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Sales</w:t>
            </w:r>
          </w:p>
        </w:tc>
        <w:tc>
          <w:tcPr>
            <w:tcW w:w="9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3"/>
              </w:rPr>
              <w:t>Gains/(Losses)</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0" w:type="dxa"/>
            <w:vAlign w:val="bottom"/>
            <w:tcBorders>
              <w:right w:val="single" w:sz="8" w:color="CCEEFF"/>
            </w:tcBorders>
            <w:gridSpan w:val="13"/>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Control Investments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40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AlwaysOn, Inc.</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629,309</w:t>
            </w: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(629,309)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A-1</w:t>
            </w: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491,252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(491,252)</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rPr>
              <w:t>Preferred warrants Series A, $1.00 strike price,</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380" w:type="dxa"/>
            <w:vAlign w:val="bottom"/>
            <w:tcBorders>
              <w:right w:val="single" w:sz="8" w:color="CCEEFF"/>
            </w:tcBorders>
            <w:gridSpan w:val="12"/>
            <w:shd w:val="clear" w:color="auto" w:fill="CCEEFF"/>
          </w:tcPr>
          <w:p>
            <w:pPr>
              <w:ind w:left="180"/>
              <w:spacing w:after="0"/>
              <w:rPr>
                <w:sz w:val="20"/>
                <w:szCs w:val="20"/>
                <w:color w:val="auto"/>
              </w:rPr>
            </w:pPr>
            <w:r>
              <w:rPr>
                <w:rFonts w:ascii="Arial" w:cs="Arial" w:eastAsia="Arial" w:hAnsi="Arial"/>
                <w:sz w:val="16"/>
                <w:szCs w:val="16"/>
                <w:color w:val="auto"/>
              </w:rPr>
              <w:t>expire 1/9/2017</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124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w w:val="95"/>
              </w:rPr>
              <w:t>StormWind, LLC</w:t>
            </w:r>
          </w:p>
        </w:tc>
        <w:tc>
          <w:tcPr>
            <w:tcW w:w="1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w w:val="95"/>
              </w:rPr>
              <w:t>(1)</w:t>
            </w:r>
          </w:p>
        </w:tc>
        <w:tc>
          <w:tcPr>
            <w:tcW w:w="60" w:type="dxa"/>
            <w:vAlign w:val="bottom"/>
            <w:gridSpan w:val="2"/>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540" w:type="dxa"/>
            <w:vAlign w:val="bottom"/>
            <w:vMerge w:val="restart"/>
          </w:tcPr>
          <w:p>
            <w:pPr>
              <w:spacing w:after="0"/>
              <w:rPr>
                <w:sz w:val="11"/>
                <w:szCs w:val="11"/>
                <w:color w:val="auto"/>
              </w:rPr>
            </w:pPr>
          </w:p>
        </w:tc>
        <w:tc>
          <w:tcPr>
            <w:tcW w:w="8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124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4,338,830</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351,278</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4,690,108</w:t>
            </w:r>
          </w:p>
        </w:tc>
        <w:tc>
          <w:tcPr>
            <w:tcW w:w="0" w:type="dxa"/>
            <w:vAlign w:val="bottom"/>
          </w:tcPr>
          <w:p>
            <w:pPr>
              <w:spacing w:after="0"/>
              <w:rPr>
                <w:sz w:val="1"/>
                <w:szCs w:val="1"/>
                <w:color w:val="auto"/>
              </w:rPr>
            </w:pPr>
          </w:p>
        </w:tc>
      </w:tr>
      <w:tr>
        <w:trPr>
          <w:trHeight w:val="203"/>
        </w:trPr>
        <w:tc>
          <w:tcPr>
            <w:tcW w:w="340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4,347,608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359,722</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4,707,330</w:t>
            </w:r>
          </w:p>
        </w:tc>
        <w:tc>
          <w:tcPr>
            <w:tcW w:w="0" w:type="dxa"/>
            <w:vAlign w:val="bottom"/>
          </w:tcPr>
          <w:p>
            <w:pPr>
              <w:spacing w:after="0"/>
              <w:rPr>
                <w:sz w:val="1"/>
                <w:szCs w:val="1"/>
                <w:color w:val="auto"/>
              </w:rPr>
            </w:pPr>
          </w:p>
        </w:tc>
      </w:tr>
      <w:tr>
        <w:trPr>
          <w:trHeight w:val="20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391,592</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134,692</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526,284</w:t>
            </w:r>
          </w:p>
        </w:tc>
        <w:tc>
          <w:tcPr>
            <w:tcW w:w="0" w:type="dxa"/>
            <w:vAlign w:val="bottom"/>
          </w:tcPr>
          <w:p>
            <w:pPr>
              <w:spacing w:after="0"/>
              <w:rPr>
                <w:sz w:val="1"/>
                <w:szCs w:val="1"/>
                <w:color w:val="auto"/>
              </w:rPr>
            </w:pPr>
          </w:p>
        </w:tc>
      </w:tr>
      <w:tr>
        <w:trPr>
          <w:trHeight w:val="162"/>
        </w:trPr>
        <w:tc>
          <w:tcPr>
            <w:tcW w:w="340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NestGSV, Inc. (d/b/a GSV Labs, Inc.)</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1,460,557</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3,500,000</w:t>
            </w: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4,960,565</w:t>
            </w:r>
          </w:p>
        </w:tc>
        <w:tc>
          <w:tcPr>
            <w:tcW w:w="0" w:type="dxa"/>
            <w:vAlign w:val="bottom"/>
          </w:tcPr>
          <w:p>
            <w:pPr>
              <w:spacing w:after="0"/>
              <w:rPr>
                <w:sz w:val="1"/>
                <w:szCs w:val="1"/>
                <w:color w:val="auto"/>
              </w:rPr>
            </w:pPr>
          </w:p>
        </w:tc>
      </w:tr>
      <w:tr>
        <w:trPr>
          <w:trHeight w:val="203"/>
        </w:trPr>
        <w:tc>
          <w:tcPr>
            <w:tcW w:w="340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C</w:t>
            </w: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1,503,832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(332,162)</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1,173,190</w:t>
            </w:r>
          </w:p>
        </w:tc>
        <w:tc>
          <w:tcPr>
            <w:tcW w:w="0" w:type="dxa"/>
            <w:vAlign w:val="bottom"/>
          </w:tcPr>
          <w:p>
            <w:pPr>
              <w:spacing w:after="0"/>
              <w:rPr>
                <w:sz w:val="1"/>
                <w:szCs w:val="1"/>
                <w:color w:val="auto"/>
              </w:rPr>
            </w:pPr>
          </w:p>
        </w:tc>
      </w:tr>
      <w:tr>
        <w:trPr>
          <w:trHeight w:val="20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440,000</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110,375</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550,375</w:t>
            </w:r>
          </w:p>
        </w:tc>
        <w:tc>
          <w:tcPr>
            <w:tcW w:w="0" w:type="dxa"/>
            <w:vAlign w:val="bottom"/>
          </w:tcPr>
          <w:p>
            <w:pPr>
              <w:spacing w:after="0"/>
              <w:rPr>
                <w:sz w:val="1"/>
                <w:szCs w:val="1"/>
                <w:color w:val="auto"/>
              </w:rPr>
            </w:pPr>
          </w:p>
        </w:tc>
      </w:tr>
      <w:tr>
        <w:trPr>
          <w:trHeight w:val="203"/>
        </w:trPr>
        <w:tc>
          <w:tcPr>
            <w:tcW w:w="340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265,980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(18,311)</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247,669</w:t>
            </w:r>
          </w:p>
        </w:tc>
        <w:tc>
          <w:tcPr>
            <w:tcW w:w="0" w:type="dxa"/>
            <w:vAlign w:val="bottom"/>
          </w:tcPr>
          <w:p>
            <w:pPr>
              <w:spacing w:after="0"/>
              <w:rPr>
                <w:sz w:val="1"/>
                <w:szCs w:val="1"/>
                <w:color w:val="auto"/>
              </w:rPr>
            </w:pPr>
          </w:p>
        </w:tc>
      </w:tr>
      <w:tr>
        <w:trPr>
          <w:trHeight w:val="19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w w:val="97"/>
              </w:rPr>
              <w:t>Preferred Warrant Series D – $1.33 Strike Price,</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380" w:type="dxa"/>
            <w:vAlign w:val="bottom"/>
            <w:tcBorders>
              <w:right w:val="single" w:sz="8" w:color="CCEEFF"/>
            </w:tcBorders>
            <w:gridSpan w:val="12"/>
            <w:shd w:val="clear" w:color="auto" w:fill="CCEEFF"/>
          </w:tcPr>
          <w:p>
            <w:pPr>
              <w:ind w:left="180"/>
              <w:spacing w:after="0"/>
              <w:rPr>
                <w:sz w:val="20"/>
                <w:szCs w:val="20"/>
                <w:color w:val="auto"/>
              </w:rPr>
            </w:pPr>
            <w:r>
              <w:rPr>
                <w:rFonts w:ascii="Arial" w:cs="Arial" w:eastAsia="Arial" w:hAnsi="Arial"/>
                <w:sz w:val="16"/>
                <w:szCs w:val="16"/>
                <w:color w:val="auto"/>
              </w:rPr>
              <w:t>Expiration Date 10/6/2019</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80,000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145,000</w:t>
            </w:r>
          </w:p>
        </w:tc>
        <w:tc>
          <w:tcPr>
            <w:tcW w:w="0" w:type="dxa"/>
            <w:vAlign w:val="bottom"/>
          </w:tcPr>
          <w:p>
            <w:pPr>
              <w:spacing w:after="0"/>
              <w:rPr>
                <w:sz w:val="1"/>
                <w:szCs w:val="1"/>
                <w:color w:val="auto"/>
              </w:rPr>
            </w:pPr>
          </w:p>
        </w:tc>
      </w:tr>
      <w:tr>
        <w:trPr>
          <w:trHeight w:val="203"/>
        </w:trPr>
        <w:tc>
          <w:tcPr>
            <w:tcW w:w="340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17,000</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18,000</w:t>
            </w:r>
          </w:p>
        </w:tc>
        <w:tc>
          <w:tcPr>
            <w:tcW w:w="0" w:type="dxa"/>
            <w:vAlign w:val="bottom"/>
          </w:tcPr>
          <w:p>
            <w:pPr>
              <w:spacing w:after="0"/>
              <w:rPr>
                <w:sz w:val="1"/>
                <w:szCs w:val="1"/>
                <w:color w:val="auto"/>
              </w:rPr>
            </w:pPr>
          </w:p>
        </w:tc>
      </w:tr>
      <w:tr>
        <w:trPr>
          <w:trHeight w:val="19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w w:val="95"/>
              </w:rPr>
              <w:t>Preferred warrants, Series C – $1.33 Strike Price,</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380" w:type="dxa"/>
            <w:vAlign w:val="bottom"/>
            <w:tcBorders>
              <w:right w:val="single" w:sz="8" w:color="CCEEFF"/>
            </w:tcBorders>
            <w:gridSpan w:val="12"/>
            <w:shd w:val="clear" w:color="auto" w:fill="CCEEFF"/>
          </w:tcPr>
          <w:p>
            <w:pPr>
              <w:ind w:left="180"/>
              <w:spacing w:after="0"/>
              <w:rPr>
                <w:sz w:val="20"/>
                <w:szCs w:val="20"/>
                <w:color w:val="auto"/>
              </w:rPr>
            </w:pPr>
            <w:r>
              <w:rPr>
                <w:rFonts w:ascii="Arial" w:cs="Arial" w:eastAsia="Arial" w:hAnsi="Arial"/>
                <w:sz w:val="16"/>
                <w:szCs w:val="16"/>
                <w:color w:val="auto"/>
              </w:rPr>
              <w:t>Expiration Date 4/9/2019</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24,375</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(16,875)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162"/>
        </w:trPr>
        <w:tc>
          <w:tcPr>
            <w:tcW w:w="340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GSV Sustainability Partners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Class A</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4,850,000</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1,100,156</w:t>
            </w: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5,950,000</w:t>
            </w:r>
          </w:p>
        </w:tc>
        <w:tc>
          <w:tcPr>
            <w:tcW w:w="0" w:type="dxa"/>
            <w:vAlign w:val="bottom"/>
          </w:tcPr>
          <w:p>
            <w:pPr>
              <w:spacing w:after="0"/>
              <w:rPr>
                <w:sz w:val="1"/>
                <w:szCs w:val="1"/>
                <w:color w:val="auto"/>
              </w:rPr>
            </w:pPr>
          </w:p>
        </w:tc>
      </w:tr>
      <w:tr>
        <w:trPr>
          <w:trHeight w:val="203"/>
        </w:trPr>
        <w:tc>
          <w:tcPr>
            <w:tcW w:w="340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0" w:type="dxa"/>
            <w:vAlign w:val="bottom"/>
            <w:tcBorders>
              <w:right w:val="single" w:sz="8" w:color="CCEEFF"/>
            </w:tcBorders>
            <w:gridSpan w:val="13"/>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Total Control Investments</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840" w:type="dxa"/>
            <w:vAlign w:val="bottom"/>
            <w:tcBorders>
              <w:right w:val="single" w:sz="8" w:color="CCEEFF"/>
            </w:tcBorders>
            <w:gridSpan w:val="2"/>
            <w:shd w:val="clear" w:color="auto" w:fill="CCEEFF"/>
          </w:tcPr>
          <w:p>
            <w:pPr>
              <w:jc w:val="right"/>
              <w:ind w:right="200"/>
              <w:spacing w:after="0" w:line="155" w:lineRule="exact"/>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w w:val="89"/>
              </w:rPr>
              <w:t>18,819,335</w:t>
            </w:r>
          </w:p>
        </w:tc>
        <w:tc>
          <w:tcPr>
            <w:tcW w:w="180" w:type="dxa"/>
            <w:vAlign w:val="bottom"/>
            <w:tcBorders>
              <w:left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6"/>
                <w:szCs w:val="16"/>
                <w:b w:val="1"/>
                <w:bCs w:val="1"/>
                <w:u w:val="single" w:color="auto"/>
                <w:color w:val="auto"/>
              </w:rPr>
              <w:t>$</w:t>
            </w:r>
          </w:p>
        </w:tc>
        <w:tc>
          <w:tcPr>
            <w:tcW w:w="94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w w:val="96"/>
              </w:rPr>
              <w:t xml:space="preserve">(1,120,561) </w:t>
            </w:r>
            <w:r>
              <w:rPr>
                <w:rFonts w:ascii="Arial" w:cs="Arial" w:eastAsia="Arial" w:hAnsi="Arial"/>
                <w:sz w:val="16"/>
                <w:szCs w:val="16"/>
                <w:b w:val="1"/>
                <w:bCs w:val="1"/>
                <w:u w:val="single" w:color="auto"/>
                <w:color w:val="auto"/>
                <w:w w:val="96"/>
              </w:rPr>
              <w:t>$</w:t>
            </w: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w w:val="87"/>
              </w:rPr>
              <w:t>4,601,676</w:t>
            </w:r>
          </w:p>
        </w:tc>
        <w:tc>
          <w:tcPr>
            <w:tcW w:w="180" w:type="dxa"/>
            <w:vAlign w:val="bottom"/>
            <w:tcBorders>
              <w:left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w:t>
            </w:r>
          </w:p>
        </w:tc>
        <w:tc>
          <w:tcPr>
            <w:tcW w:w="720" w:type="dxa"/>
            <w:vAlign w:val="bottom"/>
            <w:tcBorders>
              <w:right w:val="single" w:sz="8" w:color="CCEEFF"/>
            </w:tcBorders>
            <w:gridSpan w:val="2"/>
            <w:shd w:val="clear" w:color="auto" w:fill="CCEEFF"/>
          </w:tcPr>
          <w:p>
            <w:pPr>
              <w:jc w:val="right"/>
              <w:ind w:right="140"/>
              <w:spacing w:after="0" w:line="155" w:lineRule="exact"/>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right w:val="single" w:sz="8" w:color="CCEEFF"/>
            </w:tcBorders>
            <w:gridSpan w:val="2"/>
            <w:shd w:val="clear" w:color="auto" w:fill="CCEEFF"/>
          </w:tcPr>
          <w:p>
            <w:pPr>
              <w:jc w:val="right"/>
              <w:ind w:right="160"/>
              <w:spacing w:after="0" w:line="155" w:lineRule="exact"/>
              <w:rPr>
                <w:sz w:val="20"/>
                <w:szCs w:val="20"/>
                <w:color w:val="auto"/>
              </w:rPr>
            </w:pPr>
            <w:r>
              <w:rPr>
                <w:rFonts w:ascii="Arial" w:cs="Arial" w:eastAsia="Arial" w:hAnsi="Arial"/>
                <w:sz w:val="16"/>
                <w:szCs w:val="16"/>
                <w:b w:val="1"/>
                <w:bCs w:val="1"/>
                <w:color w:val="auto"/>
              </w:rPr>
              <w:t>685,571</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6"/>
                <w:szCs w:val="16"/>
                <w:b w:val="1"/>
                <w:bCs w:val="1"/>
                <w:color w:val="auto"/>
                <w:w w:val="94"/>
              </w:rPr>
              <w:t>22,986,021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8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13"/>
          </w:tcPr>
          <w:p>
            <w:pPr>
              <w:ind w:left="20"/>
              <w:spacing w:after="0" w:line="155" w:lineRule="exact"/>
              <w:rPr>
                <w:sz w:val="20"/>
                <w:szCs w:val="20"/>
                <w:color w:val="auto"/>
              </w:rPr>
            </w:pPr>
            <w:r>
              <w:rPr>
                <w:rFonts w:ascii="Arial" w:cs="Arial" w:eastAsia="Arial" w:hAnsi="Arial"/>
                <w:sz w:val="16"/>
                <w:szCs w:val="16"/>
                <w:b w:val="1"/>
                <w:bCs w:val="1"/>
                <w:color w:val="auto"/>
              </w:rPr>
              <w:t>Affiliate Investments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400" w:type="dxa"/>
            <w:vAlign w:val="bottom"/>
            <w:tcBorders>
              <w:right w:val="single" w:sz="8" w:color="CCEEFF"/>
            </w:tcBorders>
            <w:gridSpan w:val="13"/>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AlwaysOn, Inc.</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629,309</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(74,663)</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554,646</w:t>
            </w:r>
          </w:p>
        </w:tc>
        <w:tc>
          <w:tcPr>
            <w:tcW w:w="0" w:type="dxa"/>
            <w:vAlign w:val="bottom"/>
          </w:tcPr>
          <w:p>
            <w:pPr>
              <w:spacing w:after="0"/>
              <w:rPr>
                <w:sz w:val="1"/>
                <w:szCs w:val="1"/>
                <w:color w:val="auto"/>
              </w:rPr>
            </w:pPr>
          </w:p>
        </w:tc>
      </w:tr>
      <w:tr>
        <w:trPr>
          <w:trHeight w:val="20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491,252</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(44,978)</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446,594</w:t>
            </w:r>
          </w:p>
        </w:tc>
        <w:tc>
          <w:tcPr>
            <w:tcW w:w="0" w:type="dxa"/>
            <w:vAlign w:val="bottom"/>
          </w:tcPr>
          <w:p>
            <w:pPr>
              <w:spacing w:after="0"/>
              <w:rPr>
                <w:sz w:val="1"/>
                <w:szCs w:val="1"/>
                <w:color w:val="auto"/>
              </w:rPr>
            </w:pPr>
          </w:p>
        </w:tc>
      </w:tr>
      <w:tr>
        <w:trPr>
          <w:trHeight w:val="193"/>
        </w:trPr>
        <w:tc>
          <w:tcPr>
            <w:tcW w:w="3400" w:type="dxa"/>
            <w:vAlign w:val="bottom"/>
            <w:gridSpan w:val="13"/>
          </w:tcPr>
          <w:p>
            <w:pPr>
              <w:ind w:left="20"/>
              <w:spacing w:after="0"/>
              <w:rPr>
                <w:sz w:val="20"/>
                <w:szCs w:val="20"/>
                <w:color w:val="auto"/>
              </w:rPr>
            </w:pPr>
            <w:r>
              <w:rPr>
                <w:rFonts w:ascii="Arial" w:cs="Arial" w:eastAsia="Arial" w:hAnsi="Arial"/>
                <w:sz w:val="16"/>
                <w:szCs w:val="16"/>
                <w:color w:val="auto"/>
              </w:rPr>
              <w:t>Preferred warrants Series A, $1.00 strike price,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gridSpan w:val="12"/>
          </w:tcPr>
          <w:p>
            <w:pPr>
              <w:ind w:left="180"/>
              <w:spacing w:after="0"/>
              <w:rPr>
                <w:sz w:val="20"/>
                <w:szCs w:val="20"/>
                <w:color w:val="auto"/>
              </w:rPr>
            </w:pPr>
            <w:r>
              <w:rPr>
                <w:rFonts w:ascii="Arial" w:cs="Arial" w:eastAsia="Arial" w:hAnsi="Arial"/>
                <w:sz w:val="16"/>
                <w:szCs w:val="16"/>
                <w:color w:val="auto"/>
              </w:rPr>
              <w:t>expire 1/9/2017</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06"/>
        </w:trPr>
        <w:tc>
          <w:tcPr>
            <w:tcW w:w="3400" w:type="dxa"/>
            <w:vAlign w:val="bottom"/>
            <w:tcBorders>
              <w:right w:val="single" w:sz="8" w:color="CCEEFF"/>
            </w:tcBorders>
            <w:gridSpan w:val="13"/>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3"/>
                <w:szCs w:val="23"/>
                <w:b w:val="1"/>
                <w:bCs w:val="1"/>
                <w:color w:val="auto"/>
                <w:vertAlign w:val="superscript"/>
              </w:rPr>
              <w:t>(2)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3,000,000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3,000,000</w:t>
            </w:r>
          </w:p>
        </w:tc>
        <w:tc>
          <w:tcPr>
            <w:tcW w:w="0" w:type="dxa"/>
            <w:vAlign w:val="bottom"/>
          </w:tcPr>
          <w:p>
            <w:pPr>
              <w:spacing w:after="0"/>
              <w:rPr>
                <w:sz w:val="1"/>
                <w:szCs w:val="1"/>
                <w:color w:val="auto"/>
              </w:rPr>
            </w:pPr>
          </w:p>
        </w:tc>
      </w:tr>
      <w:tr>
        <w:trPr>
          <w:trHeight w:val="20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1,500,000</w:t>
            </w:r>
          </w:p>
        </w:tc>
        <w:tc>
          <w:tcPr>
            <w:tcW w:w="0" w:type="dxa"/>
            <w:vAlign w:val="bottom"/>
          </w:tcPr>
          <w:p>
            <w:pPr>
              <w:spacing w:after="0"/>
              <w:rPr>
                <w:sz w:val="1"/>
                <w:szCs w:val="1"/>
                <w:color w:val="auto"/>
              </w:rPr>
            </w:pPr>
          </w:p>
        </w:tc>
      </w:tr>
      <w:tr>
        <w:trPr>
          <w:trHeight w:val="162"/>
        </w:trPr>
        <w:tc>
          <w:tcPr>
            <w:tcW w:w="340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Circle Media (f/k/a S3 Digital</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tcBorders>
              <w:top w:val="single" w:sz="8" w:color="auto"/>
            </w:tcBorders>
            <w:gridSpan w:val="10"/>
          </w:tcPr>
          <w:p>
            <w:pPr>
              <w:ind w:left="180"/>
              <w:spacing w:after="0" w:line="183" w:lineRule="exact"/>
              <w:rPr>
                <w:sz w:val="20"/>
                <w:szCs w:val="20"/>
                <w:color w:val="auto"/>
              </w:rPr>
            </w:pPr>
            <w:r>
              <w:rPr>
                <w:rFonts w:ascii="Arial" w:cs="Arial" w:eastAsia="Arial" w:hAnsi="Arial"/>
                <w:sz w:val="16"/>
                <w:szCs w:val="16"/>
                <w:b w:val="1"/>
                <w:bCs w:val="1"/>
                <w:color w:val="auto"/>
              </w:rPr>
              <w:t>Corp. (d/b/a S3i))</w:t>
            </w:r>
          </w:p>
        </w:tc>
        <w:tc>
          <w:tcPr>
            <w:tcW w:w="13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1,705,006</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295,801</w:t>
            </w: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(541,254)</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1,459,553</w:t>
            </w:r>
          </w:p>
        </w:tc>
        <w:tc>
          <w:tcPr>
            <w:tcW w:w="0" w:type="dxa"/>
            <w:vAlign w:val="bottom"/>
          </w:tcPr>
          <w:p>
            <w:pPr>
              <w:spacing w:after="0"/>
              <w:rPr>
                <w:sz w:val="1"/>
                <w:szCs w:val="1"/>
                <w:color w:val="auto"/>
              </w:rPr>
            </w:pPr>
          </w:p>
        </w:tc>
      </w:tr>
      <w:tr>
        <w:trPr>
          <w:trHeight w:val="203"/>
        </w:trPr>
        <w:tc>
          <w:tcPr>
            <w:tcW w:w="3400" w:type="dxa"/>
            <w:vAlign w:val="bottom"/>
            <w:gridSpan w:val="13"/>
          </w:tcPr>
          <w:p>
            <w:pPr>
              <w:ind w:left="20"/>
              <w:spacing w:after="0"/>
              <w:rPr>
                <w:sz w:val="20"/>
                <w:szCs w:val="20"/>
                <w:color w:val="auto"/>
              </w:rPr>
            </w:pPr>
            <w:r>
              <w:rPr>
                <w:rFonts w:ascii="Arial" w:cs="Arial" w:eastAsia="Arial" w:hAnsi="Arial"/>
                <w:sz w:val="16"/>
                <w:szCs w:val="16"/>
                <w:color w:val="auto"/>
              </w:rPr>
              <w:t>Term Loan, 12%, 09/30/15***</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(7,587)</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288,114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(295,801)</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7,687</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w w:val="96"/>
              </w:rPr>
              <w:t>Preferred warrants, $1.00 Strike Price, Expiration</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380" w:type="dxa"/>
            <w:vAlign w:val="bottom"/>
            <w:tcBorders>
              <w:right w:val="single" w:sz="8" w:color="CCEEFF"/>
            </w:tcBorders>
            <w:gridSpan w:val="12"/>
            <w:shd w:val="clear" w:color="auto" w:fill="CCEEFF"/>
          </w:tcPr>
          <w:p>
            <w:pPr>
              <w:ind w:left="180"/>
              <w:spacing w:after="0"/>
              <w:rPr>
                <w:sz w:val="20"/>
                <w:szCs w:val="20"/>
                <w:color w:val="auto"/>
              </w:rPr>
            </w:pPr>
            <w:r>
              <w:rPr>
                <w:rFonts w:ascii="Arial" w:cs="Arial" w:eastAsia="Arial" w:hAnsi="Arial"/>
                <w:sz w:val="16"/>
                <w:szCs w:val="16"/>
                <w:color w:val="auto"/>
              </w:rPr>
              <w:t>Date 11/21/2017</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165,000</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70,000</w:t>
            </w:r>
          </w:p>
        </w:tc>
        <w:tc>
          <w:tcPr>
            <w:tcW w:w="0" w:type="dxa"/>
            <w:vAlign w:val="bottom"/>
          </w:tcPr>
          <w:p>
            <w:pPr>
              <w:spacing w:after="0"/>
              <w:rPr>
                <w:sz w:val="1"/>
                <w:szCs w:val="1"/>
                <w:color w:val="auto"/>
              </w:rPr>
            </w:pPr>
          </w:p>
        </w:tc>
      </w:tr>
      <w:tr>
        <w:trPr>
          <w:trHeight w:val="193"/>
        </w:trPr>
        <w:tc>
          <w:tcPr>
            <w:tcW w:w="3400" w:type="dxa"/>
            <w:vAlign w:val="bottom"/>
            <w:gridSpan w:val="13"/>
          </w:tcPr>
          <w:p>
            <w:pPr>
              <w:ind w:left="20"/>
              <w:spacing w:after="0"/>
              <w:rPr>
                <w:sz w:val="20"/>
                <w:szCs w:val="20"/>
                <w:color w:val="auto"/>
              </w:rPr>
            </w:pPr>
            <w:r>
              <w:rPr>
                <w:rFonts w:ascii="Arial" w:cs="Arial" w:eastAsia="Arial" w:hAnsi="Arial"/>
                <w:sz w:val="16"/>
                <w:szCs w:val="16"/>
                <w:color w:val="auto"/>
                <w:w w:val="96"/>
              </w:rPr>
              <w:t>Preferred warrants, $1.17 Strike Price, Expiration</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gridSpan w:val="12"/>
          </w:tcPr>
          <w:p>
            <w:pPr>
              <w:ind w:left="180"/>
              <w:spacing w:after="0"/>
              <w:rPr>
                <w:sz w:val="20"/>
                <w:szCs w:val="20"/>
                <w:color w:val="auto"/>
              </w:rPr>
            </w:pPr>
            <w:r>
              <w:rPr>
                <w:rFonts w:ascii="Arial" w:cs="Arial" w:eastAsia="Arial" w:hAnsi="Arial"/>
                <w:sz w:val="16"/>
                <w:szCs w:val="16"/>
                <w:color w:val="auto"/>
              </w:rPr>
              <w:t>Date 08/29/2021</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(38,679)</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19,340</w:t>
            </w:r>
          </w:p>
        </w:tc>
        <w:tc>
          <w:tcPr>
            <w:tcW w:w="0" w:type="dxa"/>
            <w:vAlign w:val="bottom"/>
          </w:tcPr>
          <w:p>
            <w:pPr>
              <w:spacing w:after="0"/>
              <w:rPr>
                <w:sz w:val="1"/>
                <w:szCs w:val="1"/>
                <w:color w:val="auto"/>
              </w:rPr>
            </w:pPr>
          </w:p>
        </w:tc>
      </w:tr>
      <w:tr>
        <w:trPr>
          <w:trHeight w:val="196"/>
        </w:trPr>
        <w:tc>
          <w:tcPr>
            <w:tcW w:w="3400" w:type="dxa"/>
            <w:vAlign w:val="bottom"/>
            <w:tcBorders>
              <w:right w:val="single" w:sz="8" w:color="CCEEFF"/>
            </w:tcBorders>
            <w:gridSpan w:val="13"/>
            <w:shd w:val="clear" w:color="auto" w:fill="CCEEFF"/>
          </w:tcPr>
          <w:p>
            <w:pPr>
              <w:ind w:left="20"/>
              <w:spacing w:after="0"/>
              <w:rPr>
                <w:sz w:val="20"/>
                <w:szCs w:val="20"/>
                <w:color w:val="auto"/>
              </w:rPr>
            </w:pPr>
            <w:r>
              <w:rPr>
                <w:rFonts w:ascii="Arial" w:cs="Arial" w:eastAsia="Arial" w:hAnsi="Arial"/>
                <w:sz w:val="16"/>
                <w:szCs w:val="16"/>
                <w:color w:val="auto"/>
                <w:w w:val="96"/>
              </w:rPr>
              <w:t>Preferred warrants, $1.17 Strike Price, Expiration</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380" w:type="dxa"/>
            <w:vAlign w:val="bottom"/>
            <w:tcBorders>
              <w:right w:val="single" w:sz="8" w:color="CCEEFF"/>
            </w:tcBorders>
            <w:gridSpan w:val="12"/>
            <w:shd w:val="clear" w:color="auto" w:fill="CCEEFF"/>
          </w:tcPr>
          <w:p>
            <w:pPr>
              <w:ind w:left="180"/>
              <w:spacing w:after="0"/>
              <w:rPr>
                <w:sz w:val="20"/>
                <w:szCs w:val="20"/>
                <w:color w:val="auto"/>
              </w:rPr>
            </w:pPr>
            <w:r>
              <w:rPr>
                <w:rFonts w:ascii="Arial" w:cs="Arial" w:eastAsia="Arial" w:hAnsi="Arial"/>
                <w:sz w:val="16"/>
                <w:szCs w:val="16"/>
                <w:color w:val="auto"/>
              </w:rPr>
              <w:t>Date 09/30/2020</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64,322</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(46,633)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17,689</w:t>
            </w:r>
          </w:p>
        </w:tc>
        <w:tc>
          <w:tcPr>
            <w:tcW w:w="0" w:type="dxa"/>
            <w:vAlign w:val="bottom"/>
          </w:tcPr>
          <w:p>
            <w:pPr>
              <w:spacing w:after="0"/>
              <w:rPr>
                <w:sz w:val="1"/>
                <w:szCs w:val="1"/>
                <w:color w:val="auto"/>
              </w:rPr>
            </w:pPr>
          </w:p>
        </w:tc>
      </w:tr>
      <w:tr>
        <w:trPr>
          <w:trHeight w:val="193"/>
        </w:trPr>
        <w:tc>
          <w:tcPr>
            <w:tcW w:w="3400" w:type="dxa"/>
            <w:vAlign w:val="bottom"/>
            <w:gridSpan w:val="13"/>
          </w:tcPr>
          <w:p>
            <w:pPr>
              <w:ind w:left="20"/>
              <w:spacing w:after="0"/>
              <w:rPr>
                <w:sz w:val="20"/>
                <w:szCs w:val="20"/>
                <w:color w:val="auto"/>
              </w:rPr>
            </w:pPr>
            <w:r>
              <w:rPr>
                <w:rFonts w:ascii="Arial" w:cs="Arial" w:eastAsia="Arial" w:hAnsi="Arial"/>
                <w:sz w:val="16"/>
                <w:szCs w:val="16"/>
                <w:color w:val="auto"/>
                <w:w w:val="96"/>
              </w:rPr>
              <w:t>Preferred warrants, $1.16 Strike Price, Expiration</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80" w:type="dxa"/>
            <w:vAlign w:val="bottom"/>
            <w:gridSpan w:val="12"/>
          </w:tcPr>
          <w:p>
            <w:pPr>
              <w:ind w:left="180"/>
              <w:spacing w:after="0"/>
              <w:rPr>
                <w:sz w:val="20"/>
                <w:szCs w:val="20"/>
                <w:color w:val="auto"/>
              </w:rPr>
            </w:pPr>
            <w:r>
              <w:rPr>
                <w:rFonts w:ascii="Arial" w:cs="Arial" w:eastAsia="Arial" w:hAnsi="Arial"/>
                <w:sz w:val="16"/>
                <w:szCs w:val="16"/>
                <w:color w:val="auto"/>
              </w:rPr>
              <w:t>Date 6/26/2021</w:t>
            </w: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12,736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(8,491)</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-2731135</wp:posOffset>
            </wp:positionV>
            <wp:extent cx="617474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6" w:name="page67"/>
    <w:bookmarkEnd w:id="6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12-14</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of Investments in and Advances to Affiliates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623443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172085</wp:posOffset>
            </wp:positionV>
            <wp:extent cx="623443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w w:val="88"/>
              </w:rPr>
              <w:t>Amount of</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Interest, Fees</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or Dividends</w:t>
            </w:r>
          </w:p>
        </w:tc>
        <w:tc>
          <w:tcPr>
            <w:tcW w:w="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Realized and</w:t>
            </w:r>
          </w:p>
        </w:tc>
        <w:tc>
          <w:tcPr>
            <w:tcW w:w="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Fair Value at</w:t>
            </w: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Credited in</w:t>
            </w:r>
          </w:p>
        </w:tc>
        <w:tc>
          <w:tcPr>
            <w:tcW w:w="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Transfers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3360" w:type="dxa"/>
            <w:vAlign w:val="bottom"/>
            <w:gridSpan w:val="12"/>
          </w:tcPr>
          <w:p>
            <w:pPr>
              <w:ind w:left="20"/>
              <w:spacing w:after="0"/>
              <w:rPr>
                <w:sz w:val="20"/>
                <w:szCs w:val="20"/>
                <w:color w:val="auto"/>
              </w:rPr>
            </w:pPr>
            <w:r>
              <w:rPr>
                <w:rFonts w:ascii="Arial" w:cs="Arial" w:eastAsia="Arial" w:hAnsi="Arial"/>
                <w:sz w:val="14"/>
                <w:szCs w:val="14"/>
                <w:b w:val="1"/>
                <w:bCs w:val="1"/>
                <w:color w:val="auto"/>
              </w:rPr>
              <w:t>Portfolio Company/Type of Investment*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Income</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20"/>
              <w:spacing w:after="0"/>
              <w:rPr>
                <w:sz w:val="20"/>
                <w:szCs w:val="20"/>
                <w:color w:val="auto"/>
              </w:rPr>
            </w:pPr>
            <w:r>
              <w:rPr>
                <w:rFonts w:ascii="Arial" w:cs="Arial" w:eastAsia="Arial" w:hAnsi="Arial"/>
                <w:sz w:val="14"/>
                <w:szCs w:val="14"/>
                <w:b w:val="1"/>
                <w:bCs w:val="1"/>
                <w:color w:val="auto"/>
              </w:rPr>
              <w:t>In (Out)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Purchases</w:t>
            </w:r>
          </w:p>
        </w:tc>
        <w:tc>
          <w:tcPr>
            <w:tcW w:w="780" w:type="dxa"/>
            <w:vAlign w:val="bottom"/>
          </w:tcPr>
          <w:p>
            <w:pPr>
              <w:jc w:val="right"/>
              <w:ind w:right="200"/>
              <w:spacing w:after="0"/>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Gains/(Losses)</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2015</w:t>
            </w:r>
          </w:p>
        </w:tc>
      </w:tr>
      <w:tr>
        <w:trPr>
          <w:trHeight w:val="156"/>
        </w:trPr>
        <w:tc>
          <w:tcPr>
            <w:tcW w:w="3360" w:type="dxa"/>
            <w:vAlign w:val="bottom"/>
            <w:tcBorders>
              <w:top w:val="single" w:sz="8" w:color="auto"/>
            </w:tcBorders>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CUX, Inc. (d/b/a CorpU)</w:t>
            </w: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3360" w:type="dxa"/>
            <w:vAlign w:val="bottom"/>
            <w:gridSpan w:val="12"/>
          </w:tcPr>
          <w:p>
            <w:pPr>
              <w:ind w:left="20"/>
              <w:spacing w:after="0"/>
              <w:rPr>
                <w:sz w:val="20"/>
                <w:szCs w:val="20"/>
                <w:color w:val="auto"/>
              </w:rPr>
            </w:pPr>
            <w:r>
              <w:rPr>
                <w:rFonts w:ascii="Arial" w:cs="Arial" w:eastAsia="Arial" w:hAnsi="Arial"/>
                <w:sz w:val="16"/>
                <w:szCs w:val="16"/>
                <w:color w:val="auto"/>
              </w:rPr>
              <w:t>Convertible preferred shares, Series C</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w w:val="96"/>
              </w:rPr>
              <w:t>$  2,292,582</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3"/>
          </w:tcPr>
          <w:p>
            <w:pPr>
              <w:ind w:left="480"/>
              <w:spacing w:after="0"/>
              <w:rPr>
                <w:sz w:val="20"/>
                <w:szCs w:val="20"/>
                <w:color w:val="auto"/>
              </w:rPr>
            </w:pPr>
            <w:r>
              <w:rPr>
                <w:rFonts w:ascii="Arial" w:cs="Arial" w:eastAsia="Arial" w:hAnsi="Arial"/>
                <w:sz w:val="16"/>
                <w:szCs w:val="16"/>
                <w:color w:val="auto"/>
              </w:rPr>
              <w:t>— $</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(117,181)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2,175,401</w:t>
            </w:r>
          </w:p>
        </w:tc>
      </w:tr>
      <w:tr>
        <w:trPr>
          <w:trHeight w:val="192"/>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Senior Subordinated Convertible Promissory</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54"/>
        </w:trPr>
        <w:tc>
          <w:tcPr>
            <w:tcW w:w="20" w:type="dxa"/>
            <w:vAlign w:val="bottom"/>
            <w:shd w:val="clear" w:color="auto" w:fill="CCEEFF"/>
          </w:tcPr>
          <w:p>
            <w:pPr>
              <w:spacing w:after="0"/>
              <w:rPr>
                <w:sz w:val="22"/>
                <w:szCs w:val="22"/>
                <w:color w:val="auto"/>
              </w:rPr>
            </w:pPr>
          </w:p>
        </w:tc>
        <w:tc>
          <w:tcPr>
            <w:tcW w:w="3340" w:type="dxa"/>
            <w:vAlign w:val="bottom"/>
            <w:gridSpan w:val="11"/>
            <w:shd w:val="clear" w:color="auto" w:fill="CCEEFF"/>
          </w:tcPr>
          <w:p>
            <w:pPr>
              <w:ind w:left="180"/>
              <w:spacing w:after="0" w:line="254" w:lineRule="exact"/>
              <w:rPr>
                <w:sz w:val="20"/>
                <w:szCs w:val="20"/>
                <w:color w:val="auto"/>
              </w:rPr>
            </w:pPr>
            <w:r>
              <w:rPr>
                <w:rFonts w:ascii="Arial" w:cs="Arial" w:eastAsia="Arial" w:hAnsi="Arial"/>
                <w:sz w:val="16"/>
                <w:szCs w:val="16"/>
                <w:color w:val="auto"/>
              </w:rPr>
              <w:t>Note 8% Due 11/26/2018***</w:t>
            </w:r>
            <w:r>
              <w:rPr>
                <w:rFonts w:ascii="Arial" w:cs="Arial" w:eastAsia="Arial" w:hAnsi="Arial"/>
                <w:sz w:val="27"/>
                <w:szCs w:val="27"/>
                <w:color w:val="auto"/>
                <w:vertAlign w:val="superscript"/>
              </w:rPr>
              <w:t>(5)</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1,007,671</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59,836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1,067,507</w:t>
            </w:r>
          </w:p>
        </w:tc>
      </w:tr>
      <w:tr>
        <w:trPr>
          <w:trHeight w:val="203"/>
        </w:trPr>
        <w:tc>
          <w:tcPr>
            <w:tcW w:w="3360" w:type="dxa"/>
            <w:vAlign w:val="bottom"/>
            <w:gridSpan w:val="12"/>
          </w:tcPr>
          <w:p>
            <w:pPr>
              <w:ind w:left="20"/>
              <w:spacing w:after="0"/>
              <w:rPr>
                <w:sz w:val="20"/>
                <w:szCs w:val="20"/>
                <w:color w:val="auto"/>
              </w:rPr>
            </w:pPr>
            <w:r>
              <w:rPr>
                <w:rFonts w:ascii="Arial" w:cs="Arial" w:eastAsia="Arial" w:hAnsi="Arial"/>
                <w:sz w:val="16"/>
                <w:szCs w:val="16"/>
                <w:color w:val="auto"/>
              </w:rPr>
              <w:t>Convertible preferred shares, Series 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716,066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(36,601)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679,465</w:t>
            </w:r>
          </w:p>
        </w:tc>
      </w:tr>
      <w:tr>
        <w:trPr>
          <w:trHeight w:val="193"/>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w w:val="95"/>
              </w:rPr>
              <w:t>Preferred warrants, $4.59 Strike Price, Expiration</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33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Date 02/25/2018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12,508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(5,578)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6,930</w:t>
            </w:r>
          </w:p>
        </w:tc>
      </w:tr>
      <w:tr>
        <w:trPr>
          <w:trHeight w:val="203"/>
        </w:trPr>
        <w:tc>
          <w:tcPr>
            <w:tcW w:w="3360" w:type="dxa"/>
            <w:vAlign w:val="bottom"/>
            <w:gridSpan w:val="12"/>
          </w:tcPr>
          <w:p>
            <w:pPr>
              <w:ind w:left="20"/>
              <w:spacing w:after="0" w:line="202" w:lineRule="exact"/>
              <w:rPr>
                <w:sz w:val="20"/>
                <w:szCs w:val="20"/>
                <w:color w:val="auto"/>
              </w:rPr>
            </w:pPr>
            <w:r>
              <w:rPr>
                <w:rFonts w:ascii="Arial" w:cs="Arial" w:eastAsia="Arial" w:hAnsi="Arial"/>
                <w:sz w:val="14"/>
                <w:szCs w:val="14"/>
                <w:b w:val="1"/>
                <w:bCs w:val="1"/>
                <w:color w:val="auto"/>
              </w:rPr>
              <w:t>Cricket Media (f/k/a ePals Inc.)**</w:t>
            </w:r>
            <w:r>
              <w:rPr>
                <w:rFonts w:ascii="Arial" w:cs="Arial" w:eastAsia="Arial" w:hAnsi="Arial"/>
                <w:sz w:val="23"/>
                <w:szCs w:val="23"/>
                <w:b w:val="1"/>
                <w:bCs w:val="1"/>
                <w:color w:val="auto"/>
                <w:vertAlign w:val="superscript"/>
              </w:rPr>
              <w:t>(4)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3"/>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331,126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(331,126)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62"/>
        </w:trPr>
        <w:tc>
          <w:tcPr>
            <w:tcW w:w="3360" w:type="dxa"/>
            <w:vAlign w:val="bottom"/>
            <w:gridSpan w:val="12"/>
          </w:tcPr>
          <w:p>
            <w:pPr>
              <w:ind w:left="20"/>
              <w:spacing w:after="0" w:line="162" w:lineRule="exact"/>
              <w:rPr>
                <w:sz w:val="20"/>
                <w:szCs w:val="20"/>
                <w:color w:val="auto"/>
              </w:rPr>
            </w:pPr>
            <w:r>
              <w:rPr>
                <w:rFonts w:ascii="Arial" w:cs="Arial" w:eastAsia="Arial" w:hAnsi="Arial"/>
                <w:sz w:val="16"/>
                <w:szCs w:val="16"/>
                <w:b w:val="1"/>
                <w:bCs w:val="1"/>
                <w:color w:val="auto"/>
              </w:rPr>
              <w:t>Curious.com Inc.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3"/>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9,996,311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9,996,311</w:t>
            </w:r>
          </w:p>
        </w:tc>
      </w:tr>
      <w:tr>
        <w:trPr>
          <w:trHeight w:val="162"/>
        </w:trPr>
        <w:tc>
          <w:tcPr>
            <w:tcW w:w="3360" w:type="dxa"/>
            <w:vAlign w:val="bottom"/>
            <w:gridSpan w:val="12"/>
          </w:tcPr>
          <w:p>
            <w:pPr>
              <w:ind w:left="20"/>
              <w:spacing w:after="0" w:line="162" w:lineRule="exact"/>
              <w:rPr>
                <w:sz w:val="20"/>
                <w:szCs w:val="20"/>
                <w:color w:val="auto"/>
              </w:rPr>
            </w:pPr>
            <w:r>
              <w:rPr>
                <w:rFonts w:ascii="Arial" w:cs="Arial" w:eastAsia="Arial" w:hAnsi="Arial"/>
                <w:sz w:val="16"/>
                <w:szCs w:val="16"/>
                <w:b w:val="1"/>
                <w:bCs w:val="1"/>
                <w:color w:val="auto"/>
              </w:rPr>
              <w:t>Dailybreak, Inc.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3"/>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3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A-2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2"/>
        </w:trPr>
        <w:tc>
          <w:tcPr>
            <w:tcW w:w="3360" w:type="dxa"/>
            <w:vAlign w:val="bottom"/>
            <w:gridSpan w:val="12"/>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Declara, Inc.</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33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10,019,825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10,019,825</w:t>
            </w:r>
          </w:p>
        </w:tc>
      </w:tr>
      <w:tr>
        <w:trPr>
          <w:trHeight w:val="162"/>
        </w:trPr>
        <w:tc>
          <w:tcPr>
            <w:tcW w:w="3360" w:type="dxa"/>
            <w:vAlign w:val="bottom"/>
            <w:gridSpan w:val="12"/>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EdSurge, Inc.</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33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505,328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(4,527)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500,801</w:t>
            </w:r>
          </w:p>
        </w:tc>
      </w:tr>
      <w:tr>
        <w:trPr>
          <w:trHeight w:val="162"/>
        </w:trPr>
        <w:tc>
          <w:tcPr>
            <w:tcW w:w="3360" w:type="dxa"/>
            <w:vAlign w:val="bottom"/>
            <w:gridSpan w:val="12"/>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Fullbridge, Inc.</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33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3,111,714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3,111,714</w:t>
            </w:r>
          </w:p>
        </w:tc>
      </w:tr>
      <w:tr>
        <w:trPr>
          <w:trHeight w:val="203"/>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1,625,001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1,625,001</w:t>
            </w:r>
          </w:p>
        </w:tc>
      </w:tr>
      <w:tr>
        <w:trPr>
          <w:trHeight w:val="193"/>
        </w:trPr>
        <w:tc>
          <w:tcPr>
            <w:tcW w:w="3360" w:type="dxa"/>
            <w:vAlign w:val="bottom"/>
            <w:gridSpan w:val="12"/>
          </w:tcPr>
          <w:p>
            <w:pPr>
              <w:ind w:left="20"/>
              <w:spacing w:after="0"/>
              <w:rPr>
                <w:sz w:val="20"/>
                <w:szCs w:val="20"/>
                <w:color w:val="auto"/>
              </w:rPr>
            </w:pPr>
            <w:r>
              <w:rPr>
                <w:rFonts w:ascii="Arial" w:cs="Arial" w:eastAsia="Arial" w:hAnsi="Arial"/>
                <w:sz w:val="16"/>
                <w:szCs w:val="16"/>
                <w:color w:val="auto"/>
                <w:w w:val="97"/>
              </w:rPr>
              <w:t>Convertible Promissory Note, 10% Interest rate,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340" w:type="dxa"/>
            <w:vAlign w:val="bottom"/>
            <w:gridSpan w:val="11"/>
          </w:tcPr>
          <w:p>
            <w:pPr>
              <w:ind w:left="180"/>
              <w:spacing w:after="0"/>
              <w:rPr>
                <w:sz w:val="20"/>
                <w:szCs w:val="20"/>
                <w:color w:val="auto"/>
              </w:rPr>
            </w:pPr>
            <w:r>
              <w:rPr>
                <w:rFonts w:ascii="Arial" w:cs="Arial" w:eastAsia="Arial" w:hAnsi="Arial"/>
                <w:sz w:val="16"/>
                <w:szCs w:val="16"/>
                <w:color w:val="auto"/>
              </w:rPr>
              <w:t>March 02, 2016***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102,435</w:t>
            </w: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7"/>
              </w:rPr>
              <w:t>1,006,624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82,254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1,088,878</w:t>
            </w:r>
          </w:p>
        </w:tc>
      </w:tr>
      <w:tr>
        <w:trPr>
          <w:trHeight w:val="196"/>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w w:val="95"/>
              </w:rPr>
              <w:t>Common warrants, $0.91 Strike Price, Expiration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33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Date 2/18/2019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12,424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14,286</w:t>
            </w:r>
          </w:p>
        </w:tc>
      </w:tr>
      <w:tr>
        <w:trPr>
          <w:trHeight w:val="193"/>
        </w:trPr>
        <w:tc>
          <w:tcPr>
            <w:tcW w:w="3360" w:type="dxa"/>
            <w:vAlign w:val="bottom"/>
            <w:gridSpan w:val="12"/>
          </w:tcPr>
          <w:p>
            <w:pPr>
              <w:ind w:left="20"/>
              <w:spacing w:after="0"/>
              <w:rPr>
                <w:sz w:val="20"/>
                <w:szCs w:val="20"/>
                <w:color w:val="auto"/>
              </w:rPr>
            </w:pPr>
            <w:r>
              <w:rPr>
                <w:rFonts w:ascii="Arial" w:cs="Arial" w:eastAsia="Arial" w:hAnsi="Arial"/>
                <w:sz w:val="16"/>
                <w:szCs w:val="16"/>
                <w:color w:val="auto"/>
                <w:w w:val="95"/>
              </w:rPr>
              <w:t>Common warrants, $0.91 Strike Price, Expiration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340" w:type="dxa"/>
            <w:vAlign w:val="bottom"/>
            <w:gridSpan w:val="11"/>
          </w:tcPr>
          <w:p>
            <w:pPr>
              <w:ind w:left="180"/>
              <w:spacing w:after="0"/>
              <w:rPr>
                <w:sz w:val="20"/>
                <w:szCs w:val="20"/>
                <w:color w:val="auto"/>
              </w:rPr>
            </w:pPr>
            <w:r>
              <w:rPr>
                <w:rFonts w:ascii="Arial" w:cs="Arial" w:eastAsia="Arial" w:hAnsi="Arial"/>
                <w:sz w:val="16"/>
                <w:szCs w:val="16"/>
                <w:color w:val="auto"/>
              </w:rPr>
              <w:t>Date 4/3/2019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824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7,418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8,242</w:t>
            </w:r>
          </w:p>
        </w:tc>
      </w:tr>
      <w:tr>
        <w:trPr>
          <w:trHeight w:val="196"/>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w w:val="95"/>
              </w:rPr>
              <w:t>Common warrants, $0.91 Strike Price, Expiration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33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Date 3/02/2020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4,121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1,541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5,662</w:t>
            </w:r>
          </w:p>
        </w:tc>
      </w:tr>
      <w:tr>
        <w:trPr>
          <w:trHeight w:val="193"/>
        </w:trPr>
        <w:tc>
          <w:tcPr>
            <w:tcW w:w="3360" w:type="dxa"/>
            <w:vAlign w:val="bottom"/>
            <w:gridSpan w:val="12"/>
          </w:tcPr>
          <w:p>
            <w:pPr>
              <w:ind w:left="20"/>
              <w:spacing w:after="0"/>
              <w:rPr>
                <w:sz w:val="20"/>
                <w:szCs w:val="20"/>
                <w:color w:val="auto"/>
              </w:rPr>
            </w:pPr>
            <w:r>
              <w:rPr>
                <w:rFonts w:ascii="Arial" w:cs="Arial" w:eastAsia="Arial" w:hAnsi="Arial"/>
                <w:sz w:val="16"/>
                <w:szCs w:val="16"/>
                <w:color w:val="auto"/>
                <w:w w:val="95"/>
              </w:rPr>
              <w:t>Common warrants, $0.91 Strike Price, Expiration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340" w:type="dxa"/>
            <w:vAlign w:val="bottom"/>
            <w:gridSpan w:val="11"/>
          </w:tcPr>
          <w:p>
            <w:pPr>
              <w:ind w:left="180"/>
              <w:spacing w:after="0"/>
              <w:rPr>
                <w:sz w:val="20"/>
                <w:szCs w:val="20"/>
                <w:color w:val="auto"/>
              </w:rPr>
            </w:pPr>
            <w:r>
              <w:rPr>
                <w:rFonts w:ascii="Arial" w:cs="Arial" w:eastAsia="Arial" w:hAnsi="Arial"/>
                <w:sz w:val="16"/>
                <w:szCs w:val="16"/>
                <w:color w:val="auto"/>
              </w:rPr>
              <w:t>Date 5/16/2019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1,923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1,923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3,846</w:t>
            </w:r>
          </w:p>
        </w:tc>
      </w:tr>
      <w:tr>
        <w:trPr>
          <w:trHeight w:val="196"/>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w w:val="95"/>
              </w:rPr>
              <w:t>Common warrants, $0.91 Strike Price, Expiration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33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Date 3/22/2020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7,143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3,723</w:t>
            </w:r>
          </w:p>
        </w:tc>
      </w:tr>
      <w:tr>
        <w:trPr>
          <w:trHeight w:val="193"/>
        </w:trPr>
        <w:tc>
          <w:tcPr>
            <w:tcW w:w="3360" w:type="dxa"/>
            <w:vAlign w:val="bottom"/>
            <w:gridSpan w:val="12"/>
          </w:tcPr>
          <w:p>
            <w:pPr>
              <w:ind w:left="20"/>
              <w:spacing w:after="0"/>
              <w:rPr>
                <w:sz w:val="20"/>
                <w:szCs w:val="20"/>
                <w:color w:val="auto"/>
              </w:rPr>
            </w:pPr>
            <w:r>
              <w:rPr>
                <w:rFonts w:ascii="Arial" w:cs="Arial" w:eastAsia="Arial" w:hAnsi="Arial"/>
                <w:sz w:val="16"/>
                <w:szCs w:val="16"/>
                <w:color w:val="auto"/>
                <w:w w:val="95"/>
              </w:rPr>
              <w:t>Common warrants, $0.91 Strike Price, Expiration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340" w:type="dxa"/>
            <w:vAlign w:val="bottom"/>
            <w:gridSpan w:val="11"/>
          </w:tcPr>
          <w:p>
            <w:pPr>
              <w:ind w:left="180"/>
              <w:spacing w:after="0"/>
              <w:rPr>
                <w:sz w:val="20"/>
                <w:szCs w:val="20"/>
                <w:color w:val="auto"/>
              </w:rPr>
            </w:pPr>
            <w:r>
              <w:rPr>
                <w:rFonts w:ascii="Arial" w:cs="Arial" w:eastAsia="Arial" w:hAnsi="Arial"/>
                <w:sz w:val="16"/>
                <w:szCs w:val="16"/>
                <w:color w:val="auto"/>
              </w:rPr>
              <w:t>Date 10/10/2018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824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824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1,648</w:t>
            </w:r>
          </w:p>
        </w:tc>
      </w:tr>
      <w:tr>
        <w:trPr>
          <w:trHeight w:val="196"/>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w w:val="95"/>
              </w:rPr>
              <w:t>Common warrants, $0.91 Strike Price, Expiration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33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Date 12/11/2018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1,648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1,648</w:t>
            </w:r>
          </w:p>
        </w:tc>
      </w:tr>
      <w:tr>
        <w:trPr>
          <w:trHeight w:val="162"/>
        </w:trPr>
        <w:tc>
          <w:tcPr>
            <w:tcW w:w="3360" w:type="dxa"/>
            <w:vAlign w:val="bottom"/>
            <w:gridSpan w:val="12"/>
          </w:tcPr>
          <w:p>
            <w:pPr>
              <w:ind w:left="20"/>
              <w:spacing w:after="0" w:line="162" w:lineRule="exact"/>
              <w:rPr>
                <w:sz w:val="20"/>
                <w:szCs w:val="20"/>
                <w:color w:val="auto"/>
              </w:rPr>
            </w:pPr>
            <w:r>
              <w:rPr>
                <w:rFonts w:ascii="Arial" w:cs="Arial" w:eastAsia="Arial" w:hAnsi="Arial"/>
                <w:sz w:val="16"/>
                <w:szCs w:val="16"/>
                <w:b w:val="1"/>
                <w:bCs w:val="1"/>
                <w:color w:val="auto"/>
              </w:rPr>
              <w:t>Global Education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2"/>
        </w:trPr>
        <w:tc>
          <w:tcPr>
            <w:tcW w:w="3360" w:type="dxa"/>
            <w:vAlign w:val="bottom"/>
            <w:gridSpan w:val="12"/>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Learning (Holdings) Ltd.**</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33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3,995,221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9,200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87"/>
              </w:rPr>
              <w:t>(3,354,594)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(250,588)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399,239</w:t>
            </w:r>
          </w:p>
        </w:tc>
      </w:tr>
      <w:tr>
        <w:trPr>
          <w:trHeight w:val="162"/>
        </w:trPr>
        <w:tc>
          <w:tcPr>
            <w:tcW w:w="3360" w:type="dxa"/>
            <w:vAlign w:val="bottom"/>
            <w:gridSpan w:val="12"/>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Learnist Inc. (f/k/a Grockit, Inc.)</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33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2,319,014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(2,131,222)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187,792</w:t>
            </w:r>
          </w:p>
        </w:tc>
      </w:tr>
      <w:tr>
        <w:trPr>
          <w:trHeight w:val="203"/>
        </w:trPr>
        <w:tc>
          <w:tcPr>
            <w:tcW w:w="33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1,610,296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(1,481,856)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128,440</w:t>
            </w:r>
          </w:p>
        </w:tc>
      </w:tr>
      <w:tr>
        <w:trPr>
          <w:trHeight w:val="206"/>
        </w:trPr>
        <w:tc>
          <w:tcPr>
            <w:tcW w:w="33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F</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1,450,000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(1,334,307)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115,693</w:t>
            </w:r>
          </w:p>
        </w:tc>
      </w:tr>
    </w:tbl>
    <w:p>
      <w:pPr>
        <w:spacing w:after="0" w:line="200" w:lineRule="exact"/>
        <w:rPr>
          <w:sz w:val="20"/>
          <w:szCs w:val="20"/>
          <w:color w:val="auto"/>
        </w:rPr>
      </w:pPr>
    </w:p>
    <w:p>
      <w:pPr>
        <w:spacing w:after="0" w:line="34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7" w:name="page68"/>
    <w:bookmarkEnd w:id="6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12-14</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of Investments in and Advances to Affiliates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623443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172085</wp:posOffset>
            </wp:positionV>
            <wp:extent cx="623443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Amount of</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Interest, Fees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or Dividends</w:t>
            </w:r>
          </w:p>
        </w:tc>
        <w:tc>
          <w:tcPr>
            <w:tcW w:w="4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Realized and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Fair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Credited in</w:t>
            </w:r>
          </w:p>
        </w:tc>
        <w:tc>
          <w:tcPr>
            <w:tcW w:w="4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Transfers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4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3360" w:type="dxa"/>
            <w:vAlign w:val="bottom"/>
            <w:tcBorders>
              <w:bottom w:val="single" w:sz="8" w:color="auto"/>
            </w:tcBorders>
            <w:gridSpan w:val="11"/>
          </w:tcPr>
          <w:p>
            <w:pPr>
              <w:ind w:left="20"/>
              <w:spacing w:after="0"/>
              <w:rPr>
                <w:sz w:val="20"/>
                <w:szCs w:val="20"/>
                <w:color w:val="auto"/>
              </w:rPr>
            </w:pPr>
            <w:r>
              <w:rPr>
                <w:rFonts w:ascii="Arial" w:cs="Arial" w:eastAsia="Arial" w:hAnsi="Arial"/>
                <w:sz w:val="14"/>
                <w:szCs w:val="14"/>
                <w:b w:val="1"/>
                <w:bCs w:val="1"/>
                <w:color w:val="auto"/>
              </w:rPr>
              <w:t>Portfolio Company/Type of Investment*</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5"/>
              </w:rPr>
              <w:t>Income</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In (Out)</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1"/>
              </w:rPr>
              <w:t>Purchases</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4"/>
                <w:szCs w:val="14"/>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Gains/(Losses)</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60" w:type="dxa"/>
            <w:vAlign w:val="bottom"/>
            <w:gridSpan w:val="11"/>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Maven Research, Inc.</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C</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1,999,998</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4"/>
          </w:tcPr>
          <w:p>
            <w:pPr>
              <w:jc w:val="right"/>
              <w:spacing w:after="0"/>
              <w:rPr>
                <w:sz w:val="20"/>
                <w:szCs w:val="20"/>
                <w:color w:val="auto"/>
              </w:rPr>
            </w:pPr>
            <w:r>
              <w:rPr>
                <w:rFonts w:ascii="Arial" w:cs="Arial" w:eastAsia="Arial" w:hAnsi="Arial"/>
                <w:sz w:val="16"/>
                <w:szCs w:val="16"/>
                <w:color w:val="auto"/>
              </w:rPr>
              <w:t>— $</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1,999,998</w:t>
            </w:r>
          </w:p>
        </w:tc>
        <w:tc>
          <w:tcPr>
            <w:tcW w:w="0" w:type="dxa"/>
            <w:vAlign w:val="bottom"/>
          </w:tcPr>
          <w:p>
            <w:pPr>
              <w:spacing w:after="0"/>
              <w:rPr>
                <w:sz w:val="1"/>
                <w:szCs w:val="1"/>
                <w:color w:val="auto"/>
              </w:rPr>
            </w:pPr>
          </w:p>
        </w:tc>
      </w:tr>
      <w:tr>
        <w:trPr>
          <w:trHeight w:val="203"/>
        </w:trPr>
        <w:tc>
          <w:tcPr>
            <w:tcW w:w="33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249,691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249,691</w:t>
            </w:r>
          </w:p>
        </w:tc>
        <w:tc>
          <w:tcPr>
            <w:tcW w:w="0" w:type="dxa"/>
            <w:vAlign w:val="bottom"/>
          </w:tcPr>
          <w:p>
            <w:pPr>
              <w:spacing w:after="0"/>
              <w:rPr>
                <w:sz w:val="1"/>
                <w:szCs w:val="1"/>
                <w:color w:val="auto"/>
              </w:rPr>
            </w:pPr>
          </w:p>
        </w:tc>
      </w:tr>
      <w:tr>
        <w:trPr>
          <w:trHeight w:val="162"/>
        </w:trPr>
        <w:tc>
          <w:tcPr>
            <w:tcW w:w="3360" w:type="dxa"/>
            <w:vAlign w:val="bottom"/>
            <w:gridSpan w:val="11"/>
          </w:tcPr>
          <w:p>
            <w:pPr>
              <w:ind w:left="20"/>
              <w:spacing w:after="0" w:line="162" w:lineRule="exact"/>
              <w:rPr>
                <w:sz w:val="20"/>
                <w:szCs w:val="20"/>
                <w:color w:val="auto"/>
              </w:rPr>
            </w:pPr>
            <w:r>
              <w:rPr>
                <w:rFonts w:ascii="Arial" w:cs="Arial" w:eastAsia="Arial" w:hAnsi="Arial"/>
                <w:sz w:val="16"/>
                <w:szCs w:val="16"/>
                <w:b w:val="1"/>
                <w:bCs w:val="1"/>
                <w:color w:val="auto"/>
              </w:rPr>
              <w:t>Ozy Media, Inc.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4,999,999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290,562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5,290,561</w:t>
            </w:r>
          </w:p>
        </w:tc>
        <w:tc>
          <w:tcPr>
            <w:tcW w:w="0" w:type="dxa"/>
            <w:vAlign w:val="bottom"/>
          </w:tcPr>
          <w:p>
            <w:pPr>
              <w:spacing w:after="0"/>
              <w:rPr>
                <w:sz w:val="1"/>
                <w:szCs w:val="1"/>
                <w:color w:val="auto"/>
              </w:rPr>
            </w:pPr>
          </w:p>
        </w:tc>
      </w:tr>
      <w:tr>
        <w:trPr>
          <w:trHeight w:val="203"/>
        </w:trPr>
        <w:tc>
          <w:tcPr>
            <w:tcW w:w="33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4,165,091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242,043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4,407,134</w:t>
            </w:r>
          </w:p>
        </w:tc>
        <w:tc>
          <w:tcPr>
            <w:tcW w:w="0" w:type="dxa"/>
            <w:vAlign w:val="bottom"/>
          </w:tcPr>
          <w:p>
            <w:pPr>
              <w:spacing w:after="0"/>
              <w:rPr>
                <w:sz w:val="1"/>
                <w:szCs w:val="1"/>
                <w:color w:val="auto"/>
              </w:rPr>
            </w:pPr>
          </w:p>
        </w:tc>
      </w:tr>
      <w:tr>
        <w:trPr>
          <w:trHeight w:val="203"/>
        </w:trPr>
        <w:tc>
          <w:tcPr>
            <w:tcW w:w="33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Seed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1,573,000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154,898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1,727,898</w:t>
            </w:r>
          </w:p>
        </w:tc>
        <w:tc>
          <w:tcPr>
            <w:tcW w:w="0" w:type="dxa"/>
            <w:vAlign w:val="bottom"/>
          </w:tcPr>
          <w:p>
            <w:pPr>
              <w:spacing w:after="0"/>
              <w:rPr>
                <w:sz w:val="1"/>
                <w:szCs w:val="1"/>
                <w:color w:val="auto"/>
              </w:rPr>
            </w:pPr>
          </w:p>
        </w:tc>
      </w:tr>
      <w:tr>
        <w:trPr>
          <w:trHeight w:val="162"/>
        </w:trPr>
        <w:tc>
          <w:tcPr>
            <w:tcW w:w="3360" w:type="dxa"/>
            <w:vAlign w:val="bottom"/>
            <w:gridSpan w:val="11"/>
          </w:tcPr>
          <w:p>
            <w:pPr>
              <w:ind w:left="20"/>
              <w:spacing w:after="0" w:line="162" w:lineRule="exact"/>
              <w:rPr>
                <w:sz w:val="20"/>
                <w:szCs w:val="20"/>
                <w:color w:val="auto"/>
              </w:rPr>
            </w:pPr>
            <w:r>
              <w:rPr>
                <w:rFonts w:ascii="Arial" w:cs="Arial" w:eastAsia="Arial" w:hAnsi="Arial"/>
                <w:sz w:val="16"/>
                <w:szCs w:val="16"/>
                <w:b w:val="1"/>
                <w:bCs w:val="1"/>
                <w:color w:val="auto"/>
              </w:rPr>
              <w:t>PayNearMe, Inc.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9,982,064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7"/>
              </w:rPr>
              <w:t>3,999,998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(7,175)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13,974,887</w:t>
            </w:r>
          </w:p>
        </w:tc>
        <w:tc>
          <w:tcPr>
            <w:tcW w:w="0" w:type="dxa"/>
            <w:vAlign w:val="bottom"/>
          </w:tcPr>
          <w:p>
            <w:pPr>
              <w:spacing w:after="0"/>
              <w:rPr>
                <w:sz w:val="1"/>
                <w:szCs w:val="1"/>
                <w:color w:val="auto"/>
              </w:rPr>
            </w:pPr>
          </w:p>
        </w:tc>
      </w:tr>
      <w:tr>
        <w:trPr>
          <w:trHeight w:val="162"/>
        </w:trPr>
        <w:tc>
          <w:tcPr>
            <w:tcW w:w="3360" w:type="dxa"/>
            <w:vAlign w:val="bottom"/>
            <w:gridSpan w:val="11"/>
          </w:tcPr>
          <w:p>
            <w:pPr>
              <w:ind w:left="20"/>
              <w:spacing w:after="0" w:line="162" w:lineRule="exact"/>
              <w:rPr>
                <w:sz w:val="20"/>
                <w:szCs w:val="20"/>
                <w:color w:val="auto"/>
              </w:rPr>
            </w:pPr>
            <w:r>
              <w:rPr>
                <w:rFonts w:ascii="Arial" w:cs="Arial" w:eastAsia="Arial" w:hAnsi="Arial"/>
                <w:sz w:val="16"/>
                <w:szCs w:val="16"/>
                <w:b w:val="1"/>
                <w:bCs w:val="1"/>
                <w:color w:val="auto"/>
              </w:rPr>
              <w:t>The rSmart Group, Inc.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192,586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1,920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(189,506)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2200" w:type="dxa"/>
            <w:vAlign w:val="bottom"/>
            <w:gridSpan w:val="9"/>
            <w:vMerge w:val="restart"/>
          </w:tcPr>
          <w:p>
            <w:pPr>
              <w:ind w:left="20"/>
              <w:spacing w:after="0"/>
              <w:rPr>
                <w:sz w:val="20"/>
                <w:szCs w:val="20"/>
                <w:color w:val="auto"/>
              </w:rPr>
            </w:pPr>
            <w:r>
              <w:rPr>
                <w:rFonts w:ascii="Arial" w:cs="Arial" w:eastAsia="Arial" w:hAnsi="Arial"/>
                <w:sz w:val="16"/>
                <w:szCs w:val="16"/>
                <w:b w:val="1"/>
                <w:bCs w:val="1"/>
                <w:color w:val="auto"/>
                <w:w w:val="93"/>
              </w:rPr>
              <w:t>Strategic Data Command, LLC</w:t>
            </w:r>
          </w:p>
        </w:tc>
        <w:tc>
          <w:tcPr>
            <w:tcW w:w="1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w w:val="95"/>
              </w:rPr>
              <w:t>(3)</w:t>
            </w:r>
          </w:p>
        </w:tc>
        <w:tc>
          <w:tcPr>
            <w:tcW w:w="100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200" w:type="dxa"/>
            <w:vAlign w:val="bottom"/>
            <w:gridSpan w:val="9"/>
            <w:vMerge w:val="continue"/>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1,000,000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(12,373)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12,373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1,000,000</w:t>
            </w:r>
          </w:p>
        </w:tc>
        <w:tc>
          <w:tcPr>
            <w:tcW w:w="0" w:type="dxa"/>
            <w:vAlign w:val="bottom"/>
          </w:tcPr>
          <w:p>
            <w:pPr>
              <w:spacing w:after="0"/>
              <w:rPr>
                <w:sz w:val="1"/>
                <w:szCs w:val="1"/>
                <w:color w:val="auto"/>
              </w:rPr>
            </w:pPr>
          </w:p>
        </w:tc>
      </w:tr>
      <w:tr>
        <w:trPr>
          <w:trHeight w:val="162"/>
        </w:trPr>
        <w:tc>
          <w:tcPr>
            <w:tcW w:w="3360" w:type="dxa"/>
            <w:vAlign w:val="bottom"/>
            <w:gridSpan w:val="11"/>
          </w:tcPr>
          <w:p>
            <w:pPr>
              <w:ind w:left="20"/>
              <w:spacing w:after="0" w:line="162" w:lineRule="exact"/>
              <w:rPr>
                <w:sz w:val="20"/>
                <w:szCs w:val="20"/>
                <w:color w:val="auto"/>
              </w:rPr>
            </w:pPr>
            <w:r>
              <w:rPr>
                <w:rFonts w:ascii="Arial" w:cs="Arial" w:eastAsia="Arial" w:hAnsi="Arial"/>
                <w:sz w:val="16"/>
                <w:szCs w:val="16"/>
                <w:b w:val="1"/>
                <w:bCs w:val="1"/>
                <w:color w:val="auto"/>
              </w:rPr>
              <w:t>Totus Solutions, Inc.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3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w w:val="93"/>
              </w:rPr>
              <w:t>Convertible Promissory Note 6%, Expiration Date,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4/01/2016***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(2,296)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78,425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(29,185)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36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B</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128,902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(128,902)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36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360" w:type="dxa"/>
            <w:vAlign w:val="bottom"/>
            <w:gridSpan w:val="11"/>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gridSpan w:val="11"/>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Total Affiliate Investments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6"/>
                <w:szCs w:val="16"/>
                <w:b w:val="1"/>
                <w:bCs w:val="1"/>
                <w:color w:val="auto"/>
              </w:rPr>
              <w:t>152,388</w:t>
            </w:r>
          </w:p>
        </w:tc>
        <w:tc>
          <w:tcPr>
            <w:tcW w:w="1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w:t>
            </w:r>
          </w:p>
        </w:tc>
        <w:tc>
          <w:tcPr>
            <w:tcW w:w="7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6"/>
                <w:szCs w:val="16"/>
                <w:b w:val="1"/>
                <w:bCs w:val="1"/>
                <w:color w:val="auto"/>
                <w:w w:val="89"/>
              </w:rPr>
              <w:t>70,172,313</w:t>
            </w:r>
          </w:p>
        </w:tc>
        <w:tc>
          <w:tcPr>
            <w:tcW w:w="18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6"/>
                <w:szCs w:val="16"/>
                <w:b w:val="1"/>
                <w:bCs w:val="1"/>
                <w:color w:val="auto"/>
              </w:rPr>
              <w:t>$</w:t>
            </w:r>
          </w:p>
        </w:tc>
        <w:tc>
          <w:tcPr>
            <w:tcW w:w="76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6"/>
                <w:szCs w:val="16"/>
                <w:b w:val="1"/>
                <w:bCs w:val="1"/>
                <w:color w:val="auto"/>
              </w:rPr>
              <w:t>789,435</w:t>
            </w:r>
          </w:p>
        </w:tc>
        <w:tc>
          <w:tcPr>
            <w:tcW w:w="1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6"/>
                <w:szCs w:val="16"/>
                <w:b w:val="1"/>
                <w:bCs w:val="1"/>
                <w:u w:val="single" w:color="auto"/>
                <w:color w:val="auto"/>
              </w:rPr>
              <w:t>$</w:t>
            </w:r>
          </w:p>
        </w:tc>
        <w:tc>
          <w:tcPr>
            <w:tcW w:w="6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6"/>
                <w:szCs w:val="16"/>
                <w:b w:val="1"/>
                <w:bCs w:val="1"/>
                <w:color w:val="auto"/>
                <w:w w:val="87"/>
              </w:rPr>
              <w:t>5,314,623</w:t>
            </w:r>
          </w:p>
        </w:tc>
        <w:tc>
          <w:tcPr>
            <w:tcW w:w="1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6"/>
                <w:szCs w:val="16"/>
                <w:b w:val="1"/>
                <w:bCs w:val="1"/>
                <w:u w:val="single" w:color="auto"/>
                <w:color w:val="auto"/>
              </w:rPr>
              <w:t>$</w:t>
            </w:r>
          </w:p>
        </w:tc>
        <w:tc>
          <w:tcPr>
            <w:tcW w:w="7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6"/>
                <w:szCs w:val="16"/>
                <w:b w:val="1"/>
                <w:bCs w:val="1"/>
                <w:color w:val="auto"/>
                <w:w w:val="87"/>
              </w:rPr>
              <w:t>(3,717,768)</w:t>
            </w:r>
          </w:p>
        </w:tc>
        <w:tc>
          <w:tcPr>
            <w:tcW w:w="1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w:t>
            </w:r>
          </w:p>
        </w:tc>
        <w:tc>
          <w:tcPr>
            <w:tcW w:w="84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6"/>
                <w:szCs w:val="16"/>
                <w:b w:val="1"/>
                <w:bCs w:val="1"/>
                <w:color w:val="auto"/>
                <w:w w:val="92"/>
              </w:rPr>
              <w:t>(5,693,221)</w:t>
            </w:r>
          </w:p>
        </w:tc>
        <w:tc>
          <w:tcPr>
            <w:tcW w:w="1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w:t>
            </w:r>
          </w:p>
        </w:tc>
        <w:tc>
          <w:tcPr>
            <w:tcW w:w="84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6"/>
                <w:szCs w:val="16"/>
                <w:b w:val="1"/>
                <w:bCs w:val="1"/>
                <w:color w:val="auto"/>
                <w:w w:val="97"/>
              </w:rPr>
              <w:t>66,865,382</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-196850</wp:posOffset>
            </wp:positionV>
            <wp:extent cx="623443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519" w:hanging="272"/>
        <w:spacing w:after="0" w:line="277" w:lineRule="auto"/>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ind w:left="300" w:hanging="272"/>
        <w:spacing w:after="0"/>
        <w:tabs>
          <w:tab w:leader="none" w:pos="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300" w:right="519" w:hanging="272"/>
        <w:spacing w:after="0" w:line="342" w:lineRule="auto"/>
        <w:tabs>
          <w:tab w:leader="none" w:pos="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GSV Capital Corp.’s investment in Whittle Schools, LLC is held through its wholly-owned subsidiary GSVC WS Holdings, Inc. Whittle Schools, LLC is an investment for which the economics are derived from the value of Avenues Global Holdings LLC.</w:t>
      </w:r>
    </w:p>
    <w:p>
      <w:pPr>
        <w:spacing w:after="0" w:line="15" w:lineRule="exact"/>
        <w:rPr>
          <w:rFonts w:ascii="Arial" w:cs="Arial" w:eastAsia="Arial" w:hAnsi="Arial"/>
          <w:sz w:val="16"/>
          <w:szCs w:val="16"/>
          <w:color w:val="auto"/>
        </w:rPr>
      </w:pPr>
    </w:p>
    <w:p>
      <w:pPr>
        <w:ind w:left="300" w:right="539" w:hanging="272"/>
        <w:spacing w:after="0" w:line="277"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62" w:lineRule="exact"/>
        <w:rPr>
          <w:rFonts w:ascii="Arial" w:cs="Arial" w:eastAsia="Arial" w:hAnsi="Arial"/>
          <w:sz w:val="18"/>
          <w:szCs w:val="18"/>
          <w:color w:val="auto"/>
        </w:rPr>
      </w:pPr>
    </w:p>
    <w:p>
      <w:pPr>
        <w:jc w:val="both"/>
        <w:ind w:left="300" w:right="519" w:hanging="272"/>
        <w:spacing w:after="0" w:line="257"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October 22, 2013, Cricket Media (f/k/a ePals Inc.), priced its initial public offering, selling 40,267,333 shares at a price of CAD $0.075 per share. At September 30, 2015, GSV Capital Corp. valued Cricket Media (f/k/a ePals Inc.), based on its September 30, 2015 closing price. GSV Capital Corp.’s Chief Executive Officer, Michael Moe serves on the board of directors for Cricket Media (f/k/a ePals Inc.), which subjects GSV Capital Corp. to insider trading restrictions under Canadian securities law.</w:t>
      </w:r>
    </w:p>
    <w:p>
      <w:pPr>
        <w:spacing w:after="0" w:line="80"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Accrued interest is not payable until the earlier of (a) the closing of a subsequent equity offering by CUX, Inc. (d/b/a CorpU), or (b) the maturity of the note (November 26, 2018). Interest will compound annually beginning on November 26, 2015.</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8" w:name="page69"/>
    <w:bookmarkEnd w:id="6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12-14</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Amount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Interest, Fees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or Dividends</w:t>
            </w:r>
          </w:p>
        </w:tc>
        <w:tc>
          <w:tcPr>
            <w:tcW w:w="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Realized and</w:t>
            </w:r>
          </w:p>
        </w:tc>
        <w:tc>
          <w:tcPr>
            <w:tcW w:w="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Fair Value at</w:t>
            </w: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Credited in</w:t>
            </w:r>
          </w:p>
        </w:tc>
        <w:tc>
          <w:tcPr>
            <w:tcW w:w="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Unrealized</w:t>
            </w:r>
          </w:p>
        </w:tc>
        <w:tc>
          <w:tcPr>
            <w:tcW w:w="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840" w:type="dxa"/>
            <w:vAlign w:val="bottom"/>
            <w:tcBorders>
              <w:bottom w:val="single" w:sz="8" w:color="auto"/>
            </w:tcBorders>
            <w:gridSpan w:val="13"/>
          </w:tcPr>
          <w:p>
            <w:pPr>
              <w:ind w:left="20"/>
              <w:spacing w:after="0"/>
              <w:rPr>
                <w:sz w:val="20"/>
                <w:szCs w:val="20"/>
                <w:color w:val="auto"/>
              </w:rPr>
            </w:pPr>
            <w:r>
              <w:rPr>
                <w:rFonts w:ascii="Arial" w:cs="Arial" w:eastAsia="Arial" w:hAnsi="Arial"/>
                <w:sz w:val="14"/>
                <w:szCs w:val="14"/>
                <w:b w:val="1"/>
                <w:bCs w:val="1"/>
                <w:color w:val="auto"/>
              </w:rPr>
              <w:t>Portfolio Company/Type of Investment*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2013</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1"/>
              </w:rPr>
              <w:t>Purchases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Gains/(Losses)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2014</w:t>
            </w:r>
          </w:p>
        </w:tc>
      </w:tr>
      <w:tr>
        <w:trPr>
          <w:trHeight w:val="156"/>
        </w:trPr>
        <w:tc>
          <w:tcPr>
            <w:tcW w:w="2840" w:type="dxa"/>
            <w:vAlign w:val="bottom"/>
            <w:gridSpan w:val="13"/>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Control Investments</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62"/>
        </w:trPr>
        <w:tc>
          <w:tcPr>
            <w:tcW w:w="284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AlwaysOn, Inc.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251,240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(359,988)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491,252</w:t>
            </w: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203,011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426,298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629,309</w:t>
            </w:r>
          </w:p>
        </w:tc>
      </w:tr>
      <w:tr>
        <w:trPr>
          <w:trHeight w:val="19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w w:val="92"/>
              </w:rPr>
              <w:t>Preferred warrants Series A-1, $0.19 strike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price, expire 12/31/2014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2840" w:type="dxa"/>
            <w:vAlign w:val="bottom"/>
            <w:gridSpan w:val="13"/>
          </w:tcPr>
          <w:p>
            <w:pPr>
              <w:ind w:left="20"/>
              <w:spacing w:after="0"/>
              <w:rPr>
                <w:sz w:val="20"/>
                <w:szCs w:val="20"/>
                <w:color w:val="auto"/>
              </w:rPr>
            </w:pPr>
            <w:r>
              <w:rPr>
                <w:rFonts w:ascii="Arial" w:cs="Arial" w:eastAsia="Arial" w:hAnsi="Arial"/>
                <w:sz w:val="16"/>
                <w:szCs w:val="16"/>
                <w:color w:val="auto"/>
                <w:w w:val="96"/>
              </w:rPr>
              <w:t>Preferred warrants Series A, $1.00 strike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820" w:type="dxa"/>
            <w:vAlign w:val="bottom"/>
            <w:gridSpan w:val="12"/>
          </w:tcPr>
          <w:p>
            <w:pPr>
              <w:ind w:left="180"/>
              <w:spacing w:after="0"/>
              <w:rPr>
                <w:sz w:val="20"/>
                <w:szCs w:val="20"/>
                <w:color w:val="auto"/>
              </w:rPr>
            </w:pPr>
            <w:r>
              <w:rPr>
                <w:rFonts w:ascii="Arial" w:cs="Arial" w:eastAsia="Arial" w:hAnsi="Arial"/>
                <w:sz w:val="16"/>
                <w:szCs w:val="16"/>
                <w:color w:val="auto"/>
              </w:rPr>
              <w:t>price, expire 1/9/2017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840" w:type="dxa"/>
            <w:vAlign w:val="bottom"/>
            <w:gridSpan w:val="13"/>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3"/>
                <w:szCs w:val="23"/>
                <w:b w:val="1"/>
                <w:bCs w:val="1"/>
                <w:color w:val="auto"/>
                <w:vertAlign w:val="superscript"/>
              </w:rPr>
              <w:t>(1)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87"/>
              </w:rPr>
              <w:t>4,000,787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338,043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4,338,830</w:t>
            </w: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4,205,142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142,466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4,347,608</w:t>
            </w: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110,000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281,592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391,592</w:t>
            </w:r>
          </w:p>
        </w:tc>
      </w:tr>
      <w:tr>
        <w:trPr>
          <w:trHeight w:val="19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w w:val="92"/>
              </w:rPr>
              <w:t>Preferred Unit Warrants $1.76 Strike Price,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Expiration Date 1/6/15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62"/>
        </w:trPr>
        <w:tc>
          <w:tcPr>
            <w:tcW w:w="284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NestGSV, Inc. (d/b/a GSV Labs, Inc.)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1,188,137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(748,137)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440,000</w:t>
            </w: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594,068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(328,088)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265,980</w:t>
            </w: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2,005,730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(501,898)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1,503,832</w:t>
            </w: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87"/>
              </w:rPr>
              <w:t>1,404,499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56,058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1,460,557</w:t>
            </w: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Convertible Promissory Note***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10,233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500,000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w w:val="91"/>
              </w:rPr>
              <w:t>Preferred warrants, Series C – $1.33 Strike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Price, Expiration Date 4/9/2019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24,375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24,375</w:t>
            </w:r>
          </w:p>
        </w:tc>
      </w:tr>
      <w:tr>
        <w:trPr>
          <w:trHeight w:val="193"/>
        </w:trPr>
        <w:tc>
          <w:tcPr>
            <w:tcW w:w="2840" w:type="dxa"/>
            <w:vAlign w:val="bottom"/>
            <w:gridSpan w:val="13"/>
          </w:tcPr>
          <w:p>
            <w:pPr>
              <w:ind w:left="20"/>
              <w:spacing w:after="0"/>
              <w:rPr>
                <w:sz w:val="20"/>
                <w:szCs w:val="20"/>
                <w:color w:val="auto"/>
              </w:rPr>
            </w:pPr>
            <w:r>
              <w:rPr>
                <w:rFonts w:ascii="Arial" w:cs="Arial" w:eastAsia="Arial" w:hAnsi="Arial"/>
                <w:sz w:val="16"/>
                <w:szCs w:val="16"/>
                <w:color w:val="auto"/>
                <w:w w:val="94"/>
              </w:rPr>
              <w:t>Preferred Warrant Series D – $1.33 Strike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820" w:type="dxa"/>
            <w:vAlign w:val="bottom"/>
            <w:gridSpan w:val="12"/>
          </w:tcPr>
          <w:p>
            <w:pPr>
              <w:ind w:left="180"/>
              <w:spacing w:after="0"/>
              <w:rPr>
                <w:sz w:val="20"/>
                <w:szCs w:val="20"/>
                <w:color w:val="auto"/>
              </w:rPr>
            </w:pPr>
            <w:r>
              <w:rPr>
                <w:rFonts w:ascii="Arial" w:cs="Arial" w:eastAsia="Arial" w:hAnsi="Arial"/>
                <w:sz w:val="16"/>
                <w:szCs w:val="16"/>
                <w:color w:val="auto"/>
              </w:rPr>
              <w:t>Price, Expiration Date 10/6/2019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65,000</w:t>
            </w:r>
          </w:p>
        </w:tc>
      </w:tr>
      <w:tr>
        <w:trPr>
          <w:trHeight w:val="165"/>
        </w:trPr>
        <w:tc>
          <w:tcPr>
            <w:tcW w:w="2840" w:type="dxa"/>
            <w:vAlign w:val="bottom"/>
            <w:gridSpan w:val="13"/>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GSV Sustainability Partners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shares, Class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87"/>
              </w:rPr>
              <w:t>4,851,256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4,850,000</w:t>
            </w: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r>
      <w:tr>
        <w:trPr>
          <w:trHeight w:val="156"/>
        </w:trPr>
        <w:tc>
          <w:tcPr>
            <w:tcW w:w="2840" w:type="dxa"/>
            <w:vAlign w:val="bottom"/>
            <w:gridSpan w:val="13"/>
          </w:tcPr>
          <w:p>
            <w:pPr>
              <w:ind w:left="20"/>
              <w:spacing w:after="0" w:line="155" w:lineRule="exact"/>
              <w:rPr>
                <w:sz w:val="20"/>
                <w:szCs w:val="20"/>
                <w:color w:val="auto"/>
              </w:rPr>
            </w:pPr>
            <w:r>
              <w:rPr>
                <w:rFonts w:ascii="Arial" w:cs="Arial" w:eastAsia="Arial" w:hAnsi="Arial"/>
                <w:sz w:val="16"/>
                <w:szCs w:val="16"/>
                <w:b w:val="1"/>
                <w:bCs w:val="1"/>
                <w:color w:val="auto"/>
              </w:rPr>
              <w:t>Total Control Investments</w:t>
            </w:r>
          </w:p>
        </w:tc>
        <w:tc>
          <w:tcPr>
            <w:tcW w:w="1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w:t>
            </w: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6"/>
                <w:szCs w:val="16"/>
                <w:b w:val="1"/>
                <w:bCs w:val="1"/>
                <w:color w:val="auto"/>
              </w:rPr>
              <w:t>10,233</w:t>
            </w:r>
          </w:p>
        </w:tc>
        <w:tc>
          <w:tcPr>
            <w:tcW w:w="18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w w:val="89"/>
              </w:rPr>
              <w:t>6,790,358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6"/>
                <w:szCs w:val="16"/>
                <w:b w:val="1"/>
                <w:bCs w:val="1"/>
                <w:u w:val="single" w:color="auto"/>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w w:val="89"/>
              </w:rPr>
              <w:t>18,819,335</w:t>
            </w: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56"/>
        </w:trPr>
        <w:tc>
          <w:tcPr>
            <w:tcW w:w="2840" w:type="dxa"/>
            <w:vAlign w:val="bottom"/>
            <w:gridSpan w:val="13"/>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Affiliate Investments</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3"/>
          </w:tcPr>
          <w:p>
            <w:pPr>
              <w:ind w:left="20"/>
              <w:spacing w:after="0" w:line="202"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3"/>
                <w:szCs w:val="23"/>
                <w:b w:val="1"/>
                <w:bCs w:val="1"/>
                <w:color w:val="auto"/>
                <w:vertAlign w:val="superscript"/>
              </w:rPr>
              <w:t>(2)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3,000,000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3,000,000</w:t>
            </w: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9"/>
              </w:rPr>
              <w:t>1,500,000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45,363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(45,363)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1,500,000</w:t>
            </w:r>
          </w:p>
        </w:tc>
      </w:tr>
      <w:tr>
        <w:trPr>
          <w:trHeight w:val="162"/>
        </w:trPr>
        <w:tc>
          <w:tcPr>
            <w:tcW w:w="2840" w:type="dxa"/>
            <w:vAlign w:val="bottom"/>
            <w:gridSpan w:val="13"/>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Circle Media (f/k/a S3 Digital Corp.</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60" w:type="dxa"/>
            <w:vAlign w:val="bottom"/>
            <w:tcBorders>
              <w:top w:val="single" w:sz="8" w:color="auto"/>
            </w:tcBorders>
            <w:gridSpan w:val="10"/>
            <w:shd w:val="clear" w:color="auto" w:fill="CCEEFF"/>
          </w:tcPr>
          <w:p>
            <w:pPr>
              <w:ind w:left="180"/>
              <w:spacing w:after="0" w:line="183" w:lineRule="exact"/>
              <w:rPr>
                <w:sz w:val="20"/>
                <w:szCs w:val="20"/>
                <w:color w:val="auto"/>
              </w:rPr>
            </w:pPr>
            <w:r>
              <w:rPr>
                <w:rFonts w:ascii="Arial" w:cs="Arial" w:eastAsia="Arial" w:hAnsi="Arial"/>
                <w:sz w:val="16"/>
                <w:szCs w:val="16"/>
                <w:b w:val="1"/>
                <w:bCs w:val="1"/>
                <w:color w:val="auto"/>
              </w:rPr>
              <w:t>(d/b/a S3i))</w:t>
            </w:r>
          </w:p>
        </w:tc>
        <w:tc>
          <w:tcPr>
            <w:tcW w:w="36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right w:val="single" w:sz="8" w:color="CCEEFF"/>
            </w:tcBorders>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9"/>
              </w:rPr>
              <w:t>1,168,847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507,001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29,158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1,705,006</w:t>
            </w:r>
          </w:p>
        </w:tc>
      </w:tr>
      <w:tr>
        <w:trPr>
          <w:trHeight w:val="203"/>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Term Loan, 12%, 09/30/15***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31,423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15,243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288,114</w:t>
            </w:r>
          </w:p>
        </w:tc>
      </w:tr>
      <w:tr>
        <w:trPr>
          <w:trHeight w:val="19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warrants, $1.17 Strike Price,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820" w:type="dxa"/>
            <w:vAlign w:val="bottom"/>
            <w:gridSpan w:val="12"/>
          </w:tcPr>
          <w:p>
            <w:pPr>
              <w:ind w:left="180"/>
              <w:spacing w:after="0"/>
              <w:rPr>
                <w:sz w:val="20"/>
                <w:szCs w:val="20"/>
                <w:color w:val="auto"/>
              </w:rPr>
            </w:pPr>
            <w:r>
              <w:rPr>
                <w:rFonts w:ascii="Arial" w:cs="Arial" w:eastAsia="Arial" w:hAnsi="Arial"/>
                <w:sz w:val="16"/>
                <w:szCs w:val="16"/>
                <w:color w:val="auto"/>
              </w:rPr>
              <w:t>Expiration Date 08/29/2021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58,019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58,019</w:t>
            </w:r>
          </w:p>
        </w:tc>
      </w:tr>
      <w:tr>
        <w:trPr>
          <w:trHeight w:val="196"/>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warrants, $1.17 Strike Price,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Expiration Date 09/30/2020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64,322</w:t>
            </w:r>
          </w:p>
        </w:tc>
      </w:tr>
      <w:tr>
        <w:trPr>
          <w:trHeight w:val="193"/>
        </w:trPr>
        <w:tc>
          <w:tcPr>
            <w:tcW w:w="2840" w:type="dxa"/>
            <w:vAlign w:val="bottom"/>
            <w:gridSpan w:val="13"/>
          </w:tcPr>
          <w:p>
            <w:pPr>
              <w:ind w:left="20"/>
              <w:spacing w:after="0"/>
              <w:rPr>
                <w:sz w:val="20"/>
                <w:szCs w:val="20"/>
                <w:color w:val="auto"/>
              </w:rPr>
            </w:pPr>
            <w:r>
              <w:rPr>
                <w:rFonts w:ascii="Arial" w:cs="Arial" w:eastAsia="Arial" w:hAnsi="Arial"/>
                <w:sz w:val="16"/>
                <w:szCs w:val="16"/>
                <w:color w:val="auto"/>
              </w:rPr>
              <w:t>Preferred warrants, $1.16 Strike Price,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820" w:type="dxa"/>
            <w:vAlign w:val="bottom"/>
            <w:gridSpan w:val="12"/>
          </w:tcPr>
          <w:p>
            <w:pPr>
              <w:ind w:left="180"/>
              <w:spacing w:after="0"/>
              <w:rPr>
                <w:sz w:val="20"/>
                <w:szCs w:val="20"/>
                <w:color w:val="auto"/>
              </w:rPr>
            </w:pPr>
            <w:r>
              <w:rPr>
                <w:rFonts w:ascii="Arial" w:cs="Arial" w:eastAsia="Arial" w:hAnsi="Arial"/>
                <w:sz w:val="16"/>
                <w:szCs w:val="16"/>
                <w:color w:val="auto"/>
              </w:rPr>
              <w:t>Expiration Date 6/26/2021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12,736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12,736</w:t>
            </w:r>
          </w:p>
        </w:tc>
      </w:tr>
      <w:tr>
        <w:trPr>
          <w:trHeight w:val="196"/>
        </w:trPr>
        <w:tc>
          <w:tcPr>
            <w:tcW w:w="284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warrants, $1.00 Strike Price,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Expiration Date 11/21/2017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-2228850</wp:posOffset>
            </wp:positionV>
            <wp:extent cx="5213985" cy="146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9" w:name="page70"/>
    <w:bookmarkEnd w:id="6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12-14</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of Investments in and Advances to Affiliates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Interest, Fees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or Dividends</w:t>
            </w: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Realized and</w:t>
            </w:r>
          </w:p>
        </w:tc>
        <w:tc>
          <w:tcPr>
            <w:tcW w:w="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Fair Value at</w:t>
            </w: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Credited in</w:t>
            </w: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840" w:type="dxa"/>
            <w:vAlign w:val="bottom"/>
            <w:gridSpan w:val="12"/>
          </w:tcPr>
          <w:p>
            <w:pPr>
              <w:ind w:left="20"/>
              <w:spacing w:after="0"/>
              <w:rPr>
                <w:sz w:val="20"/>
                <w:szCs w:val="20"/>
                <w:color w:val="auto"/>
              </w:rPr>
            </w:pPr>
            <w:r>
              <w:rPr>
                <w:rFonts w:ascii="Arial" w:cs="Arial" w:eastAsia="Arial" w:hAnsi="Arial"/>
                <w:sz w:val="14"/>
                <w:szCs w:val="14"/>
                <w:b w:val="1"/>
                <w:bCs w:val="1"/>
                <w:color w:val="auto"/>
              </w:rPr>
              <w:t>Portfolio Company/Type of Investment*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60" w:type="dxa"/>
            <w:vAlign w:val="bottom"/>
          </w:tcPr>
          <w:p>
            <w:pPr>
              <w:spacing w:after="0"/>
              <w:rPr>
                <w:sz w:val="14"/>
                <w:szCs w:val="14"/>
                <w:color w:val="auto"/>
              </w:rPr>
            </w:pPr>
          </w:p>
        </w:tc>
        <w:tc>
          <w:tcPr>
            <w:tcW w:w="780" w:type="dxa"/>
            <w:vAlign w:val="bottom"/>
          </w:tcPr>
          <w:p>
            <w:pPr>
              <w:jc w:val="right"/>
              <w:ind w:right="20"/>
              <w:spacing w:after="0"/>
              <w:rPr>
                <w:sz w:val="20"/>
                <w:szCs w:val="20"/>
                <w:color w:val="auto"/>
              </w:rPr>
            </w:pPr>
            <w:r>
              <w:rPr>
                <w:rFonts w:ascii="Arial" w:cs="Arial" w:eastAsia="Arial" w:hAnsi="Arial"/>
                <w:sz w:val="14"/>
                <w:szCs w:val="14"/>
                <w:b w:val="1"/>
                <w:bCs w:val="1"/>
                <w:color w:val="auto"/>
                <w:w w:val="93"/>
              </w:rPr>
              <w:t>Purchases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79"/>
              <w:spacing w:after="0"/>
              <w:rPr>
                <w:sz w:val="20"/>
                <w:szCs w:val="20"/>
                <w:color w:val="auto"/>
              </w:rPr>
            </w:pPr>
            <w:r>
              <w:rPr>
                <w:rFonts w:ascii="Arial" w:cs="Arial" w:eastAsia="Arial" w:hAnsi="Arial"/>
                <w:sz w:val="14"/>
                <w:szCs w:val="14"/>
                <w:b w:val="1"/>
                <w:bCs w:val="1"/>
                <w:color w:val="auto"/>
              </w:rPr>
              <w:t>Sales</w:t>
            </w:r>
          </w:p>
        </w:tc>
        <w:tc>
          <w:tcPr>
            <w:tcW w:w="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Gains/(Losses)</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2014</w:t>
            </w:r>
          </w:p>
        </w:tc>
      </w:tr>
      <w:tr>
        <w:trPr>
          <w:trHeight w:val="156"/>
        </w:trPr>
        <w:tc>
          <w:tcPr>
            <w:tcW w:w="2840" w:type="dxa"/>
            <w:vAlign w:val="bottom"/>
            <w:tcBorders>
              <w:top w:val="single" w:sz="8" w:color="auto"/>
            </w:tcBorders>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CUX, Inc. (d/b/a CorpU)</w:t>
            </w:r>
          </w:p>
        </w:tc>
        <w:tc>
          <w:tcPr>
            <w:tcW w:w="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2"/>
          </w:tcPr>
          <w:p>
            <w:pPr>
              <w:ind w:left="20"/>
              <w:spacing w:after="0"/>
              <w:rPr>
                <w:sz w:val="20"/>
                <w:szCs w:val="20"/>
                <w:color w:val="auto"/>
              </w:rPr>
            </w:pPr>
            <w:r>
              <w:rPr>
                <w:rFonts w:ascii="Arial" w:cs="Arial" w:eastAsia="Arial" w:hAnsi="Arial"/>
                <w:sz w:val="16"/>
                <w:szCs w:val="16"/>
                <w:color w:val="auto"/>
              </w:rPr>
              <w:t>Convertible preferred shares, Series C</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w w:val="94"/>
              </w:rPr>
              <w:t>$2,006,077</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5"/>
              <w:spacing w:after="0"/>
              <w:rPr>
                <w:sz w:val="20"/>
                <w:szCs w:val="20"/>
                <w:color w:val="auto"/>
              </w:rPr>
            </w:pPr>
            <w:r>
              <w:rPr>
                <w:rFonts w:ascii="Arial" w:cs="Arial" w:eastAsia="Arial" w:hAnsi="Arial"/>
                <w:sz w:val="16"/>
                <w:szCs w:val="16"/>
                <w:color w:val="auto"/>
              </w:rPr>
              <w:t>$  286,505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$ 2,292,582</w:t>
            </w:r>
          </w:p>
        </w:tc>
      </w:tr>
      <w:tr>
        <w:trPr>
          <w:trHeight w:val="193"/>
        </w:trPr>
        <w:tc>
          <w:tcPr>
            <w:tcW w:w="284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Senior Subordinated Convertible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2"/>
        </w:trPr>
        <w:tc>
          <w:tcPr>
            <w:tcW w:w="20" w:type="dxa"/>
            <w:vAlign w:val="bottom"/>
            <w:shd w:val="clear" w:color="auto" w:fill="CCEEFF"/>
          </w:tcPr>
          <w:p>
            <w:pPr>
              <w:spacing w:after="0"/>
              <w:rPr>
                <w:sz w:val="17"/>
                <w:szCs w:val="17"/>
                <w:color w:val="auto"/>
              </w:rPr>
            </w:pPr>
          </w:p>
        </w:tc>
        <w:tc>
          <w:tcPr>
            <w:tcW w:w="282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Promissory Note 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54"/>
        </w:trPr>
        <w:tc>
          <w:tcPr>
            <w:tcW w:w="20" w:type="dxa"/>
            <w:vAlign w:val="bottom"/>
            <w:shd w:val="clear" w:color="auto" w:fill="CCEEFF"/>
          </w:tcPr>
          <w:p>
            <w:pPr>
              <w:spacing w:after="0"/>
              <w:rPr>
                <w:sz w:val="22"/>
                <w:szCs w:val="22"/>
                <w:color w:val="auto"/>
              </w:rPr>
            </w:pPr>
          </w:p>
        </w:tc>
        <w:tc>
          <w:tcPr>
            <w:tcW w:w="2820" w:type="dxa"/>
            <w:vAlign w:val="bottom"/>
            <w:gridSpan w:val="11"/>
            <w:shd w:val="clear" w:color="auto" w:fill="CCEEFF"/>
          </w:tcPr>
          <w:p>
            <w:pPr>
              <w:ind w:left="180"/>
              <w:spacing w:after="0" w:line="254" w:lineRule="exact"/>
              <w:rPr>
                <w:sz w:val="20"/>
                <w:szCs w:val="20"/>
                <w:color w:val="auto"/>
              </w:rPr>
            </w:pPr>
            <w:r>
              <w:rPr>
                <w:rFonts w:ascii="Arial" w:cs="Arial" w:eastAsia="Arial" w:hAnsi="Arial"/>
                <w:sz w:val="16"/>
                <w:szCs w:val="16"/>
                <w:color w:val="auto"/>
              </w:rPr>
              <w:t>Due 11/26/2018***</w:t>
            </w:r>
            <w:r>
              <w:rPr>
                <w:rFonts w:ascii="Arial" w:cs="Arial" w:eastAsia="Arial" w:hAnsi="Arial"/>
                <w:sz w:val="27"/>
                <w:szCs w:val="27"/>
                <w:color w:val="auto"/>
                <w:vertAlign w:val="superscript"/>
              </w:rPr>
              <w:t>(6)</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7,671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1,007,671</w:t>
            </w:r>
          </w:p>
        </w:tc>
      </w:tr>
      <w:tr>
        <w:trPr>
          <w:trHeight w:val="203"/>
        </w:trPr>
        <w:tc>
          <w:tcPr>
            <w:tcW w:w="2840" w:type="dxa"/>
            <w:vAlign w:val="bottom"/>
            <w:gridSpan w:val="12"/>
          </w:tcPr>
          <w:p>
            <w:pPr>
              <w:ind w:left="20"/>
              <w:spacing w:after="0"/>
              <w:rPr>
                <w:sz w:val="20"/>
                <w:szCs w:val="20"/>
                <w:color w:val="auto"/>
              </w:rPr>
            </w:pPr>
            <w:r>
              <w:rPr>
                <w:rFonts w:ascii="Arial" w:cs="Arial" w:eastAsia="Arial" w:hAnsi="Arial"/>
                <w:sz w:val="16"/>
                <w:szCs w:val="16"/>
                <w:color w:val="auto"/>
              </w:rPr>
              <w:t>Convertible preferred shares, Series 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697,041</w:t>
            </w: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5"/>
              <w:spacing w:after="0"/>
              <w:rPr>
                <w:sz w:val="20"/>
                <w:szCs w:val="20"/>
                <w:color w:val="auto"/>
              </w:rPr>
            </w:pPr>
            <w:r>
              <w:rPr>
                <w:rFonts w:ascii="Arial" w:cs="Arial" w:eastAsia="Arial" w:hAnsi="Arial"/>
                <w:sz w:val="16"/>
                <w:szCs w:val="16"/>
                <w:color w:val="auto"/>
              </w:rPr>
              <w:t>19,025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716,066</w:t>
            </w:r>
          </w:p>
        </w:tc>
      </w:tr>
      <w:tr>
        <w:trPr>
          <w:trHeight w:val="193"/>
        </w:trPr>
        <w:tc>
          <w:tcPr>
            <w:tcW w:w="284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warrants, $4.59 Strike Price,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Expiration Date 02/25/2018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12,508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12,508</w:t>
            </w:r>
          </w:p>
        </w:tc>
      </w:tr>
      <w:tr>
        <w:trPr>
          <w:trHeight w:val="203"/>
        </w:trPr>
        <w:tc>
          <w:tcPr>
            <w:tcW w:w="2840" w:type="dxa"/>
            <w:vAlign w:val="bottom"/>
            <w:gridSpan w:val="12"/>
          </w:tcPr>
          <w:p>
            <w:pPr>
              <w:ind w:left="20"/>
              <w:spacing w:after="0" w:line="202" w:lineRule="exact"/>
              <w:rPr>
                <w:sz w:val="20"/>
                <w:szCs w:val="20"/>
                <w:color w:val="auto"/>
              </w:rPr>
            </w:pPr>
            <w:r>
              <w:rPr>
                <w:rFonts w:ascii="Arial" w:cs="Arial" w:eastAsia="Arial" w:hAnsi="Arial"/>
                <w:sz w:val="14"/>
                <w:szCs w:val="14"/>
                <w:b w:val="1"/>
                <w:bCs w:val="1"/>
                <w:color w:val="auto"/>
              </w:rPr>
              <w:t>Cricket Media (f/k/a ePals Inc.)**</w:t>
            </w:r>
            <w:r>
              <w:rPr>
                <w:rFonts w:ascii="Arial" w:cs="Arial" w:eastAsia="Arial" w:hAnsi="Arial"/>
                <w:sz w:val="23"/>
                <w:szCs w:val="23"/>
                <w:b w:val="1"/>
                <w:bCs w:val="1"/>
                <w:color w:val="auto"/>
                <w:vertAlign w:val="superscript"/>
              </w:rPr>
              <w:t>(4)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3"/>
        </w:trPr>
        <w:tc>
          <w:tcPr>
            <w:tcW w:w="284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1,700,000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4,199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(1,373,073)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331,126</w:t>
            </w:r>
          </w:p>
        </w:tc>
      </w:tr>
      <w:tr>
        <w:trPr>
          <w:trHeight w:val="162"/>
        </w:trPr>
        <w:tc>
          <w:tcPr>
            <w:tcW w:w="2840" w:type="dxa"/>
            <w:vAlign w:val="bottom"/>
            <w:gridSpan w:val="12"/>
          </w:tcPr>
          <w:p>
            <w:pPr>
              <w:ind w:left="20"/>
              <w:spacing w:after="0" w:line="162" w:lineRule="exact"/>
              <w:rPr>
                <w:sz w:val="20"/>
                <w:szCs w:val="20"/>
                <w:color w:val="auto"/>
              </w:rPr>
            </w:pPr>
            <w:r>
              <w:rPr>
                <w:rFonts w:ascii="Arial" w:cs="Arial" w:eastAsia="Arial" w:hAnsi="Arial"/>
                <w:sz w:val="16"/>
                <w:szCs w:val="16"/>
                <w:b w:val="1"/>
                <w:bCs w:val="1"/>
                <w:color w:val="auto"/>
              </w:rPr>
              <w:t>Curious.com Inc.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3"/>
        </w:trPr>
        <w:tc>
          <w:tcPr>
            <w:tcW w:w="284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10,000,003</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9,996,311</w:t>
            </w:r>
          </w:p>
        </w:tc>
      </w:tr>
      <w:tr>
        <w:trPr>
          <w:trHeight w:val="162"/>
        </w:trPr>
        <w:tc>
          <w:tcPr>
            <w:tcW w:w="2840" w:type="dxa"/>
            <w:vAlign w:val="bottom"/>
            <w:gridSpan w:val="12"/>
          </w:tcPr>
          <w:p>
            <w:pPr>
              <w:ind w:left="20"/>
              <w:spacing w:after="0" w:line="162" w:lineRule="exact"/>
              <w:rPr>
                <w:sz w:val="20"/>
                <w:szCs w:val="20"/>
                <w:color w:val="auto"/>
              </w:rPr>
            </w:pPr>
            <w:r>
              <w:rPr>
                <w:rFonts w:ascii="Arial" w:cs="Arial" w:eastAsia="Arial" w:hAnsi="Arial"/>
                <w:sz w:val="16"/>
                <w:szCs w:val="16"/>
                <w:b w:val="1"/>
                <w:bCs w:val="1"/>
                <w:color w:val="auto"/>
              </w:rPr>
              <w:t>Dailybreak, Inc.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3"/>
        </w:trPr>
        <w:tc>
          <w:tcPr>
            <w:tcW w:w="284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1,211,393</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(1,211,393)</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84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A-2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426,254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(426,254)</w:t>
            </w: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2"/>
        </w:trPr>
        <w:tc>
          <w:tcPr>
            <w:tcW w:w="2840" w:type="dxa"/>
            <w:vAlign w:val="bottom"/>
            <w:gridSpan w:val="12"/>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Declara, Inc.</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9,999,999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5"/>
              <w:spacing w:after="0"/>
              <w:rPr>
                <w:sz w:val="20"/>
                <w:szCs w:val="20"/>
                <w:color w:val="auto"/>
              </w:rPr>
            </w:pPr>
            <w:r>
              <w:rPr>
                <w:rFonts w:ascii="Arial" w:cs="Arial" w:eastAsia="Arial" w:hAnsi="Arial"/>
                <w:sz w:val="16"/>
                <w:szCs w:val="16"/>
                <w:color w:val="auto"/>
              </w:rPr>
              <w:t>19,826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10,019,825</w:t>
            </w:r>
          </w:p>
        </w:tc>
      </w:tr>
      <w:tr>
        <w:trPr>
          <w:trHeight w:val="162"/>
        </w:trPr>
        <w:tc>
          <w:tcPr>
            <w:tcW w:w="2840" w:type="dxa"/>
            <w:vAlign w:val="bottom"/>
            <w:gridSpan w:val="12"/>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EdSurge, Inc.</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500,801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5"/>
              <w:spacing w:after="0"/>
              <w:rPr>
                <w:sz w:val="20"/>
                <w:szCs w:val="20"/>
                <w:color w:val="auto"/>
              </w:rPr>
            </w:pPr>
            <w:r>
              <w:rPr>
                <w:rFonts w:ascii="Arial" w:cs="Arial" w:eastAsia="Arial" w:hAnsi="Arial"/>
                <w:sz w:val="16"/>
                <w:szCs w:val="16"/>
                <w:color w:val="auto"/>
              </w:rPr>
              <w:t>4,527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505,328</w:t>
            </w:r>
          </w:p>
        </w:tc>
      </w:tr>
      <w:tr>
        <w:trPr>
          <w:trHeight w:val="162"/>
        </w:trPr>
        <w:tc>
          <w:tcPr>
            <w:tcW w:w="2840" w:type="dxa"/>
            <w:vAlign w:val="bottom"/>
            <w:gridSpan w:val="12"/>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Fullbridge, Inc.</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3,114,120</w:t>
            </w: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(1,489,119)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1,625,001</w:t>
            </w:r>
          </w:p>
        </w:tc>
      </w:tr>
      <w:tr>
        <w:trPr>
          <w:trHeight w:val="203"/>
        </w:trPr>
        <w:tc>
          <w:tcPr>
            <w:tcW w:w="284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2,956,022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155,692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3,111,714</w:t>
            </w:r>
          </w:p>
        </w:tc>
      </w:tr>
      <w:tr>
        <w:trPr>
          <w:trHeight w:val="193"/>
        </w:trPr>
        <w:tc>
          <w:tcPr>
            <w:tcW w:w="2840" w:type="dxa"/>
            <w:vAlign w:val="bottom"/>
            <w:gridSpan w:val="12"/>
          </w:tcPr>
          <w:p>
            <w:pPr>
              <w:ind w:left="20"/>
              <w:spacing w:after="0"/>
              <w:rPr>
                <w:sz w:val="20"/>
                <w:szCs w:val="20"/>
                <w:color w:val="auto"/>
              </w:rPr>
            </w:pPr>
            <w:r>
              <w:rPr>
                <w:rFonts w:ascii="Arial" w:cs="Arial" w:eastAsia="Arial" w:hAnsi="Arial"/>
                <w:sz w:val="16"/>
                <w:szCs w:val="16"/>
                <w:color w:val="auto"/>
              </w:rPr>
              <w:t>Common warrants, $0.91 Strike Price,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820" w:type="dxa"/>
            <w:vAlign w:val="bottom"/>
            <w:gridSpan w:val="11"/>
          </w:tcPr>
          <w:p>
            <w:pPr>
              <w:ind w:left="180"/>
              <w:spacing w:after="0"/>
              <w:rPr>
                <w:sz w:val="20"/>
                <w:szCs w:val="20"/>
                <w:color w:val="auto"/>
              </w:rPr>
            </w:pPr>
            <w:r>
              <w:rPr>
                <w:rFonts w:ascii="Arial" w:cs="Arial" w:eastAsia="Arial" w:hAnsi="Arial"/>
                <w:sz w:val="16"/>
                <w:szCs w:val="16"/>
                <w:color w:val="auto"/>
              </w:rPr>
              <w:t>Expiration Date 3/22/2020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126,362</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(124,500)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1,862</w:t>
            </w:r>
          </w:p>
        </w:tc>
      </w:tr>
      <w:tr>
        <w:trPr>
          <w:trHeight w:val="196"/>
        </w:trPr>
        <w:tc>
          <w:tcPr>
            <w:tcW w:w="284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Common warrants, $0.91 Strike Price,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Expiration Date 12/11/2018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824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824</w:t>
            </w:r>
          </w:p>
        </w:tc>
      </w:tr>
      <w:tr>
        <w:trPr>
          <w:trHeight w:val="193"/>
        </w:trPr>
        <w:tc>
          <w:tcPr>
            <w:tcW w:w="2840" w:type="dxa"/>
            <w:vAlign w:val="bottom"/>
            <w:gridSpan w:val="12"/>
          </w:tcPr>
          <w:p>
            <w:pPr>
              <w:ind w:left="20"/>
              <w:spacing w:after="0"/>
              <w:rPr>
                <w:sz w:val="20"/>
                <w:szCs w:val="20"/>
                <w:color w:val="auto"/>
              </w:rPr>
            </w:pPr>
            <w:r>
              <w:rPr>
                <w:rFonts w:ascii="Arial" w:cs="Arial" w:eastAsia="Arial" w:hAnsi="Arial"/>
                <w:sz w:val="16"/>
                <w:szCs w:val="16"/>
                <w:color w:val="auto"/>
              </w:rPr>
              <w:t>Common warrants, $0.91 Strike Price,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820" w:type="dxa"/>
            <w:vAlign w:val="bottom"/>
            <w:gridSpan w:val="11"/>
          </w:tcPr>
          <w:p>
            <w:pPr>
              <w:ind w:left="180"/>
              <w:spacing w:after="0"/>
              <w:rPr>
                <w:sz w:val="20"/>
                <w:szCs w:val="20"/>
                <w:color w:val="auto"/>
              </w:rPr>
            </w:pPr>
            <w:r>
              <w:rPr>
                <w:rFonts w:ascii="Arial" w:cs="Arial" w:eastAsia="Arial" w:hAnsi="Arial"/>
                <w:sz w:val="16"/>
                <w:szCs w:val="16"/>
                <w:color w:val="auto"/>
              </w:rPr>
              <w:t>Expiration Date 12/11/2018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50,970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(46,849)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4,121</w:t>
            </w:r>
          </w:p>
        </w:tc>
      </w:tr>
      <w:tr>
        <w:trPr>
          <w:trHeight w:val="196"/>
        </w:trPr>
        <w:tc>
          <w:tcPr>
            <w:tcW w:w="284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Common warrants, $0.91 Strike Price,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Expiration Date 5/16/2019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23,244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(21,321)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1,923</w:t>
            </w:r>
          </w:p>
        </w:tc>
      </w:tr>
      <w:tr>
        <w:trPr>
          <w:trHeight w:val="193"/>
        </w:trPr>
        <w:tc>
          <w:tcPr>
            <w:tcW w:w="2840" w:type="dxa"/>
            <w:vAlign w:val="bottom"/>
            <w:gridSpan w:val="12"/>
          </w:tcPr>
          <w:p>
            <w:pPr>
              <w:ind w:left="20"/>
              <w:spacing w:after="0"/>
              <w:rPr>
                <w:sz w:val="20"/>
                <w:szCs w:val="20"/>
                <w:color w:val="auto"/>
              </w:rPr>
            </w:pPr>
            <w:r>
              <w:rPr>
                <w:rFonts w:ascii="Arial" w:cs="Arial" w:eastAsia="Arial" w:hAnsi="Arial"/>
                <w:sz w:val="16"/>
                <w:szCs w:val="16"/>
                <w:color w:val="auto"/>
              </w:rPr>
              <w:t>Common warrants, $0.91 Strike Price,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820" w:type="dxa"/>
            <w:vAlign w:val="bottom"/>
            <w:gridSpan w:val="11"/>
          </w:tcPr>
          <w:p>
            <w:pPr>
              <w:ind w:left="180"/>
              <w:spacing w:after="0"/>
              <w:rPr>
                <w:sz w:val="20"/>
                <w:szCs w:val="20"/>
                <w:color w:val="auto"/>
              </w:rPr>
            </w:pPr>
            <w:r>
              <w:rPr>
                <w:rFonts w:ascii="Arial" w:cs="Arial" w:eastAsia="Arial" w:hAnsi="Arial"/>
                <w:sz w:val="16"/>
                <w:szCs w:val="16"/>
                <w:color w:val="auto"/>
              </w:rPr>
              <w:t>Expiration Date 3/22/2020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85,779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(78,636)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7,143</w:t>
            </w:r>
          </w:p>
        </w:tc>
      </w:tr>
      <w:tr>
        <w:trPr>
          <w:trHeight w:val="196"/>
        </w:trPr>
        <w:tc>
          <w:tcPr>
            <w:tcW w:w="284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Common warrants, $0.91 Strike Price,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282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Expiration Date 10/09/2018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824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824</w:t>
            </w:r>
          </w:p>
        </w:tc>
      </w:tr>
      <w:tr>
        <w:trPr>
          <w:trHeight w:val="193"/>
        </w:trPr>
        <w:tc>
          <w:tcPr>
            <w:tcW w:w="2840" w:type="dxa"/>
            <w:vAlign w:val="bottom"/>
            <w:gridSpan w:val="12"/>
          </w:tcPr>
          <w:p>
            <w:pPr>
              <w:ind w:left="20"/>
              <w:spacing w:after="0"/>
              <w:rPr>
                <w:sz w:val="20"/>
                <w:szCs w:val="20"/>
                <w:color w:val="auto"/>
              </w:rPr>
            </w:pPr>
            <w:r>
              <w:rPr>
                <w:rFonts w:ascii="Arial" w:cs="Arial" w:eastAsia="Arial" w:hAnsi="Arial"/>
                <w:sz w:val="16"/>
                <w:szCs w:val="16"/>
                <w:color w:val="auto"/>
                <w:w w:val="92"/>
              </w:rPr>
              <w:t>Convertible Promissory Note, 10% Interest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820" w:type="dxa"/>
            <w:vAlign w:val="bottom"/>
            <w:gridSpan w:val="11"/>
          </w:tcPr>
          <w:p>
            <w:pPr>
              <w:ind w:left="180"/>
              <w:spacing w:after="0"/>
              <w:rPr>
                <w:sz w:val="20"/>
                <w:szCs w:val="20"/>
                <w:color w:val="auto"/>
              </w:rPr>
            </w:pPr>
            <w:r>
              <w:rPr>
                <w:rFonts w:ascii="Arial" w:cs="Arial" w:eastAsia="Arial" w:hAnsi="Arial"/>
                <w:sz w:val="16"/>
                <w:szCs w:val="16"/>
                <w:color w:val="auto"/>
              </w:rPr>
              <w:t>rate, February 16, 2015***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80,620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1,813,904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w w:val="87"/>
              </w:rPr>
              <w:t>1,813,904</w:t>
            </w:r>
          </w:p>
        </w:tc>
        <w:tc>
          <w:tcPr>
            <w:tcW w:w="60" w:type="dxa"/>
            <w:vAlign w:val="bottom"/>
          </w:tcPr>
          <w:p>
            <w:pPr>
              <w:spacing w:after="0"/>
              <w:rPr>
                <w:sz w:val="18"/>
                <w:szCs w:val="18"/>
                <w:color w:val="auto"/>
              </w:rPr>
            </w:pPr>
          </w:p>
        </w:tc>
        <w:tc>
          <w:tcPr>
            <w:tcW w:w="86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84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Term Loan, 10%, 3/31/14***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(250,000)</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840" w:type="dxa"/>
            <w:vAlign w:val="bottom"/>
            <w:gridSpan w:val="12"/>
          </w:tcPr>
          <w:p>
            <w:pPr>
              <w:ind w:left="20"/>
              <w:spacing w:after="0"/>
              <w:rPr>
                <w:sz w:val="20"/>
                <w:szCs w:val="20"/>
                <w:color w:val="auto"/>
              </w:rPr>
            </w:pPr>
            <w:r>
              <w:rPr>
                <w:rFonts w:ascii="Arial" w:cs="Arial" w:eastAsia="Arial" w:hAnsi="Arial"/>
                <w:sz w:val="16"/>
                <w:szCs w:val="16"/>
                <w:color w:val="auto"/>
              </w:rPr>
              <w:t>Term Loan, 10%, 3/31/14***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3,346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250,000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(250,000)</w:t>
            </w:r>
          </w:p>
        </w:tc>
        <w:tc>
          <w:tcPr>
            <w:tcW w:w="60" w:type="dxa"/>
            <w:vAlign w:val="bottom"/>
          </w:tcPr>
          <w:p>
            <w:pPr>
              <w:spacing w:after="0"/>
              <w:rPr>
                <w:sz w:val="17"/>
                <w:szCs w:val="17"/>
                <w:color w:val="auto"/>
              </w:rPr>
            </w:pPr>
          </w:p>
        </w:tc>
        <w:tc>
          <w:tcPr>
            <w:tcW w:w="86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2"/>
        </w:trPr>
        <w:tc>
          <w:tcPr>
            <w:tcW w:w="2840" w:type="dxa"/>
            <w:vAlign w:val="bottom"/>
            <w:gridSpan w:val="12"/>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Global Education</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2840" w:type="dxa"/>
            <w:vAlign w:val="bottom"/>
            <w:gridSpan w:val="12"/>
          </w:tcPr>
          <w:p>
            <w:pPr>
              <w:ind w:left="20"/>
              <w:spacing w:after="0" w:line="162" w:lineRule="exact"/>
              <w:rPr>
                <w:sz w:val="20"/>
                <w:szCs w:val="20"/>
                <w:color w:val="auto"/>
              </w:rPr>
            </w:pPr>
            <w:r>
              <w:rPr>
                <w:rFonts w:ascii="Arial" w:cs="Arial" w:eastAsia="Arial" w:hAnsi="Arial"/>
                <w:sz w:val="16"/>
                <w:szCs w:val="16"/>
                <w:b w:val="1"/>
                <w:bCs w:val="1"/>
                <w:color w:val="auto"/>
              </w:rPr>
              <w:t>Learning (Holdings) Ltd.**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3"/>
        </w:trPr>
        <w:tc>
          <w:tcPr>
            <w:tcW w:w="284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4,338,009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(342,886)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3,995,221</w:t>
            </w:r>
          </w:p>
        </w:tc>
      </w:tr>
      <w:tr>
        <w:trPr>
          <w:trHeight w:val="162"/>
        </w:trPr>
        <w:tc>
          <w:tcPr>
            <w:tcW w:w="2840" w:type="dxa"/>
            <w:vAlign w:val="bottom"/>
            <w:gridSpan w:val="12"/>
          </w:tcPr>
          <w:p>
            <w:pPr>
              <w:ind w:left="20"/>
              <w:spacing w:after="0" w:line="162" w:lineRule="exact"/>
              <w:rPr>
                <w:sz w:val="20"/>
                <w:szCs w:val="20"/>
                <w:color w:val="auto"/>
              </w:rPr>
            </w:pPr>
            <w:r>
              <w:rPr>
                <w:rFonts w:ascii="Arial" w:cs="Arial" w:eastAsia="Arial" w:hAnsi="Arial"/>
                <w:sz w:val="16"/>
                <w:szCs w:val="16"/>
                <w:b w:val="1"/>
                <w:bCs w:val="1"/>
                <w:color w:val="auto"/>
              </w:rPr>
              <w:t>Learnist Inc. (f/k/a Grockit, Inc.)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3"/>
        </w:trPr>
        <w:tc>
          <w:tcPr>
            <w:tcW w:w="284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2,073,472</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245,542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2,319,014</w:t>
            </w:r>
          </w:p>
        </w:tc>
      </w:tr>
      <w:tr>
        <w:trPr>
          <w:trHeight w:val="203"/>
        </w:trPr>
        <w:tc>
          <w:tcPr>
            <w:tcW w:w="284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1,499,999</w:t>
            </w: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5"/>
              <w:spacing w:after="0"/>
              <w:rPr>
                <w:sz w:val="20"/>
                <w:szCs w:val="20"/>
                <w:color w:val="auto"/>
              </w:rPr>
            </w:pPr>
            <w:r>
              <w:rPr>
                <w:rFonts w:ascii="Arial" w:cs="Arial" w:eastAsia="Arial" w:hAnsi="Arial"/>
                <w:sz w:val="16"/>
                <w:szCs w:val="16"/>
                <w:color w:val="auto"/>
              </w:rPr>
              <w:t>110,297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1,610,296</w:t>
            </w:r>
          </w:p>
        </w:tc>
      </w:tr>
      <w:tr>
        <w:trPr>
          <w:trHeight w:val="203"/>
        </w:trPr>
        <w:tc>
          <w:tcPr>
            <w:tcW w:w="284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1,450,000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1,450,000</w:t>
            </w:r>
          </w:p>
        </w:tc>
      </w:tr>
    </w:tbl>
    <w:p>
      <w:pPr>
        <w:spacing w:after="0" w:line="200" w:lineRule="exact"/>
        <w:rPr>
          <w:sz w:val="20"/>
          <w:szCs w:val="20"/>
          <w:color w:val="auto"/>
        </w:rPr>
      </w:pPr>
    </w:p>
    <w:p>
      <w:pPr>
        <w:spacing w:after="0" w:line="35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0" w:name="page71"/>
    <w:bookmarkEnd w:id="7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12-14</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of Investments in and Advances to Affiliates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Amount of</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Interest, Fees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or Dividends</w:t>
            </w:r>
          </w:p>
        </w:tc>
        <w:tc>
          <w:tcPr>
            <w:tcW w:w="6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Fair Value at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Realized and</w:t>
            </w:r>
          </w:p>
        </w:tc>
        <w:tc>
          <w:tcPr>
            <w:tcW w:w="8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Fair Value at</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Credited in</w:t>
            </w:r>
          </w:p>
        </w:tc>
        <w:tc>
          <w:tcPr>
            <w:tcW w:w="6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8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840" w:type="dxa"/>
            <w:vAlign w:val="bottom"/>
            <w:gridSpan w:val="10"/>
          </w:tcPr>
          <w:p>
            <w:pPr>
              <w:ind w:left="20"/>
              <w:spacing w:after="0"/>
              <w:rPr>
                <w:sz w:val="20"/>
                <w:szCs w:val="20"/>
                <w:color w:val="auto"/>
              </w:rPr>
            </w:pPr>
            <w:r>
              <w:rPr>
                <w:rFonts w:ascii="Arial" w:cs="Arial" w:eastAsia="Arial" w:hAnsi="Arial"/>
                <w:sz w:val="14"/>
                <w:szCs w:val="14"/>
                <w:b w:val="1"/>
                <w:bCs w:val="1"/>
                <w:color w:val="auto"/>
              </w:rPr>
              <w:t>Portfolio Company/Type of Investment*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2013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Purchases</w:t>
            </w: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Gains/(Losses)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2014</w:t>
            </w:r>
          </w:p>
        </w:tc>
        <w:tc>
          <w:tcPr>
            <w:tcW w:w="60" w:type="dxa"/>
            <w:vAlign w:val="bottom"/>
          </w:tcPr>
          <w:p>
            <w:pPr>
              <w:spacing w:after="0"/>
              <w:rPr>
                <w:sz w:val="14"/>
                <w:szCs w:val="14"/>
                <w:color w:val="auto"/>
              </w:rPr>
            </w:pPr>
          </w:p>
        </w:tc>
      </w:tr>
      <w:tr>
        <w:trPr>
          <w:trHeight w:val="156"/>
        </w:trPr>
        <w:tc>
          <w:tcPr>
            <w:tcW w:w="2840" w:type="dxa"/>
            <w:vAlign w:val="bottom"/>
            <w:tcBorders>
              <w:top w:val="single" w:sz="8" w:color="auto"/>
            </w:tcBorders>
            <w:gridSpan w:val="10"/>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Maven Research, Inc.</w:t>
            </w: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84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C</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1,999,998</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tcPr>
          <w:p>
            <w:pPr>
              <w:ind w:left="480"/>
              <w:spacing w:after="0"/>
              <w:rPr>
                <w:sz w:val="20"/>
                <w:szCs w:val="20"/>
                <w:color w:val="auto"/>
              </w:rPr>
            </w:pPr>
            <w:r>
              <w:rPr>
                <w:rFonts w:ascii="Arial" w:cs="Arial" w:eastAsia="Arial" w:hAnsi="Arial"/>
                <w:sz w:val="16"/>
                <w:szCs w:val="16"/>
                <w:color w:val="auto"/>
              </w:rPr>
              <w:t>—  $</w:t>
            </w:r>
          </w:p>
        </w:tc>
        <w:tc>
          <w:tcPr>
            <w:tcW w:w="560" w:type="dxa"/>
            <w:vAlign w:val="bottom"/>
          </w:tcPr>
          <w:p>
            <w:pPr>
              <w:ind w:left="24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1,999,998</w:t>
            </w:r>
          </w:p>
        </w:tc>
      </w:tr>
      <w:tr>
        <w:trPr>
          <w:trHeight w:val="203"/>
        </w:trPr>
        <w:tc>
          <w:tcPr>
            <w:tcW w:w="284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249,505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249,691</w:t>
            </w:r>
          </w:p>
        </w:tc>
      </w:tr>
      <w:tr>
        <w:trPr>
          <w:trHeight w:val="162"/>
        </w:trPr>
        <w:tc>
          <w:tcPr>
            <w:tcW w:w="2840" w:type="dxa"/>
            <w:vAlign w:val="bottom"/>
            <w:gridSpan w:val="10"/>
          </w:tcPr>
          <w:p>
            <w:pPr>
              <w:ind w:left="20"/>
              <w:spacing w:after="0" w:line="162" w:lineRule="exact"/>
              <w:rPr>
                <w:sz w:val="20"/>
                <w:szCs w:val="20"/>
                <w:color w:val="auto"/>
              </w:rPr>
            </w:pPr>
            <w:r>
              <w:rPr>
                <w:rFonts w:ascii="Arial" w:cs="Arial" w:eastAsia="Arial" w:hAnsi="Arial"/>
                <w:sz w:val="16"/>
                <w:szCs w:val="16"/>
                <w:b w:val="1"/>
                <w:bCs w:val="1"/>
                <w:color w:val="auto"/>
              </w:rPr>
              <w:t>Ozy Media, Inc.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84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4,999,999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4,999,999</w:t>
            </w:r>
          </w:p>
        </w:tc>
      </w:tr>
      <w:tr>
        <w:trPr>
          <w:trHeight w:val="203"/>
        </w:trPr>
        <w:tc>
          <w:tcPr>
            <w:tcW w:w="284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3,000,000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1,164,891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4,165,091</w:t>
            </w:r>
          </w:p>
        </w:tc>
      </w:tr>
      <w:tr>
        <w:trPr>
          <w:trHeight w:val="203"/>
        </w:trPr>
        <w:tc>
          <w:tcPr>
            <w:tcW w:w="284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Seed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865,000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1,573,000</w:t>
            </w:r>
          </w:p>
        </w:tc>
      </w:tr>
      <w:tr>
        <w:trPr>
          <w:trHeight w:val="162"/>
        </w:trPr>
        <w:tc>
          <w:tcPr>
            <w:tcW w:w="2840" w:type="dxa"/>
            <w:vAlign w:val="bottom"/>
            <w:gridSpan w:val="10"/>
          </w:tcPr>
          <w:p>
            <w:pPr>
              <w:ind w:left="20"/>
              <w:spacing w:after="0" w:line="162" w:lineRule="exact"/>
              <w:rPr>
                <w:sz w:val="20"/>
                <w:szCs w:val="20"/>
                <w:color w:val="auto"/>
              </w:rPr>
            </w:pPr>
            <w:r>
              <w:rPr>
                <w:rFonts w:ascii="Arial" w:cs="Arial" w:eastAsia="Arial" w:hAnsi="Arial"/>
                <w:sz w:val="16"/>
                <w:szCs w:val="16"/>
                <w:b w:val="1"/>
                <w:bCs w:val="1"/>
                <w:color w:val="auto"/>
              </w:rPr>
              <w:t>PayNearMe, Inc.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84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10,000,000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9,982,064</w:t>
            </w:r>
          </w:p>
        </w:tc>
      </w:tr>
      <w:tr>
        <w:trPr>
          <w:trHeight w:val="162"/>
        </w:trPr>
        <w:tc>
          <w:tcPr>
            <w:tcW w:w="2840" w:type="dxa"/>
            <w:vAlign w:val="bottom"/>
            <w:gridSpan w:val="10"/>
          </w:tcPr>
          <w:p>
            <w:pPr>
              <w:ind w:left="20"/>
              <w:spacing w:after="0" w:line="162" w:lineRule="exact"/>
              <w:rPr>
                <w:sz w:val="20"/>
                <w:szCs w:val="20"/>
                <w:color w:val="auto"/>
              </w:rPr>
            </w:pPr>
            <w:r>
              <w:rPr>
                <w:rFonts w:ascii="Arial" w:cs="Arial" w:eastAsia="Arial" w:hAnsi="Arial"/>
                <w:sz w:val="16"/>
                <w:szCs w:val="16"/>
                <w:b w:val="1"/>
                <w:bCs w:val="1"/>
                <w:color w:val="auto"/>
              </w:rPr>
              <w:t>The rSmart Group, Inc.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84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857,302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(664,716)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192,586</w:t>
            </w:r>
          </w:p>
        </w:tc>
      </w:tr>
      <w:tr>
        <w:trPr>
          <w:trHeight w:val="203"/>
        </w:trPr>
        <w:tc>
          <w:tcPr>
            <w:tcW w:w="2840" w:type="dxa"/>
            <w:vAlign w:val="bottom"/>
            <w:gridSpan w:val="10"/>
          </w:tcPr>
          <w:p>
            <w:pPr>
              <w:ind w:left="20"/>
              <w:spacing w:after="0" w:line="202" w:lineRule="exact"/>
              <w:rPr>
                <w:sz w:val="20"/>
                <w:szCs w:val="20"/>
                <w:color w:val="auto"/>
              </w:rPr>
            </w:pPr>
            <w:r>
              <w:rPr>
                <w:rFonts w:ascii="Arial" w:cs="Arial" w:eastAsia="Arial" w:hAnsi="Arial"/>
                <w:sz w:val="14"/>
                <w:szCs w:val="14"/>
                <w:b w:val="1"/>
                <w:bCs w:val="1"/>
                <w:color w:val="auto"/>
              </w:rPr>
              <w:t>Strategic Data Command, LLC</w:t>
            </w:r>
            <w:r>
              <w:rPr>
                <w:rFonts w:ascii="Arial" w:cs="Arial" w:eastAsia="Arial" w:hAnsi="Arial"/>
                <w:sz w:val="23"/>
                <w:szCs w:val="23"/>
                <w:b w:val="1"/>
                <w:bCs w:val="1"/>
                <w:color w:val="auto"/>
                <w:vertAlign w:val="superscript"/>
              </w:rPr>
              <w:t>(3)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84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1,046,830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1,000,000</w:t>
            </w:r>
          </w:p>
        </w:tc>
      </w:tr>
      <w:tr>
        <w:trPr>
          <w:trHeight w:val="203"/>
        </w:trPr>
        <w:tc>
          <w:tcPr>
            <w:tcW w:w="2840" w:type="dxa"/>
            <w:vAlign w:val="bottom"/>
            <w:gridSpan w:val="10"/>
          </w:tcPr>
          <w:p>
            <w:pPr>
              <w:ind w:left="20"/>
              <w:spacing w:after="0" w:line="202" w:lineRule="exact"/>
              <w:rPr>
                <w:sz w:val="20"/>
                <w:szCs w:val="20"/>
                <w:color w:val="auto"/>
              </w:rPr>
            </w:pPr>
            <w:r>
              <w:rPr>
                <w:rFonts w:ascii="Arial" w:cs="Arial" w:eastAsia="Arial" w:hAnsi="Arial"/>
                <w:sz w:val="14"/>
                <w:szCs w:val="14"/>
                <w:b w:val="1"/>
                <w:bCs w:val="1"/>
                <w:color w:val="auto"/>
              </w:rPr>
              <w:t>Totus Solutions, Inc.</w:t>
            </w:r>
            <w:r>
              <w:rPr>
                <w:rFonts w:ascii="Arial" w:cs="Arial" w:eastAsia="Arial" w:hAnsi="Arial"/>
                <w:sz w:val="23"/>
                <w:szCs w:val="23"/>
                <w:b w:val="1"/>
                <w:bCs w:val="1"/>
                <w:color w:val="auto"/>
                <w:vertAlign w:val="superscript"/>
              </w:rPr>
              <w:t>(5)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84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1,001,001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(872,099)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128,902</w:t>
            </w:r>
          </w:p>
        </w:tc>
      </w:tr>
      <w:tr>
        <w:trPr>
          <w:trHeight w:val="193"/>
        </w:trPr>
        <w:tc>
          <w:tcPr>
            <w:tcW w:w="2840" w:type="dxa"/>
            <w:vAlign w:val="bottom"/>
            <w:gridSpan w:val="10"/>
          </w:tcPr>
          <w:p>
            <w:pPr>
              <w:ind w:left="20"/>
              <w:spacing w:after="0"/>
              <w:rPr>
                <w:sz w:val="20"/>
                <w:szCs w:val="20"/>
                <w:color w:val="auto"/>
              </w:rPr>
            </w:pPr>
            <w:r>
              <w:rPr>
                <w:rFonts w:ascii="Arial" w:cs="Arial" w:eastAsia="Arial" w:hAnsi="Arial"/>
                <w:sz w:val="16"/>
                <w:szCs w:val="16"/>
                <w:color w:val="auto"/>
              </w:rPr>
              <w:t>Convertible Promissory Note 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820" w:type="dxa"/>
            <w:vAlign w:val="bottom"/>
            <w:gridSpan w:val="9"/>
          </w:tcPr>
          <w:p>
            <w:pPr>
              <w:ind w:left="180"/>
              <w:spacing w:after="0"/>
              <w:rPr>
                <w:sz w:val="20"/>
                <w:szCs w:val="20"/>
                <w:color w:val="auto"/>
              </w:rPr>
            </w:pPr>
            <w:r>
              <w:rPr>
                <w:rFonts w:ascii="Arial" w:cs="Arial" w:eastAsia="Arial" w:hAnsi="Arial"/>
                <w:sz w:val="16"/>
                <w:szCs w:val="16"/>
                <w:color w:val="auto"/>
              </w:rPr>
              <w:t>Expiration Date, 4/01/2016***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3,406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76,430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78,425</w:t>
            </w:r>
          </w:p>
        </w:tc>
      </w:tr>
      <w:tr>
        <w:trPr>
          <w:trHeight w:val="206"/>
        </w:trPr>
        <w:tc>
          <w:tcPr>
            <w:tcW w:w="284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2,173,163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(2,174,003)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2840" w:type="dxa"/>
            <w:vAlign w:val="bottom"/>
            <w:gridSpan w:val="10"/>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576,675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(576,875)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840" w:type="dxa"/>
            <w:vAlign w:val="bottom"/>
            <w:gridSpan w:val="10"/>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Total Affiliate Investments</w:t>
            </w:r>
          </w:p>
        </w:tc>
        <w:tc>
          <w:tcPr>
            <w:tcW w:w="1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w:t>
            </w:r>
          </w:p>
        </w:tc>
        <w:tc>
          <w:tcPr>
            <w:tcW w:w="76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6"/>
                <w:szCs w:val="16"/>
                <w:b w:val="1"/>
                <w:bCs w:val="1"/>
                <w:color w:val="auto"/>
              </w:rPr>
              <w:t>130,021</w:t>
            </w:r>
          </w:p>
        </w:tc>
        <w:tc>
          <w:tcPr>
            <w:tcW w:w="1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6"/>
                <w:szCs w:val="16"/>
                <w:b w:val="1"/>
                <w:bCs w:val="1"/>
                <w:u w:val="single" w:color="auto"/>
                <w:color w:val="auto"/>
              </w:rPr>
              <w:t>$</w:t>
            </w:r>
          </w:p>
        </w:tc>
        <w:tc>
          <w:tcPr>
            <w:tcW w:w="76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6"/>
                <w:szCs w:val="16"/>
                <w:b w:val="1"/>
                <w:bCs w:val="1"/>
                <w:color w:val="auto"/>
                <w:w w:val="89"/>
              </w:rPr>
              <w:t>52,663,042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6"/>
                <w:szCs w:val="16"/>
                <w:b w:val="1"/>
                <w:bCs w:val="1"/>
                <w:u w:val="single" w:color="auto"/>
                <w:color w:val="auto"/>
              </w:rPr>
              <w:t>$</w:t>
            </w:r>
          </w:p>
        </w:tc>
        <w:tc>
          <w:tcPr>
            <w:tcW w:w="7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6"/>
                <w:szCs w:val="16"/>
                <w:b w:val="1"/>
                <w:bCs w:val="1"/>
                <w:color w:val="auto"/>
                <w:w w:val="89"/>
              </w:rPr>
              <w:t>70,172,313</w:t>
            </w: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-196850</wp:posOffset>
            </wp:positionV>
            <wp:extent cx="521398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519" w:hanging="272"/>
        <w:spacing w:after="0" w:line="277" w:lineRule="auto"/>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ind w:left="300" w:hanging="272"/>
        <w:spacing w:after="0"/>
        <w:tabs>
          <w:tab w:leader="none" w:pos="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300" w:right="519" w:hanging="272"/>
        <w:spacing w:after="0" w:line="342" w:lineRule="auto"/>
        <w:tabs>
          <w:tab w:leader="none" w:pos="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GSV Capital Corp.’s investment in Whittle Schools, LLC is held through its wholly-owned subsidiary GSVC WS Holdings, Inc. Whittle Schools, LLC is an investment for which the economics are derived from the value of Avenues Global Holdings LLC.</w:t>
      </w:r>
    </w:p>
    <w:p>
      <w:pPr>
        <w:spacing w:after="0" w:line="15" w:lineRule="exact"/>
        <w:rPr>
          <w:rFonts w:ascii="Arial" w:cs="Arial" w:eastAsia="Arial" w:hAnsi="Arial"/>
          <w:sz w:val="16"/>
          <w:szCs w:val="16"/>
          <w:color w:val="auto"/>
        </w:rPr>
      </w:pPr>
    </w:p>
    <w:p>
      <w:pPr>
        <w:ind w:left="300" w:right="539" w:hanging="272"/>
        <w:spacing w:after="0" w:line="277" w:lineRule="auto"/>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62" w:lineRule="exact"/>
        <w:rPr>
          <w:rFonts w:ascii="Arial" w:cs="Arial" w:eastAsia="Arial" w:hAnsi="Arial"/>
          <w:sz w:val="18"/>
          <w:szCs w:val="18"/>
          <w:color w:val="auto"/>
        </w:rPr>
      </w:pPr>
    </w:p>
    <w:p>
      <w:pPr>
        <w:jc w:val="both"/>
        <w:ind w:left="300" w:right="519" w:hanging="272"/>
        <w:spacing w:after="0" w:line="293" w:lineRule="auto"/>
        <w:tabs>
          <w:tab w:leader="none" w:pos="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October 22, 2013, Cricket Media (f/k/a ePals Inc.), priced its initial public offering, selling 40,267,333 shares at a price of CAD $0.075 per share. GSV Capital Corp.’s shares in Cricket Media (f/k/a ePals Inc.), are subject to a lock-up agreement which expired on February 23, 2014. At December 31, 2014, GSV Capital Corp. valued Cricket Media (f/k/a ePals Inc.), based on its December 31, 2014 closing price less 17.5%. GSV Capital Corp.’s Chief Executive Officer, Michael Moe is a Board member of Cricket Media (f/k/a ePals Inc.), which subjects GSV Capital Corp. to insider trading restrictions under Canadian securities law. As such, the Company has applied a 17.5% discount to reflect the aforementioned trading restrictions.</w:t>
      </w:r>
    </w:p>
    <w:p>
      <w:pPr>
        <w:spacing w:after="0" w:line="56" w:lineRule="exact"/>
        <w:rPr>
          <w:rFonts w:ascii="Arial" w:cs="Arial" w:eastAsia="Arial" w:hAnsi="Arial"/>
          <w:sz w:val="16"/>
          <w:szCs w:val="16"/>
          <w:color w:val="auto"/>
        </w:rPr>
      </w:pPr>
    </w:p>
    <w:p>
      <w:pPr>
        <w:ind w:left="300" w:hanging="27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November 20, 2014, Totus Solutions, Inc., conducted a 10:1 stock split.</w:t>
      </w:r>
    </w:p>
    <w:p>
      <w:pPr>
        <w:spacing w:after="0" w:line="117"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Accrued interest is not payable until the earlier of (a) the closing of a subsequent equity offering by CUX, Inc., or (b) the maturity of the note (November 26, 2018). Interest will compound annually beginning on November 26, 2015.</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1" w:name="page72"/>
    <w:bookmarkEnd w:id="71"/>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80" w:right="519"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19684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6440" w:type="dxa"/>
            <w:vAlign w:val="bottom"/>
            <w:gridSpan w:val="3"/>
          </w:tcPr>
          <w:p>
            <w:pPr>
              <w:ind w:left="1160"/>
              <w:spacing w:after="0"/>
              <w:rPr>
                <w:sz w:val="20"/>
                <w:szCs w:val="20"/>
                <w:color w:val="auto"/>
              </w:rPr>
            </w:pPr>
            <w:r>
              <w:rPr>
                <w:rFonts w:ascii="Arial" w:cs="Arial" w:eastAsia="Arial" w:hAnsi="Arial"/>
                <w:sz w:val="18"/>
                <w:szCs w:val="18"/>
                <w:b w:val="1"/>
                <w:bCs w:val="1"/>
                <w:color w:val="auto"/>
              </w:rPr>
              <w:t>GSV CAPITAL CORP.</w:t>
            </w:r>
          </w:p>
        </w:tc>
      </w:tr>
      <w:tr>
        <w:trPr>
          <w:trHeight w:val="234"/>
        </w:trPr>
        <w:tc>
          <w:tcPr>
            <w:tcW w:w="3160" w:type="dxa"/>
            <w:vAlign w:val="bottom"/>
          </w:tcPr>
          <w:p>
            <w:pPr>
              <w:ind w:left="140"/>
              <w:spacing w:after="0"/>
              <w:rPr>
                <w:sz w:val="20"/>
                <w:szCs w:val="20"/>
                <w:color w:val="auto"/>
              </w:rPr>
            </w:pPr>
            <w:r>
              <w:rPr>
                <w:rFonts w:ascii="Arial" w:cs="Arial" w:eastAsia="Arial" w:hAnsi="Arial"/>
                <w:sz w:val="18"/>
                <w:szCs w:val="18"/>
                <w:b w:val="1"/>
                <w:bCs w:val="1"/>
                <w:color w:val="auto"/>
              </w:rPr>
              <w:t>Date: November 9, 2015</w:t>
            </w:r>
          </w:p>
        </w:tc>
        <w:tc>
          <w:tcPr>
            <w:tcW w:w="6440" w:type="dxa"/>
            <w:vAlign w:val="bottom"/>
            <w:gridSpan w:val="3"/>
          </w:tcPr>
          <w:p>
            <w:pPr>
              <w:ind w:left="11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Michael T. Moe</w:t>
            </w:r>
          </w:p>
        </w:tc>
      </w:tr>
      <w:tr>
        <w:trPr>
          <w:trHeight w:val="195"/>
        </w:trPr>
        <w:tc>
          <w:tcPr>
            <w:tcW w:w="3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T. Moe</w:t>
            </w:r>
          </w:p>
        </w:tc>
        <w:tc>
          <w:tcPr>
            <w:tcW w:w="126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Chief Executive Officer and</w:t>
            </w:r>
          </w:p>
        </w:tc>
      </w:tr>
      <w:tr>
        <w:trPr>
          <w:trHeight w:val="216"/>
        </w:trPr>
        <w:tc>
          <w:tcPr>
            <w:tcW w:w="3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r>
      <w:tr>
        <w:trPr>
          <w:trHeight w:val="212"/>
        </w:trPr>
        <w:tc>
          <w:tcPr>
            <w:tcW w:w="3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234"/>
        </w:trPr>
        <w:tc>
          <w:tcPr>
            <w:tcW w:w="3160" w:type="dxa"/>
            <w:vAlign w:val="bottom"/>
          </w:tcPr>
          <w:p>
            <w:pPr>
              <w:ind w:left="140"/>
              <w:spacing w:after="0"/>
              <w:rPr>
                <w:sz w:val="20"/>
                <w:szCs w:val="20"/>
                <w:color w:val="auto"/>
              </w:rPr>
            </w:pPr>
            <w:r>
              <w:rPr>
                <w:rFonts w:ascii="Arial" w:cs="Arial" w:eastAsia="Arial" w:hAnsi="Arial"/>
                <w:sz w:val="18"/>
                <w:szCs w:val="18"/>
                <w:b w:val="1"/>
                <w:bCs w:val="1"/>
                <w:color w:val="auto"/>
              </w:rPr>
              <w:t>Date: November 9, 2015</w:t>
            </w:r>
          </w:p>
        </w:tc>
        <w:tc>
          <w:tcPr>
            <w:tcW w:w="6440" w:type="dxa"/>
            <w:vAlign w:val="bottom"/>
            <w:gridSpan w:val="3"/>
          </w:tcPr>
          <w:p>
            <w:pPr>
              <w:ind w:left="11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William F. Tanona</w:t>
            </w:r>
          </w:p>
        </w:tc>
      </w:tr>
      <w:tr>
        <w:trPr>
          <w:trHeight w:val="195"/>
        </w:trPr>
        <w:tc>
          <w:tcPr>
            <w:tcW w:w="3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F. Tanona</w:t>
            </w:r>
          </w:p>
        </w:tc>
        <w:tc>
          <w:tcPr>
            <w:tcW w:w="126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Chief Financial Officer, Treasurer and Secretary</w:t>
            </w:r>
          </w:p>
        </w:tc>
      </w:tr>
      <w:tr>
        <w:trPr>
          <w:trHeight w:val="230"/>
        </w:trPr>
        <w:tc>
          <w:tcPr>
            <w:tcW w:w="3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0"/>
        </w:trPr>
        <w:tc>
          <w:tcPr>
            <w:tcW w:w="3160" w:type="dxa"/>
            <w:vAlign w:val="bottom"/>
          </w:tcPr>
          <w:p>
            <w:pPr>
              <w:spacing w:after="0"/>
              <w:rPr>
                <w:sz w:val="24"/>
                <w:szCs w:val="24"/>
                <w:color w:val="auto"/>
              </w:rPr>
            </w:pPr>
          </w:p>
        </w:tc>
        <w:tc>
          <w:tcPr>
            <w:tcW w:w="5180" w:type="dxa"/>
            <w:vAlign w:val="bottom"/>
            <w:gridSpan w:val="2"/>
          </w:tcPr>
          <w:p>
            <w:pPr>
              <w:ind w:left="1540"/>
              <w:spacing w:after="0"/>
              <w:rPr>
                <w:sz w:val="20"/>
                <w:szCs w:val="20"/>
                <w:color w:val="auto"/>
              </w:rPr>
            </w:pPr>
            <w:r>
              <w:rPr>
                <w:rFonts w:ascii="Arial" w:cs="Arial" w:eastAsia="Arial" w:hAnsi="Arial"/>
                <w:sz w:val="18"/>
                <w:szCs w:val="18"/>
                <w:color w:val="auto"/>
              </w:rPr>
              <w:t>69</w:t>
            </w:r>
          </w:p>
        </w:tc>
        <w:tc>
          <w:tcPr>
            <w:tcW w:w="1260" w:type="dxa"/>
            <w:vAlign w:val="bottom"/>
          </w:tcPr>
          <w:p>
            <w:pPr>
              <w:spacing w:after="0"/>
              <w:rPr>
                <w:sz w:val="24"/>
                <w:szCs w:val="24"/>
                <w:color w:val="auto"/>
              </w:rPr>
            </w:pPr>
          </w:p>
        </w:tc>
      </w:tr>
      <w:tr>
        <w:trPr>
          <w:trHeight w:val="162"/>
        </w:trPr>
        <w:tc>
          <w:tcPr>
            <w:tcW w:w="316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36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3160" w:type="dxa"/>
            <w:vAlign w:val="bottom"/>
            <w:tcBorders>
              <w:bottom w:val="single" w:sz="8" w:color="EEEEEE"/>
            </w:tcBorders>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36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72" w:name="page73"/>
    <w:bookmarkEnd w:id="72"/>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Michael T. Moe, certify that:</w:t>
      </w:r>
    </w:p>
    <w:p>
      <w:pPr>
        <w:spacing w:after="0" w:line="117" w:lineRule="exact"/>
        <w:rPr>
          <w:sz w:val="20"/>
          <w:szCs w:val="20"/>
          <w:color w:val="auto"/>
        </w:rPr>
      </w:pPr>
    </w:p>
    <w:p>
      <w:pPr>
        <w:ind w:left="540" w:hanging="26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40" w:right="539" w:hanging="262"/>
        <w:spacing w:after="0" w:line="26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right="519" w:hanging="272"/>
        <w:spacing w:after="0" w:line="259"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820" w:right="539" w:hanging="272"/>
        <w:spacing w:after="0" w:line="312" w:lineRule="auto"/>
        <w:tabs>
          <w:tab w:leader="none" w:pos="8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jc w:val="both"/>
        <w:ind w:left="820" w:right="519" w:hanging="272"/>
        <w:spacing w:after="0" w:line="264"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820" w:right="519" w:hanging="272"/>
        <w:spacing w:after="0" w:line="259"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jc w:val="both"/>
        <w:ind w:left="820" w:right="539" w:hanging="272"/>
        <w:spacing w:after="0" w:line="264"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539" w:hanging="272"/>
        <w:spacing w:after="0" w:line="277"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23507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35075"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Michael T. Moe</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73" w:name="page74"/>
    <w:bookmarkEnd w:id="73"/>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William F. Tanona, certify that:</w:t>
      </w:r>
    </w:p>
    <w:p>
      <w:pPr>
        <w:spacing w:after="0" w:line="117" w:lineRule="exact"/>
        <w:rPr>
          <w:sz w:val="20"/>
          <w:szCs w:val="20"/>
          <w:color w:val="auto"/>
        </w:rPr>
      </w:pPr>
    </w:p>
    <w:p>
      <w:pPr>
        <w:ind w:left="540" w:hanging="26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40" w:right="539" w:hanging="262"/>
        <w:spacing w:after="0" w:line="26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right="519" w:hanging="272"/>
        <w:spacing w:after="0" w:line="259" w:lineRule="auto"/>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820" w:right="539" w:hanging="272"/>
        <w:spacing w:after="0" w:line="312" w:lineRule="auto"/>
        <w:tabs>
          <w:tab w:leader="none" w:pos="8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jc w:val="both"/>
        <w:ind w:left="820" w:right="519" w:hanging="272"/>
        <w:spacing w:after="0" w:line="264" w:lineRule="auto"/>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820" w:right="519" w:hanging="272"/>
        <w:spacing w:after="0" w:line="259" w:lineRule="auto"/>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jc w:val="both"/>
        <w:ind w:left="820" w:right="539" w:hanging="272"/>
        <w:spacing w:after="0" w:line="264" w:lineRule="auto"/>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539" w:hanging="272"/>
        <w:spacing w:after="0" w:line="277" w:lineRule="auto"/>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By:/s/ William F.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23507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35075"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William F. Tanona</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74" w:name="page75"/>
    <w:bookmarkEnd w:id="74"/>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In connection with the Quarterly Report on Form 10-Q for period ended September 30, 2015 (the “Report”) of GSV Capital Corp. (the “Registrant”), as filed with the Securities and Exchange Commission on the date hereof, I, Michael T. Moe, the Chief Executive Officer of the Registrant, hereby certify, to the best of my knowledge, that:</w:t>
      </w:r>
    </w:p>
    <w:p>
      <w:pPr>
        <w:spacing w:after="0" w:line="73" w:lineRule="exact"/>
        <w:rPr>
          <w:sz w:val="20"/>
          <w:szCs w:val="20"/>
          <w:color w:val="auto"/>
        </w:rPr>
      </w:pPr>
    </w:p>
    <w:p>
      <w:pPr>
        <w:ind w:left="500" w:right="539" w:hanging="262"/>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519" w:hanging="262"/>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Michael T. Moe</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75" w:name="page76"/>
    <w:bookmarkEnd w:id="75"/>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In connection with the Quarterly Report on Form 10-Q for period ended September 30, 2015 (the “Report”) of GSV Capital Corp. (the “Registrant”), as filed with the Securities and Exchange Commission on the date hereof, I, William Tanona, the Chief Financial Officer of the Registrant, hereby certify, to the best of my knowledge, that:</w:t>
      </w:r>
    </w:p>
    <w:p>
      <w:pPr>
        <w:spacing w:after="0" w:line="73" w:lineRule="exact"/>
        <w:rPr>
          <w:sz w:val="20"/>
          <w:szCs w:val="20"/>
          <w:color w:val="auto"/>
        </w:rPr>
      </w:pPr>
    </w:p>
    <w:p>
      <w:pPr>
        <w:ind w:left="500" w:right="539" w:hanging="262"/>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519" w:hanging="262"/>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William Tanona</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9"/>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7"/>
    </w:lvl>
  </w:abstractNum>
  <w:abstractNum w:abstractNumId="13">
    <w:nsid w:val="2CA88611"/>
    <w:multiLevelType w:val="hybridMultilevel"/>
    <w:lvl w:ilvl="0">
      <w:lvlJc w:val="left"/>
      <w:lvlText w:val="(%1)"/>
      <w:numFmt w:val="decimal"/>
      <w:start w:val="12"/>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3"/>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2"/>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2019-12-29T14:54:57Z</dcterms:created>
  <dcterms:modified xsi:type="dcterms:W3CDTF">2019-12-29T14:54:57Z</dcterms:modified>
</cp:coreProperties>
</file>