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2" w:lineRule="exact"/>
        <w:rPr>
          <w:sz w:val="24"/>
          <w:szCs w:val="24"/>
          <w:color w:val="auto"/>
        </w:rPr>
      </w:pPr>
    </w:p>
    <w:p>
      <w:pPr>
        <w:ind w:left="3240" w:right="1840" w:hanging="3232"/>
        <w:spacing w:after="0" w:line="484" w:lineRule="auto"/>
        <w:tabs>
          <w:tab w:leader="none" w:pos="4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29" w:lineRule="exact"/>
        <w:rPr>
          <w:sz w:val="24"/>
          <w:szCs w:val="24"/>
          <w:color w:val="auto"/>
        </w:rPr>
      </w:pPr>
    </w:p>
    <w:p>
      <w:pPr>
        <w:ind w:left="3980" w:right="1680" w:hanging="3972"/>
        <w:spacing w:after="0" w:line="517" w:lineRule="auto"/>
        <w:tabs>
          <w:tab w:leader="none" w:pos="5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814-00852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GSV Capital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330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Maryland</w:t>
            </w:r>
          </w:p>
        </w:tc>
        <w:tc>
          <w:tcPr>
            <w:tcW w:w="5220" w:type="dxa"/>
            <w:vAlign w:val="bottom"/>
          </w:tcPr>
          <w:p>
            <w:pPr>
              <w:jc w:val="right"/>
              <w:ind w:right="850"/>
              <w:spacing w:after="0"/>
              <w:rPr>
                <w:sz w:val="20"/>
                <w:szCs w:val="20"/>
                <w:color w:val="auto"/>
              </w:rPr>
            </w:pPr>
            <w:r>
              <w:rPr>
                <w:rFonts w:ascii="Arial" w:cs="Arial" w:eastAsia="Arial" w:hAnsi="Arial"/>
                <w:sz w:val="18"/>
                <w:szCs w:val="18"/>
                <w:b w:val="1"/>
                <w:bCs w:val="1"/>
                <w:color w:val="auto"/>
              </w:rPr>
              <w:t>27-4443543</w:t>
            </w:r>
          </w:p>
        </w:tc>
      </w:tr>
      <w:tr>
        <w:trPr>
          <w:trHeight w:val="234"/>
        </w:trPr>
        <w:tc>
          <w:tcPr>
            <w:tcW w:w="3300" w:type="dxa"/>
            <w:vAlign w:val="bottom"/>
          </w:tcPr>
          <w:p>
            <w:pPr>
              <w:jc w:val="center"/>
              <w:ind w:right="330"/>
              <w:spacing w:after="0"/>
              <w:rPr>
                <w:sz w:val="20"/>
                <w:szCs w:val="20"/>
                <w:color w:val="auto"/>
              </w:rPr>
            </w:pPr>
            <w:r>
              <w:rPr>
                <w:rFonts w:ascii="Arial" w:cs="Arial" w:eastAsia="Arial" w:hAnsi="Arial"/>
                <w:sz w:val="18"/>
                <w:szCs w:val="18"/>
                <w:color w:val="auto"/>
                <w:w w:val="91"/>
              </w:rPr>
              <w:t>(State of incorporation)</w:t>
            </w:r>
          </w:p>
        </w:tc>
        <w:tc>
          <w:tcPr>
            <w:tcW w:w="5220" w:type="dxa"/>
            <w:vAlign w:val="bottom"/>
          </w:tcPr>
          <w:p>
            <w:pPr>
              <w:jc w:val="center"/>
              <w:ind w:left="23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33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2965 Woodside Road</w:t>
            </w:r>
          </w:p>
        </w:tc>
        <w:tc>
          <w:tcPr>
            <w:tcW w:w="5220" w:type="dxa"/>
            <w:vAlign w:val="bottom"/>
          </w:tcPr>
          <w:p>
            <w:pPr>
              <w:spacing w:after="0"/>
              <w:rPr>
                <w:sz w:val="24"/>
                <w:szCs w:val="24"/>
                <w:color w:val="auto"/>
              </w:rPr>
            </w:pPr>
          </w:p>
        </w:tc>
      </w:tr>
      <w:tr>
        <w:trPr>
          <w:trHeight w:val="220"/>
        </w:trPr>
        <w:tc>
          <w:tcPr>
            <w:tcW w:w="330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Woodside, CA</w:t>
            </w:r>
          </w:p>
        </w:tc>
        <w:tc>
          <w:tcPr>
            <w:tcW w:w="5220" w:type="dxa"/>
            <w:vAlign w:val="bottom"/>
          </w:tcPr>
          <w:p>
            <w:pPr>
              <w:jc w:val="right"/>
              <w:ind w:right="1070"/>
              <w:spacing w:after="0"/>
              <w:rPr>
                <w:sz w:val="20"/>
                <w:szCs w:val="20"/>
                <w:color w:val="auto"/>
              </w:rPr>
            </w:pPr>
            <w:r>
              <w:rPr>
                <w:rFonts w:ascii="Arial" w:cs="Arial" w:eastAsia="Arial" w:hAnsi="Arial"/>
                <w:sz w:val="18"/>
                <w:szCs w:val="18"/>
                <w:b w:val="1"/>
                <w:bCs w:val="1"/>
                <w:color w:val="auto"/>
              </w:rPr>
              <w:t>94062</w:t>
            </w:r>
          </w:p>
        </w:tc>
      </w:tr>
      <w:tr>
        <w:trPr>
          <w:trHeight w:val="230"/>
        </w:trPr>
        <w:tc>
          <w:tcPr>
            <w:tcW w:w="330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220" w:type="dxa"/>
            <w:vAlign w:val="bottom"/>
          </w:tcPr>
          <w:p>
            <w:pPr>
              <w:jc w:val="center"/>
              <w:ind w:left="2370"/>
              <w:spacing w:after="0"/>
              <w:rPr>
                <w:sz w:val="20"/>
                <w:szCs w:val="20"/>
                <w:color w:val="auto"/>
              </w:rPr>
            </w:pPr>
            <w:r>
              <w:rPr>
                <w:rFonts w:ascii="Arial" w:cs="Arial" w:eastAsia="Arial" w:hAnsi="Arial"/>
                <w:sz w:val="18"/>
                <w:szCs w:val="18"/>
                <w:color w:val="auto"/>
                <w:w w:val="94"/>
              </w:rPr>
              <w:t>(Zip Code)</w:t>
            </w:r>
          </w:p>
        </w:tc>
      </w:tr>
      <w:tr>
        <w:trPr>
          <w:trHeight w:val="432"/>
        </w:trPr>
        <w:tc>
          <w:tcPr>
            <w:tcW w:w="3300" w:type="dxa"/>
            <w:vAlign w:val="bottom"/>
          </w:tcPr>
          <w:p>
            <w:pPr>
              <w:spacing w:after="0"/>
              <w:rPr>
                <w:sz w:val="24"/>
                <w:szCs w:val="24"/>
                <w:color w:val="auto"/>
              </w:rPr>
            </w:pPr>
          </w:p>
        </w:tc>
        <w:tc>
          <w:tcPr>
            <w:tcW w:w="5220" w:type="dxa"/>
            <w:vAlign w:val="bottom"/>
          </w:tcPr>
          <w:p>
            <w:pPr>
              <w:jc w:val="right"/>
              <w:ind w:right="3570"/>
              <w:spacing w:after="0"/>
              <w:rPr>
                <w:sz w:val="20"/>
                <w:szCs w:val="20"/>
                <w:color w:val="auto"/>
              </w:rPr>
            </w:pPr>
            <w:r>
              <w:rPr>
                <w:rFonts w:ascii="Arial" w:cs="Arial" w:eastAsia="Arial" w:hAnsi="Arial"/>
                <w:sz w:val="18"/>
                <w:szCs w:val="18"/>
                <w:b w:val="1"/>
                <w:bCs w:val="1"/>
                <w:color w:val="auto"/>
              </w:rPr>
              <w:t>(650) 206-2965</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both"/>
        <w:ind w:firstLine="64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40" w:space="720"/>
            <w:col w:w="4780" w:space="720"/>
            <w:col w:w="2100" w:space="720"/>
            <w:col w:w="440"/>
          </w:cols>
          <w:pgMar w:left="240" w:top="22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40" w:space="720"/>
            <w:col w:w="4780" w:space="720"/>
            <w:col w:w="2100" w:space="720"/>
            <w:col w:w="440"/>
          </w:cols>
          <w:pgMar w:left="240" w:top="225" w:right="239" w:bottom="1440" w:gutter="0" w:footer="0" w:header="0"/>
          <w:type w:val="continuous"/>
        </w:sectPr>
      </w:pPr>
    </w:p>
    <w:p>
      <w:pPr>
        <w:spacing w:after="0" w:line="16" w:lineRule="exact"/>
        <w:rPr>
          <w:sz w:val="24"/>
          <w:szCs w:val="24"/>
          <w:color w:val="auto"/>
        </w:rPr>
      </w:pPr>
    </w:p>
    <w:p>
      <w:pPr>
        <w:ind w:left="50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9400" w:space="220"/>
            <w:col w:w="220" w:space="140"/>
            <w:col w:w="1440"/>
          </w:cols>
          <w:pgMar w:left="240" w:top="225"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$0.01 par value, outstanding as of November 9, 2011 was 5,520,100.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top w:val="single" w:sz="8" w:color="auto"/>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2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Statement of Assets and Liabilities as of September 30, 2011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280"/>
              <w:spacing w:after="0" w:line="201" w:lineRule="exact"/>
              <w:rPr>
                <w:sz w:val="20"/>
                <w:szCs w:val="20"/>
                <w:color w:val="auto"/>
              </w:rPr>
            </w:pPr>
            <w:r>
              <w:rPr>
                <w:rFonts w:ascii="Arial" w:cs="Arial" w:eastAsia="Arial" w:hAnsi="Arial"/>
                <w:sz w:val="18"/>
                <w:szCs w:val="18"/>
                <w:color w:val="auto"/>
                <w:w w:val="96"/>
              </w:rPr>
              <w:t>Statements of Operations for the three months ended September 30, 2011 and for the period from January 6, 2011 (date of</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inception) to September 30, 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Statement of Changes in Net Assets for the period from January 6, 2011 (date of inception) to September 30, 2011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Statement of Cash Flows for the period from January 6, 2011 (date of inception) to September 30, 2011</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Schedule of Investments as of September 30, 2011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Notes to the Financial Statements as of September 30, 2011</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Defaults Upon Senior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28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9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Signatures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40" w:type="dxa"/>
            <w:vAlign w:val="bottom"/>
          </w:tcPr>
          <w:p>
            <w:pPr>
              <w:ind w:left="466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7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98"/>
              </w:rPr>
              <w:t>GSV CAPITAL CORP.</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94"/>
              </w:rPr>
              <w:t>(formerly NeXt Innovation Corp.)</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STATEMENT OF ASSETS AND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(Unaudited)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non-control/non-affiliated securities (cost of $41,943,388)</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41,389,584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32,098,207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Due from:</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GSV Asset Management</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Portfolio company</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73,715,970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Due to:</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GSV Asset Management</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Other affiliates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73,188,029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(100,000,000 authorized; 5,520,100 issued and outstanding)</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Paid-in capital in excess of par</w:t>
            </w: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75,042,833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net investment loss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(1,356,201)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Unrealized depreciation on investments</w:t>
            </w:r>
          </w:p>
        </w:tc>
        <w:tc>
          <w:tcPr>
            <w:tcW w:w="1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Assets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73,188,029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Asset Value Per Share</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January 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52,222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53,408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Investment management fees</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233,961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Costs incurred under administration agreement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192,031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Directors’ fees</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42,500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152,916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Insurance expense</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47,192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Investor relations expense</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Organization expenses</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733,496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1,409,609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Net Investment Loss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(680,088)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(1,356,201)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Net Change in Unrealized Depreciation on Non-Control/Non-Affiliated Securities</w:t>
            </w: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(494,170)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(1,174,258)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(1,910,005)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line="216" w:lineRule="exact"/>
              <w:rPr>
                <w:sz w:val="20"/>
                <w:szCs w:val="20"/>
                <w:color w:val="auto"/>
              </w:rPr>
            </w:pPr>
            <w:r>
              <w:rPr>
                <w:rFonts w:ascii="Arial" w:cs="Arial" w:eastAsia="Arial" w:hAnsi="Arial"/>
                <w:sz w:val="18"/>
                <w:szCs w:val="18"/>
                <w:b w:val="1"/>
                <w:bCs w:val="1"/>
                <w:color w:val="auto"/>
              </w:rPr>
              <w:t>Net Decrease in Net Assets Resulting From Operations Per Average Share</w:t>
            </w:r>
            <w:r>
              <w:rPr>
                <w:rFonts w:ascii="Arial" w:cs="Arial" w:eastAsia="Arial" w:hAnsi="Arial"/>
                <w:sz w:val="25"/>
                <w:szCs w:val="25"/>
                <w:b w:val="1"/>
                <w:bCs w:val="1"/>
                <w:color w:val="auto"/>
                <w:vertAlign w:val="superscript"/>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8877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firstLine="8"/>
        <w:spacing w:after="0" w:line="226" w:lineRule="auto"/>
        <w:tabs>
          <w:tab w:leader="none" w:pos="241" w:val="left"/>
        </w:tabs>
        <w:numPr>
          <w:ilvl w:val="0"/>
          <w:numId w:val="3"/>
        </w:numPr>
        <w:rPr>
          <w:rFonts w:ascii="Arial" w:cs="Arial" w:eastAsia="Arial" w:hAnsi="Arial"/>
          <w:sz w:val="25"/>
          <w:szCs w:val="25"/>
          <w:b w:val="1"/>
          <w:bCs w:val="1"/>
          <w:color w:val="auto"/>
          <w:vertAlign w:val="superscript"/>
        </w:rPr>
      </w:pPr>
      <w:r>
        <w:rPr>
          <w:rFonts w:ascii="Arial" w:cs="Arial" w:eastAsia="Arial" w:hAnsi="Arial"/>
          <w:sz w:val="18"/>
          <w:szCs w:val="18"/>
          <w:color w:val="auto"/>
        </w:rPr>
        <w:t>Weighted average common shares for the period from January 6, 2011 (date of inception) to September 30, 2011, was calculated starting from the issuance of 100 shares on February 28, 2011. Weighted average common shares were 3,430,100 and 2,460,565 for the three-month and since inception periods,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January 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Net Investment Loss</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Change in Unrealized Depreciation on Non-Control/Non-Affiliated Securities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Decrease in Net Asset Resulting From Operations</w:t>
            </w:r>
          </w:p>
        </w:tc>
        <w:tc>
          <w:tcPr>
            <w:tcW w:w="1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(1,910,005)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Share Transactions</w:t>
            </w:r>
          </w:p>
        </w:tc>
        <w:tc>
          <w:tcPr>
            <w:tcW w:w="1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Proceeds from Common Shares Issued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76,175,200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1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(1,077,166)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Capital Share Transactions</w:t>
            </w:r>
          </w:p>
        </w:tc>
        <w:tc>
          <w:tcPr>
            <w:tcW w:w="1960" w:type="dxa"/>
            <w:vAlign w:val="bottom"/>
            <w:tcBorders>
              <w:top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75,098,034</w:t>
            </w: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 at End of Period</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73,188,029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Share Activity</w:t>
            </w:r>
          </w:p>
        </w:tc>
        <w:tc>
          <w:tcPr>
            <w:tcW w:w="1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Shares Issued</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9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January 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(1,910,005)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decrease in net assets resulting from</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operations to net cash used in operating activities:</w:t>
            </w: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 in unrealized depreciation on investments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Purchases of investments in: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Non-control/non-affiliated securities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(41,943,388)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sales of investments in:</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due from GSV Asset Management</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Increase in due from portfolio company</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prepaid expenses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Increase in accrued interest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other assets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Increase in due to GSV Asset Management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due to other affiliates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Increase in accounts payable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accrued offering costs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Increase in accrued expenses</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25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(42,999,827)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FFCC"/>
            </w:tcBorders>
          </w:tcPr>
          <w:p>
            <w:pPr>
              <w:spacing w:after="0"/>
              <w:rPr>
                <w:sz w:val="18"/>
                <w:szCs w:val="18"/>
                <w:color w:val="auto"/>
              </w:rPr>
            </w:pPr>
          </w:p>
        </w:tc>
        <w:tc>
          <w:tcPr>
            <w:tcW w:w="25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proceeds from common shares issued</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76,175,200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25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(1,077,166)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top w:val="single" w:sz="8" w:color="CCFFCC"/>
            </w:tcBorders>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2560" w:type="dxa"/>
            <w:vAlign w:val="bottom"/>
            <w:tcBorders>
              <w:top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75,098,034</w:t>
            </w: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FFCC"/>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Total Increase in Cash Balance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32,098,207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Balance at Beginning of Period</w:t>
            </w:r>
          </w:p>
        </w:tc>
        <w:tc>
          <w:tcPr>
            <w:tcW w:w="25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Balance at End of Period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32,098,207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FFCC"/>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Non-Cash Items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FFCC"/>
          </w:tcPr>
          <w:p>
            <w:pPr>
              <w:spacing w:after="0"/>
              <w:rPr>
                <w:sz w:val="20"/>
                <w:szCs w:val="20"/>
                <w:color w:val="auto"/>
              </w:rPr>
            </w:pPr>
            <w:r>
              <w:rPr>
                <w:rFonts w:ascii="Arial" w:cs="Arial" w:eastAsia="Arial" w:hAnsi="Arial"/>
                <w:sz w:val="18"/>
                <w:szCs w:val="18"/>
                <w:color w:val="auto"/>
              </w:rPr>
              <w:t>Decrease in deferred offering costs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 in offering costs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Shares / Par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4"/>
          </w:tcPr>
          <w:p>
            <w:pPr>
              <w:ind w:left="100"/>
              <w:spacing w:after="0"/>
              <w:rPr>
                <w:sz w:val="20"/>
                <w:szCs w:val="20"/>
                <w:color w:val="auto"/>
              </w:rPr>
            </w:pPr>
            <w:r>
              <w:rPr>
                <w:rFonts w:ascii="Arial" w:cs="Arial" w:eastAsia="Arial" w:hAnsi="Arial"/>
                <w:sz w:val="18"/>
                <w:szCs w:val="18"/>
                <w:b w:val="1"/>
                <w:bCs w:val="1"/>
                <w:color w:val="auto"/>
              </w:rPr>
              <w:t>Portfolio Investments*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Industry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Cost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Fair Value</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Assets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color w:val="auto"/>
              </w:rPr>
              <w:t>Bloom Energy Corporation</w:t>
            </w:r>
          </w:p>
        </w:tc>
        <w:tc>
          <w:tcPr>
            <w:tcW w:w="220" w:type="dxa"/>
            <w:vAlign w:val="bottom"/>
            <w:shd w:val="clear" w:color="auto" w:fill="CCFFCC"/>
          </w:tcPr>
          <w:p>
            <w:pPr>
              <w:spacing w:after="0"/>
              <w:rPr>
                <w:sz w:val="17"/>
                <w:szCs w:val="17"/>
                <w:color w:val="auto"/>
              </w:rPr>
            </w:pPr>
          </w:p>
        </w:tc>
        <w:tc>
          <w:tcPr>
            <w:tcW w:w="216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1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Fuel Cell Energy</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(97,400,000 total common shares outstanding)</w:t>
            </w: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96,389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  1,815,818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  1,771,335</w:t>
            </w:r>
          </w:p>
        </w:tc>
        <w:tc>
          <w:tcPr>
            <w:tcW w:w="680" w:type="dxa"/>
            <w:vAlign w:val="bottom"/>
          </w:tcPr>
          <w:p>
            <w:pPr>
              <w:ind w:left="220"/>
              <w:spacing w:after="0"/>
              <w:rPr>
                <w:sz w:val="20"/>
                <w:szCs w:val="20"/>
                <w:color w:val="auto"/>
              </w:rPr>
            </w:pPr>
            <w:r>
              <w:rPr>
                <w:rFonts w:ascii="Arial" w:cs="Arial" w:eastAsia="Arial" w:hAnsi="Arial"/>
                <w:sz w:val="18"/>
                <w:szCs w:val="18"/>
                <w:color w:val="auto"/>
                <w:w w:val="86"/>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9"/>
          </w:tcPr>
          <w:p>
            <w:pPr>
              <w:spacing w:after="0" w:line="176" w:lineRule="exact"/>
              <w:rPr>
                <w:sz w:val="20"/>
                <w:szCs w:val="20"/>
                <w:color w:val="auto"/>
              </w:rPr>
            </w:pPr>
            <w:r>
              <w:rPr>
                <w:rFonts w:ascii="Arial" w:cs="Arial" w:eastAsia="Arial" w:hAnsi="Arial"/>
                <w:sz w:val="18"/>
                <w:szCs w:val="18"/>
                <w:color w:val="auto"/>
              </w:rPr>
              <w:t>Chegg, Inc.</w:t>
            </w:r>
          </w:p>
        </w:tc>
        <w:tc>
          <w:tcPr>
            <w:tcW w:w="2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Textbook Rental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(76,149,000 total common shares outstanding)</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774,193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6,003,694</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5,999,996</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6"/>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color w:val="auto"/>
              </w:rPr>
              <w:t>Facebook, Inc.</w:t>
            </w:r>
          </w:p>
        </w:tc>
        <w:tc>
          <w:tcPr>
            <w:tcW w:w="220" w:type="dxa"/>
            <w:vAlign w:val="bottom"/>
            <w:shd w:val="clear" w:color="auto" w:fill="CCFFCC"/>
          </w:tcPr>
          <w:p>
            <w:pPr>
              <w:spacing w:after="0"/>
              <w:rPr>
                <w:sz w:val="17"/>
                <w:szCs w:val="17"/>
                <w:color w:val="auto"/>
              </w:rPr>
            </w:pPr>
          </w:p>
        </w:tc>
        <w:tc>
          <w:tcPr>
            <w:tcW w:w="216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5"/>
              </w:rPr>
              <w:t>Palo Alto, CA</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1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Social Networking</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(2,353,000,000 total common shares outstanding)</w:t>
            </w: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225,000</w:t>
            </w:r>
          </w:p>
        </w:tc>
        <w:tc>
          <w:tcPr>
            <w:tcW w:w="1020" w:type="dxa"/>
            <w:vAlign w:val="bottom"/>
          </w:tcPr>
          <w:p>
            <w:pPr>
              <w:jc w:val="right"/>
              <w:spacing w:after="0"/>
              <w:rPr>
                <w:sz w:val="20"/>
                <w:szCs w:val="20"/>
                <w:color w:val="auto"/>
              </w:rPr>
            </w:pPr>
            <w:r>
              <w:rPr>
                <w:rFonts w:ascii="Arial" w:cs="Arial" w:eastAsia="Arial" w:hAnsi="Arial"/>
                <w:sz w:val="18"/>
                <w:szCs w:val="18"/>
                <w:color w:val="auto"/>
              </w:rPr>
              <w:t>6,589,670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6,587,500</w:t>
            </w:r>
          </w:p>
        </w:tc>
        <w:tc>
          <w:tcPr>
            <w:tcW w:w="22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w w:val="86"/>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9"/>
          </w:tcPr>
          <w:p>
            <w:pPr>
              <w:spacing w:after="0" w:line="176" w:lineRule="exact"/>
              <w:rPr>
                <w:sz w:val="20"/>
                <w:szCs w:val="20"/>
                <w:color w:val="auto"/>
              </w:rPr>
            </w:pPr>
            <w:r>
              <w:rPr>
                <w:rFonts w:ascii="Arial" w:cs="Arial" w:eastAsia="Arial" w:hAnsi="Arial"/>
                <w:sz w:val="18"/>
                <w:szCs w:val="18"/>
                <w:color w:val="auto"/>
              </w:rPr>
              <w:t>GILT Groupe, Inc.</w:t>
            </w:r>
          </w:p>
        </w:tc>
        <w:tc>
          <w:tcPr>
            <w:tcW w:w="2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5"/>
              </w:rPr>
              <w:t>New York, NY</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e-Commerce Flash</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4"/>
              </w:rPr>
              <w:t>Sales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(36,154,000 total common shares outstanding)</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203,100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5,576,979</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5,499,250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6"/>
              </w:rPr>
              <w:t>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color w:val="auto"/>
              </w:rPr>
              <w:t>Groupon</w:t>
            </w:r>
          </w:p>
        </w:tc>
        <w:tc>
          <w:tcPr>
            <w:tcW w:w="220" w:type="dxa"/>
            <w:vAlign w:val="bottom"/>
            <w:shd w:val="clear" w:color="auto" w:fill="CCFFCC"/>
          </w:tcPr>
          <w:p>
            <w:pPr>
              <w:spacing w:after="0"/>
              <w:rPr>
                <w:sz w:val="17"/>
                <w:szCs w:val="17"/>
                <w:color w:val="auto"/>
              </w:rPr>
            </w:pPr>
          </w:p>
        </w:tc>
        <w:tc>
          <w:tcPr>
            <w:tcW w:w="216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4"/>
              </w:rPr>
              <w:t>Chicago, IL</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1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Online Deals</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(594,600,000 total common shares outstanding)</w:t>
            </w: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1020" w:type="dxa"/>
            <w:vAlign w:val="bottom"/>
          </w:tcPr>
          <w:p>
            <w:pPr>
              <w:jc w:val="right"/>
              <w:spacing w:after="0"/>
              <w:rPr>
                <w:sz w:val="20"/>
                <w:szCs w:val="20"/>
                <w:color w:val="auto"/>
              </w:rPr>
            </w:pPr>
            <w:r>
              <w:rPr>
                <w:rFonts w:ascii="Arial" w:cs="Arial" w:eastAsia="Arial" w:hAnsi="Arial"/>
                <w:sz w:val="18"/>
                <w:szCs w:val="18"/>
                <w:color w:val="auto"/>
              </w:rPr>
              <w:t>2,127,577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2,035,200</w:t>
            </w:r>
          </w:p>
        </w:tc>
        <w:tc>
          <w:tcPr>
            <w:tcW w:w="22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w w:val="86"/>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9"/>
          </w:tcPr>
          <w:p>
            <w:pPr>
              <w:spacing w:after="0" w:line="176" w:lineRule="exact"/>
              <w:rPr>
                <w:sz w:val="20"/>
                <w:szCs w:val="20"/>
                <w:color w:val="auto"/>
              </w:rPr>
            </w:pPr>
            <w:r>
              <w:rPr>
                <w:rFonts w:ascii="Arial" w:cs="Arial" w:eastAsia="Arial" w:hAnsi="Arial"/>
                <w:sz w:val="18"/>
                <w:szCs w:val="18"/>
                <w:color w:val="auto"/>
              </w:rPr>
              <w:t>Kno, Inc.</w:t>
            </w:r>
          </w:p>
        </w:tc>
        <w:tc>
          <w:tcPr>
            <w:tcW w:w="2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Preferred shares, Series C</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Digital Textbooks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(39,154,000 total preferred shares outstanding)</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440,313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2,257,959</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6"/>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color w:val="auto"/>
              </w:rPr>
              <w:t>PJB Fund LLC</w:t>
            </w:r>
          </w:p>
        </w:tc>
        <w:tc>
          <w:tcPr>
            <w:tcW w:w="220" w:type="dxa"/>
            <w:vAlign w:val="bottom"/>
            <w:shd w:val="clear" w:color="auto" w:fill="CCFFCC"/>
          </w:tcPr>
          <w:p>
            <w:pPr>
              <w:spacing w:after="0"/>
              <w:rPr>
                <w:sz w:val="17"/>
                <w:szCs w:val="17"/>
                <w:color w:val="auto"/>
              </w:rPr>
            </w:pPr>
          </w:p>
        </w:tc>
        <w:tc>
          <w:tcPr>
            <w:tcW w:w="216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1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Structured note, 10%, due 8/15/2012</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Social Gaming</w:t>
            </w:r>
          </w:p>
        </w:tc>
        <w:tc>
          <w:tcPr>
            <w:tcW w:w="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4,028,914</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6"/>
              </w:rPr>
              <w:t>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color w:val="auto"/>
              </w:rPr>
              <w:t>Serious Energy, Inc.</w:t>
            </w:r>
          </w:p>
        </w:tc>
        <w:tc>
          <w:tcPr>
            <w:tcW w:w="220" w:type="dxa"/>
            <w:vAlign w:val="bottom"/>
            <w:shd w:val="clear" w:color="auto" w:fill="CCFFCC"/>
          </w:tcPr>
          <w:p>
            <w:pPr>
              <w:spacing w:after="0"/>
              <w:rPr>
                <w:sz w:val="17"/>
                <w:szCs w:val="17"/>
                <w:color w:val="auto"/>
              </w:rPr>
            </w:pPr>
          </w:p>
        </w:tc>
        <w:tc>
          <w:tcPr>
            <w:tcW w:w="216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1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1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2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Green Materials</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(57,628,472 total common shares outstanding)</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178,095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738,674</w:t>
            </w:r>
          </w:p>
        </w:tc>
        <w:tc>
          <w:tcPr>
            <w:tcW w:w="1000" w:type="dxa"/>
            <w:vAlign w:val="bottom"/>
          </w:tcPr>
          <w:p>
            <w:pPr>
              <w:jc w:val="right"/>
              <w:spacing w:after="0"/>
              <w:rPr>
                <w:sz w:val="20"/>
                <w:szCs w:val="20"/>
                <w:color w:val="auto"/>
              </w:rPr>
            </w:pPr>
            <w:r>
              <w:rPr>
                <w:rFonts w:ascii="Arial" w:cs="Arial" w:eastAsia="Arial" w:hAnsi="Arial"/>
                <w:sz w:val="18"/>
                <w:szCs w:val="18"/>
                <w:color w:val="auto"/>
              </w:rPr>
              <w:t>712,380</w:t>
            </w:r>
          </w:p>
        </w:tc>
        <w:tc>
          <w:tcPr>
            <w:tcW w:w="22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w w:val="86"/>
              </w:rPr>
              <w:t>0.97%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b w:val="1"/>
                <w:bCs w:val="1"/>
                <w:color w:val="auto"/>
              </w:rPr>
              <w:t>Portfolio Investments*</w:t>
            </w:r>
          </w:p>
        </w:tc>
        <w:tc>
          <w:tcPr>
            <w:tcW w:w="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Industry</w:t>
            </w:r>
          </w:p>
        </w:tc>
        <w:tc>
          <w:tcPr>
            <w:tcW w:w="220" w:type="dxa"/>
            <w:vAlign w:val="bottom"/>
          </w:tcPr>
          <w:p>
            <w:pPr>
              <w:spacing w:after="0"/>
              <w:rPr>
                <w:sz w:val="20"/>
                <w:szCs w:val="20"/>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Fair Value</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6"/>
            <w:shd w:val="clear" w:color="auto" w:fill="CCFFCC"/>
          </w:tcPr>
          <w:p>
            <w:pPr>
              <w:spacing w:after="0" w:line="176" w:lineRule="exact"/>
              <w:rPr>
                <w:sz w:val="20"/>
                <w:szCs w:val="20"/>
                <w:color w:val="auto"/>
              </w:rPr>
            </w:pPr>
            <w:r>
              <w:rPr>
                <w:rFonts w:ascii="Arial" w:cs="Arial" w:eastAsia="Arial" w:hAnsi="Arial"/>
                <w:sz w:val="18"/>
                <w:szCs w:val="18"/>
                <w:color w:val="auto"/>
              </w:rPr>
              <w:t>SharesPost, Inc.</w:t>
            </w:r>
          </w:p>
        </w:tc>
        <w:tc>
          <w:tcPr>
            <w:tcW w:w="240" w:type="dxa"/>
            <w:vAlign w:val="bottom"/>
            <w:shd w:val="clear" w:color="auto" w:fill="CCFFCC"/>
          </w:tcPr>
          <w:p>
            <w:pPr>
              <w:spacing w:after="0"/>
              <w:rPr>
                <w:sz w:val="15"/>
                <w:szCs w:val="15"/>
                <w:color w:val="auto"/>
              </w:rPr>
            </w:pPr>
          </w:p>
        </w:tc>
        <w:tc>
          <w:tcPr>
            <w:tcW w:w="218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1"/>
              </w:rPr>
              <w:t>San Bruno, CA</w:t>
            </w: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Preferred shares, Series B</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Online Marketplace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(14,600,000 total preferred shares outstanding)</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(Finance)</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1,776,970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2,257,792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2,226,872</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w w:val="93"/>
              </w:rPr>
              <w:t>Common warrants, $0.13 strike price, expire 6/15/2018</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770,934</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23,128</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23,128</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FFCC"/>
            </w:tcBorders>
            <w:gridSpan w:val="6"/>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FFCC"/>
            </w:tcBorders>
            <w:shd w:val="clear" w:color="auto" w:fill="CCFFCC"/>
          </w:tcPr>
          <w:p>
            <w:pPr>
              <w:spacing w:after="0"/>
              <w:rPr>
                <w:sz w:val="19"/>
                <w:szCs w:val="19"/>
                <w:color w:val="auto"/>
              </w:rPr>
            </w:pPr>
          </w:p>
        </w:tc>
        <w:tc>
          <w:tcPr>
            <w:tcW w:w="21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2,280,920</w:t>
            </w:r>
          </w:p>
        </w:tc>
        <w:tc>
          <w:tcPr>
            <w:tcW w:w="2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6"/>
            <w:shd w:val="clear" w:color="auto" w:fill="CCFFCC"/>
          </w:tcPr>
          <w:p>
            <w:pPr>
              <w:spacing w:after="0" w:line="176" w:lineRule="exact"/>
              <w:rPr>
                <w:sz w:val="20"/>
                <w:szCs w:val="20"/>
                <w:color w:val="auto"/>
              </w:rPr>
            </w:pPr>
            <w:r>
              <w:rPr>
                <w:rFonts w:ascii="Arial" w:cs="Arial" w:eastAsia="Arial" w:hAnsi="Arial"/>
                <w:sz w:val="18"/>
                <w:szCs w:val="18"/>
                <w:color w:val="auto"/>
              </w:rPr>
              <w:t>Silver Spring Networks, Inc.</w:t>
            </w:r>
          </w:p>
        </w:tc>
        <w:tc>
          <w:tcPr>
            <w:tcW w:w="240" w:type="dxa"/>
            <w:vAlign w:val="bottom"/>
            <w:shd w:val="clear" w:color="auto" w:fill="CCFFCC"/>
          </w:tcPr>
          <w:p>
            <w:pPr>
              <w:spacing w:after="0"/>
              <w:rPr>
                <w:sz w:val="17"/>
                <w:szCs w:val="17"/>
                <w:color w:val="auto"/>
              </w:rPr>
            </w:pPr>
          </w:p>
        </w:tc>
        <w:tc>
          <w:tcPr>
            <w:tcW w:w="218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3"/>
              </w:rPr>
              <w:t>Redwood City, CA</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1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6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Smart Grid</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(161,000,000 total common shares outstanding)</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110,143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1,153,381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1,101,430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6"/>
          </w:tcPr>
          <w:p>
            <w:pPr>
              <w:spacing w:after="0" w:line="176" w:lineRule="exact"/>
              <w:rPr>
                <w:sz w:val="20"/>
                <w:szCs w:val="20"/>
                <w:color w:val="auto"/>
              </w:rPr>
            </w:pPr>
            <w:r>
              <w:rPr>
                <w:rFonts w:ascii="Arial" w:cs="Arial" w:eastAsia="Arial" w:hAnsi="Arial"/>
                <w:sz w:val="18"/>
                <w:szCs w:val="18"/>
                <w:color w:val="auto"/>
              </w:rPr>
              <w:t>TrueCar, Inc.</w:t>
            </w:r>
          </w:p>
        </w:tc>
        <w:tc>
          <w:tcPr>
            <w:tcW w:w="24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2"/>
              </w:rPr>
              <w:t>Santa Monica, CA</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Online</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Common shares</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Marketplace (Cars)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(81,100,000 total common shares outstanding)</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377,358</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2,001,782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6"/>
            <w:shd w:val="clear" w:color="auto" w:fill="CCFFCC"/>
          </w:tcPr>
          <w:p>
            <w:pPr>
              <w:spacing w:after="0" w:line="176" w:lineRule="exact"/>
              <w:rPr>
                <w:sz w:val="20"/>
                <w:szCs w:val="20"/>
                <w:color w:val="auto"/>
              </w:rPr>
            </w:pPr>
            <w:r>
              <w:rPr>
                <w:rFonts w:ascii="Arial" w:cs="Arial" w:eastAsia="Arial" w:hAnsi="Arial"/>
                <w:sz w:val="18"/>
                <w:szCs w:val="18"/>
                <w:color w:val="auto"/>
              </w:rPr>
              <w:t>Twitter, Inc.</w:t>
            </w:r>
          </w:p>
        </w:tc>
        <w:tc>
          <w:tcPr>
            <w:tcW w:w="240" w:type="dxa"/>
            <w:vAlign w:val="bottom"/>
            <w:shd w:val="clear" w:color="auto" w:fill="CCFFCC"/>
          </w:tcPr>
          <w:p>
            <w:pPr>
              <w:spacing w:after="0"/>
              <w:rPr>
                <w:sz w:val="15"/>
                <w:szCs w:val="15"/>
                <w:color w:val="auto"/>
              </w:rPr>
            </w:pPr>
          </w:p>
        </w:tc>
        <w:tc>
          <w:tcPr>
            <w:tcW w:w="218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Common shares</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Social Communication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(484,700,000 total common shares outstanding)</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405,600</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7,107,703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6,932,493</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auto"/>
            </w:tcBorders>
            <w:gridSpan w:val="3"/>
            <w:shd w:val="clear" w:color="auto" w:fill="CCFFCC"/>
          </w:tcPr>
          <w:p>
            <w:pPr>
              <w:spacing w:after="0" w:line="176" w:lineRule="exact"/>
              <w:rPr>
                <w:sz w:val="20"/>
                <w:szCs w:val="20"/>
                <w:color w:val="auto"/>
              </w:rPr>
            </w:pPr>
            <w:r>
              <w:rPr>
                <w:rFonts w:ascii="Arial" w:cs="Arial" w:eastAsia="Arial" w:hAnsi="Arial"/>
                <w:sz w:val="18"/>
                <w:szCs w:val="18"/>
                <w:color w:val="auto"/>
                <w:w w:val="86"/>
              </w:rPr>
              <w:t>ZoomSystems</w:t>
            </w:r>
          </w:p>
        </w:tc>
        <w:tc>
          <w:tcPr>
            <w:tcW w:w="3080" w:type="dxa"/>
            <w:vAlign w:val="bottom"/>
            <w:tcBorders>
              <w:bottom w:val="single" w:sz="8" w:color="CCFFCC"/>
            </w:tcBorders>
            <w:gridSpan w:val="3"/>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18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2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68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Preferred shares, Series A</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Smart e-tail (Retail)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(420,000,000 total preferred shares outstanding)</w:t>
            </w:r>
          </w:p>
        </w:tc>
        <w:tc>
          <w:tcPr>
            <w:tcW w:w="2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260,317</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CCFFCC"/>
          </w:tcPr>
          <w:p>
            <w:pPr>
              <w:spacing w:after="0"/>
              <w:rPr>
                <w:sz w:val="20"/>
                <w:szCs w:val="20"/>
                <w:color w:val="auto"/>
              </w:rPr>
            </w:pPr>
          </w:p>
        </w:tc>
        <w:tc>
          <w:tcPr>
            <w:tcW w:w="2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41,943,388</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41,389,584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8877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On October 31, 2011, Groupon conducted a two-for-one stock split of its common stock, which has been reflected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214"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85"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9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8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On September 26, 2011, the Company priced a secondary offering, selling 2,185,000 of common shares at a price of $14.15 per share, including an exercise in full by the underwriters of their option to purchase an additional 285,000 shares of common stock to cover overallotments. The secondary offering resulted in net proceeds to the Company of approximately $29.6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accompanying financial statements have been prepared on the accrual basis of accounting in conformity with accounting principles generally accepted in the United States of America (“GAAP”).</w:t>
      </w:r>
    </w:p>
    <w:p>
      <w:pPr>
        <w:spacing w:after="0" w:line="19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Interim financial statements are prepared in accordance with GAAP for interim financial information and pursuant to the requirements for reporting on Form 10-Q and Regulation S-X. Accordingly, they do not include all of the information and notes required by GAAP for annual financial statements. In the opinion of management, all adjustments, considered necessary for the fair presentation of financial statements for the interim period, have been included. The current period’s results of operations will not necessarily be indicative of results that ultimately may be achieved for the fiscal year ending December 31, 2011.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720"/>
        <w:spacing w:after="0" w:line="302" w:lineRule="auto"/>
        <w:rPr>
          <w:sz w:val="20"/>
          <w:szCs w:val="20"/>
          <w:color w:val="auto"/>
        </w:rPr>
      </w:pPr>
      <w:r>
        <w:rPr>
          <w:rFonts w:ascii="Arial" w:cs="Arial" w:eastAsia="Arial" w:hAnsi="Arial"/>
          <w:sz w:val="16"/>
          <w:szCs w:val="16"/>
          <w:color w:val="auto"/>
        </w:rPr>
        <w:t>The preparation of financial statements requires the Company to make a number of significant estimates. These include estimates of fair value of certain assets and liabilities and other estimates that affect the reported amounts of certain assets and liabilities as of the date of the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firstLine="742"/>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transactions are accounted for on a trade date basis. Securities for which market quotations are readily available on an exchange are valued at the closing price of such security on the valuation date.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8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208" w:lineRule="exact"/>
        <w:rPr>
          <w:sz w:val="20"/>
          <w:szCs w:val="20"/>
          <w:color w:val="auto"/>
        </w:rPr>
      </w:pPr>
    </w:p>
    <w:p>
      <w:pPr>
        <w:ind w:left="680" w:right="20"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70"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225" w:lineRule="exact"/>
        <w:rPr>
          <w:rFonts w:ascii="Arial" w:cs="Arial" w:eastAsia="Arial" w:hAnsi="Arial"/>
          <w:sz w:val="18"/>
          <w:szCs w:val="18"/>
          <w:color w:val="auto"/>
        </w:rPr>
      </w:pPr>
    </w:p>
    <w:p>
      <w:pPr>
        <w:ind w:left="680"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170" w:lineRule="exact"/>
        <w:rPr>
          <w:rFonts w:ascii="Arial" w:cs="Arial" w:eastAsia="Arial" w:hAnsi="Arial"/>
          <w:sz w:val="18"/>
          <w:szCs w:val="18"/>
          <w:color w:val="auto"/>
        </w:rPr>
      </w:pPr>
    </w:p>
    <w:p>
      <w:pPr>
        <w:ind w:left="680" w:right="20"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where appropriate, the independent third-party valuation firm; and</w:t>
      </w:r>
    </w:p>
    <w:p>
      <w:pPr>
        <w:spacing w:after="0" w:line="170" w:lineRule="exact"/>
        <w:rPr>
          <w:rFonts w:ascii="Arial" w:cs="Arial" w:eastAsia="Arial" w:hAnsi="Arial"/>
          <w:sz w:val="18"/>
          <w:szCs w:val="18"/>
          <w:color w:val="auto"/>
        </w:rPr>
      </w:pPr>
    </w:p>
    <w:p>
      <w:pPr>
        <w:jc w:val="both"/>
        <w:ind w:left="680" w:hanging="348"/>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any applicable independent pricing service, input of GSV Asset Management, estimates from the independent valuation firm and the recommendations of the Valuation Committee.</w:t>
      </w:r>
    </w:p>
    <w:p>
      <w:pPr>
        <w:spacing w:after="0" w:line="208"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In making our good faith determination of the fair value of investments, we consider valuation methodologies consistent with industry practice. Valuation methods, among other measures and as applicable, may include comparisons of financial ratios of the portfolio companies that issued such private equity securities to peer companies that are public, the nature and realizable value of any collateral, the portfolio company’s ability to make payments and its earnings and discounted cash flows, the markets in which the portfolio company does business, and other relevant factors.</w:t>
      </w:r>
    </w:p>
    <w:p>
      <w:pPr>
        <w:spacing w:after="0" w:line="19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720"/>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11"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203"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93" w:lineRule="exact"/>
        <w:rPr>
          <w:sz w:val="20"/>
          <w:szCs w:val="20"/>
          <w:color w:val="auto"/>
        </w:rPr>
      </w:pPr>
    </w:p>
    <w:p>
      <w:pPr>
        <w:ind w:left="1340" w:hanging="360"/>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340" w:hanging="36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170" w:lineRule="exact"/>
        <w:rPr>
          <w:rFonts w:ascii="Arial" w:cs="Arial" w:eastAsia="Arial" w:hAnsi="Arial"/>
          <w:sz w:val="18"/>
          <w:szCs w:val="18"/>
          <w:color w:val="auto"/>
        </w:rPr>
      </w:pPr>
    </w:p>
    <w:p>
      <w:pPr>
        <w:ind w:left="1340" w:hanging="36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170" w:lineRule="exact"/>
        <w:rPr>
          <w:rFonts w:ascii="Arial" w:cs="Arial" w:eastAsia="Arial" w:hAnsi="Arial"/>
          <w:sz w:val="18"/>
          <w:szCs w:val="18"/>
          <w:color w:val="auto"/>
        </w:rPr>
      </w:pPr>
    </w:p>
    <w:p>
      <w:pPr>
        <w:ind w:left="1340" w:hanging="360"/>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93"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20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21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52"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At September 30, 2011, no investments were deemed to be control or affiliated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also invests a portion of its cash in money market funds, within limitations of the 1940 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calculated using the specific identification method.</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left="7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52"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Commissions and other costs associated with an investment transaction, including legal expenses, are included in the cost basis of purchases and deducted from the proceeds of sales. The Company makes certain acquisitions on the secondary market which involves making deposits to escrow accounts until certain conditions are met including the underlying private company’s right of first refusal. If the underlying private company does not exercise its right to first refusal and all other conditions are met, then the funds in the escrow account are delivered to the seller and the account is closed. These transactions are reflected on the Statement of Assets and Liabilities as Escrow deposits. At September 30, 2011, the Company had $0 in Escrow 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52"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The Company intends to elect to be treated as a regulated investment company (“RIC”) under subchapter M of the Internal Revenue Code of 1986, as amended, and to operate in a manner so as to qualify for the tax treatment applicable to RICs. In order to qualify as a RIC, among other things, the Company is required to timely distribute to its stockholders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w:t>
      </w:r>
    </w:p>
    <w:p>
      <w:pPr>
        <w:spacing w:after="0" w:line="20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52"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Organization costs include costs relating to the formation and incorporation of the business. These costs were expensed as incurred. For the period from January 6, 2011 (date of inception) to September 30, 2011, the Company has incurred and expensed organization costs of $198,831. Offering costs include legal fees and other costs pertaining to the initial public offering. These costs have been offset against capital proceeds from the public offerings. For the period from January 6, 2011 (date of inception) to September 30, 2011, these costs amount to $1,077,166.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52" w:lineRule="exact"/>
        <w:rPr>
          <w:sz w:val="20"/>
          <w:szCs w:val="20"/>
          <w:color w:val="auto"/>
        </w:rPr>
      </w:pPr>
    </w:p>
    <w:p>
      <w:pPr>
        <w:jc w:val="both"/>
        <w:ind w:right="20" w:firstLine="720"/>
        <w:spacing w:after="0" w:line="286"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 in capital in excess of par, are adjusted, at least annually, for permanent differences between book and tax. In addition, the character of income and gains to be distributed is determined in accordance with income tax regulations that may differ from GAAP.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720"/>
        <w:spacing w:after="0" w:line="290" w:lineRule="auto"/>
        <w:rPr>
          <w:sz w:val="20"/>
          <w:szCs w:val="20"/>
          <w:color w:val="auto"/>
        </w:rPr>
      </w:pPr>
      <w:r>
        <w:rPr>
          <w:rFonts w:ascii="Arial" w:cs="Arial" w:eastAsia="Arial" w:hAnsi="Arial"/>
          <w:sz w:val="16"/>
          <w:szCs w:val="16"/>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amendments are effective during interim and annual periods beginning after December 15, 2011. Early application by public entities is not permitted. At this time management is evaluating the implications of the amendment and the impact to the financial statements of GSV Capital Corp.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56"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$233,961 in base fees and $0 in incentive fees for the three months ended September 30, 2011, and $384,904 in base fees and $0 in incentive fees for the period from January 6, 2011 (date of inception) to September 30, 2011.</w:t>
      </w:r>
    </w:p>
    <w:p>
      <w:pPr>
        <w:spacing w:after="0" w:line="219"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As of September 30, 2011, the Company was due $809 from GSV Asset Management for reimbursement of legal and other expenses paid for by the Company that were the responsibility of GSV Asset Management, and is included in the Statement of Assets and Liabilities.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2011, the Company owed certain officers and directors $34,635 and GSV Asset Management $74 for reimbursements of travel-related and other expenses, which are included in the Statement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5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$192,031 and $305,066 in such costs incurred under the Administration Agreement for the three months ended September 30, 2011, and for the period from January 6, 2011 (date of inception) to September 30, 2011,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56"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At September 30, 2011, the Company had 14 investments in 13 portfolio companies. The total cost and fair value of the 14 positions were $41,943,388 and $41,389,584, respectively. The composition of our investments as of September 30, 2011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Common Stock</w:t>
            </w:r>
          </w:p>
        </w:tc>
        <w:tc>
          <w:tcPr>
            <w:tcW w:w="5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33,115,278</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32,639,584</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Preferred Stock</w:t>
            </w: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4,776,068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4,726,872</w:t>
            </w: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4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4,028,914</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4,000,000</w:t>
            </w: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Warrants</w:t>
            </w:r>
          </w:p>
        </w:tc>
        <w:tc>
          <w:tcPr>
            <w:tcW w:w="4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23,128</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Total Portfolio</w:t>
            </w:r>
          </w:p>
        </w:tc>
        <w:tc>
          <w:tcPr>
            <w:tcW w:w="5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41,943,388</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41,389,584</w:t>
            </w:r>
          </w:p>
        </w:tc>
      </w:tr>
      <w:tr>
        <w:trPr>
          <w:trHeight w:val="601"/>
        </w:trPr>
        <w:tc>
          <w:tcPr>
            <w:tcW w:w="20" w:type="dxa"/>
            <w:vAlign w:val="bottom"/>
          </w:tcPr>
          <w:p>
            <w:pPr>
              <w:spacing w:after="0"/>
              <w:rPr>
                <w:sz w:val="24"/>
                <w:szCs w:val="24"/>
                <w:color w:val="auto"/>
              </w:rPr>
            </w:pPr>
          </w:p>
        </w:tc>
        <w:tc>
          <w:tcPr>
            <w:tcW w:w="3360" w:type="dxa"/>
            <w:vAlign w:val="bottom"/>
            <w:tcBorders>
              <w:top w:val="single" w:sz="8" w:color="CCFFCC"/>
            </w:tcBorders>
          </w:tcPr>
          <w:p>
            <w:pPr>
              <w:spacing w:after="0"/>
              <w:rPr>
                <w:sz w:val="24"/>
                <w:szCs w:val="24"/>
                <w:color w:val="auto"/>
              </w:rPr>
            </w:pPr>
          </w:p>
        </w:tc>
        <w:tc>
          <w:tcPr>
            <w:tcW w:w="4980" w:type="dxa"/>
            <w:vAlign w:val="bottom"/>
            <w:tcBorders>
              <w:top w:val="single" w:sz="8" w:color="CCFFCC"/>
            </w:tcBorders>
          </w:tcPr>
          <w:p>
            <w:pPr>
              <w:jc w:val="right"/>
              <w:ind w:right="247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left="720"/>
        <w:spacing w:after="0"/>
        <w:rPr>
          <w:sz w:val="20"/>
          <w:szCs w:val="20"/>
          <w:color w:val="auto"/>
        </w:rPr>
      </w:pPr>
      <w:r>
        <w:rPr>
          <w:rFonts w:ascii="Arial" w:cs="Arial" w:eastAsia="Arial" w:hAnsi="Arial"/>
          <w:sz w:val="16"/>
          <w:szCs w:val="16"/>
          <w:color w:val="auto"/>
        </w:rPr>
        <w:t>The fair values of our portfolio investments as of September 30, 2011 disaggregated into the three levels of the ASC 820 valuation hierarchy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Quoted Prices in</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Significant Other</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Active Markets for</w:t>
            </w: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Unobservable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6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Identical Securities</w:t>
            </w: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(Level 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Common Stock</w:t>
            </w:r>
          </w:p>
        </w:tc>
        <w:tc>
          <w:tcPr>
            <w:tcW w:w="2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32,639,584</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32,639,584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Preferred Stock</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4,726,872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4,726,872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2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4,000,000</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Warrants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Total Portfolio</w:t>
            </w:r>
          </w:p>
        </w:tc>
        <w:tc>
          <w:tcPr>
            <w:tcW w:w="200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41,389,584</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41,389,584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FFCC"/>
            </w:tcBorders>
            <w:shd w:val="clear" w:color="auto" w:fill="CCFFCC"/>
          </w:tcPr>
          <w:p>
            <w:pPr>
              <w:spacing w:after="0" w:line="20" w:lineRule="exact"/>
              <w:rPr>
                <w:sz w:val="1"/>
                <w:szCs w:val="1"/>
                <w:color w:val="auto"/>
              </w:rPr>
            </w:pPr>
          </w:p>
        </w:tc>
        <w:tc>
          <w:tcPr>
            <w:tcW w:w="20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aggregate values of Level 3 portfolio investments changed during the three months ended September 30, 2011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Common Stock</w:t>
            </w: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Preferred Stock</w:t>
            </w:r>
          </w:p>
        </w:tc>
        <w:tc>
          <w:tcPr>
            <w:tcW w:w="2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Structured Note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Fair value as of July 1, 2011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13,994,703</w:t>
            </w: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16,244,703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19,067,024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2,519,985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4,028,914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25,639,051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Change in unrealized depreciation included in</w:t>
            </w:r>
          </w:p>
        </w:tc>
        <w:tc>
          <w:tcPr>
            <w:tcW w:w="100" w:type="dxa"/>
            <w:vAlign w:val="bottom"/>
            <w:shd w:val="clear" w:color="auto" w:fill="CCFFCC"/>
          </w:tcPr>
          <w:p>
            <w:pPr>
              <w:spacing w:after="0"/>
              <w:rPr>
                <w:sz w:val="17"/>
                <w:szCs w:val="17"/>
                <w:color w:val="auto"/>
              </w:rPr>
            </w:pPr>
          </w:p>
        </w:tc>
        <w:tc>
          <w:tcPr>
            <w:tcW w:w="1300" w:type="dxa"/>
            <w:vAlign w:val="bottom"/>
            <w:tcBorders>
              <w:right w:val="single" w:sz="8" w:color="CCFFCC"/>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(422,143)</w:t>
            </w:r>
          </w:p>
        </w:tc>
        <w:tc>
          <w:tcPr>
            <w:tcW w:w="3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(43,113)</w:t>
            </w:r>
          </w:p>
        </w:tc>
        <w:tc>
          <w:tcPr>
            <w:tcW w:w="38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(28,914)</w:t>
            </w: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(494,170)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FFCC"/>
            </w:tcBorders>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as of September 30,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32,639,584</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4,726,872</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41,389,584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0" w:type="dxa"/>
            <w:vAlign w:val="bottom"/>
            <w:gridSpan w:val="16"/>
          </w:tcPr>
          <w:p>
            <w:pPr>
              <w:ind w:left="700"/>
              <w:spacing w:after="0"/>
              <w:rPr>
                <w:sz w:val="20"/>
                <w:szCs w:val="20"/>
                <w:color w:val="auto"/>
              </w:rPr>
            </w:pPr>
            <w:r>
              <w:rPr>
                <w:rFonts w:ascii="Arial" w:cs="Arial" w:eastAsia="Arial" w:hAnsi="Arial"/>
                <w:sz w:val="18"/>
                <w:szCs w:val="18"/>
                <w:color w:val="auto"/>
                <w:w w:val="90"/>
              </w:rPr>
              <w:t>The aggregate values of Level 3 portfolio investments changed during the period from January 6, 2011 (date of inception) to September 30, 2011 as</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Common Stock</w:t>
            </w:r>
          </w:p>
        </w:tc>
        <w:tc>
          <w:tcPr>
            <w:tcW w:w="220" w:type="dxa"/>
            <w:vAlign w:val="bottom"/>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Preferred Stock</w:t>
            </w:r>
          </w:p>
        </w:tc>
        <w:tc>
          <w:tcPr>
            <w:tcW w:w="240" w:type="dxa"/>
            <w:vAlign w:val="bottom"/>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Structured Note</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Fair value as of January 6, 2011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33,115,278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4,776,068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4,028,914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41,943,388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Change in unrealized depreciation included in</w:t>
            </w:r>
          </w:p>
        </w:tc>
        <w:tc>
          <w:tcPr>
            <w:tcW w:w="100" w:type="dxa"/>
            <w:vAlign w:val="bottom"/>
            <w:shd w:val="clear" w:color="auto" w:fill="CCFFCC"/>
          </w:tcPr>
          <w:p>
            <w:pPr>
              <w:spacing w:after="0"/>
              <w:rPr>
                <w:sz w:val="17"/>
                <w:szCs w:val="17"/>
                <w:color w:val="auto"/>
              </w:rPr>
            </w:pPr>
          </w:p>
        </w:tc>
        <w:tc>
          <w:tcPr>
            <w:tcW w:w="1300" w:type="dxa"/>
            <w:vAlign w:val="bottom"/>
            <w:tcBorders>
              <w:right w:val="single" w:sz="8" w:color="CCFFCC"/>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(475,694)</w:t>
            </w:r>
          </w:p>
        </w:tc>
        <w:tc>
          <w:tcPr>
            <w:tcW w:w="3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(49,196)</w:t>
            </w:r>
          </w:p>
        </w:tc>
        <w:tc>
          <w:tcPr>
            <w:tcW w:w="38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(28,914)</w:t>
            </w: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FFCC"/>
            </w:tcBorders>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as of September 30,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32,639,584</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4,726,872</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41,389,584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from January 6, 2011 (date of inception) to September 30, 2011, there were no transfers in or out of Level 3. Change in unrealized depreciation for the period for investments still held as of September 30, 2011, is $553,804.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56"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September 30, 2011. The proceeds raised, the related underwriting fees, the offering expenses and the prices at which these shares were issued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Gross Proceeds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3"/>
              </w:rPr>
              <w:t>Underwriting</w:t>
            </w:r>
          </w:p>
        </w:tc>
        <w:tc>
          <w:tcPr>
            <w:tcW w:w="16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4"/>
              </w:rPr>
              <w:t>Offering</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Issuances of Common Stock</w:t>
            </w: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Raised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2"/>
              </w:rPr>
              <w:t>Fees</w:t>
            </w:r>
          </w:p>
        </w:tc>
        <w:tc>
          <w:tcPr>
            <w:tcW w:w="16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3"/>
              </w:rPr>
              <w:t>Expenses</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February 28, 2011</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April 28, 2011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50,025,000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3,501,750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527,166</w:t>
            </w: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September 27, 2011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1,900,000</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26,885,000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1,102,000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September 27, 2011</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4,032,750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165,300</w:t>
            </w: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550,000</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8877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620" w:right="5220" w:hanging="5612"/>
        <w:spacing w:after="0" w:line="818" w:lineRule="auto"/>
        <w:tabs>
          <w:tab w:leader="none" w:pos="30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$3,585 of offering expenses that were accrued as of September 30, 2011.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56"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three months ended September 30, 2011 as well as for the period from January 6, 2011 (date of inception) to September 30,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three months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2011 (date of inception)</w:t>
            </w: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September 30, 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to September 30, 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(1,174,258)</w:t>
            </w:r>
          </w:p>
        </w:tc>
        <w:tc>
          <w:tcPr>
            <w:tcW w:w="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(1,910,005)</w:t>
            </w:r>
          </w:p>
        </w:tc>
      </w:tr>
      <w:tr>
        <w:trPr>
          <w:trHeight w:val="223"/>
        </w:trPr>
        <w:tc>
          <w:tcPr>
            <w:tcW w:w="20" w:type="dxa"/>
            <w:vAlign w:val="bottom"/>
          </w:tcPr>
          <w:p>
            <w:pPr>
              <w:spacing w:after="0"/>
              <w:rPr>
                <w:sz w:val="19"/>
                <w:szCs w:val="19"/>
                <w:color w:val="auto"/>
              </w:rPr>
            </w:pPr>
          </w:p>
        </w:tc>
        <w:tc>
          <w:tcPr>
            <w:tcW w:w="7420" w:type="dxa"/>
            <w:vAlign w:val="bottom"/>
          </w:tcPr>
          <w:p>
            <w:pPr>
              <w:spacing w:after="0" w:line="216" w:lineRule="exact"/>
              <w:rPr>
                <w:sz w:val="20"/>
                <w:szCs w:val="20"/>
                <w:color w:val="auto"/>
              </w:rPr>
            </w:pPr>
            <w:r>
              <w:rPr>
                <w:rFonts w:ascii="Arial" w:cs="Arial" w:eastAsia="Arial" w:hAnsi="Arial"/>
                <w:sz w:val="18"/>
                <w:szCs w:val="18"/>
                <w:color w:val="auto"/>
              </w:rPr>
              <w:t xml:space="preserve">Weighted average common shares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2,460,565</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(0.34)</w:t>
            </w:r>
          </w:p>
        </w:tc>
        <w:tc>
          <w:tcPr>
            <w:tcW w:w="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(0.78)</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00" w:right="20" w:hanging="29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September 30, 2011 was calculated starting from the issuance of 100 shares on February 28,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56"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NOTE 7 — FINANCIAL HIGHLIGHTS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January 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2011</w:t>
            </w:r>
          </w:p>
        </w:tc>
        <w:tc>
          <w:tcPr>
            <w:tcW w:w="100" w:type="dxa"/>
            <w:vAlign w:val="bottom"/>
          </w:tcPr>
          <w:p>
            <w:pPr>
              <w:spacing w:after="0"/>
              <w:rPr>
                <w:sz w:val="20"/>
                <w:szCs w:val="20"/>
                <w:color w:val="auto"/>
              </w:rPr>
            </w:pPr>
          </w:p>
        </w:tc>
        <w:tc>
          <w:tcPr>
            <w:tcW w:w="1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 September 30, 2011</w:t>
            </w:r>
          </w:p>
        </w:tc>
        <w:tc>
          <w:tcPr>
            <w:tcW w:w="0" w:type="dxa"/>
            <w:vAlign w:val="bottom"/>
          </w:tcPr>
          <w:p>
            <w:pPr>
              <w:spacing w:after="0"/>
              <w:rPr>
                <w:sz w:val="1"/>
                <w:szCs w:val="1"/>
                <w:color w:val="auto"/>
              </w:rPr>
            </w:pPr>
          </w:p>
        </w:tc>
      </w:tr>
      <w:tr>
        <w:trPr>
          <w:trHeight w:val="365"/>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at beginning of period</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14.67</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Accretion from offering</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Underwriters’ discount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investment loss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Change in unrealized depreciation</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gridSpan w:val="2"/>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line="21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5"/>
                <w:szCs w:val="25"/>
                <w:color w:val="auto"/>
                <w:vertAlign w:val="superscript"/>
              </w:rPr>
              <w:t>(3)</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line="216"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5"/>
                <w:szCs w:val="25"/>
                <w:color w:val="auto"/>
                <w:vertAlign w:val="superscript"/>
              </w:rPr>
              <w:t>(3)</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Shares outstanding at end of period</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5,520,100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 / Supplemental Data:</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73,188,030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73,188,030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Average net assets</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45,046,867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32,432,765</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line="216" w:lineRule="exact"/>
              <w:rPr>
                <w:sz w:val="20"/>
                <w:szCs w:val="20"/>
                <w:color w:val="auto"/>
              </w:rPr>
            </w:pPr>
            <w:r>
              <w:rPr>
                <w:rFonts w:ascii="Arial" w:cs="Arial" w:eastAsia="Arial" w:hAnsi="Arial"/>
                <w:sz w:val="18"/>
                <w:szCs w:val="18"/>
                <w:color w:val="auto"/>
              </w:rPr>
              <w:t>Annualized ratio of gross operating expenses to average net assets</w:t>
            </w:r>
            <w:r>
              <w:rPr>
                <w:rFonts w:ascii="Arial" w:cs="Arial" w:eastAsia="Arial" w:hAnsi="Arial"/>
                <w:sz w:val="25"/>
                <w:szCs w:val="25"/>
                <w:color w:val="auto"/>
                <w:vertAlign w:val="superscript"/>
              </w:rPr>
              <w:t>(3)</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line="216" w:lineRule="exact"/>
              <w:rPr>
                <w:sz w:val="20"/>
                <w:szCs w:val="20"/>
                <w:color w:val="auto"/>
              </w:rPr>
            </w:pPr>
            <w:r>
              <w:rPr>
                <w:rFonts w:ascii="Arial" w:cs="Arial" w:eastAsia="Arial" w:hAnsi="Arial"/>
                <w:sz w:val="18"/>
                <w:szCs w:val="18"/>
                <w:color w:val="auto"/>
              </w:rPr>
              <w:t>Annualized ratio of net operating expenses to average net assets</w:t>
            </w:r>
            <w:r>
              <w:rPr>
                <w:rFonts w:ascii="Arial" w:cs="Arial" w:eastAsia="Arial" w:hAnsi="Arial"/>
                <w:sz w:val="25"/>
                <w:szCs w:val="25"/>
                <w:color w:val="auto"/>
                <w:vertAlign w:val="superscript"/>
              </w:rPr>
              <w:t>(3)</w:t>
            </w: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Annualized ratio of net investment income to average net assets</w:t>
            </w:r>
            <w:r>
              <w:rPr>
                <w:rFonts w:ascii="Arial" w:cs="Arial" w:eastAsia="Arial" w:hAnsi="Arial"/>
                <w:sz w:val="25"/>
                <w:szCs w:val="25"/>
                <w:color w:val="auto"/>
                <w:vertAlign w:val="superscript"/>
              </w:rPr>
              <w:t>(3)</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8877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33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highlights are based on shares outstanding as of September 30, 2011.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common shares is based on the weighted average offering price for the shares issued during the period.</w:t>
      </w:r>
    </w:p>
    <w:p>
      <w:pPr>
        <w:spacing w:after="0" w:line="225" w:lineRule="exact"/>
        <w:rPr>
          <w:rFonts w:ascii="Arial" w:cs="Arial" w:eastAsia="Arial" w:hAnsi="Arial"/>
          <w:sz w:val="18"/>
          <w:szCs w:val="18"/>
          <w:color w:val="auto"/>
        </w:rPr>
      </w:pPr>
    </w:p>
    <w:p>
      <w:pPr>
        <w:jc w:val="both"/>
        <w:ind w:left="300" w:right="20" w:hanging="292"/>
        <w:spacing w:after="0" w:line="264"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181" w:lineRule="exact"/>
        <w:rPr>
          <w:rFonts w:ascii="Arial" w:cs="Arial" w:eastAsia="Arial" w:hAnsi="Arial"/>
          <w:sz w:val="18"/>
          <w:szCs w:val="18"/>
          <w:color w:val="auto"/>
        </w:rPr>
      </w:pPr>
    </w:p>
    <w:p>
      <w:pPr>
        <w:jc w:val="both"/>
        <w:ind w:left="300" w:right="20" w:hanging="292"/>
        <w:spacing w:after="0" w:line="25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were not annualized. For the three months ended September 30, 2011, and for the period from January 6, 2011 (date of inception) to September 30, 2011, the Company incurred $6,336 and $198,831 of Organizational Expenses, which were deemed to be non-recurring. Average net assets for the period from January 6, 2011 (date of inception) to September 30, 2011, were calculated starting from the issuance of 100 shares on February 28, 2011.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73"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INCOME TAX</w:t>
      </w:r>
    </w:p>
    <w:p>
      <w:pPr>
        <w:spacing w:after="0" w:line="25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The Company will elect to be treated for federal income tax purposes as a RIC. As a RIC, the Company generally will not pay corporate-level federal income taxes on any net ordinary income or capital gains that the Company distributes to its stockholders as dividends. In addition to meeting other requirements, the Company must generally distribute at least 90% of its investment company taxable income to qualify for pass-through tax treatment and maintain its RIC status. As part of maintaining RIC status, undistributed taxable income (subject to a 4% excise tax) pertaining to a given fiscal year may be distributed up to 12 months subsequent to the end of that fiscal year, provided such dividends are declared prior to the filing of the federal income tax return for the prior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Subsequent to September 30, 2011, the Company closed on investments of $8.47 million, plus transaction costs as follows:</w:t>
      </w:r>
    </w:p>
    <w:p>
      <w:pPr>
        <w:spacing w:after="0" w:line="252"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Company closed on an investment of $1,000,000, plus transaction costs, in Control 4, Inc., a home automation company headquartered in Salt Lake City, UT, on October 4,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$2,000,000, plus transaction costs, in Grockit, Inc., an online test prep company headquartered in San Francisco, CA, on October 7,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$1,593,000, plus transaction costs, in Twitter, Inc., a social communication company headquartered in San Francisco, CA, on October 21, 2011.</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October 31, 2011, Groupon conducted a two-for-one stock split of its common stock, which has been reflected in the Schedule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November 3, 2011, Groupon priced its initial public offering, selling 35,000,000 shares at a price of $20.00 per share.</w:t>
      </w:r>
    </w:p>
    <w:p>
      <w:pPr>
        <w:spacing w:after="0" w:line="23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closed on an investment of $3,875,000, plus transaction costs, in Facebook, Inc., a social networking company headquartered in Palo Alto, CA, on November 8, 2011.</w:t>
      </w:r>
    </w:p>
    <w:p>
      <w:pPr>
        <w:spacing w:after="0" w:line="197"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 Subsequent to September 30, 2011, the Company made $4.1 million in such escrow deposits of which $0.2 million are currently outstanding and subject to applicable closing conditions.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16" w:lineRule="exact"/>
        <w:rPr>
          <w:sz w:val="20"/>
          <w:szCs w:val="20"/>
          <w:color w:val="auto"/>
        </w:rPr>
      </w:pPr>
    </w:p>
    <w:p>
      <w:pPr>
        <w:ind w:left="680" w:right="20"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 and</w:t>
      </w:r>
    </w:p>
    <w:p>
      <w:pPr>
        <w:spacing w:after="0" w:line="252" w:lineRule="exact"/>
        <w:rPr>
          <w:rFonts w:ascii="Arial" w:cs="Arial" w:eastAsia="Arial" w:hAnsi="Arial"/>
          <w:sz w:val="18"/>
          <w:szCs w:val="18"/>
          <w:color w:val="auto"/>
        </w:rPr>
      </w:pPr>
    </w:p>
    <w:p>
      <w:pPr>
        <w:ind w:left="680"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197"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Except as otherwise specified, references to “GSV Capital,” “the Company,” “we,” “us” and “our” refer to GSV Capital Corp.</w:t>
      </w:r>
    </w:p>
    <w:p>
      <w:pPr>
        <w:spacing w:after="0" w:line="252" w:lineRule="exact"/>
        <w:rPr>
          <w:sz w:val="20"/>
          <w:szCs w:val="20"/>
          <w:color w:val="auto"/>
        </w:rPr>
      </w:pPr>
    </w:p>
    <w:p>
      <w:pPr>
        <w:ind w:right="480" w:firstLine="720"/>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ind w:firstLine="720"/>
        <w:spacing w:after="0" w:line="289"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investments. We invest principally in the equity securities of venture capital-backed, rapidly growing emerging companies. We may also invest on an opportunistic basis in select publicly-traded equity securities of rapidly growing companies that otherwise meet our investment criteria. In addition, 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We acquire our investments through secondary market places for private companies, negotiations with selling stockholders and direct investments with portfolio companies and, to a lesser extent, through transactions executed on public securities exchanges. Our investment activities are managed by GSV Asset Management. GSV Capital Service Company provides the administrative services necessary for us to operate.</w:t>
      </w:r>
    </w:p>
    <w:p>
      <w:pPr>
        <w:spacing w:after="0" w:line="19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seek primarily minority equity investments in our portfolio companies.</w:t>
      </w:r>
    </w:p>
    <w:p>
      <w:pPr>
        <w:spacing w:after="0" w:line="208"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We seek to create a low-turnover, relatively diversified portfolio that included 14 investments in 13 companies as of September 30, 2011. We expect that the total number of portfolio companies in which we are invested will increase as our equity capital base grows, including to the extent we conduct additional follow-on equity offerings. Our investment adviser’s investment decisions are based on an extensive analysis of each potential portfolio company’s business operations supported by an in-depth understanding of key fundamentals such as growth potential, the quality of recurring revenues and cash flow, variability of costs and the inherent value of a prospective portfolio company’s assets, including proprietary intangible assets and intellectual property. We expect that many of the companies that our investment adviser will evaluate will have financial backing provided by top tier private equity or venture capital funds or other financial or strategic sponsors at the time we make an investment.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Current Market Conditions and Market Opportunity</w:t>
      </w:r>
    </w:p>
    <w:p>
      <w:pPr>
        <w:spacing w:after="0" w:line="256"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7"/>
          <w:szCs w:val="17"/>
          <w:color w:val="auto"/>
        </w:rPr>
        <w:t>We believe the technology industry is experiencing a convergence of numerous disruptive trends, producing new high-growth markets.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These factors are creating opportunities for new market participants and significant growth for established companies with leading positions capitalizing on these trends.</w:t>
      </w:r>
    </w:p>
    <w:p>
      <w:pPr>
        <w:spacing w:after="0" w:line="20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At the same time, the initial public offering, or “IPO,” markets have experienced substantial structural changes which have made it significantly more challenging for private companies to go public. Volatile equity markets, a lack of investment research coverage for smaller companies and investor demand for a longer history of earnings growth have resulted in companies staying private significantly longer than in the past. Because private companies are staying private longer, private investment in late stage companies has increased. Private secondary marketplaces, such as SharesPost and SecondMarket, have emerged as an alternative to traditional public equity exchanges to provide liquidity to private company stockholders, including employees, particularly within the technology sector. While such private secondary marketplaces generally have more limited transaction volume than public exchanges, they do provide accredited investors, such as ourselves, with access to equity investments in private companies. We seek to create a portfolio of high-growth emerging private companies via a repeatable and disciplined investment approach, as well as to provide investors with access to such companies through our publicly traded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 Initial Public Offering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52"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On September 26, 2011, the Company priced a secondary offering, selling 2,185,000 shares at a price of $14.15 per share, including an exercise in full by the underwriters of their option to purchase an additional 285,000 shares of common stock to cover overallotments. The secondary offering resulted in net proceeds to the Company of approximately $29.6 million.</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total expenses of the offering, excluding the underwriting discounts, were approximately $550,000.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closed on an investment of $166,500, plus transaction costs, in Bloom Energy Corporation, a fuel cell energy company, on July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38"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$200,000, plus transaction costs, in Silver Spring Networks, Inc., a smart grid company headquartered in Redwood City, CA, on July 11,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$2,250,000, plus transaction costs, in SharesPost, Inc., an online marketplace for private equity investments headquartered in San Bruno, CA, on July 19, 2011.</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closed on an investment of $1,968,000, plus transaction costs, in GILT Groupe, Inc., an eCommerce flash sales company, on July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closed on an investment of $190,000, plus transaction costs, in Bloom Energy Corporation, a fuel cell energy company, on August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38"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6"/>
          <w:szCs w:val="16"/>
          <w:color w:val="auto"/>
        </w:rPr>
        <w:t>On August 15, 2011, the Company acquired a $4 million unsecured promissory note ("Note") issued by PJB Fund LLC, a Delaware limited liability company ("Borrower"), which note is personally guaranteed by its members on a limited basis. The Note has a one-year maturity (which may be extended) and is subject to being repaid, at Borrower's election, either by transfer of a certain number of shares of common stock of Zynga, Inc., transfer of membership interests in Borrower or with a cash amount of equivalent value ("Repayment Amount"). The Repayment Amount includes a return based on the relative value of Zynga. At values of Zynga ranging from $6 billion to $14.4 billion (assuming the Note is settled within one year), the Repayment Amount will provide a return of 10% to 20%. At values of Zynga in excess of $14.4 billion, the Repayment Amount return includes 50% of such incremental share price appreciation. To the extent Zynga has a value less than $6 billion, the borrower will be able to settle the Note for less than the face amount of the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left="720"/>
        <w:spacing w:after="0"/>
        <w:rPr>
          <w:sz w:val="20"/>
          <w:szCs w:val="20"/>
          <w:color w:val="auto"/>
        </w:rPr>
      </w:pPr>
      <w:r>
        <w:rPr>
          <w:rFonts w:ascii="Arial" w:cs="Arial" w:eastAsia="Arial" w:hAnsi="Arial"/>
          <w:sz w:val="16"/>
          <w:szCs w:val="16"/>
          <w:color w:val="auto"/>
        </w:rPr>
        <w:t>The Company closed on an investment of $1,000,008, plus transaction costs, in Bloom Energy Corporation, a fuel cell energy company, on August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17, 2011.</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closed on an investment of $3,251,250, plus transaction costs, in GILT Groupe, Inc., an eCommerce flash sales company, on August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22, 2011.</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closed on an investment of $2,035,200, plus transaction costs, in Groupon, an online deals company, on August 22, 2011.</w:t>
      </w:r>
    </w:p>
    <w:p>
      <w:pPr>
        <w:spacing w:after="0" w:line="264"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$6,932,493, plus transaction costs, in Twitter, Inc., a social communication company headquartered in San Francisco, CA, on August 22,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$901,430, plus transaction costs, in Silver Spring Networks, Inc., a smart grid company headquartered in Redwood City, CA, on August 30, 2011.</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closed on an investment of $1,999,997, plus transaction costs, in TrueCar, Inc., an online marketplace for cars, on August 30, 2011.</w:t>
      </w:r>
    </w:p>
    <w:p>
      <w:pPr>
        <w:spacing w:after="0" w:line="275"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$250,000, plus transaction costs, in Zoom Systems, a smart e-tail company headquartered in San Francisco, CA, on August 31, 2011.</w:t>
      </w:r>
    </w:p>
    <w:p>
      <w:pPr>
        <w:spacing w:after="0" w:line="19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During the period from July 1, 2011 to September 30, 2011, we invested a total of $25,639,051 in nine portfolio companies. As of September 30, 2011, we were invested in thirteen portfolio companies with a total fair value of $41,389,584. We also held $32,098,207 in unrestricted cash on September 30, 2011. As of September 30, 2011, the fair value of our portfolio investments was equal to the cost of the investments, net of unrealized depreciation representing transaction costs. The fair value of our investments can be expected to fluctuate in future periods due to changes in our investments and changes in the fair value of the investments.</w:t>
      </w:r>
    </w:p>
    <w:p>
      <w:pPr>
        <w:spacing w:after="0" w:line="215"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As of September 30, 2011, we had total assets of $73,715,970 and total liabilities of $527,941, yielding net assets of $73,188,029 and a net asset value per share of $13.26. Our closing stock price on September 30, 2011 was $13.56.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We were formed in September 2010, so there is no comparable period to compare results for the period from July 1, 2011 to September 30,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For the three months ended September 30, 2011, as well as for the period from January 6, 2011 (date of inception) to September 30, 2011, we had investment income of $53,408, or $0.02 per share, which consisted of $52,222 of interest income and $1,186 of dividend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6"/>
          <w:szCs w:val="16"/>
          <w:color w:val="auto"/>
        </w:rPr>
        <w:t>For the three months ended September 30, 2011, we had $733,496 in total operating expenses consisting primarily of legal, audit and consulting fees, in addition to organizational expenses, investment management fees and administration fees. The investment advisory fee for the three months ended September 30, 2011 was $233,961, representing the base fee as provided for in our investment advisory agreement. Costs incurred under our administration agreement for the three months ended September 30, 2011 were $192,031. Professional fees, consisting of legal, valuation, audit and consulting fees, were approximately $152,916 for the three months ended September 30, 2011. For the period from January 6, 2011 (date of inception) to September 30, 2011, we incurred $1,409,609 in total operating expenses as set forth above. The investment advisory fee for the period from January 6, 2011 (inception) to September 30, 2011 was $384,904, representing the base fee as provided for in our investment advisory agreement. Costs incurred under our administration agreement for the period from January 6, 2011 (inception) to September 30, 2011 were $305,066. Professional fees, consisting of legal, valuation, audit and consulting fees, were approximately $271,548 for the period from January 6, 2011 (inception) to September 30, 2011.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the three months ended September 30, 2011, and for the period from January 6, 2011 (date of inception) to September 30, 2011, we had a net change in unrealized depreciation of $494,170, or $0.14 per share, and $553,804, or $0.23 per share, respectively. Net investment loss was $680,088, or $0.20 per share, for the three months ended September 30, 2011, and $1,356,201, or $0.55 per share, for the period from January 6, 2011 (date of inception) to September 30, 2011. Net decrease in net assets resulting from operations was $1,174,258, or $0.34 per share, for the three months ended September 30, 2011, and $1,910,005, or $0.78 per share, for the period from January 6, 2011 (date of inception) to September 30, 2011.</w:t>
      </w:r>
    </w:p>
    <w:p>
      <w:pPr>
        <w:spacing w:after="0" w:line="15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per share figures noted above are based on a weighted-average of 3,430,100 shares outstanding for the three months ended September 30, 2011, and a weighted-average of 2,460,565 shares outstanding for the period from January 6, 2011 (date of inception) to September 30,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At September 30, 2011, we had 14 investments in 13 portfolio companies with costs totaling $41,943,388, and cash in the amount of $32,098,207, which included approximately $29.6 million raised in our secondary offering as described below.</w:t>
      </w:r>
    </w:p>
    <w:p>
      <w:pPr>
        <w:spacing w:after="0" w:line="197"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On April 28, 2011, we priced our initial public offering of 3,335,000 shares of our common stock at the offering price of $15.00 per share. The initial public offering closed on May 3, 2011, resulting in net proceeds to GSV Capital of approximately $46.5 million. Our shares are currently listed on the NASDAQ Capital Market under the symbol “GSVC”.</w:t>
      </w:r>
    </w:p>
    <w:p>
      <w:pPr>
        <w:spacing w:after="0" w:line="20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On September 26, 2011, we priced a secondary offering, selling 2,185,000 shares at a price of $14.15 per share, including an exercise in full by the underwriters of their option to purchase an additional 285,000 shares of common stock to cover overallotments. The secondary offering resulted in net proceeds to the Company of approximately $29.6 million.</w:t>
      </w:r>
    </w:p>
    <w:p>
      <w:pPr>
        <w:spacing w:after="0" w:line="208" w:lineRule="exact"/>
        <w:rPr>
          <w:sz w:val="20"/>
          <w:szCs w:val="20"/>
          <w:color w:val="auto"/>
        </w:rPr>
      </w:pPr>
    </w:p>
    <w:p>
      <w:pPr>
        <w:jc w:val="both"/>
        <w:ind w:firstLine="720"/>
        <w:spacing w:after="0" w:line="312" w:lineRule="auto"/>
        <w:rPr>
          <w:sz w:val="20"/>
          <w:szCs w:val="20"/>
          <w:color w:val="auto"/>
        </w:rPr>
      </w:pPr>
      <w:r>
        <w:rPr>
          <w:rFonts w:ascii="Arial" w:cs="Arial" w:eastAsia="Arial" w:hAnsi="Arial"/>
          <w:sz w:val="16"/>
          <w:szCs w:val="16"/>
          <w:color w:val="auto"/>
        </w:rPr>
        <w:t>Our primary use of cash is to make investments and to pay our operating expenses. We expect to use substantially all of the proceeds of offerings to invest in portfolio companies within six to twelve months of the initial public offering date, depending on the availability of investment opportunities that are consistent with our investment objectives and market conditions, except for amounts retained for purposes of funding our ongoing expenses.</w:t>
      </w:r>
    </w:p>
    <w:p>
      <w:pPr>
        <w:spacing w:after="0" w:line="174"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7"/>
          <w:szCs w:val="17"/>
          <w:color w:val="auto"/>
        </w:rPr>
        <w:t>Our current policy is to maintain cash reserves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We incurred approximately $233,961 in investment management fees and $192,031 in costs incurred under the administration agreement for the three months ended September 30, 2011, and $384,904 in investment management fees and $305,066 in costs incurred under the administration agreement for the period from January 6, 2011 (date of inception) to September 30,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of September 30, 2011, we had no off-balance sheet arrangements, including any risk management of commodity pricing or other hedging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practices.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52"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As such, we do not anticipate that we will pay dividends on a quarterly basis or become a predictable issuer of dividends, and we expect that our dividends, if any, will be much less consistent than other business development companies that primarily make debt investments. However, to the extent there are earnings or realized capital gains to be distributed, we intend to declare and pay a dividend at least annually.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720"/>
        <w:spacing w:after="0" w:line="287"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2011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short-term capital losses), if any, at least annually, we may in the future decide to retain such capital gains for investment.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96"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Our current intention is to make any distributions in additional shares of our common stock under our dividend reinvestment plan, out of assets legally available therefor, unless you elect to receive your dividends and/or long-term capital gains distributions in cash. 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If you hold shares in the name of a broker or financial intermediary, you should contact the broker or financial intermediary regarding your election to receive distributions in cash.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had no borrowings outstanding as of September 30,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Agreement</w:t>
      </w:r>
    </w:p>
    <w:p>
      <w:pPr>
        <w:spacing w:after="0" w:line="252"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We have entered into an investment advisory agreement with GSV Asset Management (the “Advisory Agreement”) in connection with our initial public offering. Pursuant to the Advisory Agreement, GSV Asset Management will be paid a base annual fee of 2%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$233,961 in base fees and $0 in incentive fees for the three months ended September 30, 2011, and $384,904 in base fees and $0 in incentive fees for the period from January 6, 2011 (date of inception) to September 30, 2011.</w:t>
      </w:r>
    </w:p>
    <w:p>
      <w:pPr>
        <w:spacing w:after="0" w:line="219"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As of September 30, 2011, we were owed $809 from GSV Asset Management for reimbursement of legal and other expenses paid for by us that were the responsibility of GSV Asset Management, which is included in the Statement of Assets and Liabilities.</w:t>
      </w:r>
    </w:p>
    <w:p>
      <w:pPr>
        <w:spacing w:after="0" w:line="197"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As of September 30, 2011, we owed certain officers and directors $34,635 and GSV Asset Management $74 for reimbursements of travel-related and other expenses, which are included in the Statement of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52"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We have entered into an administration agreement with GSV Capital Service Company (the “Administration Agreement”) to provide administrative services, including furnishing us with office facilities, equipment, clerical, bookkeeping record keeping services and other administrative services, in connection with our initial public offering. We reimburse GSV Capital Service Company an allocable portion of overhead and other expenses in performing its obligations under the Administration Agreement. There were $192,031 and $305,066 in such costs incurred under the Administration Agreement for the three months ended September 30, 2011, and for the period from January 6, 2011 (date of inception) to September 30, 2011, respectively.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ind w:firstLine="720"/>
        <w:spacing w:after="0" w:line="293"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Audit Committee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19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Interim financial statements are prepared in accordance with GAAP for interim financial information and pursuant to the requirements for reporting on Form 10-Q and Articles 6 or 10 of Regulation S-X. Accordingly, they do not include all of the information and notes required by GAAP for annual financial statements. In the opinion of management, all adjustments, considered necessary for the fair presentation of financial statements for the interim period, have been included. The current period’s results of operations will not necessarily be indicative of results that ultimately may be achieved for the fiscal year ending December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52"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48"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w:t>
      </w:r>
    </w:p>
    <w:p>
      <w:pPr>
        <w:spacing w:after="0" w:line="189"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93" w:lineRule="exact"/>
        <w:rPr>
          <w:sz w:val="20"/>
          <w:szCs w:val="20"/>
          <w:color w:val="auto"/>
        </w:rPr>
      </w:pPr>
    </w:p>
    <w:p>
      <w:pPr>
        <w:ind w:left="1340" w:hanging="36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340" w:hanging="36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225" w:lineRule="exact"/>
        <w:rPr>
          <w:rFonts w:ascii="Arial" w:cs="Arial" w:eastAsia="Arial" w:hAnsi="Arial"/>
          <w:sz w:val="18"/>
          <w:szCs w:val="18"/>
          <w:color w:val="auto"/>
        </w:rPr>
      </w:pPr>
    </w:p>
    <w:p>
      <w:pPr>
        <w:ind w:left="1340" w:hanging="36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225" w:lineRule="exact"/>
        <w:rPr>
          <w:rFonts w:ascii="Arial" w:cs="Arial" w:eastAsia="Arial" w:hAnsi="Arial"/>
          <w:sz w:val="18"/>
          <w:szCs w:val="18"/>
          <w:color w:val="auto"/>
        </w:rPr>
      </w:pPr>
    </w:p>
    <w:p>
      <w:pPr>
        <w:ind w:left="1340" w:hanging="360"/>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93"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left="72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6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Securities that are publicly traded, or that actively trade on a private secondary market, will generally be valued at the reported closing price on the valuation date. Securities that are not publicly traded or for which there are no readily available market quotations are valued at fair value as determined in good faith by our board of directors.</w:t>
      </w:r>
    </w:p>
    <w:p>
      <w:pPr>
        <w:spacing w:after="0" w:line="20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208"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21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For public entities, the amendments are effective during interim and annual periods beginning after December 15, 2011. Early application by public entities is not permitted. At this time management is evaluating the implications of the amendment and the impact to the financial statements of GSV Capital Corp.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Subsequent to September 30, 2011, the Company closed on investments of $8.47 million, plus transaction costs as follows:</w:t>
      </w:r>
    </w:p>
    <w:p>
      <w:pPr>
        <w:spacing w:after="0" w:line="252"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Company closed on an investment of $1,000,000, plus transaction costs, in Control 4, Inc., a home automation company headquartered in Salt Lake City, UT, on October 4,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$2,000,000, plus transaction costs, in Grockit, Inc., an online test prep company headquartered in San Francisco, CA, on October 7, 2011.</w:t>
      </w:r>
    </w:p>
    <w:p>
      <w:pPr>
        <w:spacing w:after="0" w:line="19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The Company closed on an investment of $1,593,000, plus transaction costs, in Twitter, Inc., a social communication company headquartered in San Francisco, CA, on October 21, 2011.</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October 31, 2011, Groupon conducted a two-for-one stock split of its common stock, which has been reflected in the Schedule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November 3, 2011, Groupon priced its initial public offering, selling 35,000,000 shares at a price of $20.00 per share.</w:t>
      </w:r>
    </w:p>
    <w:p>
      <w:pPr>
        <w:spacing w:after="0" w:line="23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closed on an investment of $3,875,000, plus transaction costs, in Facebook, Inc., a social networking company headquartered in Palo Alto, CA, on November 8, 2011.</w:t>
      </w:r>
    </w:p>
    <w:p>
      <w:pPr>
        <w:spacing w:after="0" w:line="197"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 Subsequent to September 30, 2011, the Company made $4.1 million in such escrow deposits of which $0.2 million are currently outstanding and subject to applicable closing conditions.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As of September 30, 2011,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22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September 30, 2011 that have materially affected, or are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i w:val="1"/>
          <w:iCs w:val="1"/>
          <w:color w:val="auto"/>
        </w:rPr>
        <w:t>Investing in our common stock involves a number of significant risks.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investments in the rapidly growing venture capital-backed emerging companies that we are targeting may be extremely risky and we could lose all or part of our investments.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 in the rapidly growing venture capital-backed emerging companies that we are targeting involves a number of significant risks, including:</w:t>
      </w:r>
    </w:p>
    <w:p>
      <w:pPr>
        <w:spacing w:after="0" w:line="275" w:lineRule="exact"/>
        <w:rPr>
          <w:sz w:val="20"/>
          <w:szCs w:val="20"/>
          <w:color w:val="auto"/>
        </w:rPr>
      </w:pPr>
    </w:p>
    <w:p>
      <w:pPr>
        <w:jc w:val="both"/>
        <w:ind w:left="900" w:hanging="352"/>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181" w:lineRule="exact"/>
        <w:rPr>
          <w:rFonts w:ascii="Arial" w:cs="Arial" w:eastAsia="Arial" w:hAnsi="Arial"/>
          <w:sz w:val="18"/>
          <w:szCs w:val="18"/>
          <w:color w:val="auto"/>
        </w:rPr>
      </w:pPr>
    </w:p>
    <w:p>
      <w:pPr>
        <w:jc w:val="both"/>
        <w:ind w:left="900" w:hanging="352"/>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81" w:lineRule="exact"/>
        <w:rPr>
          <w:rFonts w:ascii="Arial" w:cs="Arial" w:eastAsia="Arial" w:hAnsi="Arial"/>
          <w:sz w:val="18"/>
          <w:szCs w:val="18"/>
          <w:color w:val="auto"/>
        </w:rPr>
      </w:pPr>
    </w:p>
    <w:p>
      <w:pPr>
        <w:jc w:val="both"/>
        <w:ind w:left="900" w:hanging="352"/>
        <w:spacing w:after="0" w:line="27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because they are privately owned, there is generally little publicly available information about these businesses; therefore, although our investment adviser’s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w:t>
      </w:r>
    </w:p>
    <w:p>
      <w:pPr>
        <w:spacing w:after="0" w:line="172" w:lineRule="exact"/>
        <w:rPr>
          <w:rFonts w:ascii="Arial" w:cs="Arial" w:eastAsia="Arial" w:hAnsi="Arial"/>
          <w:sz w:val="17"/>
          <w:szCs w:val="17"/>
          <w:color w:val="auto"/>
        </w:rPr>
      </w:pPr>
    </w:p>
    <w:p>
      <w:pPr>
        <w:ind w:left="900" w:hanging="352"/>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 and</w:t>
      </w:r>
    </w:p>
    <w:p>
      <w:pPr>
        <w:spacing w:after="0" w:line="123" w:lineRule="exact"/>
        <w:rPr>
          <w:rFonts w:ascii="Arial" w:cs="Arial" w:eastAsia="Arial" w:hAnsi="Arial"/>
          <w:sz w:val="16"/>
          <w:szCs w:val="16"/>
          <w:color w:val="auto"/>
        </w:rPr>
      </w:pPr>
    </w:p>
    <w:p>
      <w:pPr>
        <w:jc w:val="both"/>
        <w:ind w:left="900" w:hanging="352"/>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20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193"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6"/>
          <w:szCs w:val="16"/>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Board of Director’s Valuation Committee in accordance with our written valuation policy. In connection with that determination, members of our investment adviser’s portfolio management team will prepare portfolio company valuations using the most recent portfolio company financial statements and forecasts. The Valuation Committee intends to utilize the services of an independent valuation firm, which will prepare valuations for each of our portfolio investments that are not publicly traded or for which we do not have readily available market quotations, including securities that while listed on a private securities exchange, have not actively traded. However, the board of directors will retain ultimate authority as to the appropriate valuation of each such investment. The types of factors that the Valuation Committee will take into account in providing its fair value recommendation to the board of directors with respect to such non-traded investments will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256"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6"/>
          <w:szCs w:val="16"/>
          <w:color w:val="auto"/>
        </w:rPr>
        <w:t>We invest principally in the equity and equity-related securities of rapidly growing venture capital-backed emerging companies. However, the equity interests we acquire may not appreciate in value and, in fact, may decline in value. 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In addition, the companies in which we invest may have substantial debt loads. In such cases, we would typically be last in line behind any creditors in a bankruptcy or liquidation.</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portfolio companies are currently experiencing operating losses, which may be substantial, and there can be no assurance when or if such companies will operate at a profit.</w:t>
      </w:r>
    </w:p>
    <w:p>
      <w:pPr>
        <w:spacing w:after="0" w:line="193"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We have limited information about the financial performance and profitability of our portfolio companies. While according to public filings with the SEC, certain of our portfolio companies have earned net income in recent periods, we believe that substantially all of our portfolio companies are currently experiencing operating losses. There can be no assurance when or if such companies will operate at a profit.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right="20"/>
        <w:spacing w:after="0" w:line="282" w:lineRule="auto"/>
        <w:rPr>
          <w:sz w:val="20"/>
          <w:szCs w:val="20"/>
          <w:color w:val="auto"/>
        </w:rPr>
      </w:pPr>
      <w:r>
        <w:rPr>
          <w:rFonts w:ascii="Arial" w:cs="Arial" w:eastAsia="Arial" w:hAnsi="Arial"/>
          <w:sz w:val="18"/>
          <w:szCs w:val="18"/>
          <w:b w:val="1"/>
          <w:bCs w:val="1"/>
          <w:color w:val="auto"/>
        </w:rPr>
        <w:t>The lack of liquidity in, and potentially extended holding period of, our many investments may adversely affect our business, and will delay any distributions of gains, if any.</w:t>
      </w:r>
    </w:p>
    <w:p>
      <w:pPr>
        <w:spacing w:after="0" w:line="193"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may make it difficult for us to sell such investments if the need arises. Also, if we are required to liquidate all or a portion of our portfolio quickly, we may realize significantly less than the value at which we have previously recorded our investments. We will have no limitation on the portion of our portfolio that may be invested in illiquid securities, and a substantial portion or all of our portfolio may be invested in such illiquid securities from time to time.</w:t>
      </w:r>
    </w:p>
    <w:p>
      <w:pPr>
        <w:spacing w:after="0" w:line="20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In addition, because we will generally invest in equity and equity-related securities, we do not expect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portfolio may be concentrated in a limited number of portfolio companies or market sectors, which will subject us to a risk of significant loss if the business or market position of these companies deteriorates or market sectors experiences a market downturn.</w:t>
      </w:r>
    </w:p>
    <w:p>
      <w:pPr>
        <w:spacing w:after="0" w:line="193"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Beyond our income tax asset diversification requirements, we do not have fixed guidelines for diversification, and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could materially adversely affect us.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Technology-related sectors in which we invest are subject to many risks, including volatility, intense competition, decreasing life cycles, product obsolescence and periodic downturns.</w:t>
      </w:r>
    </w:p>
    <w:p>
      <w:pPr>
        <w:spacing w:after="0" w:line="193"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Given the experience of our investment adviser’s senior investment professionals and its advisory board (the “Advisory Board”) members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equity securities that we may hold. This could, in turn, materially adversely affect our business, financial condition and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193"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93"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 or lack access to the desired follow-on investment opportunity.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both"/>
        <w:ind w:right="20" w:firstLine="720"/>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initial public offering as a result of regulatory or financial restrictions.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shareholders or management of our portfolio companies that could decrease the value of our investments.</w:t>
      </w:r>
    </w:p>
    <w:p>
      <w:pPr>
        <w:spacing w:after="0" w:line="207"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shareholders, such as venture capital and private equity sponsors, that have substantial investments in our portfolio companies may have interests that differ from that of the portfolio company or its minority shareholders,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shareholders, and may therefore suffer a decrease in the value of our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foreign companies may involve significant risks in addition to the risks inherent in U.S. investments.</w:t>
      </w:r>
    </w:p>
    <w:p>
      <w:pPr>
        <w:spacing w:after="0" w:line="256" w:lineRule="exact"/>
        <w:rPr>
          <w:sz w:val="20"/>
          <w:szCs w:val="20"/>
          <w:color w:val="auto"/>
        </w:rPr>
      </w:pPr>
    </w:p>
    <w:p>
      <w:pPr>
        <w:jc w:val="both"/>
        <w:ind w:firstLine="720"/>
        <w:spacing w:after="0" w:line="290" w:lineRule="auto"/>
        <w:rPr>
          <w:sz w:val="20"/>
          <w:szCs w:val="20"/>
          <w:color w:val="auto"/>
        </w:rPr>
      </w:pPr>
      <w:r>
        <w:rPr>
          <w:rFonts w:ascii="Arial" w:cs="Arial" w:eastAsia="Arial" w:hAnsi="Arial"/>
          <w:sz w:val="16"/>
          <w:szCs w:val="16"/>
          <w:color w:val="auto"/>
        </w:rPr>
        <w:t>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9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and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little operating history, and our investment adviser has only a limited history of investing experience.</w:t>
      </w:r>
    </w:p>
    <w:p>
      <w:pPr>
        <w:spacing w:after="0" w:line="256"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We were initially formed in September 2010 and completed our initial public offering on April 28, 2011. As a result, we have limited financial information on which you can evaluate an investment in our company or our prior performance. In addition, our investment adviser, GSV Asset Management, was formed in November 2009, and has only a limited history of investing experience managing a pool of assets substantially smaller in size than the net proceeds that were received in the initial public offering. We are subject to all of the business risks and uncertainties associated with any new business, including the risk that we will not achieve our investment objective and that the value of your investment could decline substantially or fall to zero. We anticipate that it will take us up to six to 12 months to invest substantially all of the net proceeds of our initial public offering in our targeted investments. During this period, we will invest in temporary investments, such as cash, cash equivalents, U.S. government securities and other high-quality debt investments that mature in one year or less. In addition, we will retain a portion of the net proceeds from this offering for purposes of funding our ongoing operations subsequent to the completion of this offering.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256"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We intend to continue to qualify as a business development company under the 1940 Act. 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 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66" w:lineRule="auto"/>
        <w:rPr>
          <w:sz w:val="20"/>
          <w:szCs w:val="20"/>
          <w:color w:val="auto"/>
        </w:rPr>
      </w:pPr>
      <w:r>
        <w:rPr>
          <w:rFonts w:ascii="Arial" w:cs="Arial" w:eastAsia="Arial" w:hAnsi="Arial"/>
          <w:sz w:val="18"/>
          <w:szCs w:val="18"/>
          <w:b w:val="1"/>
          <w:bCs w:val="1"/>
          <w:color w:val="auto"/>
        </w:rPr>
        <w:t>We are dependent upon GSV Asset Management’s senior investment professionals for our future success, particularly Michael T. Moe, Stephen D. Bard and Luben Pampoulov. If we lose any of our investment adviser’s senior investment professionals, our ability to implement our business strategy could be significantly harmed.</w:t>
      </w:r>
    </w:p>
    <w:p>
      <w:pPr>
        <w:spacing w:after="0" w:line="207"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our investment adviser’s senior investment professionals, particularly Michael T. Moe, Stephen D. Bard and Luben Pampoulov. None of Messrs. Moe, Bard or Pampoulov is subject to an employment contract, and none receive any compensation from us. None of Messrs. Moe, Bard or Pampoulov devote all of their business time to our operations, and each have other demands on their time as a result of their other activities. The departure of any of these individuals could have a material adverse effect on our ability to achieve our investment objective.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None of the GSV Asset Management’s senior investment professionals or Advisory Board members, including Michael T. Moe, Stephen D. Bard and Luben Pampoulov, are subject to employment agreements, and there can be no assurance that our investment adviser will be successful in retaining its senior investment professionals.</w:t>
      </w:r>
    </w:p>
    <w:p>
      <w:pPr>
        <w:spacing w:after="0" w:line="207"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None of the members of GSV Asset Management’s senior investment professionals or its Advisory Board members, including Michael T. Moe, Stephen D. Bard and Luben Pampoulov, are subject to employment agreements. As a result, although Messrs. Moe, Bard and Pampoulov comprise the principals of GSV Asset Management, they are free to terminate their employment with GSV Asset Management at any time. In addition, none of our investment adviser’s senior investment professionals or the Advisory Board members, including Messrs. Moe, Bard and Pampoulov,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our investment adviser will be successful in retaining its senior investment professionals or the Advisory Board members, including Messrs. Moe, Bard and Pampoulov. The departure of any of Messrs. Moe, Bard or Pampoulov could have a material adverse effect on our ability to achieve our investment objective.</w:t>
      </w:r>
    </w:p>
    <w:p>
      <w:pPr>
        <w:spacing w:after="0" w:line="224"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operations will depend on our ability to achieve our investment objective.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newly organized company. As such, we are subject to the business risks and uncertainties associated with any new business enterprise. 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 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ind w:firstLine="720"/>
        <w:spacing w:after="0" w:line="254" w:lineRule="auto"/>
        <w:rPr>
          <w:sz w:val="20"/>
          <w:szCs w:val="20"/>
          <w:color w:val="auto"/>
        </w:rPr>
      </w:pPr>
      <w:r>
        <w:rPr>
          <w:rFonts w:ascii="Arial" w:cs="Arial" w:eastAsia="Arial" w:hAnsi="Arial"/>
          <w:sz w:val="18"/>
          <w:szCs w:val="18"/>
          <w:color w:val="auto"/>
        </w:rPr>
        <w:t>In addition to monitoring the performance of our existing investments, GSV Asset Management is required to offer, and may be called upon, to provide, managerial assistance to some of our portfolio companies. GSV Asset Management also currently manages GSV X Fund, LP (“GSV X Fund”), a global long/short absolute return fund, in which we have no economic interest.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likely experience fluctuations in our quarterly results and we may be unable to make the types of investments we have made to date in future periods.</w:t>
      </w:r>
    </w:p>
    <w:p>
      <w:pPr>
        <w:spacing w:after="0" w:line="193"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We will likely experience fluctuations in our quarterly operating results due to a number of factors, including the rate at which we make new investments, the level of our expenses, variations in and the timing of the recognition of realized and unrealized gains or losses, the degree to which we encounter competition in our markets and general economic conditions.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model depends upon the development and maintenance of strong referral relationships with private equity and venture capital funds and investment banking firms.</w:t>
      </w:r>
    </w:p>
    <w:p>
      <w:pPr>
        <w:spacing w:after="0" w:line="193"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risks relating to investing in securities traded on private secondary marketplaces.</w:t>
      </w:r>
    </w:p>
    <w:p>
      <w:pPr>
        <w:spacing w:after="0" w:line="256"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We have and expect to continue to utilize private secondary marketplaces, such as SharesPost and SecondMarket, to acquire investments in our portfolio. We generally have little or no direct access to financial or other information from the portfolio companies with respect to which we invest through such private secondary marketplaces. As a result, we are dependent upon the relationships and contacts of our investment adviser’s senior investment professionals, its Advisory Board members and our board of directors to obtain the information for our investment adviser to perform research and due diligence, and to monitor our investments after they are made. There can be no assurance that our investment adviser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209"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7"/>
          <w:szCs w:val="17"/>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cause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in certain cases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720"/>
        <w:spacing w:after="0" w:line="270"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employment policies. To the extent that these or other developments result in reduced trading activity and/or availability of private company shares, our ability to find investment opportunities and to liquidate our investments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Due to transfer restrictions and the illiquid nature of our investments, we may not be able to purchase or sell our investments when we wish to do so.</w:t>
      </w:r>
    </w:p>
    <w:p>
      <w:pPr>
        <w:spacing w:after="0" w:line="279"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Most of our investments are or will be in equity or equity-linked securities of privately-held companies. The securities we acquire in private companies are typically subject to contractual transfer limitations, which may include prohibitions on transfer without the Company’s consent and may require that shares owned by us are held in escrow. In order to complete a purchase of shares we may need to, among other things, give the issuer or its stockholders a particular period of time, often 30 days,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20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21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daily basis, depending on many factors, including the status of the private secondary markets and our particular portfolio at any given time.</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are significant potential risks associated with investing in venture capital and private equity-backed companies with complex capital structures.</w:t>
      </w:r>
    </w:p>
    <w:p>
      <w:pPr>
        <w:spacing w:after="0" w:line="193"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We invest primarily in rapidly growing venture capital-backed emerging companies, either through private secondary transactions or direct investments in companies. Such private companies frequently have much more complex capital structures than traditional publicly-traded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preferred stock or senior debt outstanding, which may heighten the risk of investing in the underlying equity of such private companies, particularly in circumstances when we have limited information with respect to such capital structures. Although we believe that our investment adviser’s senior investment professionals, our Advisory Board members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 disruption in the capital markets or the credit markets could negatively affect our business.</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As a business development company, we need the ability to raise additional capital for investment purposes. Without sufficient access to the capital markets, we may be forced to curtail our business operations or we may not be able to pursue new business opportunities. Disruptive conditions in the financial industry and any new legislation in response to those conditions could restrict our business operations and could adversely impact our results of operations and financial condition.</w:t>
      </w:r>
    </w:p>
    <w:p>
      <w:pPr>
        <w:spacing w:after="0" w:line="214" w:lineRule="exact"/>
        <w:rPr>
          <w:sz w:val="20"/>
          <w:szCs w:val="20"/>
          <w:color w:val="auto"/>
        </w:rPr>
      </w:pPr>
    </w:p>
    <w:p>
      <w:pPr>
        <w:jc w:val="both"/>
        <w:ind w:firstLine="720"/>
        <w:spacing w:after="0" w:line="293" w:lineRule="auto"/>
        <w:rPr>
          <w:sz w:val="20"/>
          <w:szCs w:val="20"/>
          <w:color w:val="auto"/>
        </w:rPr>
      </w:pPr>
      <w:r>
        <w:rPr>
          <w:rFonts w:ascii="Arial" w:cs="Arial" w:eastAsia="Arial" w:hAnsi="Arial"/>
          <w:sz w:val="16"/>
          <w:szCs w:val="16"/>
          <w:color w:val="auto"/>
        </w:rPr>
        <w:t>Although we do not anticipate borrowing funds for investment purposes, to the extent we do utilize leverage and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For example, we cannot be certain that we will be able to raise additional equity capital to provide funding for normal operations, including new investments. Reflecting concern about the stability of the financial markets, many institutional investors have reduced or ceased providing funding to certain borrowers. This market turmoil has led to increased market volatility and widespread reduction of business activity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direct equity investment opportunities.</w:t>
      </w:r>
    </w:p>
    <w:p>
      <w:pPr>
        <w:spacing w:after="0" w:line="256"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incentive fee may induce GSV Asset Management to make speculative investments.</w:t>
      </w:r>
    </w:p>
    <w:p>
      <w:pPr>
        <w:spacing w:after="0" w:line="256"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6"/>
          <w:szCs w:val="16"/>
          <w:color w:val="auto"/>
        </w:rPr>
        <w:t>The incentive fee payable by us to GSV Asset Management may create an incentive for GSV Asset Management to make investments on our behalf that are risky or more speculative than would be the case in the absence of such compensation arrangement. Although no leverage is currently contemplated, the way in which the incentive fee payable to GSV Asset Management is determined, which is calculated as a percentage of the return on invested capital, may encourage GSV Asset Management to use leverage to increase the return on our investments. In addition, while we currently do not use borrowings or other leverage for investment purposes, the fact that our base management fee is payable based upon our gross assets, which would include any borrowings for investment purposes, may encourage GSV Asset Management to use leverage to make additional investments. We will be required, however, to obtain the approval of our board of directors before we incur any future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194"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79"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Certain of our officers and directors have initially paid expenses we incurred in connection with our organization and the initial public offering, subject to reimbursement from us of the actual organizational and offering expenses they have incurred on our behalf upon completion of the offering. We used a portion of the net proceeds of the offering to reimburse such officers and directors for approximately $116,000 of estimated offering expenses and approximately $17,000 of organizational expenses they incurred on our behalf. In addition, we have entered into an Investment Advisory Agreement with GSV Asset Management. GSV Asset Management is controlled by Michael T. Moe, our president, chief executive officer and chairman of our board of directors, Stephen D. Bard, our chief financial officer, chief compliance officer, treasurer and corporate secretary, and Luben Pampoulov, our vice-president. Messrs. Moe, Bard and Pampoulov,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21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Accordingly, they may have obligations to investors in those entities, the fulfillment of which might not be in the best interests of us or our stockholders, such as, for example the management of GSV X Fund by GSV Asset Management.</w:t>
      </w:r>
    </w:p>
    <w:p>
      <w:pPr>
        <w:spacing w:after="0" w:line="21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While the investment focus of each of these entities tends to be different from our investment objective, it is possible that new investment opportunities that meet our investment objective may come to the attention of one of these entities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establish a procedure to ensure that such opportunities are allocated between GSV Capital and such other funds in a fair and equitable manner. Our board of directors will monitor on a quarterly basis any such allocation of investment opportunities between GSV Capital and any such other funds.</w:t>
      </w:r>
    </w:p>
    <w:p>
      <w:pPr>
        <w:spacing w:after="0" w:line="209"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20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both"/>
        <w:ind w:firstLine="720"/>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7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investment adviser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16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Our investment adviser has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2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lack of experience of our investment adviser and its management in operating under the constraints imposed on us as a business development company may hinder the achievement of our investment objectives.</w:t>
      </w:r>
    </w:p>
    <w:p>
      <w:pPr>
        <w:spacing w:after="0" w:line="193"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total assets primarily in securities of U.S.-based private companies or public companies with market capitalizations of less than $250 million, cash, cash equivalents, U.S. government securities and other high quality debt instruments that mature in one year or less. In addition, qualification for taxation as a RIC requires satisfaction of source-of-income, diversification and distribution requirements. GSV Asset Management does not have experience investing under these constraints. These constraints, among others, may hinder GSV Asset Management’s ability to take advantage of attractive investment opportunities and to achieve our investment objective.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difficulty paying our required distributions if we recognize income before or without receiving cash representing such income.</w:t>
      </w:r>
    </w:p>
    <w:p>
      <w:pPr>
        <w:spacing w:after="0" w:line="268"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6"/>
          <w:szCs w:val="16"/>
          <w:color w:val="auto"/>
        </w:rPr>
        <w:t>Although we focus on achieving capital gains from our investments, in certain cases we may receive current income, either through interest or dividend payments, on our investments. Because in certain cases we may recognize such current income before or without receiving cash representing such income, we may have difficulty satisfying the annual distribution requirement applicable to RICs. Accordingly,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be subject to corporate-level income tax.</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193"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Although we have not used leverage and have no present intent to issue preferred stock, we may in the future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217"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7"/>
          <w:szCs w:val="17"/>
          <w:color w:val="auto"/>
        </w:rPr>
        <w:t>If in the future we issue debt or preferred stock, all of the costs of offering and servicing such debt or preferred stock,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 described in this prospectus.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720"/>
        <w:spacing w:after="0" w:line="273"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regulated investment company, or RIC.</w:t>
      </w:r>
    </w:p>
    <w:p>
      <w:pPr>
        <w:spacing w:after="0" w:line="256"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6"/>
          <w:szCs w:val="16"/>
          <w:color w:val="auto"/>
        </w:rPr>
        <w:t>Although we intend to elect to be treated as a RIC under Subchapter M of the Code beginning in 2011 and to continue to qualify as a RIC in succeeding tax years, no assurance can be given that we will be able to qualify for and maintain RIC status. In order to qualify as a RIC,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income from certain qualified publicly traded partnership or other income derived with respect to our business of investing in such stock or securities. The annual distribution requirement for a RIC is satisfied if we distribute at least 90% of our ordinary income and realized net short-term capital gains in excess of realized net long-term capital losses, if any, to our stockholders on an annual basis. Although no leverage is currently contemplated, because we may use additional debt financing in the future, we may be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may fail to qualify for special tax treatment as a RIC and, thus, may be subject to corporate-level income tax on all our income. To qualify as a RIC, we must also meet certain asset diversification requirements at the end of each quarter of our taxable year. Failure to meet these tests may result in our having to dispose of certain investments quickly in order to prevent the loss of RIC status. Because most of our investments will be in private companies, any such dispositions could be made at disadvantageous prices and may result in substantial losses. If we fail to qualify as a RIC for any reason and remain or become subject to corporate income tax, the resulting corporate-level federal taxes could substantially reduce our net assets, the amount of income available for distribution and the amount of our distributions. Such a failure would have a material adverse effect on us and our stockholders.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in the event the value of your investment declines, the base management fee will still be payable.</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2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Securities and Exchange Commission.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193" w:lineRule="exact"/>
        <w:rPr>
          <w:sz w:val="20"/>
          <w:szCs w:val="20"/>
          <w:color w:val="auto"/>
        </w:rPr>
      </w:pPr>
    </w:p>
    <w:p>
      <w:pPr>
        <w:jc w:val="both"/>
        <w:ind w:firstLine="720"/>
        <w:spacing w:after="0" w:line="285" w:lineRule="auto"/>
        <w:rPr>
          <w:sz w:val="20"/>
          <w:szCs w:val="20"/>
          <w:color w:val="auto"/>
        </w:rPr>
      </w:pPr>
      <w:r>
        <w:rPr>
          <w:rFonts w:ascii="Arial" w:cs="Arial" w:eastAsia="Arial" w:hAnsi="Arial"/>
          <w:sz w:val="16"/>
          <w:szCs w:val="16"/>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See “Description of Securities — Preferred Stock.” We are authorized to issue up to 100,000,000 shares of common stock. There are 5,520,100 shares issued and outstanding as of September 30, 2011.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19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256"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Any change in these laws or regulations could have a material adverse effect on our business and the value of your investment.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93"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give the holders of our common stock the opportunity to realize a premium over the market price for our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Risks Related to an Investment in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price may be volatile and may decrease substantially.</w:t>
      </w:r>
    </w:p>
    <w:p>
      <w:pPr>
        <w:spacing w:after="0" w:line="256"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The trading price of our common stock may fluctuate substantially. The price of the common stock that will prevail in the market may be higher or lower than the price you pay, depending on many factors, some of which are beyond our control and may not be directly related to our operating performance. These factors include, but are not limited to, the following:</w:t>
      </w:r>
    </w:p>
    <w:p>
      <w:pPr>
        <w:spacing w:after="0" w:line="208" w:lineRule="exact"/>
        <w:rPr>
          <w:sz w:val="20"/>
          <w:szCs w:val="20"/>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225" w:lineRule="exact"/>
        <w:rPr>
          <w:rFonts w:ascii="Arial" w:cs="Arial" w:eastAsia="Arial" w:hAnsi="Arial"/>
          <w:sz w:val="18"/>
          <w:szCs w:val="18"/>
          <w:color w:val="auto"/>
        </w:rPr>
      </w:pPr>
    </w:p>
    <w:p>
      <w:pPr>
        <w:ind w:left="900" w:hanging="35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regulated investment companies, business development companies or other financial services companies;</w:t>
      </w:r>
    </w:p>
    <w:p>
      <w:pPr>
        <w:spacing w:after="0" w:line="170"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regulatory policies or tax guidelines with respect to regulated investment companies or business development companies;</w:t>
      </w:r>
    </w:p>
    <w:p>
      <w:pPr>
        <w:spacing w:after="0" w:line="236" w:lineRule="exact"/>
        <w:rPr>
          <w:rFonts w:ascii="Arial" w:cs="Arial" w:eastAsia="Arial" w:hAnsi="Arial"/>
          <w:sz w:val="17"/>
          <w:szCs w:val="17"/>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changes in the expectations of securities analysts;</w:t>
      </w:r>
    </w:p>
    <w:p>
      <w:pPr>
        <w:spacing w:after="0" w:line="236" w:lineRule="exact"/>
        <w:rPr>
          <w:rFonts w:ascii="Arial" w:cs="Arial" w:eastAsia="Arial" w:hAnsi="Arial"/>
          <w:sz w:val="17"/>
          <w:szCs w:val="17"/>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departures of any of the senior investment professionals or Advisory Board members of GSV Asset Management.</w:t>
      </w:r>
    </w:p>
    <w:p>
      <w:pPr>
        <w:spacing w:after="0" w:line="252"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might trade at premiums that are unsustainable or at discounts from net asset value.</w:t>
      </w:r>
    </w:p>
    <w:p>
      <w:pPr>
        <w:spacing w:after="0" w:line="256"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initial public offerings and other exit events for venture capital 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20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193" w:lineRule="exact"/>
        <w:rPr>
          <w:sz w:val="20"/>
          <w:szCs w:val="20"/>
          <w:color w:val="auto"/>
        </w:rPr>
      </w:pPr>
    </w:p>
    <w:p>
      <w:pPr>
        <w:jc w:val="both"/>
        <w:ind w:firstLine="720"/>
        <w:spacing w:after="0" w:line="302" w:lineRule="auto"/>
        <w:rPr>
          <w:sz w:val="20"/>
          <w:szCs w:val="20"/>
          <w:color w:val="auto"/>
        </w:rPr>
      </w:pPr>
      <w:r>
        <w:rPr>
          <w:rFonts w:ascii="Arial" w:cs="Arial" w:eastAsia="Arial" w:hAnsi="Arial"/>
          <w:sz w:val="16"/>
          <w:szCs w:val="16"/>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broad discretion over the use of proceeds from our offerings, to the extent they are successful, and use proceeds in part to satisfy operating expenses.</w:t>
      </w:r>
    </w:p>
    <w:p>
      <w:pPr>
        <w:spacing w:after="0" w:line="193" w:lineRule="exact"/>
        <w:rPr>
          <w:sz w:val="20"/>
          <w:szCs w:val="20"/>
          <w:color w:val="auto"/>
        </w:rPr>
      </w:pPr>
    </w:p>
    <w:p>
      <w:pPr>
        <w:jc w:val="both"/>
        <w:ind w:firstLine="720"/>
        <w:spacing w:after="0" w:line="293" w:lineRule="auto"/>
        <w:rPr>
          <w:sz w:val="20"/>
          <w:szCs w:val="20"/>
          <w:color w:val="auto"/>
        </w:rPr>
      </w:pPr>
      <w:r>
        <w:rPr>
          <w:rFonts w:ascii="Arial" w:cs="Arial" w:eastAsia="Arial" w:hAnsi="Arial"/>
          <w:sz w:val="16"/>
          <w:szCs w:val="16"/>
          <w:color w:val="auto"/>
        </w:rPr>
        <w:t>We have significant flexibility in applying the proceeds of our offerings and may use the net proceeds from the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Our ability to achieve our investment objective may be limited to the extent that the net proceeds of the offering, pending full investment, are used to pay operating expenses. In addition, we can provide you no assurance that the offering will be successful, or that by increasing the size of our available equity capital our aggregate expenses, and correspondingly, our expense ratio, will be lowered.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383"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[Intentionally left blank]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w w:val="99"/>
              </w:rPr>
              <w:t>The following exhibits are filed as part of this report or hereby incorporated by reference to exhibits previously filed with the SEC:</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380" w:type="dxa"/>
            <w:vAlign w:val="bottom"/>
          </w:tcPr>
          <w:p>
            <w:pPr>
              <w:ind w:left="400"/>
              <w:spacing w:after="0"/>
              <w:rPr>
                <w:sz w:val="20"/>
                <w:szCs w:val="20"/>
                <w:color w:val="auto"/>
              </w:rPr>
            </w:pPr>
            <w:r>
              <w:rPr>
                <w:rFonts w:ascii="Arial" w:cs="Arial" w:eastAsia="Arial" w:hAnsi="Arial"/>
                <w:sz w:val="18"/>
                <w:szCs w:val="18"/>
                <w:color w:val="auto"/>
              </w:rPr>
              <w:t>Articles of Amendment and Restatement*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tcPr>
          <w:p>
            <w:pPr>
              <w:ind w:left="400"/>
              <w:spacing w:after="0"/>
              <w:rPr>
                <w:sz w:val="20"/>
                <w:szCs w:val="20"/>
                <w:color w:val="auto"/>
              </w:rPr>
            </w:pPr>
            <w:r>
              <w:rPr>
                <w:rFonts w:ascii="Arial" w:cs="Arial" w:eastAsia="Arial" w:hAnsi="Arial"/>
                <w:sz w:val="18"/>
                <w:szCs w:val="18"/>
                <w:color w:val="auto"/>
              </w:rPr>
              <w:t>Articles of Amendment**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380" w:type="dxa"/>
            <w:vAlign w:val="bottom"/>
          </w:tcPr>
          <w:p>
            <w:pPr>
              <w:ind w:left="400"/>
              <w:spacing w:after="0"/>
              <w:rPr>
                <w:sz w:val="20"/>
                <w:szCs w:val="20"/>
                <w:color w:val="auto"/>
              </w:rPr>
            </w:pPr>
            <w:r>
              <w:rPr>
                <w:rFonts w:ascii="Arial" w:cs="Arial" w:eastAsia="Arial" w:hAnsi="Arial"/>
                <w:sz w:val="18"/>
                <w:szCs w:val="18"/>
                <w:color w:val="auto"/>
              </w:rPr>
              <w:t>Bylaws*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380" w:type="dxa"/>
            <w:vAlign w:val="bottom"/>
          </w:tcPr>
          <w:p>
            <w:pPr>
              <w:ind w:left="400"/>
              <w:spacing w:after="0"/>
              <w:rPr>
                <w:sz w:val="20"/>
                <w:szCs w:val="20"/>
                <w:color w:val="auto"/>
              </w:rPr>
            </w:pPr>
            <w:r>
              <w:rPr>
                <w:rFonts w:ascii="Arial" w:cs="Arial" w:eastAsia="Arial" w:hAnsi="Arial"/>
                <w:sz w:val="18"/>
                <w:szCs w:val="18"/>
                <w:color w:val="auto"/>
              </w:rPr>
              <w:t>Form of Common Stock Certificate*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400"/>
              <w:spacing w:after="0"/>
              <w:rPr>
                <w:sz w:val="20"/>
                <w:szCs w:val="20"/>
                <w:color w:val="auto"/>
              </w:rPr>
            </w:pPr>
            <w:r>
              <w:rPr>
                <w:rFonts w:ascii="Arial" w:cs="Arial" w:eastAsia="Arial" w:hAnsi="Arial"/>
                <w:sz w:val="18"/>
                <w:szCs w:val="18"/>
                <w:color w:val="auto"/>
              </w:rPr>
              <w:t>Form of Dividend Reinvestment Plan*</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Investment Advisory Agreement by and between Registrant and GSV Asset Management, LLC (f/k/a NeXt Asset Management, LLC) *</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Administration Agreement by and between Registrant and GSV Capital Service Company, LLC (f/k/a NeXt Innovation Service Company,</w:t>
            </w:r>
          </w:p>
        </w:tc>
      </w:tr>
      <w:tr>
        <w:trPr>
          <w:trHeight w:val="230"/>
        </w:trPr>
        <w:tc>
          <w:tcPr>
            <w:tcW w:w="52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tcPr>
          <w:p>
            <w:pPr>
              <w:ind w:left="400"/>
              <w:spacing w:after="0"/>
              <w:rPr>
                <w:sz w:val="20"/>
                <w:szCs w:val="20"/>
                <w:color w:val="auto"/>
              </w:rPr>
            </w:pPr>
            <w:r>
              <w:rPr>
                <w:rFonts w:ascii="Arial" w:cs="Arial" w:eastAsia="Arial" w:hAnsi="Arial"/>
                <w:sz w:val="18"/>
                <w:szCs w:val="18"/>
                <w:color w:val="auto"/>
              </w:rPr>
              <w:t>Form of Indemnification Agreement by and between Registrant and each of its directors*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tcPr>
          <w:p>
            <w:pPr>
              <w:ind w:left="400"/>
              <w:spacing w:after="0"/>
              <w:rPr>
                <w:sz w:val="20"/>
                <w:szCs w:val="20"/>
                <w:color w:val="auto"/>
              </w:rPr>
            </w:pPr>
            <w:r>
              <w:rPr>
                <w:rFonts w:ascii="Arial" w:cs="Arial" w:eastAsia="Arial" w:hAnsi="Arial"/>
                <w:sz w:val="18"/>
                <w:szCs w:val="18"/>
                <w:color w:val="auto"/>
              </w:rPr>
              <w:t>Form of Custody Agreement by and between Registrant and U.S. Bank National Association*</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tcPr>
          <w:p>
            <w:pPr>
              <w:ind w:left="400"/>
              <w:spacing w:after="0"/>
              <w:rPr>
                <w:sz w:val="20"/>
                <w:szCs w:val="20"/>
                <w:color w:val="auto"/>
              </w:rPr>
            </w:pPr>
            <w:r>
              <w:rPr>
                <w:rFonts w:ascii="Arial" w:cs="Arial" w:eastAsia="Arial" w:hAnsi="Arial"/>
                <w:sz w:val="18"/>
                <w:szCs w:val="18"/>
                <w:color w:val="auto"/>
              </w:rPr>
              <w:t>Form of Trademark License Agreement by and between Registrant and GSV Asset Management,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Rule 13a-14 of the Securities Exchange Act of 1934, as amended</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Rule 13a-14 of the Securities Exchange Act of 1934, as amended.</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60" w:hanging="352"/>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170" w:lineRule="exact"/>
        <w:rPr>
          <w:sz w:val="20"/>
          <w:szCs w:val="20"/>
          <w:color w:val="auto"/>
        </w:rPr>
      </w:pPr>
    </w:p>
    <w:p>
      <w:pPr>
        <w:ind w:left="5620" w:right="3160" w:hanging="5612"/>
        <w:spacing w:after="0" w:line="731" w:lineRule="auto"/>
        <w:tabs>
          <w:tab w:leader="none" w:pos="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38" w:name="page39"/>
    <w:bookmarkEnd w:id="3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10, 2011</w:t>
      </w:r>
      <w:r>
        <w:rPr>
          <w:sz w:val="20"/>
          <w:szCs w:val="20"/>
          <w:color w:val="auto"/>
        </w:rPr>
        <w:tab/>
      </w:r>
      <w:r>
        <w:rPr>
          <w:rFonts w:ascii="Arial" w:cs="Arial" w:eastAsia="Arial" w:hAnsi="Arial"/>
          <w:sz w:val="17"/>
          <w:szCs w:val="17"/>
          <w:b w:val="1"/>
          <w:bCs w:val="1"/>
          <w:color w:val="auto"/>
        </w:rPr>
        <w:t xml:space="preserve">By: /s/ </w:t>
      </w:r>
      <w:r>
        <w:rPr>
          <w:rFonts w:ascii="Arial" w:cs="Arial" w:eastAsia="Arial" w:hAnsi="Arial"/>
          <w:sz w:val="17"/>
          <w:szCs w:val="17"/>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9673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3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T. Moe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10, 2011</w:t>
      </w:r>
      <w:r>
        <w:rPr>
          <w:sz w:val="20"/>
          <w:szCs w:val="20"/>
          <w:color w:val="auto"/>
        </w:rPr>
        <w:tab/>
      </w:r>
      <w:r>
        <w:rPr>
          <w:rFonts w:ascii="Arial" w:cs="Arial" w:eastAsia="Arial" w:hAnsi="Arial"/>
          <w:sz w:val="16"/>
          <w:szCs w:val="16"/>
          <w:b w:val="1"/>
          <w:bCs w:val="1"/>
          <w:color w:val="auto"/>
        </w:rPr>
        <w:t xml:space="preserve">By: /s/ </w:t>
      </w:r>
      <w:r>
        <w:rPr>
          <w:rFonts w:ascii="Arial" w:cs="Arial" w:eastAsia="Arial" w:hAnsi="Arial"/>
          <w:sz w:val="16"/>
          <w:szCs w:val="16"/>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9673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3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D. Bard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86"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77" w:lineRule="auto"/>
        <w:tabs>
          <w:tab w:leader="none" w:pos="8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4" w:lineRule="auto"/>
        <w:tabs>
          <w:tab w:leader="none" w:pos="9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308" w:lineRule="auto"/>
        <w:tabs>
          <w:tab w:leader="none" w:pos="947"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26035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jc w:val="center"/>
        <w:ind w:right="614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jc w:val="center"/>
        <w:ind w:right="6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94"/>
        <w:spacing w:after="0" w:line="277" w:lineRule="auto"/>
        <w:tabs>
          <w:tab w:leader="none" w:pos="6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494"/>
        <w:spacing w:after="0" w:line="264" w:lineRule="auto"/>
        <w:tabs>
          <w:tab w:leader="none" w:pos="7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94"/>
        <w:spacing w:after="0" w:line="277" w:lineRule="auto"/>
        <w:tabs>
          <w:tab w:leader="none" w:pos="7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w:t>
      </w:r>
    </w:p>
    <w:p>
      <w:pPr>
        <w:spacing w:after="0" w:line="17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987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6" w:lineRule="exact"/>
        <w:rPr>
          <w:sz w:val="20"/>
          <w:szCs w:val="20"/>
          <w:color w:val="auto"/>
        </w:rPr>
      </w:pPr>
    </w:p>
    <w:p>
      <w:pPr>
        <w:jc w:val="center"/>
        <w:ind w:right="614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jc w:val="center"/>
        <w:ind w:right="6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2011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Moe</w:t>
            </w:r>
          </w:p>
        </w:tc>
        <w:tc>
          <w:tcPr>
            <w:tcW w:w="1240" w:type="dxa"/>
            <w:vAlign w:val="bottom"/>
          </w:tcPr>
          <w:p>
            <w:pPr>
              <w:spacing w:after="0"/>
              <w:rPr>
                <w:sz w:val="20"/>
                <w:szCs w:val="20"/>
                <w:color w:val="auto"/>
              </w:rPr>
            </w:pPr>
          </w:p>
        </w:tc>
      </w:tr>
      <w:tr>
        <w:trPr>
          <w:trHeight w:val="198"/>
        </w:trPr>
        <w:tc>
          <w:tcPr>
            <w:tcW w:w="6640" w:type="dxa"/>
            <w:vAlign w:val="bottom"/>
          </w:tcPr>
          <w:p>
            <w:pPr>
              <w:ind w:left="5820"/>
              <w:spacing w:after="0" w:line="198" w:lineRule="exact"/>
              <w:rPr>
                <w:sz w:val="20"/>
                <w:szCs w:val="20"/>
                <w:color w:val="auto"/>
              </w:rPr>
            </w:pPr>
            <w:r>
              <w:rPr>
                <w:rFonts w:ascii="Arial" w:cs="Arial" w:eastAsia="Arial" w:hAnsi="Arial"/>
                <w:sz w:val="18"/>
                <w:szCs w:val="18"/>
                <w:b w:val="1"/>
                <w:bCs w:val="1"/>
                <w:color w:val="auto"/>
              </w:rPr>
              <w:t>Name:</w:t>
            </w:r>
          </w:p>
        </w:tc>
        <w:tc>
          <w:tcPr>
            <w:tcW w:w="35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Michael T. Moe</w:t>
            </w:r>
          </w:p>
        </w:tc>
        <w:tc>
          <w:tcPr>
            <w:tcW w:w="1240" w:type="dxa"/>
            <w:vAlign w:val="bottom"/>
          </w:tcPr>
          <w:p>
            <w:pPr>
              <w:spacing w:after="0"/>
              <w:rPr>
                <w:sz w:val="17"/>
                <w:szCs w:val="17"/>
                <w:color w:val="auto"/>
              </w:rPr>
            </w:pPr>
          </w:p>
        </w:tc>
      </w:tr>
      <w:tr>
        <w:trPr>
          <w:trHeight w:val="234"/>
        </w:trPr>
        <w:tc>
          <w:tcPr>
            <w:tcW w:w="6640" w:type="dxa"/>
            <w:vAlign w:val="bottom"/>
          </w:tcPr>
          <w:p>
            <w:pPr>
              <w:ind w:left="5820"/>
              <w:spacing w:after="0"/>
              <w:rPr>
                <w:sz w:val="20"/>
                <w:szCs w:val="20"/>
                <w:color w:val="auto"/>
              </w:rPr>
            </w:pPr>
            <w:r>
              <w:rPr>
                <w:rFonts w:ascii="Arial" w:cs="Arial" w:eastAsia="Arial" w:hAnsi="Arial"/>
                <w:sz w:val="18"/>
                <w:szCs w:val="18"/>
                <w:b w:val="1"/>
                <w:bCs w:val="1"/>
                <w:color w:val="auto"/>
              </w:rPr>
              <w:t>Date: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November 10, 2011</w:t>
            </w:r>
          </w:p>
        </w:tc>
        <w:tc>
          <w:tcPr>
            <w:tcW w:w="1240" w:type="dxa"/>
            <w:vAlign w:val="bottom"/>
          </w:tcPr>
          <w:p>
            <w:pPr>
              <w:spacing w:after="0"/>
              <w:rPr>
                <w:sz w:val="20"/>
                <w:szCs w:val="20"/>
                <w:color w:val="auto"/>
              </w:rPr>
            </w:pPr>
          </w:p>
        </w:tc>
      </w:tr>
      <w:tr>
        <w:trPr>
          <w:trHeight w:val="875"/>
        </w:trPr>
        <w:tc>
          <w:tcPr>
            <w:tcW w:w="66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2011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D. Bard</w:t>
            </w:r>
          </w:p>
        </w:tc>
        <w:tc>
          <w:tcPr>
            <w:tcW w:w="1240" w:type="dxa"/>
            <w:vAlign w:val="bottom"/>
          </w:tcPr>
          <w:p>
            <w:pPr>
              <w:spacing w:after="0"/>
              <w:rPr>
                <w:sz w:val="20"/>
                <w:szCs w:val="20"/>
                <w:color w:val="auto"/>
              </w:rPr>
            </w:pPr>
          </w:p>
        </w:tc>
      </w:tr>
      <w:tr>
        <w:trPr>
          <w:trHeight w:val="198"/>
        </w:trPr>
        <w:tc>
          <w:tcPr>
            <w:tcW w:w="6640" w:type="dxa"/>
            <w:vAlign w:val="bottom"/>
          </w:tcPr>
          <w:p>
            <w:pPr>
              <w:ind w:left="5820"/>
              <w:spacing w:after="0" w:line="198" w:lineRule="exact"/>
              <w:rPr>
                <w:sz w:val="20"/>
                <w:szCs w:val="20"/>
                <w:color w:val="auto"/>
              </w:rPr>
            </w:pPr>
            <w:r>
              <w:rPr>
                <w:rFonts w:ascii="Arial" w:cs="Arial" w:eastAsia="Arial" w:hAnsi="Arial"/>
                <w:sz w:val="18"/>
                <w:szCs w:val="18"/>
                <w:b w:val="1"/>
                <w:bCs w:val="1"/>
                <w:color w:val="auto"/>
              </w:rPr>
              <w:t>Name:</w:t>
            </w:r>
          </w:p>
        </w:tc>
        <w:tc>
          <w:tcPr>
            <w:tcW w:w="35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Stephen D. Bard</w:t>
            </w:r>
          </w:p>
        </w:tc>
        <w:tc>
          <w:tcPr>
            <w:tcW w:w="1240" w:type="dxa"/>
            <w:vAlign w:val="bottom"/>
          </w:tcPr>
          <w:p>
            <w:pPr>
              <w:spacing w:after="0"/>
              <w:rPr>
                <w:sz w:val="17"/>
                <w:szCs w:val="17"/>
                <w:color w:val="auto"/>
              </w:rPr>
            </w:pPr>
          </w:p>
        </w:tc>
      </w:tr>
      <w:tr>
        <w:trPr>
          <w:trHeight w:val="234"/>
        </w:trPr>
        <w:tc>
          <w:tcPr>
            <w:tcW w:w="6640" w:type="dxa"/>
            <w:vAlign w:val="bottom"/>
          </w:tcPr>
          <w:p>
            <w:pPr>
              <w:ind w:left="5820"/>
              <w:spacing w:after="0"/>
              <w:rPr>
                <w:sz w:val="20"/>
                <w:szCs w:val="20"/>
                <w:color w:val="auto"/>
              </w:rPr>
            </w:pPr>
            <w:r>
              <w:rPr>
                <w:rFonts w:ascii="Arial" w:cs="Arial" w:eastAsia="Arial" w:hAnsi="Arial"/>
                <w:sz w:val="18"/>
                <w:szCs w:val="18"/>
                <w:b w:val="1"/>
                <w:bCs w:val="1"/>
                <w:color w:val="auto"/>
              </w:rPr>
              <w:t>Date: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November 10, 2011</w:t>
            </w:r>
          </w:p>
        </w:tc>
        <w:tc>
          <w:tcPr>
            <w:tcW w:w="1240" w:type="dxa"/>
            <w:vAlign w:val="bottom"/>
          </w:tcPr>
          <w:p>
            <w:pPr>
              <w:spacing w:after="0"/>
              <w:rPr>
                <w:sz w:val="20"/>
                <w:szCs w:val="20"/>
                <w:color w:val="auto"/>
              </w:rPr>
            </w:pPr>
          </w:p>
        </w:tc>
      </w:tr>
      <w:tr>
        <w:trPr>
          <w:trHeight w:val="875"/>
        </w:trPr>
        <w:tc>
          <w:tcPr>
            <w:tcW w:w="66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2019-12-11T08:56:21Z</dcterms:created>
  <dcterms:modified xsi:type="dcterms:W3CDTF">2019-12-11T08:56:21Z</dcterms:modified>
</cp:coreProperties>
</file>