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255270</wp:posOffset>
            </wp:positionV>
            <wp:extent cx="71583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34925"/>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297180</wp:posOffset>
            </wp:positionV>
            <wp:extent cx="71583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1397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113665</wp:posOffset>
            </wp:positionV>
            <wp:extent cx="21501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0110" cy="698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132715</wp:posOffset>
            </wp:positionV>
            <wp:extent cx="21501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0110" cy="698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5" w:lineRule="exact"/>
        <w:rPr>
          <w:sz w:val="24"/>
          <w:szCs w:val="24"/>
          <w:color w:val="auto"/>
        </w:rPr>
      </w:pPr>
    </w:p>
    <w:p>
      <w:pPr>
        <w:ind w:left="180" w:hanging="173"/>
        <w:spacing w:after="0"/>
        <w:tabs>
          <w:tab w:leader="none" w:pos="1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177" w:lineRule="exact"/>
        <w:rPr>
          <w:sz w:val="24"/>
          <w:szCs w:val="24"/>
          <w:color w:val="auto"/>
        </w:rPr>
      </w:pPr>
    </w:p>
    <w:p>
      <w:pPr>
        <w:ind w:left="4260" w:right="3700" w:hanging="4253"/>
        <w:spacing w:after="0" w:line="513" w:lineRule="auto"/>
        <w:tabs>
          <w:tab w:leader="none" w:pos="172"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-13335</wp:posOffset>
            </wp:positionV>
            <wp:extent cx="21501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0110" cy="698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SuRo Capital Corp.</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111760</wp:posOffset>
            </wp:positionV>
            <wp:extent cx="21501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0110" cy="6985"/>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3640" w:type="dxa"/>
            <w:vAlign w:val="bottom"/>
          </w:tcPr>
          <w:p>
            <w:pPr>
              <w:jc w:val="center"/>
              <w:ind w:left="1827"/>
              <w:spacing w:after="0"/>
              <w:rPr>
                <w:sz w:val="20"/>
                <w:szCs w:val="20"/>
                <w:color w:val="auto"/>
              </w:rPr>
            </w:pPr>
            <w:r>
              <w:rPr>
                <w:rFonts w:ascii="Times New Roman" w:cs="Times New Roman" w:eastAsia="Times New Roman" w:hAnsi="Times New Roman"/>
                <w:sz w:val="15"/>
                <w:szCs w:val="15"/>
                <w:b w:val="1"/>
                <w:bCs w:val="1"/>
                <w:color w:val="auto"/>
                <w:w w:val="96"/>
              </w:rPr>
              <w:t>Maryland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20" w:type="dxa"/>
            <w:vAlign w:val="bottom"/>
          </w:tcPr>
          <w:p>
            <w:pPr>
              <w:jc w:val="right"/>
              <w:ind w:right="2327"/>
              <w:spacing w:after="0"/>
              <w:rPr>
                <w:sz w:val="20"/>
                <w:szCs w:val="20"/>
                <w:color w:val="auto"/>
              </w:rPr>
            </w:pPr>
            <w:r>
              <w:rPr>
                <w:rFonts w:ascii="Times New Roman" w:cs="Times New Roman" w:eastAsia="Times New Roman" w:hAnsi="Times New Roman"/>
                <w:sz w:val="15"/>
                <w:szCs w:val="15"/>
                <w:b w:val="1"/>
                <w:bCs w:val="1"/>
                <w:color w:val="auto"/>
              </w:rPr>
              <w:t>27-4443543</w:t>
            </w:r>
          </w:p>
        </w:tc>
      </w:tr>
      <w:tr>
        <w:trPr>
          <w:trHeight w:val="190"/>
        </w:trPr>
        <w:tc>
          <w:tcPr>
            <w:tcW w:w="3640" w:type="dxa"/>
            <w:vAlign w:val="bottom"/>
          </w:tcPr>
          <w:p>
            <w:pPr>
              <w:jc w:val="center"/>
              <w:ind w:left="1827"/>
              <w:spacing w:after="0"/>
              <w:rPr>
                <w:sz w:val="20"/>
                <w:szCs w:val="20"/>
                <w:color w:val="auto"/>
              </w:rPr>
            </w:pPr>
            <w:r>
              <w:rPr>
                <w:rFonts w:ascii="Times New Roman" w:cs="Times New Roman" w:eastAsia="Times New Roman" w:hAnsi="Times New Roman"/>
                <w:sz w:val="15"/>
                <w:szCs w:val="15"/>
                <w:color w:val="auto"/>
                <w:w w:val="97"/>
              </w:rPr>
              <w:t>(State of incorporation)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20" w:type="dxa"/>
            <w:vAlign w:val="bottom"/>
          </w:tcPr>
          <w:p>
            <w:pPr>
              <w:jc w:val="center"/>
              <w:ind w:right="1627"/>
              <w:spacing w:after="0"/>
              <w:rPr>
                <w:sz w:val="20"/>
                <w:szCs w:val="20"/>
                <w:color w:val="auto"/>
              </w:rPr>
            </w:pPr>
            <w:r>
              <w:rPr>
                <w:rFonts w:ascii="Times New Roman" w:cs="Times New Roman" w:eastAsia="Times New Roman" w:hAnsi="Times New Roman"/>
                <w:sz w:val="15"/>
                <w:szCs w:val="15"/>
                <w:color w:val="auto"/>
                <w:w w:val="97"/>
              </w:rPr>
              <w:t>(I.R.S. Employer Identification No.)</w:t>
            </w:r>
          </w:p>
        </w:tc>
      </w:tr>
      <w:tr>
        <w:trPr>
          <w:trHeight w:val="335"/>
        </w:trPr>
        <w:tc>
          <w:tcPr>
            <w:tcW w:w="7460" w:type="dxa"/>
            <w:vAlign w:val="bottom"/>
            <w:gridSpan w:val="6"/>
          </w:tcPr>
          <w:p>
            <w:pPr>
              <w:jc w:val="center"/>
              <w:ind w:right="1920"/>
              <w:spacing w:after="0"/>
              <w:rPr>
                <w:sz w:val="20"/>
                <w:szCs w:val="20"/>
                <w:color w:val="auto"/>
              </w:rPr>
            </w:pPr>
            <w:r>
              <w:rPr>
                <w:rFonts w:ascii="Times New Roman" w:cs="Times New Roman" w:eastAsia="Times New Roman" w:hAnsi="Times New Roman"/>
                <w:sz w:val="15"/>
                <w:szCs w:val="15"/>
                <w:b w:val="1"/>
                <w:bCs w:val="1"/>
                <w:color w:val="auto"/>
                <w:w w:val="95"/>
              </w:rPr>
              <w:t>640 Fifth Avenue, 12th Floor, New York, NY</w:t>
            </w:r>
          </w:p>
        </w:tc>
        <w:tc>
          <w:tcPr>
            <w:tcW w:w="3820" w:type="dxa"/>
            <w:vAlign w:val="bottom"/>
          </w:tcPr>
          <w:p>
            <w:pPr>
              <w:jc w:val="right"/>
              <w:ind w:right="2507"/>
              <w:spacing w:after="0"/>
              <w:rPr>
                <w:sz w:val="20"/>
                <w:szCs w:val="20"/>
                <w:color w:val="auto"/>
              </w:rPr>
            </w:pPr>
            <w:r>
              <w:rPr>
                <w:rFonts w:ascii="Times New Roman" w:cs="Times New Roman" w:eastAsia="Times New Roman" w:hAnsi="Times New Roman"/>
                <w:sz w:val="15"/>
                <w:szCs w:val="15"/>
                <w:b w:val="1"/>
                <w:bCs w:val="1"/>
                <w:color w:val="auto"/>
              </w:rPr>
              <w:t>10019</w:t>
            </w:r>
          </w:p>
        </w:tc>
      </w:tr>
      <w:tr>
        <w:trPr>
          <w:trHeight w:val="190"/>
        </w:trPr>
        <w:tc>
          <w:tcPr>
            <w:tcW w:w="7460" w:type="dxa"/>
            <w:vAlign w:val="bottom"/>
            <w:gridSpan w:val="6"/>
          </w:tcPr>
          <w:p>
            <w:pPr>
              <w:jc w:val="center"/>
              <w:ind w:right="1920"/>
              <w:spacing w:after="0"/>
              <w:rPr>
                <w:sz w:val="20"/>
                <w:szCs w:val="20"/>
                <w:color w:val="auto"/>
              </w:rPr>
            </w:pPr>
            <w:r>
              <w:rPr>
                <w:rFonts w:ascii="Times New Roman" w:cs="Times New Roman" w:eastAsia="Times New Roman" w:hAnsi="Times New Roman"/>
                <w:sz w:val="15"/>
                <w:szCs w:val="15"/>
                <w:color w:val="auto"/>
                <w:w w:val="96"/>
              </w:rPr>
              <w:t>(Address of principal executive offices)</w:t>
            </w:r>
          </w:p>
        </w:tc>
        <w:tc>
          <w:tcPr>
            <w:tcW w:w="3820" w:type="dxa"/>
            <w:vAlign w:val="bottom"/>
          </w:tcPr>
          <w:p>
            <w:pPr>
              <w:jc w:val="center"/>
              <w:ind w:right="1627"/>
              <w:spacing w:after="0"/>
              <w:rPr>
                <w:sz w:val="20"/>
                <w:szCs w:val="20"/>
                <w:color w:val="auto"/>
              </w:rPr>
            </w:pPr>
            <w:r>
              <w:rPr>
                <w:rFonts w:ascii="Times New Roman" w:cs="Times New Roman" w:eastAsia="Times New Roman" w:hAnsi="Times New Roman"/>
                <w:sz w:val="15"/>
                <w:szCs w:val="15"/>
                <w:color w:val="auto"/>
                <w:w w:val="96"/>
              </w:rPr>
              <w:t>(Zip Code)</w:t>
            </w:r>
          </w:p>
        </w:tc>
      </w:tr>
      <w:tr>
        <w:trPr>
          <w:trHeight w:val="356"/>
        </w:trPr>
        <w:tc>
          <w:tcPr>
            <w:tcW w:w="3640" w:type="dxa"/>
            <w:vAlign w:val="bottom"/>
          </w:tcPr>
          <w:p>
            <w:pPr>
              <w:spacing w:after="0"/>
              <w:rPr>
                <w:sz w:val="24"/>
                <w:szCs w:val="24"/>
                <w:color w:val="auto"/>
              </w:rPr>
            </w:pPr>
          </w:p>
        </w:tc>
        <w:tc>
          <w:tcPr>
            <w:tcW w:w="2700" w:type="dxa"/>
            <w:vAlign w:val="bottom"/>
            <w:gridSpan w:val="3"/>
          </w:tcPr>
          <w:p>
            <w:pPr>
              <w:jc w:val="center"/>
              <w:ind w:left="1227"/>
              <w:spacing w:after="0"/>
              <w:rPr>
                <w:sz w:val="20"/>
                <w:szCs w:val="20"/>
                <w:color w:val="auto"/>
              </w:rPr>
            </w:pPr>
            <w:r>
              <w:rPr>
                <w:rFonts w:ascii="Times New Roman" w:cs="Times New Roman" w:eastAsia="Times New Roman" w:hAnsi="Times New Roman"/>
                <w:sz w:val="15"/>
                <w:szCs w:val="15"/>
                <w:b w:val="1"/>
                <w:bCs w:val="1"/>
                <w:color w:val="auto"/>
                <w:w w:val="98"/>
              </w:rPr>
              <w:t>(212) 931-6331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90"/>
        </w:trPr>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color w:val="auto"/>
                <w:w w:val="96"/>
              </w:rPr>
              <w:t>(Registrant’s telephone number, including area code)</w:t>
            </w:r>
          </w:p>
        </w:tc>
        <w:tc>
          <w:tcPr>
            <w:tcW w:w="3820" w:type="dxa"/>
            <w:vAlign w:val="bottom"/>
          </w:tcPr>
          <w:p>
            <w:pPr>
              <w:spacing w:after="0"/>
              <w:rPr>
                <w:sz w:val="16"/>
                <w:szCs w:val="16"/>
                <w:color w:val="auto"/>
              </w:rPr>
            </w:pPr>
          </w:p>
        </w:tc>
      </w:tr>
      <w:tr>
        <w:trPr>
          <w:trHeight w:val="350"/>
        </w:trPr>
        <w:tc>
          <w:tcPr>
            <w:tcW w:w="3640" w:type="dxa"/>
            <w:vAlign w:val="bottom"/>
          </w:tcPr>
          <w:p>
            <w:pPr>
              <w:spacing w:after="0"/>
              <w:rPr>
                <w:sz w:val="24"/>
                <w:szCs w:val="24"/>
                <w:color w:val="auto"/>
              </w:rPr>
            </w:pPr>
          </w:p>
        </w:tc>
        <w:tc>
          <w:tcPr>
            <w:tcW w:w="3820" w:type="dxa"/>
            <w:vAlign w:val="bottom"/>
            <w:gridSpan w:val="5"/>
          </w:tcPr>
          <w:p>
            <w:pPr>
              <w:jc w:val="center"/>
              <w:ind w:left="127"/>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12(b) of the Act:</w:t>
            </w:r>
          </w:p>
        </w:tc>
        <w:tc>
          <w:tcPr>
            <w:tcW w:w="3820" w:type="dxa"/>
            <w:vAlign w:val="bottom"/>
          </w:tcPr>
          <w:p>
            <w:pPr>
              <w:spacing w:after="0"/>
              <w:rPr>
                <w:sz w:val="24"/>
                <w:szCs w:val="24"/>
                <w:color w:val="auto"/>
              </w:rPr>
            </w:pPr>
          </w:p>
        </w:tc>
      </w:tr>
      <w:tr>
        <w:trPr>
          <w:trHeight w:val="349"/>
        </w:trPr>
        <w:tc>
          <w:tcPr>
            <w:tcW w:w="3640" w:type="dxa"/>
            <w:vAlign w:val="bottom"/>
          </w:tcPr>
          <w:p>
            <w:pPr>
              <w:jc w:val="center"/>
              <w:ind w:left="367"/>
              <w:spacing w:after="0"/>
              <w:rPr>
                <w:sz w:val="20"/>
                <w:szCs w:val="20"/>
                <w:color w:val="auto"/>
              </w:rPr>
            </w:pPr>
            <w:r>
              <w:rPr>
                <w:rFonts w:ascii="Times New Roman" w:cs="Times New Roman" w:eastAsia="Times New Roman" w:hAnsi="Times New Roman"/>
                <w:sz w:val="15"/>
                <w:szCs w:val="15"/>
                <w:b w:val="1"/>
                <w:bCs w:val="1"/>
                <w:color w:val="auto"/>
                <w:w w:val="96"/>
              </w:rPr>
              <w:t>Title of Each Class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3"/>
          </w:tcPr>
          <w:p>
            <w:pPr>
              <w:jc w:val="center"/>
              <w:ind w:right="1120"/>
              <w:spacing w:after="0"/>
              <w:rPr>
                <w:sz w:val="20"/>
                <w:szCs w:val="20"/>
                <w:color w:val="auto"/>
              </w:rPr>
            </w:pPr>
            <w:r>
              <w:rPr>
                <w:rFonts w:ascii="Times New Roman" w:cs="Times New Roman" w:eastAsia="Times New Roman" w:hAnsi="Times New Roman"/>
                <w:sz w:val="15"/>
                <w:szCs w:val="15"/>
                <w:b w:val="1"/>
                <w:bCs w:val="1"/>
                <w:color w:val="auto"/>
                <w:w w:val="95"/>
              </w:rPr>
              <w:t>Trading Symbol</w:t>
            </w:r>
          </w:p>
        </w:tc>
        <w:tc>
          <w:tcPr>
            <w:tcW w:w="3820" w:type="dxa"/>
            <w:vAlign w:val="bottom"/>
          </w:tcPr>
          <w:p>
            <w:pPr>
              <w:jc w:val="center"/>
              <w:ind w:right="847"/>
              <w:spacing w:after="0"/>
              <w:rPr>
                <w:sz w:val="20"/>
                <w:szCs w:val="20"/>
                <w:color w:val="auto"/>
              </w:rPr>
            </w:pPr>
            <w:r>
              <w:rPr>
                <w:rFonts w:ascii="Times New Roman" w:cs="Times New Roman" w:eastAsia="Times New Roman" w:hAnsi="Times New Roman"/>
                <w:sz w:val="15"/>
                <w:szCs w:val="15"/>
                <w:b w:val="1"/>
                <w:bCs w:val="1"/>
                <w:color w:val="auto"/>
                <w:w w:val="97"/>
              </w:rPr>
              <w:t>Name of Each Exchange on Which Registered</w:t>
            </w:r>
          </w:p>
        </w:tc>
      </w:tr>
      <w:tr>
        <w:trPr>
          <w:trHeight w:val="151"/>
        </w:trPr>
        <w:tc>
          <w:tcPr>
            <w:tcW w:w="3640" w:type="dxa"/>
            <w:vAlign w:val="bottom"/>
            <w:tcBorders>
              <w:top w:val="single" w:sz="8" w:color="auto"/>
            </w:tcBorders>
          </w:tcPr>
          <w:p>
            <w:pPr>
              <w:jc w:val="center"/>
              <w:ind w:left="367"/>
              <w:spacing w:after="0" w:line="151" w:lineRule="exact"/>
              <w:rPr>
                <w:sz w:val="20"/>
                <w:szCs w:val="20"/>
                <w:color w:val="auto"/>
              </w:rPr>
            </w:pPr>
            <w:r>
              <w:rPr>
                <w:rFonts w:ascii="Times New Roman" w:cs="Times New Roman" w:eastAsia="Times New Roman" w:hAnsi="Times New Roman"/>
                <w:sz w:val="15"/>
                <w:szCs w:val="15"/>
                <w:color w:val="auto"/>
                <w:w w:val="96"/>
              </w:rPr>
              <w:t>Common Stock, par value $0.01 per share</w:t>
            </w: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w w:val="95"/>
              </w:rPr>
              <w:t>SSSS</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820" w:type="dxa"/>
            <w:vAlign w:val="bottom"/>
            <w:tcBorders>
              <w:top w:val="single" w:sz="8" w:color="auto"/>
            </w:tcBorders>
          </w:tcPr>
          <w:p>
            <w:pPr>
              <w:jc w:val="center"/>
              <w:ind w:right="827"/>
              <w:spacing w:after="0" w:line="151" w:lineRule="exact"/>
              <w:rPr>
                <w:sz w:val="20"/>
                <w:szCs w:val="20"/>
                <w:color w:val="auto"/>
              </w:rPr>
            </w:pPr>
            <w:r>
              <w:rPr>
                <w:rFonts w:ascii="Times New Roman" w:cs="Times New Roman" w:eastAsia="Times New Roman" w:hAnsi="Times New Roman"/>
                <w:sz w:val="15"/>
                <w:szCs w:val="15"/>
                <w:color w:val="auto"/>
                <w:w w:val="97"/>
              </w:rPr>
              <w:t>Nasdaq Global Select Market</w:t>
            </w:r>
          </w:p>
        </w:tc>
      </w:tr>
      <w:tr>
        <w:trPr>
          <w:trHeight w:val="190"/>
        </w:trPr>
        <w:tc>
          <w:tcPr>
            <w:tcW w:w="3640" w:type="dxa"/>
            <w:vAlign w:val="bottom"/>
          </w:tcPr>
          <w:p>
            <w:pPr>
              <w:jc w:val="center"/>
              <w:ind w:left="367"/>
              <w:spacing w:after="0"/>
              <w:rPr>
                <w:sz w:val="20"/>
                <w:szCs w:val="20"/>
                <w:color w:val="auto"/>
              </w:rPr>
            </w:pPr>
            <w:r>
              <w:rPr>
                <w:rFonts w:ascii="Times New Roman" w:cs="Times New Roman" w:eastAsia="Times New Roman" w:hAnsi="Times New Roman"/>
                <w:sz w:val="15"/>
                <w:szCs w:val="15"/>
                <w:color w:val="auto"/>
                <w:w w:val="96"/>
              </w:rPr>
              <w:t>6.00% Notes due 2026</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3"/>
          </w:tcPr>
          <w:p>
            <w:pPr>
              <w:jc w:val="center"/>
              <w:ind w:right="1120"/>
              <w:spacing w:after="0"/>
              <w:rPr>
                <w:sz w:val="20"/>
                <w:szCs w:val="20"/>
                <w:color w:val="auto"/>
              </w:rPr>
            </w:pPr>
            <w:r>
              <w:rPr>
                <w:rFonts w:ascii="Times New Roman" w:cs="Times New Roman" w:eastAsia="Times New Roman" w:hAnsi="Times New Roman"/>
                <w:sz w:val="15"/>
                <w:szCs w:val="15"/>
                <w:color w:val="auto"/>
                <w:w w:val="93"/>
              </w:rPr>
              <w:t>SSSSL</w:t>
            </w:r>
          </w:p>
        </w:tc>
        <w:tc>
          <w:tcPr>
            <w:tcW w:w="3820" w:type="dxa"/>
            <w:vAlign w:val="bottom"/>
          </w:tcPr>
          <w:p>
            <w:pPr>
              <w:jc w:val="center"/>
              <w:ind w:right="827"/>
              <w:spacing w:after="0"/>
              <w:rPr>
                <w:sz w:val="20"/>
                <w:szCs w:val="20"/>
                <w:color w:val="auto"/>
              </w:rPr>
            </w:pPr>
            <w:r>
              <w:rPr>
                <w:rFonts w:ascii="Times New Roman" w:cs="Times New Roman" w:eastAsia="Times New Roman" w:hAnsi="Times New Roman"/>
                <w:sz w:val="15"/>
                <w:szCs w:val="15"/>
                <w:color w:val="auto"/>
                <w:w w:val="97"/>
              </w:rPr>
              <w:t>Nasdaq Global Select Market</w:t>
            </w:r>
          </w:p>
        </w:tc>
      </w:tr>
    </w:tbl>
    <w:p>
      <w:pPr>
        <w:spacing w:after="0" w:line="1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146"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7"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0" w:lineRule="exact"/>
        <w:rPr>
          <w:sz w:val="24"/>
          <w:szCs w:val="24"/>
          <w:color w:val="auto"/>
        </w:r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39" w:lineRule="exact"/>
        <w:rPr>
          <w:sz w:val="24"/>
          <w:szCs w:val="24"/>
          <w:color w:val="auto"/>
        </w:r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39" w:lineRule="exact"/>
        <w:rPr>
          <w:sz w:val="24"/>
          <w:szCs w:val="24"/>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626" w:right="319" w:bottom="1147" w:gutter="0" w:footer="0" w:header="0"/>
        </w:sectPr>
      </w:pPr>
    </w:p>
    <w:p>
      <w:pPr>
        <w:spacing w:after="0" w:line="107"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52"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347" w:lineRule="exact"/>
        <w:rPr>
          <w:sz w:val="24"/>
          <w:szCs w:val="24"/>
          <w:color w:val="auto"/>
        </w:rPr>
      </w:pPr>
    </w:p>
    <w:p>
      <w:pPr>
        <w:sectPr>
          <w:pgSz w:w="11900" w:h="16838" w:orient="portrait"/>
          <w:cols w:equalWidth="0" w:num="2">
            <w:col w:w="7040" w:space="720"/>
            <w:col w:w="3520"/>
          </w:cols>
          <w:pgMar w:left="300" w:top="626" w:right="319" w:bottom="1147" w:gutter="0" w:footer="0" w:header="0"/>
          <w:type w:val="continuous"/>
        </w:sect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9" w:lineRule="exact"/>
        <w:rPr>
          <w:sz w:val="24"/>
          <w:szCs w:val="24"/>
          <w:color w:val="auto"/>
        </w:r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39" w:lineRule="exact"/>
        <w:rPr>
          <w:sz w:val="24"/>
          <w:szCs w:val="24"/>
          <w:color w:val="auto"/>
        </w:r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39" w:lineRule="exact"/>
        <w:rPr>
          <w:sz w:val="24"/>
          <w:szCs w:val="24"/>
          <w:color w:val="auto"/>
        </w:rPr>
      </w:pPr>
    </w:p>
    <w:p>
      <w:pPr>
        <w:jc w:val="both"/>
        <w:ind w:firstLine="262"/>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06"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0" w:lineRule="exact"/>
        <w:rPr>
          <w:sz w:val="24"/>
          <w:szCs w:val="24"/>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aggregate market value of common stock beneficially owned by non-affiliates of the Registrant on June 30, 2024, based on the closing price on that date of $4.01 on the Nasdaq Global Select Market, was $87,958,704. For the purposes of calculating this amount only, all interested directors and executive officers of the Registrant have been treated as affiliates. The issuer had 23,551,859 shares of common stock, $0.01 par value per share, outstanding as of March 11, 2025</w:t>
      </w:r>
      <w:r>
        <w:rPr>
          <w:rFonts w:ascii="Times New Roman" w:cs="Times New Roman" w:eastAsia="Times New Roman" w:hAnsi="Times New Roman"/>
          <w:sz w:val="11"/>
          <w:szCs w:val="11"/>
          <w:color w:val="auto"/>
        </w:rPr>
        <w:t>.</w:t>
      </w:r>
    </w:p>
    <w:p>
      <w:pPr>
        <w:spacing w:after="0" w:line="14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79" w:lineRule="exact"/>
        <w:rPr>
          <w:sz w:val="24"/>
          <w:szCs w:val="24"/>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Registrant’s 2025 annual meeting of stockholders (the “2025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583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5835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3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381635</wp:posOffset>
            </wp:positionV>
            <wp:extent cx="71583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626" w:right="319" w:bottom="114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0" w:type="dxa"/>
            <w:vAlign w:val="bottom"/>
            <w:gridSpan w:val="6"/>
          </w:tcPr>
          <w:p>
            <w:pPr>
              <w:ind w:left="100"/>
              <w:spacing w:after="0"/>
              <w:rPr>
                <w:sz w:val="20"/>
                <w:szCs w:val="20"/>
                <w:color w:val="auto"/>
              </w:rPr>
            </w:pPr>
            <w:r>
              <w:rPr>
                <w:rFonts w:ascii="Times New Roman" w:cs="Times New Roman" w:eastAsia="Times New Roman" w:hAnsi="Times New Roman"/>
                <w:sz w:val="15"/>
                <w:szCs w:val="15"/>
                <w:b w:val="1"/>
                <w:bCs w:val="1"/>
                <w:color w:val="auto"/>
              </w:rPr>
              <w:t>SURO CAPITAL CORP.</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0"/>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6"/>
          </w:tcPr>
          <w:p>
            <w:pPr>
              <w:ind w:left="1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1"/>
        </w:trPr>
        <w:tc>
          <w:tcPr>
            <w:tcW w:w="520" w:type="dxa"/>
            <w:vAlign w:val="bottom"/>
            <w:tcBorders>
              <w:top w:val="single" w:sz="8" w:color="CCEEFF"/>
              <w:bottom w:val="single" w:sz="8" w:color="0000EE"/>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0000EE"/>
                <w:w w:val="98"/>
              </w:rPr>
              <w:t>PART I.</w:t>
            </w:r>
          </w:p>
        </w:tc>
        <w:tc>
          <w:tcPr>
            <w:tcW w:w="2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44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w:t>
            </w:r>
          </w:p>
        </w:tc>
        <w:tc>
          <w:tcPr>
            <w:tcW w:w="520" w:type="dxa"/>
            <w:vAlign w:val="bottom"/>
            <w:tcBorders>
              <w:bottom w:val="single" w:sz="8" w:color="0000EE"/>
            </w:tcBorders>
          </w:tcPr>
          <w:p>
            <w:pPr>
              <w:spacing w:after="0" w:line="142" w:lineRule="exact"/>
              <w:rPr>
                <w:sz w:val="20"/>
                <w:szCs w:val="20"/>
                <w:color w:val="auto"/>
              </w:rPr>
            </w:pPr>
            <w:r>
              <w:rPr>
                <w:rFonts w:ascii="Times New Roman" w:cs="Times New Roman" w:eastAsia="Times New Roman" w:hAnsi="Times New Roman"/>
                <w:sz w:val="15"/>
                <w:szCs w:val="15"/>
                <w:color w:val="0000EE"/>
                <w:w w:val="93"/>
              </w:rPr>
              <w:t>Business</w:t>
            </w:r>
          </w:p>
        </w:tc>
        <w:tc>
          <w:tcPr>
            <w:tcW w:w="9440" w:type="dxa"/>
            <w:vAlign w:val="bottom"/>
            <w:gridSpan w:val="21"/>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2"/>
                <w:szCs w:val="12"/>
                <w:color w:val="auto"/>
              </w:rPr>
            </w:pPr>
          </w:p>
        </w:tc>
      </w:tr>
      <w:tr>
        <w:trPr>
          <w:trHeight w:val="148"/>
        </w:trPr>
        <w:tc>
          <w:tcPr>
            <w:tcW w:w="80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Item 1A.</w:t>
            </w:r>
          </w:p>
        </w:tc>
        <w:tc>
          <w:tcPr>
            <w:tcW w:w="996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Risk Factors</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2"/>
                <w:szCs w:val="12"/>
                <w:color w:val="auto"/>
              </w:rPr>
            </w:pPr>
          </w:p>
        </w:tc>
      </w:tr>
      <w:tr>
        <w:trPr>
          <w:trHeight w:val="33"/>
        </w:trPr>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1B.</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Unresolved Staff Comments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2"/>
                <w:szCs w:val="12"/>
                <w:color w:val="auto"/>
              </w:rPr>
            </w:pPr>
          </w:p>
        </w:tc>
      </w:tr>
      <w:tr>
        <w:trPr>
          <w:trHeight w:val="161"/>
        </w:trPr>
        <w:tc>
          <w:tcPr>
            <w:tcW w:w="800" w:type="dxa"/>
            <w:vAlign w:val="bottom"/>
            <w:tcBorders>
              <w:bottom w:val="single" w:sz="8" w:color="CCEE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Item 1C.</w:t>
            </w:r>
          </w:p>
        </w:tc>
        <w:tc>
          <w:tcPr>
            <w:tcW w:w="820" w:type="dxa"/>
            <w:vAlign w:val="bottom"/>
            <w:tcBorders>
              <w:top w:val="single" w:sz="8" w:color="0000EE"/>
              <w:bottom w:val="single" w:sz="8" w:color="0000EE"/>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5"/>
              </w:rPr>
              <w:t>Cybersecurity</w:t>
            </w:r>
          </w:p>
        </w:tc>
        <w:tc>
          <w:tcPr>
            <w:tcW w:w="820" w:type="dxa"/>
            <w:vAlign w:val="bottom"/>
            <w:tcBorders>
              <w:top w:val="single" w:sz="8" w:color="0000EE"/>
              <w:bottom w:val="single" w:sz="8" w:color="CCEEFF"/>
            </w:tcBorders>
            <w:gridSpan w:val="6"/>
            <w:shd w:val="clear" w:color="auto" w:fill="CCEEFF"/>
          </w:tcPr>
          <w:p>
            <w:pPr>
              <w:spacing w:after="0"/>
              <w:rPr>
                <w:sz w:val="14"/>
                <w:szCs w:val="14"/>
                <w:color w:val="auto"/>
              </w:rPr>
            </w:pPr>
          </w:p>
        </w:tc>
        <w:tc>
          <w:tcPr>
            <w:tcW w:w="8320" w:type="dxa"/>
            <w:vAlign w:val="bottom"/>
            <w:tcBorders>
              <w:bottom w:val="single" w:sz="8" w:color="CCEEFF"/>
            </w:tcBorders>
            <w:gridSpan w:val="12"/>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4"/>
                <w:szCs w:val="14"/>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2.</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Properties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2"/>
                <w:szCs w:val="12"/>
                <w:color w:val="auto"/>
              </w:rPr>
            </w:pPr>
          </w:p>
        </w:tc>
      </w:tr>
      <w:tr>
        <w:trPr>
          <w:trHeight w:val="26"/>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1"/>
        </w:trPr>
        <w:tc>
          <w:tcPr>
            <w:tcW w:w="800" w:type="dxa"/>
            <w:vAlign w:val="bottom"/>
            <w:tcBorders>
              <w:bottom w:val="single" w:sz="8" w:color="CCEE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Item 3.</w:t>
            </w:r>
          </w:p>
        </w:tc>
        <w:tc>
          <w:tcPr>
            <w:tcW w:w="1080" w:type="dxa"/>
            <w:vAlign w:val="bottom"/>
            <w:tcBorders>
              <w:bottom w:val="single" w:sz="8" w:color="0000EE"/>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5"/>
              </w:rPr>
              <w:t>Legal Proceedings</w:t>
            </w:r>
          </w:p>
        </w:tc>
        <w:tc>
          <w:tcPr>
            <w:tcW w:w="8880" w:type="dxa"/>
            <w:vAlign w:val="bottom"/>
            <w:tcBorders>
              <w:bottom w:val="single" w:sz="8" w:color="CCEEFF"/>
            </w:tcBorders>
            <w:gridSpan w:val="16"/>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4"/>
                <w:szCs w:val="14"/>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4.</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Mine Safety Disclosures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2"/>
                <w:szCs w:val="12"/>
                <w:color w:val="auto"/>
              </w:rPr>
            </w:pPr>
          </w:p>
        </w:tc>
      </w:tr>
      <w:tr>
        <w:trPr>
          <w:trHeight w:val="161"/>
        </w:trPr>
        <w:tc>
          <w:tcPr>
            <w:tcW w:w="580" w:type="dxa"/>
            <w:vAlign w:val="bottom"/>
            <w:tcBorders>
              <w:bottom w:val="single" w:sz="8" w:color="0000EE"/>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0000EE"/>
                <w:w w:val="93"/>
              </w:rPr>
              <w:t>PART II.</w:t>
            </w: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520" w:type="dxa"/>
            <w:vAlign w:val="bottom"/>
            <w:tcBorders>
              <w:top w:val="single" w:sz="8" w:color="0000EE"/>
              <w:bottom w:val="single" w:sz="8" w:color="CCEEFF"/>
            </w:tcBorders>
            <w:shd w:val="clear" w:color="auto" w:fill="CCEEFF"/>
          </w:tcPr>
          <w:p>
            <w:pPr>
              <w:spacing w:after="0"/>
              <w:rPr>
                <w:sz w:val="14"/>
                <w:szCs w:val="14"/>
                <w:color w:val="auto"/>
              </w:rPr>
            </w:pPr>
          </w:p>
        </w:tc>
        <w:tc>
          <w:tcPr>
            <w:tcW w:w="60" w:type="dxa"/>
            <w:vAlign w:val="bottom"/>
            <w:tcBorders>
              <w:top w:val="single" w:sz="8" w:color="0000EE"/>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EE"/>
              <w:left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0000EE"/>
              <w:bottom w:val="single" w:sz="8" w:color="CCEEFF"/>
            </w:tcBorders>
            <w:shd w:val="clear" w:color="auto" w:fill="CCEEFF"/>
          </w:tcPr>
          <w:p>
            <w:pPr>
              <w:spacing w:after="0"/>
              <w:rPr>
                <w:sz w:val="14"/>
                <w:szCs w:val="14"/>
                <w:color w:val="auto"/>
              </w:rPr>
            </w:pPr>
          </w:p>
        </w:tc>
        <w:tc>
          <w:tcPr>
            <w:tcW w:w="240" w:type="dxa"/>
            <w:vAlign w:val="bottom"/>
            <w:tcBorders>
              <w:top w:val="single" w:sz="8" w:color="0000EE"/>
              <w:bottom w:val="single" w:sz="8" w:color="CCEEFF"/>
            </w:tcBorders>
            <w:shd w:val="clear" w:color="auto" w:fill="CCEEFF"/>
          </w:tcPr>
          <w:p>
            <w:pPr>
              <w:spacing w:after="0"/>
              <w:rPr>
                <w:sz w:val="14"/>
                <w:szCs w:val="14"/>
                <w:color w:val="auto"/>
              </w:rPr>
            </w:pPr>
          </w:p>
        </w:tc>
        <w:tc>
          <w:tcPr>
            <w:tcW w:w="20" w:type="dxa"/>
            <w:vAlign w:val="bottom"/>
            <w:tcBorders>
              <w:top w:val="single" w:sz="8" w:color="0000EE"/>
              <w:bottom w:val="single" w:sz="8" w:color="CCEEFF"/>
            </w:tcBorders>
            <w:shd w:val="clear" w:color="auto" w:fill="CCEEFF"/>
          </w:tcPr>
          <w:p>
            <w:pPr>
              <w:spacing w:after="0"/>
              <w:rPr>
                <w:sz w:val="14"/>
                <w:szCs w:val="14"/>
                <w:color w:val="auto"/>
              </w:rPr>
            </w:pPr>
          </w:p>
        </w:tc>
        <w:tc>
          <w:tcPr>
            <w:tcW w:w="160" w:type="dxa"/>
            <w:vAlign w:val="bottom"/>
            <w:tcBorders>
              <w:top w:val="single" w:sz="8" w:color="0000EE"/>
              <w:bottom w:val="single" w:sz="8" w:color="CCEEFF"/>
            </w:tcBorders>
            <w:shd w:val="clear" w:color="auto" w:fill="CCEEFF"/>
          </w:tcPr>
          <w:p>
            <w:pPr>
              <w:spacing w:after="0"/>
              <w:rPr>
                <w:sz w:val="14"/>
                <w:szCs w:val="14"/>
                <w:color w:val="auto"/>
              </w:rPr>
            </w:pPr>
          </w:p>
        </w:tc>
        <w:tc>
          <w:tcPr>
            <w:tcW w:w="180" w:type="dxa"/>
            <w:vAlign w:val="bottom"/>
            <w:tcBorders>
              <w:top w:val="single" w:sz="8" w:color="0000EE"/>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5.</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Market for Registrant’s Common Equity, Related Stockholder Matters and Issuer Purchases of Equity Securities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48</w:t>
            </w:r>
          </w:p>
        </w:tc>
        <w:tc>
          <w:tcPr>
            <w:tcW w:w="20" w:type="dxa"/>
            <w:vAlign w:val="bottom"/>
          </w:tcPr>
          <w:p>
            <w:pPr>
              <w:spacing w:after="0"/>
              <w:rPr>
                <w:sz w:val="12"/>
                <w:szCs w:val="12"/>
                <w:color w:val="auto"/>
              </w:rPr>
            </w:pPr>
          </w:p>
        </w:tc>
      </w:tr>
      <w:tr>
        <w:trPr>
          <w:trHeight w:val="161"/>
        </w:trPr>
        <w:tc>
          <w:tcPr>
            <w:tcW w:w="800" w:type="dxa"/>
            <w:vAlign w:val="bottom"/>
            <w:tcBorders>
              <w:bottom w:val="single" w:sz="8" w:color="CCEE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Item 6.</w:t>
            </w:r>
          </w:p>
        </w:tc>
        <w:tc>
          <w:tcPr>
            <w:tcW w:w="580" w:type="dxa"/>
            <w:vAlign w:val="bottom"/>
            <w:tcBorders>
              <w:top w:val="single" w:sz="8" w:color="0000EE"/>
              <w:bottom w:val="single" w:sz="8" w:color="0000EE"/>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Reserved</w:t>
            </w:r>
          </w:p>
        </w:tc>
        <w:tc>
          <w:tcPr>
            <w:tcW w:w="5940" w:type="dxa"/>
            <w:vAlign w:val="bottom"/>
            <w:tcBorders>
              <w:top w:val="single" w:sz="8" w:color="0000EE"/>
              <w:left w:val="single" w:sz="8" w:color="CCEEFF"/>
              <w:bottom w:val="single" w:sz="8" w:color="CCEEFF"/>
            </w:tcBorders>
            <w:gridSpan w:val="19"/>
            <w:shd w:val="clear" w:color="auto" w:fill="CCEEFF"/>
          </w:tcPr>
          <w:p>
            <w:pPr>
              <w:spacing w:after="0"/>
              <w:rPr>
                <w:sz w:val="14"/>
                <w:szCs w:val="14"/>
                <w:color w:val="auto"/>
              </w:rPr>
            </w:pPr>
          </w:p>
        </w:tc>
        <w:tc>
          <w:tcPr>
            <w:tcW w:w="34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14"/>
                <w:szCs w:val="14"/>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7.</w:t>
            </w:r>
          </w:p>
        </w:tc>
        <w:tc>
          <w:tcPr>
            <w:tcW w:w="5220" w:type="dxa"/>
            <w:vAlign w:val="bottom"/>
            <w:tcBorders>
              <w:bottom w:val="single" w:sz="8" w:color="0000EE"/>
            </w:tcBorders>
            <w:gridSpan w:val="18"/>
          </w:tcPr>
          <w:p>
            <w:pPr>
              <w:spacing w:after="0" w:line="142" w:lineRule="exact"/>
              <w:rPr>
                <w:sz w:val="20"/>
                <w:szCs w:val="20"/>
                <w:color w:val="auto"/>
              </w:rPr>
            </w:pPr>
            <w:r>
              <w:rPr>
                <w:rFonts w:ascii="Times New Roman" w:cs="Times New Roman" w:eastAsia="Times New Roman" w:hAnsi="Times New Roman"/>
                <w:sz w:val="15"/>
                <w:szCs w:val="15"/>
                <w:color w:val="0000EE"/>
                <w:w w:val="96"/>
              </w:rPr>
              <w:t>Management’s Discussion and Analysis of Financial Condition and Results of Operations</w:t>
            </w:r>
          </w:p>
        </w:tc>
        <w:tc>
          <w:tcPr>
            <w:tcW w:w="4740" w:type="dxa"/>
            <w:vAlign w:val="bottom"/>
            <w:gridSpan w:val="4"/>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12"/>
                <w:szCs w:val="12"/>
                <w:color w:val="auto"/>
              </w:rPr>
            </w:pPr>
          </w:p>
        </w:tc>
      </w:tr>
      <w:tr>
        <w:trPr>
          <w:trHeight w:val="161"/>
        </w:trPr>
        <w:tc>
          <w:tcPr>
            <w:tcW w:w="800" w:type="dxa"/>
            <w:vAlign w:val="bottom"/>
            <w:tcBorders>
              <w:bottom w:val="single" w:sz="8" w:color="CCEE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Item 7A.</w:t>
            </w:r>
          </w:p>
        </w:tc>
        <w:tc>
          <w:tcPr>
            <w:tcW w:w="3520" w:type="dxa"/>
            <w:vAlign w:val="bottom"/>
            <w:tcBorders>
              <w:bottom w:val="single" w:sz="8" w:color="0000EE"/>
            </w:tcBorders>
            <w:gridSpan w:val="1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Quantitative and Qualitative Disclosures About Market Risk</w:t>
            </w:r>
          </w:p>
        </w:tc>
        <w:tc>
          <w:tcPr>
            <w:tcW w:w="6440" w:type="dxa"/>
            <w:vAlign w:val="bottom"/>
            <w:tcBorders>
              <w:bottom w:val="single" w:sz="8" w:color="CCEEFF"/>
            </w:tcBorders>
            <w:gridSpan w:val="7"/>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67</w:t>
            </w:r>
          </w:p>
        </w:tc>
        <w:tc>
          <w:tcPr>
            <w:tcW w:w="20" w:type="dxa"/>
            <w:vAlign w:val="bottom"/>
          </w:tcPr>
          <w:p>
            <w:pPr>
              <w:spacing w:after="0"/>
              <w:rPr>
                <w:sz w:val="14"/>
                <w:szCs w:val="14"/>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8.</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Financial Statements and Supplementary Data</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68</w:t>
            </w:r>
          </w:p>
        </w:tc>
        <w:tc>
          <w:tcPr>
            <w:tcW w:w="20" w:type="dxa"/>
            <w:vAlign w:val="bottom"/>
          </w:tcPr>
          <w:p>
            <w:pPr>
              <w:spacing w:after="0"/>
              <w:rPr>
                <w:sz w:val="12"/>
                <w:szCs w:val="12"/>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800" w:type="dxa"/>
            <w:vAlign w:val="bottom"/>
            <w:tcBorders>
              <w:bottom w:val="single" w:sz="8" w:color="CCEE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9.</w:t>
            </w:r>
          </w:p>
        </w:tc>
        <w:tc>
          <w:tcPr>
            <w:tcW w:w="5240" w:type="dxa"/>
            <w:vAlign w:val="bottom"/>
            <w:tcBorders>
              <w:bottom w:val="single" w:sz="8" w:color="0000EE"/>
            </w:tcBorders>
            <w:gridSpan w:val="19"/>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w w:val="96"/>
              </w:rPr>
              <w:t>Changes in and Disagreements with Accountants on Accounting and Financial Disclosure</w:t>
            </w:r>
          </w:p>
        </w:tc>
        <w:tc>
          <w:tcPr>
            <w:tcW w:w="4720" w:type="dxa"/>
            <w:vAlign w:val="bottom"/>
            <w:tcBorders>
              <w:bottom w:val="single" w:sz="8" w:color="CCEEFF"/>
            </w:tcBorders>
            <w:gridSpan w:val="3"/>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119</w:t>
            </w:r>
          </w:p>
        </w:tc>
        <w:tc>
          <w:tcPr>
            <w:tcW w:w="20" w:type="dxa"/>
            <w:vAlign w:val="bottom"/>
          </w:tcPr>
          <w:p>
            <w:pPr>
              <w:spacing w:after="0"/>
              <w:rPr>
                <w:sz w:val="14"/>
                <w:szCs w:val="14"/>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9A.</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Controls and Procedures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119</w:t>
            </w:r>
          </w:p>
        </w:tc>
        <w:tc>
          <w:tcPr>
            <w:tcW w:w="20" w:type="dxa"/>
            <w:vAlign w:val="bottom"/>
          </w:tcPr>
          <w:p>
            <w:pPr>
              <w:spacing w:after="0"/>
              <w:rPr>
                <w:sz w:val="12"/>
                <w:szCs w:val="12"/>
                <w:color w:val="auto"/>
              </w:rPr>
            </w:pPr>
          </w:p>
        </w:tc>
      </w:tr>
      <w:tr>
        <w:trPr>
          <w:trHeight w:val="168"/>
        </w:trPr>
        <w:tc>
          <w:tcPr>
            <w:tcW w:w="800" w:type="dxa"/>
            <w:vAlign w:val="bottom"/>
            <w:tcBorders>
              <w:bottom w:val="single" w:sz="8" w:color="CCEE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9B.</w:t>
            </w:r>
          </w:p>
        </w:tc>
        <w:tc>
          <w:tcPr>
            <w:tcW w:w="1060" w:type="dxa"/>
            <w:vAlign w:val="bottom"/>
            <w:tcBorders>
              <w:top w:val="single" w:sz="8" w:color="0000EE"/>
              <w:bottom w:val="single" w:sz="8" w:color="0000EE"/>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w w:val="94"/>
              </w:rPr>
              <w:t>Other Information</w:t>
            </w:r>
          </w:p>
        </w:tc>
        <w:tc>
          <w:tcPr>
            <w:tcW w:w="36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8540" w:type="dxa"/>
            <w:vAlign w:val="bottom"/>
            <w:tcBorders>
              <w:bottom w:val="single" w:sz="8" w:color="CCEEFF"/>
            </w:tcBorders>
            <w:gridSpan w:val="14"/>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120</w:t>
            </w:r>
          </w:p>
        </w:tc>
        <w:tc>
          <w:tcPr>
            <w:tcW w:w="20" w:type="dxa"/>
            <w:vAlign w:val="bottom"/>
          </w:tcPr>
          <w:p>
            <w:pPr>
              <w:spacing w:after="0"/>
              <w:rPr>
                <w:sz w:val="14"/>
                <w:szCs w:val="14"/>
                <w:color w:val="auto"/>
              </w:rPr>
            </w:pPr>
          </w:p>
        </w:tc>
      </w:tr>
      <w:tr>
        <w:trPr>
          <w:trHeight w:val="148"/>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9C.</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Disclosure Regarding Foreign Jurisdictions that Prevent Inspections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120</w:t>
            </w:r>
          </w:p>
        </w:tc>
        <w:tc>
          <w:tcPr>
            <w:tcW w:w="20" w:type="dxa"/>
            <w:vAlign w:val="bottom"/>
          </w:tcPr>
          <w:p>
            <w:pPr>
              <w:spacing w:after="0"/>
              <w:rPr>
                <w:sz w:val="12"/>
                <w:szCs w:val="12"/>
                <w:color w:val="auto"/>
              </w:rPr>
            </w:pPr>
          </w:p>
        </w:tc>
      </w:tr>
      <w:tr>
        <w:trPr>
          <w:trHeight w:val="161"/>
        </w:trPr>
        <w:tc>
          <w:tcPr>
            <w:tcW w:w="640" w:type="dxa"/>
            <w:vAlign w:val="bottom"/>
            <w:tcBorders>
              <w:bottom w:val="single" w:sz="8" w:color="0000EE"/>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0000EE"/>
                <w:w w:val="94"/>
              </w:rPr>
              <w:t>PART III.</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top w:val="single" w:sz="8" w:color="0000EE"/>
              <w:bottom w:val="single" w:sz="8" w:color="CCEEFF"/>
            </w:tcBorders>
            <w:shd w:val="clear" w:color="auto" w:fill="CCEEFF"/>
          </w:tcPr>
          <w:p>
            <w:pPr>
              <w:spacing w:after="0"/>
              <w:rPr>
                <w:sz w:val="14"/>
                <w:szCs w:val="14"/>
                <w:color w:val="auto"/>
              </w:rPr>
            </w:pPr>
          </w:p>
        </w:tc>
        <w:tc>
          <w:tcPr>
            <w:tcW w:w="60" w:type="dxa"/>
            <w:vAlign w:val="bottom"/>
            <w:tcBorders>
              <w:top w:val="single" w:sz="8" w:color="0000EE"/>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EE"/>
              <w:left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0000EE"/>
              <w:bottom w:val="single" w:sz="8" w:color="CCEEFF"/>
            </w:tcBorders>
            <w:shd w:val="clear" w:color="auto" w:fill="CCEEFF"/>
          </w:tcPr>
          <w:p>
            <w:pPr>
              <w:spacing w:after="0"/>
              <w:rPr>
                <w:sz w:val="14"/>
                <w:szCs w:val="14"/>
                <w:color w:val="auto"/>
              </w:rPr>
            </w:pPr>
          </w:p>
        </w:tc>
        <w:tc>
          <w:tcPr>
            <w:tcW w:w="240" w:type="dxa"/>
            <w:vAlign w:val="bottom"/>
            <w:tcBorders>
              <w:top w:val="single" w:sz="8" w:color="0000EE"/>
              <w:bottom w:val="single" w:sz="8" w:color="CCEEFF"/>
            </w:tcBorders>
            <w:shd w:val="clear" w:color="auto" w:fill="CCEEFF"/>
          </w:tcPr>
          <w:p>
            <w:pPr>
              <w:spacing w:after="0"/>
              <w:rPr>
                <w:sz w:val="14"/>
                <w:szCs w:val="14"/>
                <w:color w:val="auto"/>
              </w:rPr>
            </w:pPr>
          </w:p>
        </w:tc>
        <w:tc>
          <w:tcPr>
            <w:tcW w:w="20" w:type="dxa"/>
            <w:vAlign w:val="bottom"/>
            <w:tcBorders>
              <w:top w:val="single" w:sz="8" w:color="0000EE"/>
              <w:bottom w:val="single" w:sz="8" w:color="CCEEFF"/>
            </w:tcBorders>
            <w:shd w:val="clear" w:color="auto" w:fill="CCEEFF"/>
          </w:tcPr>
          <w:p>
            <w:pPr>
              <w:spacing w:after="0"/>
              <w:rPr>
                <w:sz w:val="14"/>
                <w:szCs w:val="14"/>
                <w:color w:val="auto"/>
              </w:rPr>
            </w:pPr>
          </w:p>
        </w:tc>
        <w:tc>
          <w:tcPr>
            <w:tcW w:w="160" w:type="dxa"/>
            <w:vAlign w:val="bottom"/>
            <w:tcBorders>
              <w:top w:val="single" w:sz="8" w:color="0000EE"/>
              <w:bottom w:val="single" w:sz="8" w:color="CCEEFF"/>
            </w:tcBorders>
            <w:shd w:val="clear" w:color="auto" w:fill="CCEEFF"/>
          </w:tcPr>
          <w:p>
            <w:pPr>
              <w:spacing w:after="0"/>
              <w:rPr>
                <w:sz w:val="14"/>
                <w:szCs w:val="14"/>
                <w:color w:val="auto"/>
              </w:rPr>
            </w:pPr>
          </w:p>
        </w:tc>
        <w:tc>
          <w:tcPr>
            <w:tcW w:w="180" w:type="dxa"/>
            <w:vAlign w:val="bottom"/>
            <w:tcBorders>
              <w:top w:val="single" w:sz="8" w:color="0000EE"/>
              <w:bottom w:val="single" w:sz="8" w:color="CCEEFF"/>
            </w:tcBorders>
            <w:shd w:val="clear" w:color="auto" w:fill="CCEEFF"/>
          </w:tcPr>
          <w:p>
            <w:pPr>
              <w:spacing w:after="0"/>
              <w:rPr>
                <w:sz w:val="14"/>
                <w:szCs w:val="14"/>
                <w:color w:val="auto"/>
              </w:rPr>
            </w:pPr>
          </w:p>
        </w:tc>
        <w:tc>
          <w:tcPr>
            <w:tcW w:w="40" w:type="dxa"/>
            <w:vAlign w:val="bottom"/>
            <w:tcBorders>
              <w:top w:val="single" w:sz="8" w:color="0000EE"/>
              <w:bottom w:val="single" w:sz="8" w:color="CCEEFF"/>
            </w:tcBorders>
            <w:shd w:val="clear" w:color="auto" w:fill="CCEEFF"/>
          </w:tcPr>
          <w:p>
            <w:pPr>
              <w:spacing w:after="0"/>
              <w:rPr>
                <w:sz w:val="14"/>
                <w:szCs w:val="14"/>
                <w:color w:val="auto"/>
              </w:rPr>
            </w:pPr>
          </w:p>
        </w:tc>
        <w:tc>
          <w:tcPr>
            <w:tcW w:w="180" w:type="dxa"/>
            <w:vAlign w:val="bottom"/>
            <w:tcBorders>
              <w:top w:val="single" w:sz="8" w:color="0000EE"/>
              <w:bottom w:val="single" w:sz="8" w:color="CCEEFF"/>
            </w:tcBorders>
            <w:shd w:val="clear" w:color="auto" w:fill="CCEEFF"/>
          </w:tcPr>
          <w:p>
            <w:pPr>
              <w:spacing w:after="0"/>
              <w:rPr>
                <w:sz w:val="14"/>
                <w:szCs w:val="14"/>
                <w:color w:val="auto"/>
              </w:rPr>
            </w:pPr>
          </w:p>
        </w:tc>
        <w:tc>
          <w:tcPr>
            <w:tcW w:w="660" w:type="dxa"/>
            <w:vAlign w:val="bottom"/>
            <w:tcBorders>
              <w:top w:val="single" w:sz="8" w:color="0000EE"/>
              <w:bottom w:val="single" w:sz="8" w:color="CCEEFF"/>
            </w:tcBorders>
            <w:shd w:val="clear" w:color="auto" w:fill="CCEEFF"/>
          </w:tcPr>
          <w:p>
            <w:pPr>
              <w:spacing w:after="0"/>
              <w:rPr>
                <w:sz w:val="14"/>
                <w:szCs w:val="14"/>
                <w:color w:val="auto"/>
              </w:rPr>
            </w:pPr>
          </w:p>
        </w:tc>
        <w:tc>
          <w:tcPr>
            <w:tcW w:w="240" w:type="dxa"/>
            <w:vAlign w:val="bottom"/>
            <w:tcBorders>
              <w:top w:val="single" w:sz="8" w:color="0000EE"/>
              <w:bottom w:val="single" w:sz="8" w:color="CCEEFF"/>
            </w:tcBorders>
            <w:shd w:val="clear" w:color="auto" w:fill="CCEEFF"/>
          </w:tcPr>
          <w:p>
            <w:pPr>
              <w:spacing w:after="0"/>
              <w:rPr>
                <w:sz w:val="14"/>
                <w:szCs w:val="14"/>
                <w:color w:val="auto"/>
              </w:rPr>
            </w:pPr>
          </w:p>
        </w:tc>
        <w:tc>
          <w:tcPr>
            <w:tcW w:w="140" w:type="dxa"/>
            <w:vAlign w:val="bottom"/>
            <w:tcBorders>
              <w:top w:val="single" w:sz="8" w:color="0000EE"/>
              <w:bottom w:val="single" w:sz="8" w:color="CCEEFF"/>
            </w:tcBorders>
            <w:shd w:val="clear" w:color="auto" w:fill="CCEEFF"/>
          </w:tcPr>
          <w:p>
            <w:pPr>
              <w:spacing w:after="0"/>
              <w:rPr>
                <w:sz w:val="14"/>
                <w:szCs w:val="14"/>
                <w:color w:val="auto"/>
              </w:rPr>
            </w:pPr>
          </w:p>
        </w:tc>
        <w:tc>
          <w:tcPr>
            <w:tcW w:w="620" w:type="dxa"/>
            <w:vAlign w:val="bottom"/>
            <w:tcBorders>
              <w:top w:val="single" w:sz="8" w:color="0000EE"/>
              <w:bottom w:val="single" w:sz="8" w:color="CCEEFF"/>
            </w:tcBorders>
            <w:shd w:val="clear" w:color="auto" w:fill="CCEEFF"/>
          </w:tcPr>
          <w:p>
            <w:pPr>
              <w:spacing w:after="0"/>
              <w:rPr>
                <w:sz w:val="14"/>
                <w:szCs w:val="14"/>
                <w:color w:val="auto"/>
              </w:rPr>
            </w:pPr>
          </w:p>
        </w:tc>
        <w:tc>
          <w:tcPr>
            <w:tcW w:w="220" w:type="dxa"/>
            <w:vAlign w:val="bottom"/>
            <w:tcBorders>
              <w:top w:val="single" w:sz="8" w:color="0000EE"/>
              <w:bottom w:val="single" w:sz="8" w:color="CCEEFF"/>
            </w:tcBorders>
            <w:shd w:val="clear" w:color="auto" w:fill="CCEEFF"/>
          </w:tcPr>
          <w:p>
            <w:pPr>
              <w:spacing w:after="0"/>
              <w:rPr>
                <w:sz w:val="14"/>
                <w:szCs w:val="14"/>
                <w:color w:val="auto"/>
              </w:rPr>
            </w:pPr>
          </w:p>
        </w:tc>
        <w:tc>
          <w:tcPr>
            <w:tcW w:w="440" w:type="dxa"/>
            <w:vAlign w:val="bottom"/>
            <w:tcBorders>
              <w:top w:val="single" w:sz="8" w:color="0000EE"/>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10.</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Directors, Executive Officers and Corporate Governance</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2"/>
                <w:szCs w:val="12"/>
                <w:color w:val="auto"/>
              </w:rPr>
            </w:pPr>
          </w:p>
        </w:tc>
      </w:tr>
      <w:tr>
        <w:trPr>
          <w:trHeight w:val="168"/>
        </w:trPr>
        <w:tc>
          <w:tcPr>
            <w:tcW w:w="800" w:type="dxa"/>
            <w:vAlign w:val="bottom"/>
            <w:tcBorders>
              <w:bottom w:val="single" w:sz="8" w:color="CCEE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11.</w:t>
            </w:r>
          </w:p>
        </w:tc>
        <w:tc>
          <w:tcPr>
            <w:tcW w:w="1460" w:type="dxa"/>
            <w:vAlign w:val="bottom"/>
            <w:tcBorders>
              <w:top w:val="single" w:sz="8" w:color="0000EE"/>
              <w:bottom w:val="single" w:sz="8" w:color="0000EE"/>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w w:val="95"/>
              </w:rPr>
              <w:t>Executive Compensation</w:t>
            </w:r>
          </w:p>
        </w:tc>
        <w:tc>
          <w:tcPr>
            <w:tcW w:w="1840" w:type="dxa"/>
            <w:vAlign w:val="bottom"/>
            <w:tcBorders>
              <w:top w:val="single" w:sz="8" w:color="0000EE"/>
              <w:bottom w:val="single" w:sz="8" w:color="CCEEFF"/>
            </w:tcBorders>
            <w:gridSpan w:val="5"/>
            <w:shd w:val="clear" w:color="auto" w:fill="CCEEFF"/>
          </w:tcPr>
          <w:p>
            <w:pPr>
              <w:spacing w:after="0"/>
              <w:rPr>
                <w:sz w:val="14"/>
                <w:szCs w:val="14"/>
                <w:color w:val="auto"/>
              </w:rPr>
            </w:pPr>
          </w:p>
        </w:tc>
        <w:tc>
          <w:tcPr>
            <w:tcW w:w="6660" w:type="dxa"/>
            <w:vAlign w:val="bottom"/>
            <w:tcBorders>
              <w:bottom w:val="single" w:sz="8" w:color="CCEEFF"/>
            </w:tcBorders>
            <w:gridSpan w:val="8"/>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4"/>
                <w:szCs w:val="14"/>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12.</w:t>
            </w:r>
          </w:p>
        </w:tc>
        <w:tc>
          <w:tcPr>
            <w:tcW w:w="5900" w:type="dxa"/>
            <w:vAlign w:val="bottom"/>
            <w:tcBorders>
              <w:bottom w:val="single" w:sz="8" w:color="0000EE"/>
            </w:tcBorders>
            <w:gridSpan w:val="20"/>
          </w:tcPr>
          <w:p>
            <w:pPr>
              <w:spacing w:after="0" w:line="142" w:lineRule="exact"/>
              <w:rPr>
                <w:sz w:val="20"/>
                <w:szCs w:val="20"/>
                <w:color w:val="auto"/>
              </w:rPr>
            </w:pPr>
            <w:r>
              <w:rPr>
                <w:rFonts w:ascii="Times New Roman" w:cs="Times New Roman" w:eastAsia="Times New Roman" w:hAnsi="Times New Roman"/>
                <w:sz w:val="15"/>
                <w:szCs w:val="15"/>
                <w:color w:val="0000EE"/>
                <w:w w:val="96"/>
              </w:rPr>
              <w:t>Security Ownership of Certain Beneficial Owners and Management and Related Stockholder Matters</w:t>
            </w:r>
          </w:p>
        </w:tc>
        <w:tc>
          <w:tcPr>
            <w:tcW w:w="406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2"/>
                <w:szCs w:val="12"/>
                <w:color w:val="auto"/>
              </w:rPr>
            </w:pPr>
          </w:p>
        </w:tc>
      </w:tr>
      <w:tr>
        <w:trPr>
          <w:trHeight w:val="168"/>
        </w:trPr>
        <w:tc>
          <w:tcPr>
            <w:tcW w:w="8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13.</w:t>
            </w:r>
          </w:p>
        </w:tc>
        <w:tc>
          <w:tcPr>
            <w:tcW w:w="9960" w:type="dxa"/>
            <w:vAlign w:val="bottom"/>
            <w:gridSpan w:val="2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rPr>
              <w:t>Certain Relationships and Related Transactions, and Director Independence</w:t>
            </w: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4"/>
                <w:szCs w:val="14"/>
                <w:color w:val="auto"/>
              </w:rPr>
            </w:pPr>
          </w:p>
        </w:tc>
      </w:tr>
      <w:tr>
        <w:trPr>
          <w:trHeight w:val="148"/>
        </w:trPr>
        <w:tc>
          <w:tcPr>
            <w:tcW w:w="800" w:type="dxa"/>
            <w:vAlign w:val="bottom"/>
            <w:tcBorders>
              <w:top w:val="single" w:sz="8" w:color="CCEEFF"/>
            </w:tcBorders>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14.</w:t>
            </w:r>
          </w:p>
        </w:tc>
        <w:tc>
          <w:tcPr>
            <w:tcW w:w="4400" w:type="dxa"/>
            <w:vAlign w:val="bottom"/>
            <w:tcBorders>
              <w:top w:val="single" w:sz="8" w:color="0000EE"/>
            </w:tcBorders>
            <w:gridSpan w:val="17"/>
          </w:tcPr>
          <w:p>
            <w:pPr>
              <w:spacing w:after="0" w:line="142" w:lineRule="exact"/>
              <w:rPr>
                <w:sz w:val="20"/>
                <w:szCs w:val="20"/>
                <w:color w:val="auto"/>
              </w:rPr>
            </w:pPr>
            <w:r>
              <w:rPr>
                <w:rFonts w:ascii="Times New Roman" w:cs="Times New Roman" w:eastAsia="Times New Roman" w:hAnsi="Times New Roman"/>
                <w:sz w:val="15"/>
                <w:szCs w:val="15"/>
                <w:color w:val="0000EE"/>
              </w:rPr>
              <w:t>Principal Accountant Fees and Services</w:t>
            </w:r>
          </w:p>
        </w:tc>
        <w:tc>
          <w:tcPr>
            <w:tcW w:w="5560" w:type="dxa"/>
            <w:vAlign w:val="bottom"/>
            <w:tcBorders>
              <w:top w:val="single" w:sz="8" w:color="CCEEFF"/>
            </w:tcBorders>
            <w:gridSpan w:val="5"/>
          </w:tcPr>
          <w:p>
            <w:pPr>
              <w:spacing w:after="0"/>
              <w:rPr>
                <w:sz w:val="12"/>
                <w:szCs w:val="12"/>
                <w:color w:val="auto"/>
              </w:rPr>
            </w:pPr>
          </w:p>
        </w:tc>
        <w:tc>
          <w:tcPr>
            <w:tcW w:w="5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121</w:t>
            </w:r>
          </w:p>
        </w:tc>
        <w:tc>
          <w:tcPr>
            <w:tcW w:w="20" w:type="dxa"/>
            <w:vAlign w:val="bottom"/>
          </w:tcPr>
          <w:p>
            <w:pPr>
              <w:spacing w:after="0"/>
              <w:rPr>
                <w:sz w:val="12"/>
                <w:szCs w:val="12"/>
                <w:color w:val="auto"/>
              </w:rPr>
            </w:pPr>
          </w:p>
        </w:tc>
      </w:tr>
      <w:tr>
        <w:trPr>
          <w:trHeight w:val="181"/>
        </w:trPr>
        <w:tc>
          <w:tcPr>
            <w:tcW w:w="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PART IV.</w:t>
            </w:r>
          </w:p>
        </w:tc>
        <w:tc>
          <w:tcPr>
            <w:tcW w:w="5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right w:val="single" w:sz="8" w:color="CCEEFF"/>
            </w:tcBorders>
            <w:shd w:val="clear" w:color="auto" w:fill="CCEEFF"/>
          </w:tcPr>
          <w:p>
            <w:pPr>
              <w:spacing w:after="0"/>
              <w:rPr>
                <w:sz w:val="15"/>
                <w:szCs w:val="15"/>
                <w:color w:val="auto"/>
              </w:rPr>
            </w:pPr>
          </w:p>
        </w:tc>
        <w:tc>
          <w:tcPr>
            <w:tcW w:w="140" w:type="dxa"/>
            <w:vAlign w:val="bottom"/>
            <w:tcBorders>
              <w:top w:val="single" w:sz="8" w:color="0000EE"/>
              <w:left w:val="single" w:sz="8" w:color="CCEEFF"/>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24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660" w:type="dxa"/>
            <w:vAlign w:val="bottom"/>
            <w:tcBorders>
              <w:top w:val="single" w:sz="8" w:color="0000EE"/>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800" w:type="dxa"/>
            <w:vAlign w:val="bottom"/>
            <w:gridSpan w:val="4"/>
          </w:tcPr>
          <w:p>
            <w:pPr>
              <w:spacing w:after="0" w:line="142" w:lineRule="exact"/>
              <w:rPr>
                <w:sz w:val="20"/>
                <w:szCs w:val="20"/>
                <w:color w:val="auto"/>
              </w:rPr>
            </w:pPr>
            <w:r>
              <w:rPr>
                <w:rFonts w:ascii="Times New Roman" w:cs="Times New Roman" w:eastAsia="Times New Roman" w:hAnsi="Times New Roman"/>
                <w:sz w:val="15"/>
                <w:szCs w:val="15"/>
                <w:color w:val="auto"/>
              </w:rPr>
              <w:t>Item 15.</w:t>
            </w:r>
          </w:p>
        </w:tc>
        <w:tc>
          <w:tcPr>
            <w:tcW w:w="99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EE"/>
              </w:rPr>
              <w:t>Exhibits and Financial Statement Schedules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122</w:t>
            </w:r>
          </w:p>
        </w:tc>
        <w:tc>
          <w:tcPr>
            <w:tcW w:w="20" w:type="dxa"/>
            <w:vAlign w:val="bottom"/>
          </w:tcPr>
          <w:p>
            <w:pPr>
              <w:spacing w:after="0"/>
              <w:rPr>
                <w:sz w:val="12"/>
                <w:szCs w:val="12"/>
                <w:color w:val="auto"/>
              </w:rPr>
            </w:pPr>
          </w:p>
        </w:tc>
      </w:tr>
      <w:tr>
        <w:trPr>
          <w:trHeight w:val="168"/>
        </w:trPr>
        <w:tc>
          <w:tcPr>
            <w:tcW w:w="8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16.</w:t>
            </w:r>
          </w:p>
        </w:tc>
        <w:tc>
          <w:tcPr>
            <w:tcW w:w="2540" w:type="dxa"/>
            <w:vAlign w:val="bottom"/>
            <w:tcBorders>
              <w:top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rPr>
              <w:t>Form 10-K Summary</w:t>
            </w:r>
          </w:p>
        </w:tc>
        <w:tc>
          <w:tcPr>
            <w:tcW w:w="7420" w:type="dxa"/>
            <w:vAlign w:val="bottom"/>
            <w:gridSpan w:val="10"/>
            <w:shd w:val="clear" w:color="auto" w:fill="CCEEFF"/>
          </w:tcPr>
          <w:p>
            <w:pPr>
              <w:spacing w:after="0"/>
              <w:rPr>
                <w:sz w:val="14"/>
                <w:szCs w:val="14"/>
                <w:color w:val="auto"/>
              </w:rPr>
            </w:pPr>
          </w:p>
        </w:tc>
        <w:tc>
          <w:tcPr>
            <w:tcW w:w="5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123</w:t>
            </w:r>
          </w:p>
        </w:tc>
        <w:tc>
          <w:tcPr>
            <w:tcW w:w="20" w:type="dxa"/>
            <w:vAlign w:val="bottom"/>
          </w:tcPr>
          <w:p>
            <w:pPr>
              <w:spacing w:after="0"/>
              <w:rPr>
                <w:sz w:val="14"/>
                <w:szCs w:val="14"/>
                <w:color w:val="auto"/>
              </w:rPr>
            </w:pPr>
          </w:p>
        </w:tc>
      </w:tr>
      <w:tr>
        <w:trPr>
          <w:trHeight w:val="142"/>
        </w:trPr>
        <w:tc>
          <w:tcPr>
            <w:tcW w:w="5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40" w:type="dxa"/>
            <w:vAlign w:val="bottom"/>
            <w:tcBorders>
              <w:top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5"/>
                <w:szCs w:val="15"/>
                <w:color w:val="0000EE"/>
              </w:rPr>
              <w:t>Signatures</w:t>
            </w:r>
          </w:p>
        </w:tc>
        <w:tc>
          <w:tcPr>
            <w:tcW w:w="8720" w:type="dxa"/>
            <w:vAlign w:val="bottom"/>
            <w:tcBorders>
              <w:top w:val="single" w:sz="8" w:color="CCEEFF"/>
            </w:tcBorders>
            <w:gridSpan w:val="15"/>
          </w:tcPr>
          <w:p>
            <w:pPr>
              <w:spacing w:after="0"/>
              <w:rPr>
                <w:sz w:val="12"/>
                <w:szCs w:val="12"/>
                <w:color w:val="auto"/>
              </w:rPr>
            </w:pPr>
          </w:p>
        </w:tc>
        <w:tc>
          <w:tcPr>
            <w:tcW w:w="520" w:type="dxa"/>
            <w:vAlign w:val="bottom"/>
            <w:tcBorders>
              <w:top w:val="single" w:sz="8" w:color="CCEEFF"/>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124</w:t>
            </w:r>
          </w:p>
        </w:tc>
        <w:tc>
          <w:tcPr>
            <w:tcW w:w="20" w:type="dxa"/>
            <w:vAlign w:val="bottom"/>
          </w:tcPr>
          <w:p>
            <w:pPr>
              <w:spacing w:after="0"/>
              <w:rPr>
                <w:sz w:val="12"/>
                <w:szCs w:val="12"/>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SuRo Capital</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We have elected to be regulated as a business development company (“BDC”) under the Investment Company Act of 1940, as amended (the “1940 Act”), and have elected to be treated, and intend to qualify annually, as a regulated investment company (“RIC”) under Subchapter M of the Internal Revenue Code of 1986, as amended (the “Code”).</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date of inception was January 6, 2011, which is the date we commenced development stage activities. We commenced operations as a BDC upon completion of our initial public offering (“IPO”) in May 2011 and began our investment operations during the second quarter of 2011. See “Management’s Discussion and Analysis of Financial Condition and Results of Operations” in Part II, Item 7 of this Form 10-K.</w:t>
      </w:r>
    </w:p>
    <w:p>
      <w:pPr>
        <w:spacing w:after="0" w:line="149"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On and effective June 22, 2020, we changed our name to “SuRo Capital Corp.” from “Sutter Rock Capital Corp.” On and effective March 12, 2019, our board of directors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our management.</w:t>
      </w:r>
    </w:p>
    <w:p>
      <w:pPr>
        <w:spacing w:after="0" w:line="134"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or through investment funds or special purpose vehicles (“SPVs”) established for the purpose of investing in the securities of a single private issuer. In addition, we may invest in private credit and in the founders equity, founders warrants,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5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Our investment philosophy is based on a disciplined approach of identifying promising investments in high-growth, venture-backed companies across several key industry themes, which may include, among others, software-as-a-service, artificial intelligence infrastructure &amp; applications, consumer goods &amp; services, education technology, logistics &amp; supply chain, financial technology &amp; services, and SuRo Sports (as defined below). Our investment decisions are based on a disciplined analysis of available information regarding each potential portfolio company’s business operations, focusing on the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5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raisings to meet our operating needs if no other source of liquidity is available.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seek to create a low-turnover portfolio that includes investments in companies representing a broad range of investment themes.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Our common stock is traded on the Nasdaq Global Select Market under the symbol “SSSS”. The net asset value per share of our common stock on December 31, 2024 was $6.68. On March 11, 2025, the last reported sale price of a share of our common stock on the Nasdaq Global Select Market was $5.27.</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and Regulatory Structure</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formed in 2010 as a Maryland corporation and operate as an internally managed, non-diversified closed-end management investment company. As an internally managed BDC, we are managed by our employees, rather than the employees of an external investment adviser, thereby allowing for greater transparency to stockholders through robust disclosure regarding our compensation structure. Our investment activities are supervised by our Board of Directors and managed by our executive officers and investments professionals, all of which are our employees.</w:t>
      </w:r>
    </w:p>
    <w:p>
      <w:pPr>
        <w:spacing w:after="0" w:line="152"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As a BDC, we are subject to certain regulatory requirements. See “—Regulation as a BDC.” Also, while we are permitted to finance investments using debt, our ability to use debt is limited in certain significant aspects.</w:t>
      </w:r>
    </w:p>
    <w:p>
      <w:pPr>
        <w:spacing w:after="0" w:line="141"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4"/>
          <w:szCs w:val="14"/>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(the “SBCAA”)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regarding, among other things, the receipt of approval to increase our leverage, our leverage capacity and usage, and risks related to leverage. We currently do not intend to seek stockholder approval or approval from our Board of Directors to increase our leverage capacity as set forth above. See “Risk Factors” in Part I, Item 1A of this Form 10-K for more information.</w:t>
      </w:r>
    </w:p>
    <w:p>
      <w:pPr>
        <w:spacing w:after="0" w:line="145"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We have elected to be treated as a RIC under Subchapter M of the Code and expect to continue to operate in a manner so as to qualify for the tax treatment applicable to RICs. See “— Material U.S. Federal Income Tax Considerations” and “Note 2—Significant Accounting Policies—</w:t>
      </w:r>
      <w:r>
        <w:rPr>
          <w:rFonts w:ascii="Times New Roman" w:cs="Times New Roman" w:eastAsia="Times New Roman" w:hAnsi="Times New Roman"/>
          <w:sz w:val="15"/>
          <w:szCs w:val="15"/>
          <w:i w:val="1"/>
          <w:iCs w:val="1"/>
          <w:color w:val="auto"/>
        </w:rPr>
        <w:t>U.S. Federal and State Income Taxes</w:t>
      </w:r>
      <w:r>
        <w:rPr>
          <w:rFonts w:ascii="Times New Roman" w:cs="Times New Roman" w:eastAsia="Times New Roman" w:hAnsi="Times New Roman"/>
          <w:sz w:val="15"/>
          <w:szCs w:val="15"/>
          <w:color w:val="auto"/>
        </w:rPr>
        <w:t>” and “Note 9—Income Taxes” to our Consolidated Financial Statements for the year ended December 31, 2024 for more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Resources</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As of December 31, 2024, we had ten employees, each of whom was directly employed by us. These employees include our executive officers, investment and finance professionals, and administrative staff. All of our employees are located in the United States at our principal executive office and headquarters located at 640 Fifth Avenue, 12th Floor, New York, NY 10019 and our additional office located at One Sansome Street, Suite 730, San Francisco, CA 94104. Our telephone number is (212) 931-6331.</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As an internally managed BDC, the success of our business and investment strategy, including achieving our investment objective, depends in material part on our employees. We depend upon the members of our management team and our investment professionals for the identification, final selection, structuring, closing and monitoring of our investments. These 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“Risk Factors” in Part I, Item 1A of this Form 10-K.</w:t>
      </w:r>
    </w:p>
    <w:p>
      <w:pPr>
        <w:spacing w:after="0" w:line="15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Opportunity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believe that society is experiencing a convergence of numerous disruptive trends, producing new high-growth markets.</w:t>
      </w:r>
    </w:p>
    <w:p>
      <w:pPr>
        <w:spacing w:after="0" w:line="17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However, we believe structural changes in the equity capital markets have made accessing these opportunities more difficult for the average investor. In the public markets, both volatility and heightened investor demand for a longer history of financial performance have incentivized companies to stay private significantly longer than they have in the past. Furthermore, increased public company compliance obligations, such as those imposed by the Sarbanes-Oxley Act of 2002 (the “Sarbanes-Oxley Act”) and the Dodd-Frank Wall Street Reform and Consumer Protection Act (the “Dodd-Frank Act”), have made it more costly and therefore less attractive to become a public company. Meanwhile, in the private markets, the significant growth of the venture capital ecosystem has made private financing more readily available. As a result, there are significantly fewer IPOs today than there were during the 1990s, with prospective public companies taking longer to come to market.</w:t>
      </w:r>
    </w:p>
    <w:p>
      <w:pPr>
        <w:spacing w:after="0" w:line="15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We believe these trends underscore one of our key value propositions to shareholders: while value creation has increasingly taken place in the private markets, access to this value creation has generally been limited to venture capital, private equity and similar large institutional investors. Our goal is to broaden access to this value creation through our portfolio of high-growth, private technology companies. Additionally, as a publicly traded BDC, we provide investors liquidity in an asset class that has historically been highly illiquid.</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Finally, we believe our focus on growth-stage and pre-IPO companies offers a compelling entry point for investors. Unlike early-stage venture capital funds, whose portfolio companies generally are earlier in their life-cycle with longer timelines to potential exits, we primarily invest in late-stage companies with relatively shorter time horizons to expected liquidity. As a result, we offer shareholders access to private technology companies before their expected liquidity events, such as an IPO, but with relatively shorter time horizons to liquidity compared to traditional venture capital funds.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Strategy</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4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37" w:lineRule="exact"/>
        <w:rPr>
          <w:sz w:val="20"/>
          <w:szCs w:val="20"/>
          <w:color w:val="auto"/>
        </w:rPr>
      </w:pPr>
    </w:p>
    <w:p>
      <w:pPr>
        <w:jc w:val="both"/>
        <w:ind w:left="540" w:hanging="270"/>
        <w:spacing w:after="0" w:line="253" w:lineRule="auto"/>
        <w:tabs>
          <w:tab w:leader="none" w:pos="540" w:val="left"/>
        </w:tabs>
        <w:numPr>
          <w:ilvl w:val="0"/>
          <w:numId w:val="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Identify high quality growth companies. </w:t>
      </w:r>
      <w:r>
        <w:rPr>
          <w:rFonts w:ascii="Times New Roman" w:cs="Times New Roman" w:eastAsia="Times New Roman" w:hAnsi="Times New Roman"/>
          <w:sz w:val="15"/>
          <w:szCs w:val="15"/>
          <w:color w:val="auto"/>
        </w:rPr>
        <w:t>Based on our extensive experience in analyzing technology trends and markets, we have identified several technology sub-sectors, including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software-as-a-service, artificial intelligence infrastructure &amp; applications, education technology, and financial technology and services,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151" w:lineRule="exact"/>
        <w:rPr>
          <w:sz w:val="20"/>
          <w:szCs w:val="20"/>
          <w:color w:val="auto"/>
        </w:rPr>
      </w:pPr>
    </w:p>
    <w:p>
      <w:pPr>
        <w:jc w:val="both"/>
        <w:ind w:left="260" w:firstLine="262"/>
        <w:spacing w:after="0" w:line="255" w:lineRule="auto"/>
        <w:rPr>
          <w:sz w:val="20"/>
          <w:szCs w:val="20"/>
          <w:color w:val="auto"/>
        </w:rPr>
      </w:pPr>
      <w:r>
        <w:rPr>
          <w:rFonts w:ascii="Times New Roman" w:cs="Times New Roman" w:eastAsia="Times New Roman" w:hAnsi="Times New Roman"/>
          <w:sz w:val="15"/>
          <w:szCs w:val="15"/>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target businesses that have been shown to provide scaled valuation growth before a potential IPO or strategic exit.</w:t>
      </w:r>
    </w:p>
    <w:p>
      <w:pPr>
        <w:spacing w:after="0" w:line="145" w:lineRule="exact"/>
        <w:rPr>
          <w:sz w:val="20"/>
          <w:szCs w:val="20"/>
          <w:color w:val="auto"/>
        </w:rPr>
      </w:pPr>
    </w:p>
    <w:p>
      <w:pPr>
        <w:ind w:left="540" w:hanging="270"/>
        <w:spacing w:after="0" w:line="272" w:lineRule="auto"/>
        <w:tabs>
          <w:tab w:leader="none" w:pos="540" w:val="left"/>
        </w:tabs>
        <w:numPr>
          <w:ilvl w:val="0"/>
          <w:numId w:val="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Acquire positions in targeted investments. </w:t>
      </w:r>
      <w:r>
        <w:rPr>
          <w:rFonts w:ascii="Times New Roman" w:cs="Times New Roman" w:eastAsia="Times New Roman" w:hAnsi="Times New Roman"/>
          <w:sz w:val="15"/>
          <w:szCs w:val="15"/>
          <w:color w:val="auto"/>
        </w:rPr>
        <w:t>We seek to selectively add to our portfolio by sourcing investments at an acceptable price through our disciplined investing strategy. To this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end, we utilize multiple methods to acquire equity stakes in private companies that are not available to many individual investors.</w:t>
      </w:r>
    </w:p>
    <w:p>
      <w:pPr>
        <w:spacing w:after="0" w:line="135" w:lineRule="exact"/>
        <w:rPr>
          <w:sz w:val="20"/>
          <w:szCs w:val="20"/>
          <w:color w:val="auto"/>
        </w:rPr>
      </w:pPr>
    </w:p>
    <w:p>
      <w:pPr>
        <w:jc w:val="both"/>
        <w:ind w:left="260" w:firstLine="262"/>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Direct equity investments. </w:t>
      </w:r>
      <w:r>
        <w:rPr>
          <w:rFonts w:ascii="Times New Roman" w:cs="Times New Roman" w:eastAsia="Times New Roman" w:hAnsi="Times New Roman"/>
          <w:sz w:val="15"/>
          <w:szCs w:val="15"/>
          <w:color w:val="auto"/>
        </w:rPr>
        <w:t>We seek direct investments in private companies. There is a large market among emerging private companies for equity capital investments. Many of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49" w:lineRule="exact"/>
        <w:rPr>
          <w:sz w:val="20"/>
          <w:szCs w:val="20"/>
          <w:color w:val="auto"/>
        </w:rPr>
      </w:pPr>
    </w:p>
    <w:p>
      <w:pPr>
        <w:jc w:val="both"/>
        <w:ind w:left="260" w:firstLine="262"/>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Private secondary marketplaces and direct share purchases. </w:t>
      </w:r>
      <w:r>
        <w:rPr>
          <w:rFonts w:ascii="Times New Roman" w:cs="Times New Roman" w:eastAsia="Times New Roman" w:hAnsi="Times New Roman"/>
          <w:sz w:val="14"/>
          <w:szCs w:val="14"/>
          <w:color w:val="auto"/>
        </w:rPr>
        <w:t>We also utilize private secondary marketplaces as a means to acquire equity and equity-related interests in privately held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 Finally, we may invest through investment funds or SPVs established for the purpose of investing in the securities of a single private issuer.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jc w:val="both"/>
        <w:ind w:left="540" w:hanging="270"/>
        <w:spacing w:after="0" w:line="257" w:lineRule="auto"/>
        <w:tabs>
          <w:tab w:leader="none" w:pos="540" w:val="left"/>
        </w:tabs>
        <w:numPr>
          <w:ilvl w:val="0"/>
          <w:numId w:val="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Create access to a varied investment portfolio. </w:t>
      </w:r>
      <w:r>
        <w:rPr>
          <w:rFonts w:ascii="Times New Roman" w:cs="Times New Roman" w:eastAsia="Times New Roman" w:hAnsi="Times New Roman"/>
          <w:sz w:val="15"/>
          <w:szCs w:val="15"/>
          <w:color w:val="auto"/>
        </w:rPr>
        <w:t>We seek to hold a varied portfolio of non-controlling equity investments, which we believe will minimize the impact on our portfolio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Competitive Advantages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believe that we benefit from the following competitive advantages in executing our investment strategy:</w:t>
      </w:r>
    </w:p>
    <w:p>
      <w:pPr>
        <w:spacing w:after="0" w:line="173" w:lineRule="exact"/>
        <w:rPr>
          <w:sz w:val="20"/>
          <w:szCs w:val="20"/>
          <w:color w:val="auto"/>
        </w:rPr>
      </w:pPr>
    </w:p>
    <w:p>
      <w:pPr>
        <w:jc w:val="both"/>
        <w:ind w:left="540" w:hanging="270"/>
        <w:spacing w:after="0" w:line="257" w:lineRule="auto"/>
        <w:tabs>
          <w:tab w:leader="none" w:pos="54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Capable team of investment professionals. </w:t>
      </w:r>
      <w:r>
        <w:rPr>
          <w:rFonts w:ascii="Times New Roman" w:cs="Times New Roman" w:eastAsia="Times New Roman" w:hAnsi="Times New Roman"/>
          <w:sz w:val="15"/>
          <w:szCs w:val="15"/>
          <w:color w:val="auto"/>
        </w:rPr>
        <w:t>Our executive officers, investment professionals, and Board of Directors have significant experience researching and investing in the types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high-growth venture 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540" w:hanging="270"/>
        <w:spacing w:after="0" w:line="257" w:lineRule="auto"/>
        <w:tabs>
          <w:tab w:leader="none" w:pos="54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Disciplined and repeatable investment process. </w:t>
      </w:r>
      <w:r>
        <w:rPr>
          <w:rFonts w:ascii="Times New Roman" w:cs="Times New Roman" w:eastAsia="Times New Roman" w:hAnsi="Times New Roman"/>
          <w:sz w:val="15"/>
          <w:szCs w:val="15"/>
          <w:color w:val="auto"/>
        </w:rPr>
        <w:t>We have established a disciplined and repeatable process to locate and acquire available shares at attractive valuations by utilizing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multiple sources. In contrast to industry “aggregators” that accumulate stock at market prices, we conduct valuation analyses and make acquisitions only when we can invest at valuations that we believe are attractive to our investors.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540" w:hanging="270"/>
        <w:spacing w:after="0" w:line="253" w:lineRule="auto"/>
        <w:tabs>
          <w:tab w:leader="none" w:pos="54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5"/>
          <w:szCs w:val="15"/>
          <w:color w:val="auto"/>
        </w:rPr>
        <w:t>Our executive officers and investment professionals are strategically located in New York, New</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York and at our additional office in San 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146" w:lineRule="exact"/>
        <w:rPr>
          <w:rFonts w:ascii="Times New Roman" w:cs="Times New Roman" w:eastAsia="Times New Roman" w:hAnsi="Times New Roman"/>
          <w:sz w:val="15"/>
          <w:szCs w:val="15"/>
          <w:b w:val="1"/>
          <w:bCs w:val="1"/>
          <w:i w:val="1"/>
          <w:iCs w:val="1"/>
          <w:color w:val="auto"/>
        </w:rPr>
      </w:pPr>
    </w:p>
    <w:p>
      <w:pPr>
        <w:jc w:val="both"/>
        <w:ind w:left="540" w:hanging="270"/>
        <w:spacing w:after="0" w:line="257" w:lineRule="auto"/>
        <w:tabs>
          <w:tab w:leader="none" w:pos="54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Source of permanent investing capital. </w:t>
      </w:r>
      <w:r>
        <w:rPr>
          <w:rFonts w:ascii="Times New Roman" w:cs="Times New Roman" w:eastAsia="Times New Roman" w:hAnsi="Times New Roman"/>
          <w:sz w:val="15"/>
          <w:szCs w:val="15"/>
          <w:color w:val="auto"/>
        </w:rPr>
        <w:t>As a publicly traded corporation, we have access to a source of permanent equity capital that we can use to invest in portfolio companies. This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44" w:lineRule="exact"/>
        <w:rPr>
          <w:rFonts w:ascii="Times New Roman" w:cs="Times New Roman" w:eastAsia="Times New Roman" w:hAnsi="Times New Roman"/>
          <w:sz w:val="15"/>
          <w:szCs w:val="15"/>
          <w:b w:val="1"/>
          <w:bCs w:val="1"/>
          <w:i w:val="1"/>
          <w:iCs w:val="1"/>
          <w:color w:val="auto"/>
        </w:rPr>
      </w:pPr>
    </w:p>
    <w:p>
      <w:pPr>
        <w:jc w:val="both"/>
        <w:ind w:left="540" w:hanging="270"/>
        <w:spacing w:after="0" w:line="249" w:lineRule="auto"/>
        <w:tabs>
          <w:tab w:leader="none" w:pos="540"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 xml:space="preserve">Early mover advantage. </w:t>
      </w:r>
      <w:r>
        <w:rPr>
          <w:rFonts w:ascii="Times New Roman" w:cs="Times New Roman" w:eastAsia="Times New Roman" w:hAnsi="Times New Roman"/>
          <w:sz w:val="15"/>
          <w:szCs w:val="15"/>
          <w:color w:val="auto"/>
        </w:rPr>
        <w:t>We believe we are one of the few publicly traded BDCs with a specific focus on investing in high-growth venture-backed companies. The transactions that we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5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Process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Concentrated Technology-Related Focus</w:t>
      </w:r>
    </w:p>
    <w:p>
      <w:pPr>
        <w:spacing w:after="0" w:line="181"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4"/>
          <w:szCs w:val="14"/>
          <w:color w:val="auto"/>
        </w:rPr>
        <w:t>Our executive officers and investment professionals have identified six key investment themes from which we have seen significant numbers of high-growth companies emerge: software-as-a-service, artificial intelligence infrastructure &amp; applications, consumer goods &amp; services, education technology, logistics &amp; supply chain, and financial technology &amp; services.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Targeting and Screening</w:t>
      </w:r>
    </w:p>
    <w:p>
      <w:pPr>
        <w:spacing w:after="0" w:line="181"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4"/>
          <w:szCs w:val="14"/>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company’s strategy, investor sponsorship, and the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Due Diligence Process</w:t>
      </w:r>
    </w:p>
    <w:p>
      <w:pPr>
        <w:spacing w:after="0" w:line="181"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4"/>
          <w:szCs w:val="14"/>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3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Our due diligence process will vary depending on whether we are investing through a private secondary transaction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Construction and Sourcing</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Transaction Execution</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enter into purchase agreements for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 Management and Monitoring</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investment. We regularly monitor our portfolio for compliance with the diversification requirements for purposes of maintaining our status as a BDC and a RIC for tax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Managerial Assistance</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Portfolio Overview</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shows the fair value of our portfolio of investments by asset class as of December 31, 2024 and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4"/>
          </w:tcPr>
          <w:p>
            <w:pPr>
              <w:jc w:val="right"/>
              <w:ind w:right="1207"/>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80" w:type="dxa"/>
            <w:vAlign w:val="bottom"/>
          </w:tcPr>
          <w:p>
            <w:pPr>
              <w:spacing w:after="0"/>
              <w:rPr>
                <w:sz w:val="16"/>
                <w:szCs w:val="16"/>
                <w:color w:val="auto"/>
              </w:rPr>
            </w:pPr>
          </w:p>
        </w:tc>
        <w:tc>
          <w:tcPr>
            <w:tcW w:w="2860" w:type="dxa"/>
            <w:vAlign w:val="bottom"/>
            <w:gridSpan w:val="4"/>
          </w:tcPr>
          <w:p>
            <w:pPr>
              <w:jc w:val="right"/>
              <w:ind w:right="967"/>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5"/>
                <w:szCs w:val="15"/>
                <w:b w:val="1"/>
                <w:bCs w:val="1"/>
                <w:color w:val="auto"/>
                <w:w w:val="94"/>
              </w:rPr>
              <w:t>Fair</w:t>
            </w:r>
          </w:p>
        </w:tc>
        <w:tc>
          <w:tcPr>
            <w:tcW w:w="1340" w:type="dxa"/>
            <w:vAlign w:val="bottom"/>
            <w:tcBorders>
              <w:top w:val="single" w:sz="8" w:color="auto"/>
            </w:tcBorders>
          </w:tcPr>
          <w:p>
            <w:pPr>
              <w:jc w:val="right"/>
              <w:ind w:right="167"/>
              <w:spacing w:after="0" w:line="149"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3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5"/>
                <w:szCs w:val="15"/>
                <w:b w:val="1"/>
                <w:bCs w:val="1"/>
                <w:color w:val="auto"/>
                <w:w w:val="94"/>
              </w:rPr>
              <w:t>Fair</w:t>
            </w:r>
          </w:p>
        </w:tc>
        <w:tc>
          <w:tcPr>
            <w:tcW w:w="1340" w:type="dxa"/>
            <w:vAlign w:val="bottom"/>
            <w:tcBorders>
              <w:top w:val="single" w:sz="8" w:color="auto"/>
            </w:tcBorders>
          </w:tcPr>
          <w:p>
            <w:pPr>
              <w:jc w:val="right"/>
              <w:ind w:right="167"/>
              <w:spacing w:after="0" w:line="149"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5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620"/>
              <w:spacing w:after="0"/>
              <w:rPr>
                <w:sz w:val="20"/>
                <w:szCs w:val="20"/>
                <w:color w:val="auto"/>
              </w:rPr>
            </w:pPr>
            <w:r>
              <w:rPr>
                <w:rFonts w:ascii="Times New Roman" w:cs="Times New Roman" w:eastAsia="Times New Roman" w:hAnsi="Times New Roman"/>
                <w:sz w:val="15"/>
                <w:szCs w:val="15"/>
                <w:b w:val="1"/>
                <w:bCs w:val="1"/>
                <w:color w:val="auto"/>
                <w:w w:val="90"/>
              </w:rPr>
              <w:t>Value</w:t>
            </w:r>
          </w:p>
        </w:tc>
        <w:tc>
          <w:tcPr>
            <w:tcW w:w="1700" w:type="dxa"/>
            <w:vAlign w:val="bottom"/>
            <w:gridSpan w:val="2"/>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Portfolio</w:t>
            </w:r>
          </w:p>
        </w:tc>
        <w:tc>
          <w:tcPr>
            <w:tcW w:w="280" w:type="dxa"/>
            <w:vAlign w:val="bottom"/>
          </w:tcPr>
          <w:p>
            <w:pPr>
              <w:spacing w:after="0"/>
              <w:rPr>
                <w:sz w:val="16"/>
                <w:szCs w:val="16"/>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w w:val="90"/>
              </w:rPr>
              <w:t>Value</w:t>
            </w:r>
          </w:p>
        </w:tc>
        <w:tc>
          <w:tcPr>
            <w:tcW w:w="1480" w:type="dxa"/>
            <w:vAlign w:val="bottom"/>
            <w:gridSpan w:val="2"/>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Portfolio</w:t>
            </w:r>
          </w:p>
        </w:tc>
        <w:tc>
          <w:tcPr>
            <w:tcW w:w="0" w:type="dxa"/>
            <w:vAlign w:val="bottom"/>
          </w:tcPr>
          <w:p>
            <w:pPr>
              <w:spacing w:after="0"/>
              <w:rPr>
                <w:sz w:val="1"/>
                <w:szCs w:val="1"/>
                <w:color w:val="auto"/>
              </w:rPr>
            </w:pPr>
          </w:p>
        </w:tc>
      </w:tr>
      <w:tr>
        <w:trPr>
          <w:trHeight w:val="166"/>
        </w:trPr>
        <w:tc>
          <w:tcPr>
            <w:tcW w:w="35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56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4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151,003,991</w:t>
            </w:r>
          </w:p>
        </w:tc>
        <w:tc>
          <w:tcPr>
            <w:tcW w:w="17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72.1%</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122,744,564</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0" w:type="dxa"/>
            <w:vAlign w:val="bottom"/>
          </w:tcPr>
          <w:p>
            <w:pPr>
              <w:spacing w:after="0"/>
              <w:rPr>
                <w:sz w:val="1"/>
                <w:szCs w:val="1"/>
                <w:color w:val="auto"/>
              </w:rPr>
            </w:pPr>
          </w:p>
        </w:tc>
      </w:tr>
      <w:tr>
        <w:trPr>
          <w:trHeight w:val="208"/>
        </w:trPr>
        <w:tc>
          <w:tcPr>
            <w:tcW w:w="356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35,922,154</w:t>
            </w:r>
          </w:p>
        </w:tc>
        <w:tc>
          <w:tcPr>
            <w:tcW w:w="17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17.2%</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39,086,792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17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0.2%</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18"/>
        </w:trPr>
        <w:tc>
          <w:tcPr>
            <w:tcW w:w="3560" w:type="dxa"/>
            <w:vAlign w:val="bottom"/>
          </w:tcPr>
          <w:p>
            <w:pPr>
              <w:ind w:left="160"/>
              <w:spacing w:after="0" w:line="218"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4,357,138</w:t>
            </w:r>
          </w:p>
        </w:tc>
        <w:tc>
          <w:tcPr>
            <w:tcW w:w="17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66"/>
        </w:trPr>
        <w:tc>
          <w:tcPr>
            <w:tcW w:w="35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91.6</w:t>
            </w:r>
          </w:p>
        </w:tc>
        <w:tc>
          <w:tcPr>
            <w:tcW w:w="360" w:type="dxa"/>
            <w:vAlign w:val="bottom"/>
            <w:tcBorders>
              <w:top w:val="single" w:sz="8" w:color="CCEEFF"/>
            </w:tcBorders>
            <w:shd w:val="clear" w:color="auto" w:fill="CCEEFF"/>
          </w:tcPr>
          <w:p>
            <w:pPr>
              <w:jc w:val="right"/>
              <w:ind w:right="1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168,568,251</w:t>
            </w:r>
          </w:p>
        </w:tc>
        <w:tc>
          <w:tcPr>
            <w:tcW w:w="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68.0</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66"/>
        </w:trPr>
        <w:tc>
          <w:tcPr>
            <w:tcW w:w="356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16,154,290</w:t>
            </w:r>
          </w:p>
        </w:tc>
        <w:tc>
          <w:tcPr>
            <w:tcW w:w="17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7.7%</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13,548,248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86"/>
        </w:trPr>
        <w:tc>
          <w:tcPr>
            <w:tcW w:w="3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1,436,830</w:t>
            </w:r>
          </w:p>
        </w:tc>
        <w:tc>
          <w:tcPr>
            <w:tcW w:w="17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0.7%</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3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66"/>
        </w:trPr>
        <w:tc>
          <w:tcPr>
            <w:tcW w:w="35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17,591,120</w:t>
            </w:r>
          </w:p>
        </w:tc>
        <w:tc>
          <w:tcPr>
            <w:tcW w:w="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8.4</w:t>
            </w:r>
          </w:p>
        </w:tc>
        <w:tc>
          <w:tcPr>
            <w:tcW w:w="360" w:type="dxa"/>
            <w:vAlign w:val="bottom"/>
            <w:tcBorders>
              <w:top w:val="single" w:sz="8" w:color="CCEEFF"/>
            </w:tcBorders>
            <w:shd w:val="clear" w:color="auto" w:fill="CCEEFF"/>
          </w:tcPr>
          <w:p>
            <w:pPr>
              <w:jc w:val="right"/>
              <w:ind w:right="1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15,512,998</w:t>
            </w:r>
          </w:p>
        </w:tc>
        <w:tc>
          <w:tcPr>
            <w:tcW w:w="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6.3</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66"/>
        </w:trPr>
        <w:tc>
          <w:tcPr>
            <w:tcW w:w="3560" w:type="dxa"/>
            <w:vAlign w:val="bottom"/>
            <w:tcBorders>
              <w:bottom w:val="single" w:sz="8" w:color="CCEEFF"/>
            </w:tcBorders>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1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209,380,742</w:t>
            </w:r>
          </w:p>
        </w:tc>
        <w:tc>
          <w:tcPr>
            <w:tcW w:w="3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bottom w:val="single" w:sz="8" w:color="CCEEFF"/>
            </w:tcBorders>
          </w:tcPr>
          <w:p>
            <w:pPr>
              <w:jc w:val="right"/>
              <w:ind w:right="1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184,081,249</w:t>
            </w:r>
          </w:p>
        </w:tc>
        <w:tc>
          <w:tcPr>
            <w:tcW w:w="3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74.3</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Non-Portfolio Investments</w:t>
            </w: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 Treasury Bills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63,810,855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17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247,892,104</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50" w:lineRule="auto"/>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our investment in the Class A Interest of ARK Type One Deep Ventures Fund LLC which is invested in the Convertible Interest Rights of OpenAI Global, LLC, our investment in the Class A Interest of CW Opportunity 2 LP which is invested in the Series C Preferred shares of CoreWeave, Inc., and our investment in the Membership Interest of IH10, LLC which is invested in the Series B Preferred Shares of VAST Data, Ltd through an SPV.</w:t>
      </w:r>
    </w:p>
    <w:p>
      <w:pPr>
        <w:ind w:left="260" w:hanging="253"/>
        <w:spacing w:after="0"/>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our Limited Partner Fund Investment in True Global Ventures 4 Plus Pte Ltd.</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our investments in the Simple Agreement for Future Equity of PayJoy, Inc. and Commercial Streaming Solutions Inc. (d/b/a BettorView).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Determination of Net Asset Value</w:t>
      </w:r>
    </w:p>
    <w:p>
      <w:pPr>
        <w:spacing w:after="0" w:line="179"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We determine the net asset value (“NAV”)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and in accordance with Rule 2a-5 as promulgated under the 1940 Act. In connection with that determination, our executive officers and investment professionals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56"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4"/>
          <w:szCs w:val="14"/>
          <w:color w:val="auto"/>
        </w:rPr>
        <w:t>For those securities that are not publicly traded or for which there are no readily available market quotations, our Board of Directors, with the assistance of its valuation committee (the “Valuation Committee”), uses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45"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Our Board of Directors determines the fair value of our investments by considering a number of factors. The following represent factors that, among others, could impact such fair value determinations:</w:t>
      </w:r>
    </w:p>
    <w:p>
      <w:pPr>
        <w:spacing w:after="0" w:line="141" w:lineRule="exact"/>
        <w:rPr>
          <w:sz w:val="20"/>
          <w:szCs w:val="20"/>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trading of our portfolio securities, taking into consideration lock-up restrictions and liquidity;</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Active trading of our portfolio securities on a private secondary market, where we have determined that there is meaningful volume and the transactions are considered arm’s length by sophisticated investors;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funding rounds in the companies in which we invested, where there is meaningful and reputable information available on size, valuation and investors;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investments by us in current portfolio companies, where the price of the new investment differs materially from prior investments.</w:t>
      </w:r>
    </w:p>
    <w:p>
      <w:pPr>
        <w:spacing w:after="0" w:line="17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NAV, we also consider our recognition of a deferred tax liability for unrealized gains on investments for those investments held in our taxable subsidiaries. See “Note 1—Nature of Operations” to our Consolidated Financial Statements for the year ended December 31, 2024 for a list of our taxable subsidiaries.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 as a BDC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primarily in privately owned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SBCAA modified the asset coverage percentage for BDCs, reducing the required coverage percentage for senior securities from 200% to 150%, subject to certain conditions.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regarding, among other things, the receipt of approval to increase our leverage, our leverage capacity and usage, and risks related to leverage.</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Pursuant to the SBCAA, the SEC issued rules or amendments to rules allowing BDCs to use the same securities offering and proxy rules that are available to operating companies, including, among other things, allowing BDCs to incorporate by reference in registration statements filed with the SEC and allowing certain BDCs to file shelf registration statements that are automatically effective, and to take advantage of other benefits available to Well-Known Seasoned Issuers.</w:t>
      </w:r>
    </w:p>
    <w:p>
      <w:pPr>
        <w:spacing w:after="0" w:line="14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investment companies registered under the 1940 Act and private funds that are excluded from the definition of “investment company” pursuant to either Section 3(c)(1) or 3(c)</w:t>
      </w:r>
    </w:p>
    <w:p>
      <w:pPr>
        <w:spacing w:after="0" w:line="29" w:lineRule="exact"/>
        <w:rPr>
          <w:sz w:val="20"/>
          <w:szCs w:val="20"/>
          <w:color w:val="auto"/>
        </w:rPr>
      </w:pPr>
    </w:p>
    <w:p>
      <w:pPr>
        <w:ind w:firstLine="7"/>
        <w:spacing w:after="0" w:line="246" w:lineRule="auto"/>
        <w:tabs>
          <w:tab w:leader="none" w:pos="208"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54" w:lineRule="exact"/>
        <w:rPr>
          <w:sz w:val="20"/>
          <w:szCs w:val="20"/>
          <w:color w:val="auto"/>
        </w:rPr>
      </w:pPr>
    </w:p>
    <w:p>
      <w:pPr>
        <w:jc w:val="both"/>
        <w:ind w:firstLine="262"/>
        <w:spacing w:after="0" w:line="272" w:lineRule="auto"/>
        <w:rPr>
          <w:sz w:val="20"/>
          <w:szCs w:val="20"/>
          <w:color w:val="auto"/>
        </w:rPr>
      </w:pPr>
      <w:r>
        <w:rPr>
          <w:rFonts w:ascii="Times New Roman" w:cs="Times New Roman" w:eastAsia="Times New Roman" w:hAnsi="Times New Roman"/>
          <w:sz w:val="14"/>
          <w:szCs w:val="14"/>
          <w:color w:val="auto"/>
        </w:rPr>
        <w:t>We are generally not able to issue and sell our common stock at a price below NAV per share. See “Risk Factors—Risks Related to Our Business and Structure—</w:t>
      </w:r>
      <w:r>
        <w:rPr>
          <w:rFonts w:ascii="Times New Roman" w:cs="Times New Roman" w:eastAsia="Times New Roman" w:hAnsi="Times New Roman"/>
          <w:sz w:val="14"/>
          <w:szCs w:val="14"/>
          <w:i w:val="1"/>
          <w:iCs w:val="1"/>
          <w:color w:val="auto"/>
        </w:rPr>
        <w:t>Regulations governing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operation as a BDC affect our ability to, and the way in which we, raise additional capital, which may expose us to risks, including the typical risks associated with leverage.</w:t>
      </w:r>
      <w:r>
        <w:rPr>
          <w:rFonts w:ascii="Times New Roman" w:cs="Times New Roman" w:eastAsia="Times New Roman" w:hAnsi="Times New Roman"/>
          <w:sz w:val="14"/>
          <w:szCs w:val="14"/>
          <w:color w:val="auto"/>
        </w:rPr>
        <w:t>” in Part I, Item 1A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this Form 10-K. We may, however, sell our common stock, or warrants, options or rights to acquire our common stock, at a price below the then-current NAV of our common stock if our Board of Directors determines that such sale is in our best interests and the best interests of our stockholders, and our stockholders approve such sale. In addition, we may generally issue new shares of our common stock at a price below NAV in rights offerings to existing stockholders, in payment of dividends and in certain other limited circumstances.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subject to periodic examination by the SEC for compliance with the 1940 Act.</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a BDC, we are subject to certain risks and uncertainties. See “Risk Factors—Risks Related to Our Business and Structure” in Part I, Item 1A 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Qualifying Assets</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41" w:lineRule="exact"/>
        <w:rPr>
          <w:sz w:val="20"/>
          <w:szCs w:val="20"/>
          <w:color w:val="auto"/>
        </w:rPr>
      </w:pPr>
    </w:p>
    <w:p>
      <w:pPr>
        <w:jc w:val="both"/>
        <w:ind w:left="540" w:hanging="270"/>
        <w:spacing w:after="0" w:line="255"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49"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organized under the laws of, and has its principal place of business in, the United States;</w:t>
      </w:r>
    </w:p>
    <w:p>
      <w:pPr>
        <w:spacing w:after="0" w:line="177"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not an investment company (other than a small business investment company wholly owned by the BDC) or a company that would be an investment company but for certain exclusions under the 1940 Act; and</w:t>
      </w:r>
    </w:p>
    <w:p>
      <w:pPr>
        <w:spacing w:after="0" w:line="14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satisfies any of the following:</w:t>
      </w:r>
    </w:p>
    <w:p>
      <w:pPr>
        <w:spacing w:after="0" w:line="198" w:lineRule="exact"/>
        <w:rPr>
          <w:rFonts w:ascii="Times New Roman" w:cs="Times New Roman" w:eastAsia="Times New Roman" w:hAnsi="Times New Roman"/>
          <w:sz w:val="15"/>
          <w:szCs w:val="15"/>
          <w:color w:val="auto"/>
        </w:rPr>
      </w:pPr>
    </w:p>
    <w:p>
      <w:pPr>
        <w:ind w:left="1060" w:hanging="266"/>
        <w:spacing w:after="0"/>
        <w:tabs>
          <w:tab w:leader="none" w:pos="10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have any class of securities that is traded on a national securities exchange;</w:t>
      </w:r>
    </w:p>
    <w:p>
      <w:pPr>
        <w:spacing w:after="0" w:line="177" w:lineRule="exact"/>
        <w:rPr>
          <w:rFonts w:ascii="Times New Roman" w:cs="Times New Roman" w:eastAsia="Times New Roman" w:hAnsi="Times New Roman"/>
          <w:sz w:val="15"/>
          <w:szCs w:val="15"/>
          <w:color w:val="auto"/>
        </w:rPr>
      </w:pPr>
    </w:p>
    <w:p>
      <w:pPr>
        <w:ind w:left="1060" w:hanging="266"/>
        <w:spacing w:after="0" w:line="267" w:lineRule="auto"/>
        <w:tabs>
          <w:tab w:leader="none" w:pos="10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a class of securities listed on a national securities exchange, but has an aggregate market value of outstanding voting and non-voting common equity of less than $250.0 million;</w:t>
      </w:r>
    </w:p>
    <w:p>
      <w:pPr>
        <w:spacing w:after="0" w:line="140" w:lineRule="exact"/>
        <w:rPr>
          <w:rFonts w:ascii="Times New Roman" w:cs="Times New Roman" w:eastAsia="Times New Roman" w:hAnsi="Times New Roman"/>
          <w:sz w:val="15"/>
          <w:szCs w:val="15"/>
          <w:color w:val="auto"/>
        </w:rPr>
      </w:pPr>
    </w:p>
    <w:p>
      <w:pPr>
        <w:ind w:left="1060" w:hanging="266"/>
        <w:spacing w:after="0"/>
        <w:tabs>
          <w:tab w:leader="none" w:pos="10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controlled by a BDC or a group of companies including a BDC and the BDC has an affiliated person who is a director of the eligible portfolio company;</w:t>
      </w:r>
    </w:p>
    <w:p>
      <w:pPr>
        <w:spacing w:after="0" w:line="177" w:lineRule="exact"/>
        <w:rPr>
          <w:rFonts w:ascii="Times New Roman" w:cs="Times New Roman" w:eastAsia="Times New Roman" w:hAnsi="Times New Roman"/>
          <w:sz w:val="15"/>
          <w:szCs w:val="15"/>
          <w:color w:val="auto"/>
        </w:rPr>
      </w:pPr>
    </w:p>
    <w:p>
      <w:pPr>
        <w:ind w:left="1060" w:hanging="266"/>
        <w:spacing w:after="0"/>
        <w:tabs>
          <w:tab w:leader="none" w:pos="10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a small and solvent company having gross assets of not more than $4.0 million and capital and surplus of not less than $2.0 million; or</w:t>
      </w:r>
    </w:p>
    <w:p>
      <w:pPr>
        <w:spacing w:after="0" w:line="177" w:lineRule="exact"/>
        <w:rPr>
          <w:rFonts w:ascii="Times New Roman" w:cs="Times New Roman" w:eastAsia="Times New Roman" w:hAnsi="Times New Roman"/>
          <w:sz w:val="15"/>
          <w:szCs w:val="15"/>
          <w:color w:val="auto"/>
        </w:rPr>
      </w:pPr>
    </w:p>
    <w:p>
      <w:pPr>
        <w:ind w:left="1060" w:hanging="266"/>
        <w:spacing w:after="0"/>
        <w:tabs>
          <w:tab w:leader="none" w:pos="10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meets such other criteria as may be established by the SEC.</w:t>
      </w:r>
    </w:p>
    <w:p>
      <w:pPr>
        <w:spacing w:after="0" w:line="198"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of any eligible portfolio company which we control.</w:t>
      </w:r>
    </w:p>
    <w:p>
      <w:pPr>
        <w:spacing w:after="0" w:line="177"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49"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received in exchange for or distributed on or with respect to securities described in (1) through (4) above, or pursuant to the exercise of options, warrants or rights relating to such securities.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cash equivalents, U.S. government securities or high-quality debt securities maturing in one year or less from the time of investment.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4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our business operations, deferred organization and operating expenses, and other non-investment assets necessary and appropriate to our operations as a BDC, until such time as 70% of our then-current gross assets were comprised of qualifying assets. We would not be required, however, to dispose of any non-qualifying assets in such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Managerial Assistance to Portfolio Companies</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See “Business — Managerial Assistance” in Part I, Item 1 of this Form 10-K for more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Temporary Investments</w:t>
      </w:r>
    </w:p>
    <w:p>
      <w:pPr>
        <w:spacing w:after="0" w:line="181"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 and Options</w:t>
      </w:r>
    </w:p>
    <w:p>
      <w:pPr>
        <w:spacing w:after="0" w:line="181"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Senior Securities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 xml:space="preserve">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w:t>
      </w:r>
      <w:r>
        <w:rPr>
          <w:rFonts w:ascii="Times New Roman" w:cs="Times New Roman" w:eastAsia="Times New Roman" w:hAnsi="Times New Roman"/>
          <w:sz w:val="15"/>
          <w:szCs w:val="15"/>
          <w:i w:val="1"/>
          <w:iCs w:val="1"/>
          <w:color w:val="auto"/>
        </w:rPr>
        <w:t>Borrowings, such as the 6.00% Notes due 2026 and our 6.50% Convertible Notes due 2029, can magnify the potential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gain or loss on amounts invested and may increase the risk of investing in us.</w:t>
      </w:r>
      <w:r>
        <w:rPr>
          <w:rFonts w:ascii="Times New Roman" w:cs="Times New Roman" w:eastAsia="Times New Roman" w:hAnsi="Times New Roman"/>
          <w:sz w:val="15"/>
          <w:szCs w:val="15"/>
          <w:color w:val="auto"/>
        </w:rPr>
        <w:t>” in Part I, Item 1A of this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Code of Ethics</w:t>
      </w:r>
    </w:p>
    <w:p>
      <w:pPr>
        <w:spacing w:after="0" w:line="181"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Compliance Policies and Procedures</w:t>
      </w:r>
    </w:p>
    <w:p>
      <w:pPr>
        <w:spacing w:after="0" w:line="179"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Compliance with Corporate Governance Regulations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Sarbanes-Oxley Act imposes a wide variety of regulatory requirements on publicly held companies and their insiders. Many of these requirements affect us. For example:</w:t>
      </w:r>
    </w:p>
    <w:p>
      <w:pPr>
        <w:spacing w:after="0" w:line="177" w:lineRule="exact"/>
        <w:rPr>
          <w:sz w:val="20"/>
          <w:szCs w:val="20"/>
          <w:color w:val="auto"/>
        </w:rPr>
      </w:pPr>
    </w:p>
    <w:p>
      <w:pPr>
        <w:ind w:left="540" w:hanging="270"/>
        <w:spacing w:after="0" w:line="267"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13a-14 of the Exchange Act, our Chief Executive Officer and Chief Financial Officer must certify the accuracy of the financial statements contained in our periodic reports;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307 of Regulation S-K, our periodic reports must disclose our conclusions about the effectiveness of our disclosure controls and procedures;</w:t>
      </w:r>
    </w:p>
    <w:p>
      <w:pPr>
        <w:spacing w:after="0" w:line="177"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13a-15 of the Exchange Act, our management must prepare an annual report regarding its assessment of our internal control over financial reporting, and we must obtain an audit of the effectiveness of internal control over financial reporting performed by our independent registered public accounting firm if we are no longer a non-accelerated filer (as defined in Rule 12b-2 under the Exchange Act); and</w:t>
      </w:r>
    </w:p>
    <w:p>
      <w:pPr>
        <w:spacing w:after="0" w:line="149"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Sarbanes-Oxley Act requires us to review our current policies and procedures to determine whether we comply with the Sarbanes-Oxley Act and the regulations promulgated thereunder. We believe we are in compliance with such statutory and regulatory requirements. We will continue to monitor our compliance with all future regulations that are adopted under the Sarbanes-Oxley Act and will take actions necessary to ensure that we are in compliance therewith.</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 addition, Nasdaq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Proxy Voting Policies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Proxy Policies</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Proxy Voting Records</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You may obtain information about how we voted proxies with respect to our portfolio securities by making a written request for proxy voting information to: Chief Compliance Officer, SuRo Capital Corp., 640 Fifth Avenue, 12th Floor, New York, NY 10019 or compliance@surocap.com.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Privacy Principles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 xml:space="preserve">The SEC maintains an Internet site that contains reports, proxy and information statements, and other information regarding issuers that file electronically with the SEC. The address of that site is </w:t>
      </w:r>
      <w:r>
        <w:rPr>
          <w:rFonts w:ascii="Times New Roman" w:cs="Times New Roman" w:eastAsia="Times New Roman" w:hAnsi="Times New Roman"/>
          <w:sz w:val="15"/>
          <w:szCs w:val="15"/>
          <w:i w:val="1"/>
          <w:iCs w:val="1"/>
          <w:color w:val="auto"/>
        </w:rPr>
        <w:t>http://www.sec.gov</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5"/>
          <w:szCs w:val="15"/>
          <w:color w:val="auto"/>
        </w:rPr>
        <w:t xml:space="preserve">Our internet address is </w:t>
      </w:r>
      <w:r>
        <w:rPr>
          <w:rFonts w:ascii="Times New Roman" w:cs="Times New Roman" w:eastAsia="Times New Roman" w:hAnsi="Times New Roman"/>
          <w:sz w:val="15"/>
          <w:szCs w:val="15"/>
          <w:i w:val="1"/>
          <w:iCs w:val="1"/>
          <w:color w:val="auto"/>
        </w:rPr>
        <w:t>www.surocap.com.</w:t>
      </w:r>
      <w:r>
        <w:rPr>
          <w:rFonts w:ascii="Times New Roman" w:cs="Times New Roman" w:eastAsia="Times New Roman" w:hAnsi="Times New Roman"/>
          <w:sz w:val="15"/>
          <w:szCs w:val="15"/>
          <w:color w:val="auto"/>
        </w:rPr>
        <w:t xml:space="preserve"> We make available free of charge on our website our annual report on Form 10-K, quarterly reports on Form 10-Q, current reports on Form 8-K, proxy statements and amendments to those reports as soon as reasonably practicable after we electronically file such material with, or furnish it to, the SEC. The information on our website is not incorporated by reference into and should not be considered to be part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U.S. Federal Income Tax Considerations</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Included in our consolidated financial statements are GSV Capital Lending, LLC, SuRo Capital Sports, LLC, and the following wholly owned subsidiaries: GSVC AE Holdings, Inc., GSVC AV Holdings, Inc., GSVC SW Holdings, Inc., and GSVC SVDS Holdings, Inc (collectively, the “Taxable Subsidiaries”). The Taxable Subsidiaries are classified as corporations for U.S. federal and state income tax purposes. The Taxable Subsidiaries are not consolidated for income tax purposes and will be subject to U.S. federal income tax imposed at corporate rates on their income.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4"/>
          <w:szCs w:val="14"/>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New York.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Election to be Taxed as a RIC</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have elected, and intend to qualify annually, as a RIC for U.S. federal income tax purposes; however, no assurance can be given that we will be able to qualify for and maintain RIC tax treatment. To qualify as a RIC, we must, among other things, meet certain source-of-income and asset diversification requirements (as described below). In addition, to be eligible to be taxed as a RIC, we generally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as a Regulated Investment Company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we:</w:t>
      </w:r>
    </w:p>
    <w:p>
      <w:pPr>
        <w:spacing w:after="0" w:line="177" w:lineRule="exact"/>
        <w:rPr>
          <w:sz w:val="20"/>
          <w:szCs w:val="20"/>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qualify as a RIC;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satisfy the Annual Distribution Requirement,</w:t>
      </w:r>
    </w:p>
    <w:p>
      <w:pPr>
        <w:spacing w:after="0" w:line="19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then we will not be subject to U.S. federal income tax on the portion of our income and capital gains that we timely distribute (or are deemed to distribute) to stockholders as dividends. We will be subject to U.S. federal income tax imposed at the regular corporate rates on any income, including capital gains not timely distributed (or deemed distributed) to our stockholders.</w:t>
      </w:r>
    </w:p>
    <w:p>
      <w:pPr>
        <w:spacing w:after="0" w:line="118"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In addition, 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order to qualify as a RIC for U.S. federal income tax purposes, we must, among other things:</w:t>
      </w:r>
    </w:p>
    <w:p>
      <w:pPr>
        <w:spacing w:after="0" w:line="177" w:lineRule="exact"/>
        <w:rPr>
          <w:sz w:val="20"/>
          <w:szCs w:val="20"/>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qualify as a BDC under the 1940 Act at all times during each taxable year;</w:t>
      </w:r>
    </w:p>
    <w:p>
      <w:pPr>
        <w:spacing w:after="0" w:line="177"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derive in each taxable year at least 90% of our gross income from dividends, interest, payments with respect to loans of certain securities, gains from the sale or other taxable disposition of stock or other securities or foreign currencies, other income derived with respect to our business of investing in such stock or securities and net income from “qualified publicly traded partnerships” (as defined in the Code) (the “90% Income Test”); and</w:t>
      </w:r>
    </w:p>
    <w:p>
      <w:pPr>
        <w:spacing w:after="0" w:line="149"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diversify our holdings so that at the end of each quarter of the taxable year:</w:t>
      </w:r>
    </w:p>
    <w:p>
      <w:pPr>
        <w:spacing w:after="0" w:line="177"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40" w:lineRule="exact"/>
        <w:rPr>
          <w:rFonts w:ascii="Times New Roman" w:cs="Times New Roman" w:eastAsia="Times New Roman" w:hAnsi="Times New Roman"/>
          <w:sz w:val="15"/>
          <w:szCs w:val="15"/>
          <w:color w:val="auto"/>
        </w:rPr>
      </w:pPr>
    </w:p>
    <w:p>
      <w:pPr>
        <w:jc w:val="both"/>
        <w:ind w:left="800" w:hanging="268"/>
        <w:spacing w:after="0" w:line="251" w:lineRule="auto"/>
        <w:tabs>
          <w:tab w:leader="none" w:pos="80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the securities of businesses, or the securities of one or more “qualified publicly traded partnerships” (the “25% Diversification Test,” and together with the 50% Diversification Test, the “Diversification Tests”).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5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BDC—Senior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5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 traded partnership”, as defined in the Code),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14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spacing w:after="0" w:line="149"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15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spacing w:after="0" w:line="141"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as a taxable dividend by us to our shareholders in an amount equal to any “excess distribution” or gain from the disposition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Maintain our Qualification as a RIC</w:t>
      </w:r>
    </w:p>
    <w:p>
      <w:pPr>
        <w:spacing w:after="0" w:line="181"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4"/>
          <w:szCs w:val="14"/>
          <w:color w:val="auto"/>
        </w:rPr>
        <w:t>If we were unable to qualify for treatment as a RIC and certain relief provisions are unable to be satisfied, we would be subject to U.S. federal income tax on all of our taxable income imposed at regular corporate rates, regardless of whether we make any distributions to our stockholders. Distributions would not be required, but if such distributions are paid, including distributions of net long-term capital gain, they would be taxable to our shareholders as ordinary dividend income to the extent of our current and accumulated earnings and profits. Subject to certain limitations under the Code, corporate distributees would be eligible for the dividends-received deduction with respect to such dividend and our non-corporate shareholders would generally be able to treat such dividends as “qualified dividend income,” which is subject to reduced rates of U.S. federal income tax.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47"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5"/>
          <w:szCs w:val="15"/>
          <w:color w:val="auto"/>
        </w:rPr>
        <w:t>See “Risk Factors—Risks Related to Our Business and Structure” in Part I, Item 1A of this Form 10-K and “Note 2—Significant Accounting Policies—</w:t>
      </w:r>
      <w:r>
        <w:rPr>
          <w:rFonts w:ascii="Times New Roman" w:cs="Times New Roman" w:eastAsia="Times New Roman" w:hAnsi="Times New Roman"/>
          <w:sz w:val="15"/>
          <w:szCs w:val="15"/>
          <w:i w:val="1"/>
          <w:iCs w:val="1"/>
          <w:color w:val="auto"/>
        </w:rPr>
        <w:t>U.S. Federal and State Income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and “Note 9—Income Taxes” to our Consolidated Financial Statements for the year ended December 31, 2024 for further detail.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all or part of your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Principal Risk Factors</w:t>
      </w:r>
    </w:p>
    <w:p>
      <w:pPr>
        <w:spacing w:after="0" w:line="179" w:lineRule="exact"/>
        <w:rPr>
          <w:sz w:val="20"/>
          <w:szCs w:val="20"/>
          <w:color w:val="auto"/>
        </w:rPr>
      </w:pPr>
    </w:p>
    <w:p>
      <w:pPr>
        <w:jc w:val="both"/>
        <w:ind w:firstLine="328"/>
        <w:spacing w:after="0" w:line="267" w:lineRule="auto"/>
        <w:rPr>
          <w:sz w:val="20"/>
          <w:szCs w:val="20"/>
          <w:color w:val="auto"/>
        </w:rPr>
      </w:pPr>
      <w:r>
        <w:rPr>
          <w:rFonts w:ascii="Times New Roman" w:cs="Times New Roman" w:eastAsia="Times New Roman" w:hAnsi="Times New Roman"/>
          <w:sz w:val="15"/>
          <w:szCs w:val="15"/>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our investments, including but not limited to the following:</w:t>
      </w:r>
    </w:p>
    <w:p>
      <w:pPr>
        <w:spacing w:after="0" w:line="181" w:lineRule="exact"/>
        <w:rPr>
          <w:sz w:val="20"/>
          <w:szCs w:val="20"/>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investments in the rapidly growing venture capital-backed emerging companies that we target may be extremely risky, and we could lose all or part of our investments.</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our investments are generally not in publicly traded securities, there will be uncertainty regarding the value of our investments, which could adversely affect the determination of our NAV.</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liquidity in, and potentially extended holding period of, many of our investments may adversely affect our business and will delay any distributions of gains, if any.</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Investing in publicly traded companies can involve a high degree of risk and can be speculative.</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Many of our portfolio companies are currently experiencing operating losses, which may be substantial, and there can be no assurance when or if such companies will operate at a profit.</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limited in our ability to make follow-on investments, and our failure to make follow-on investments in our portfolio companies could impair the value of our portfolio.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540" w:hanging="270"/>
        <w:spacing w:after="0" w:line="267"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unique risks specific to our investments in the sponsors of SPACs.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we invest in foreign companies, such investments may be subject to unique risks in addition to those inherent to our investments in U.S.-based companies.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risks associated with hedging transactions and investments in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our business and structure, including but not limited to the following:</w:t>
      </w:r>
    </w:p>
    <w:p>
      <w:pPr>
        <w:spacing w:after="0" w:line="181" w:lineRule="exact"/>
        <w:rPr>
          <w:sz w:val="20"/>
          <w:szCs w:val="20"/>
          <w:color w:val="auto"/>
        </w:rPr>
      </w:pPr>
    </w:p>
    <w:p>
      <w:pPr>
        <w:ind w:left="540" w:hanging="270"/>
        <w:spacing w:after="0" w:line="26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internally managed BDC, we are subject to certain restrictions that may adversely affect our business and are dependent upon our management team and investment professionals for our future success.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model depends upon the development and maintenance of strong referral relationships with private equity, venture capital funds and investment banking firms.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condition and results of operations will depend on our ability to achieve our investment objective and manage our business effectively.</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associated with the purchase of investments in secondary marketplaces.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governing our operations, including those related to taxation, may adversely affect our business or cause us to alter our business strategy.</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political and market conditions and volatility therein, including economic downturns, may adversely affect our business, results of operations and financial condition.</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exposed to risks associated with changes in interest rates and inflation rates.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associated with shareholder activism and litigation.</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operate in a highly competitive market for direct equity investment opportunities.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borrowed funds to make investments exposes us to risks typically associated with leverage.</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we enter into any future credit facility, we may pledge substantially all of our assets under such facility, and the loan agreement governing such facility may have covenants that would affect our liquidity, financial condition, and results of operations.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have difficulty paying required distributions if we recognize income before or without receiving cash representing such income.</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Regulations incumbent upon BDCs may affect the way in which we raise capital, which may expose us to risks, including those associated with leverage.</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experience fluctuations in our operating results.</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of Directors retains broad powers to reclassify our common stock into preferred stock or change our investment objectives or operating policies, all without shareholder approval.</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Ineffective internal controls could impact our business and operating results.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cyber-security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securities include but are not limited to the following:</w:t>
      </w:r>
    </w:p>
    <w:p>
      <w:pPr>
        <w:spacing w:after="0" w:line="181" w:lineRule="exact"/>
        <w:rPr>
          <w:sz w:val="20"/>
          <w:szCs w:val="20"/>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Investing in our securities may involve an above average degree of risk.</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common stock price may be volatile and may decrease substantially.</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pay distributions to our stockholders and our distributions may not grow over time.</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stockholders may experience dilution upon the issuance of additional shares of our common stock.</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default under any future credit facility or any other future indebtedness, we may not be able to make payments on our 6.00% Notes due 2026 (the “6.00% Notes due 2026”) or 6.50% Convertible Notes due 2029 (the “6.50% Convertible Notes due 2029”).</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to redeem the 6.00% Notes due 2026 when prevailing interest rates are relatively low.</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indenture governing the 6.00% Notes due 2026 contains limited protections for the holders thereof.</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 subject to U.S. federal income tax imposed at corporate rates if we are profitable and are unable to qualify as a RIC, which could have a material adverse effect on us and our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investments in the rapidly growing venture capital-backed emerging companies that we target may be extremely risky, and we could lose all or part of our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Investment in the rapidly growing venture capital-backed emerging companies that we target involves a number of significant risks, including the following:</w:t>
      </w:r>
    </w:p>
    <w:p>
      <w:pPr>
        <w:spacing w:after="0" w:line="177" w:lineRule="exact"/>
        <w:rPr>
          <w:sz w:val="20"/>
          <w:szCs w:val="20"/>
          <w:color w:val="auto"/>
        </w:rPr>
      </w:pPr>
    </w:p>
    <w:p>
      <w:pPr>
        <w:jc w:val="both"/>
        <w:ind w:left="540" w:hanging="270"/>
        <w:spacing w:after="0" w:line="255"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or bankruptcy or liquidation, any of which could lead to the reduction or loss of our investment;</w:t>
      </w:r>
    </w:p>
    <w:p>
      <w:pPr>
        <w:spacing w:after="0" w:line="149"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they generally have less predictable operating results, may from time to time be parties to litigation, may be engaged in rapidly changing industries or sectors with products subject to a substantial risk of obsolescence, and may require substantial additional capital to support their operations, finance expansion or maintain their competitive position;</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some of these companies may experience operating losses, which could be substantial, and there can be no assurance when or if such companies will operate at a profit;</w:t>
      </w:r>
    </w:p>
    <w:p>
      <w:pPr>
        <w:spacing w:after="0" w:line="177" w:lineRule="exact"/>
        <w:rPr>
          <w:rFonts w:ascii="Times New Roman" w:cs="Times New Roman" w:eastAsia="Times New Roman" w:hAnsi="Times New Roman"/>
          <w:sz w:val="15"/>
          <w:szCs w:val="15"/>
          <w:color w:val="auto"/>
        </w:rPr>
      </w:pPr>
    </w:p>
    <w:p>
      <w:pPr>
        <w:jc w:val="both"/>
        <w:ind w:left="540" w:hanging="270"/>
        <w:spacing w:after="0" w:line="251"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they are privately owned, there is generally little publicly available information about these companies; therefore, although we will perform due diligence investigations on these companies, their operations and their prospects, we may not learn all of the material information we need to know regarding these businesses and, in the case of investments we acquire in private secondary transactions, we may be unable to obtain financial or other information regarding such companies. Furthermore, there can be no assurance that the information that we do obtain with respect to any investment is reliable;</w:t>
      </w:r>
    </w:p>
    <w:p>
      <w:pPr>
        <w:spacing w:after="0" w:line="152"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they may be adversely affected by a lack of IPO or merger and acquisition opportunities;</w:t>
      </w:r>
    </w:p>
    <w:p>
      <w:pPr>
        <w:spacing w:after="0" w:line="177"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private companies frequently have much complex capital structures, and may have multiple classes of equity securities with differing rights, including with respect to voting and distributions. In certain cases, these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and</w:t>
      </w:r>
    </w:p>
    <w:p>
      <w:pPr>
        <w:spacing w:after="0" w:line="149"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6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investments in such portfolio company. We may incur expenses to the extent necessary to seek recovery of our equity investment or to negotiate new terms with a financially distressed portfolio company. Any or all of these events could negatively impact our business, financial condition, or results of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our investments are generally not in publicly traded securities, there will be uncertainty regarding the value of our investments, which could affect the determination of our NAV.</w:t>
      </w:r>
    </w:p>
    <w:p>
      <w:pPr>
        <w:spacing w:after="0" w:line="193" w:lineRule="exact"/>
        <w:rPr>
          <w:sz w:val="20"/>
          <w:szCs w:val="20"/>
          <w:color w:val="auto"/>
        </w:rPr>
      </w:pPr>
    </w:p>
    <w:p>
      <w:pPr>
        <w:jc w:val="both"/>
        <w:ind w:firstLine="262"/>
        <w:spacing w:after="0" w:line="263" w:lineRule="auto"/>
        <w:rPr>
          <w:sz w:val="20"/>
          <w:szCs w:val="20"/>
          <w:color w:val="auto"/>
        </w:rPr>
      </w:pPr>
      <w:r>
        <w:rPr>
          <w:rFonts w:ascii="Times New Roman" w:cs="Times New Roman" w:eastAsia="Times New Roman" w:hAnsi="Times New Roman"/>
          <w:sz w:val="14"/>
          <w:szCs w:val="14"/>
          <w:color w:val="auto"/>
        </w:rPr>
        <w:t>Our portfolio investments will generally not be in publicly traded securities. As a result, although we expect that some of our equity investments may trade on private secondary marketplaces, the fair value of our direct investments in our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as determined in good faith by our Board of Directors in accordance with our written valuation policy and in compliance with Rule 2a-5. In connection with that determination, our executive officers and investment professionals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Board of Directors takes into account in determining fair value with respect to such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Board of Directors’ determinations of fair value may differ materially from the values that would be assessed if a readily available market for these securities existed. Due to this uncertainty, fair value determinations with respect to any investments we hold may cause our NAV on a given date to materially understate or overstate the value that we may ultimately realize on the disposition of one or more of our investments. As a result, investors purchasing our securities based on an overstated NAV would pay a higher price than the value of our investments might warrant. Conversely, investors selling securities during a period in which our NAV understates the value of our investments would receive a lower price for their securities than the value of our investments might warrant.</w:t>
      </w:r>
    </w:p>
    <w:p>
      <w:pPr>
        <w:spacing w:after="0" w:line="3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3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The IPO market is, by its very nature, unpredictable, and IPO activity in particular has slowed significantly in recent years, which trend may remain for the foreseeable future. A lack of IPO opportunities for venture capital-backed companies could lead to companies staying in our portfolio longer as private entities still requiring funding. This situation may adversely affect the amount of available venture capital funding to late-stage companies that cannot complete an IPO. Such stagnation could dampen our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to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45"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and in the case of an IPO, such securities may still be subject to lock-up restrictions of varying durations.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prices or in volumes sufficient to liquidate our position and realize gains, and even where they are willing, other stockholders could exercise their co-sale rights to participate in the sale, thereby reducing the number of shares available for us to sell. Furthermore, prospective buyers may be deterred from entering into purchase transactions with us due to the delay and uncertainty that these transfer and other limitations create.</w:t>
      </w:r>
    </w:p>
    <w:p>
      <w:pPr>
        <w:spacing w:after="0" w:line="156"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4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quotation, the fair value of our investments determined in good faith by our Board of Directors may differ significantly from the value that would have been used had a ready market existed for such investments, and the differences could be material.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investments in publicly traded companies involve a high degree of risk and can be speculative.</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 portion of our portfolio is invested in publicly traded companies or companies that are in the process of completing an IPO. As publicly traded companies, the securities of these companies may not trade at high volumes, and prices can be volatile, particularly during times of general market volatility, which may restrict our ability to sell our positions and may have a material adverse impact on us. Additionally, our investments in companies which have recently completed IPOs may be subject to lock-up restrictions of varying durations, which could limit our ability to realize gains on our investments at the most opportune times.</w:t>
      </w:r>
    </w:p>
    <w:p>
      <w:pPr>
        <w:spacing w:after="0" w:line="152"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 xml:space="preserve">In addition, our ability to invest in public companies may be limited in certain circumstances. To maintain our status as a BDC, we are not permitted to acquire any assets other than “qualifying assets” specified in the 1940 Act unless, at the time the acquisition is made and giving effect to it, at least 70% of our total assets are qualifying assets (with certain limited exceptions). Any failure to comply with the regulatory requirements applicable to BDCs would reduce our operating flexibility, which could have a negative effect on our business, financial condition, and results of operations. See “Risks Related to Our Business and Structure — </w:t>
      </w:r>
      <w:r>
        <w:rPr>
          <w:rFonts w:ascii="Times New Roman" w:cs="Times New Roman" w:eastAsia="Times New Roman" w:hAnsi="Times New Roman"/>
          <w:sz w:val="14"/>
          <w:szCs w:val="14"/>
          <w:i w:val="1"/>
          <w:iCs w:val="1"/>
          <w:color w:val="auto"/>
        </w:rPr>
        <w:t>We are subject to certain limitations and restrictions in our operations as a result of the regulations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applicable to BDCs, and any failure to comply with such regulations could negatively impact our business or expose us to enforcement actions or the claims of private litigants.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may not realize gains from our investments and, in certain circumstances, we may experience a complete loss on our investments, including in the event of a bankruptcy or liquidation of any of our portfolio companies.</w:t>
      </w:r>
    </w:p>
    <w:p>
      <w:pPr>
        <w:spacing w:after="0" w:line="13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We invest principally in the equity and equity-related securities of what we believe to be rapidly growing venture capital-backed emerging companies. However, the interests we acquire may not appreciate in value and, in fact, may decline in value. Investments in equity securities involve a number of significant risks, including the risk of dilution as a result of additional issuances and the company’s failure to pay distributions.</w:t>
      </w:r>
    </w:p>
    <w:p>
      <w:pPr>
        <w:spacing w:after="0" w:line="149"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undesirable or even below our cost basis. In this event, we could realize a loss or fail to realize gains in an amount that we deem appropriate on our investment. Further, capital market volatility and the overall market environment may preclude our portfolio companies from completing IPOs or liquidity events and impede our exit from these investments. Accordingly, we may not be able to realize gains on our investments, and any gains that we do realize on the disposition of any investments may not be sufficient to offset any other losses we experience. We will generally have little, if any, control over the timing of any gains we may realize from our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 which could, in turn, impact our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93"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have limited information about the financial performance and profitability of some of our portfolio companies. While certain of our portfolio companies have experienced gains in their net income in recent periods, we believe that many of our portfolio companies are currently experiencing operating losses. There can be no assurance when or if such companies will operate at a profit. If such companies fail to operate at a profit consistently or ever, such failure may adversely affect our investments, which will, in turn, result in negative effects to our results of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portfolio is concentrated in a limited number of portfolio companies or market sectors, which subjects us to a risk of significant loss if the business or market position of any of these companies deteriorates or any of their market sectors experience a market downturn.</w:t>
      </w:r>
    </w:p>
    <w:p>
      <w:pPr>
        <w:spacing w:after="0" w:line="137"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2024, 91.1% of our NAV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Our portfolio may be exposed in part to one or more specific industries, which may subject us to a risk of significant loss in a particular investment or investments if there is a downturn in that particular industry. In particular, 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portfolio may be exposed in part to one or more specific industries. A downturn in any particular industry in which we are invested could significantly impact the aggregate returns we realize. If an industry in which we have significant investments suffers from adverse business or economic conditions, a material portion of our investment portfolio could be adversely affected, which, in turn, could adversely affect our financial position and results of operations.</w:t>
      </w:r>
    </w:p>
    <w:p>
      <w:pPr>
        <w:spacing w:after="0" w:line="14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Given the experience of our executive officers and investment professionals within the technology space, a number of the companies in which we have invested and intend to invest operate in technology-related sectors, and as of December 31, 2024, our largest industry concentrations of our total investments at fair value were in the artificial intelligence infrastructure &amp; applications sector, which represented approximately 27.7% of our portfolio, and the software-as-a-service (“SaaS”) sector, which represented approximately 23.5% of our portfolio. Additionally, our investments in the consumer goods &amp; services sector represented approximately 14.5% of our portfolio, our investments in the educational technology sector represented approximately 13.1% of our portfolio, and our investments in the logistics &amp; supply chain sector represented approximately 11.0% of our portfolio. Therefore, we are susceptible to the economic circumstances and market conditions in these industries, and a downturn in one or more of these industries could have a material adverse effect on our business and results of operations.</w:t>
      </w:r>
    </w:p>
    <w:p>
      <w:pPr>
        <w:spacing w:after="0" w:line="156"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investment in the artificial intelligence infrastructure &amp; applications sector is subject to substantial risks due to rapid technological evolution, regulatory uncertainty, and operational vulnerabilities. Companies in this sector—including generative artificial intelligence infrastructure &amp; application companies—are frequently subject to unpredictable revenue, profitability, and valuations, as many such companies are in their startup or emerging stages and face challenges such as competitive pressures and technical hurdles. Additionally, emerging and evolving legal frameworks and regulatory compliance in this sector may increase such companies’ costs and, accordingly, constrain their operations. Our equity investments in such companies may be limited, and because we may not control these companies, we may be limited in our ability to influence their risk mitigation approaches. Founders and larger shareholders may prioritize growth over compliance or ethical safeguards, heightening these companies’ exposure to regulatory actions, reputational damage, and economic penalties, any or all of which could negatively impact our investment.</w:t>
      </w:r>
    </w:p>
    <w:p>
      <w:pPr>
        <w:spacing w:after="0" w:line="156"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Artificial intelligence infrastructure &amp; application companies may also face monetization challenges, which could threaten their returns. These companies may struggle to commercialize prototypes amid customer skepticism, pricing model uncertainties, and high operational costs upon startup. Further, rapid technological advancements, including breakthroughs in quantum machine learning, may render existing models obsolete. Additionally, certain of these companies may experience semiconductor supply chain vulnerabilities, causing operational delays as they execute on their go-to-market strategies. Any or all of these phenomena may impact such companies’ business, financial condition, or results of operations, thereby negatively impacting the value of our investments.</w:t>
      </w:r>
    </w:p>
    <w:p>
      <w:pPr>
        <w:spacing w:after="0" w:line="154"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Our investment in the SaaS sector is subject to substantial risks. For example, such portfolio companies may be subject to consumer protection laws that are enforced by regulators such as the Federal Trade Commission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or export and/or the cloud or SaaS industry, could create new legal or regulatory burdens on these portfolio companies that could have a material adverse effect on their respective operations. In addition, our SaaS portfolio companies may incur significant operating losses and negative cash flows during certain times of their respective life cycles, resulting in an adverse impact on their operations. Because our SaaS portfolio companies are generally investments that are underwritten and valued on “recurring revenue” rather than EBITDA, the fair value determinations of such companies are inherently uncertain and may fluctuate over short periods of time. They are also subject to the risks that their customers have financial difficulties that make them unable or unwilling to pay for the software and services that drive a portfolio company’s recurring revenue projections. For these reasons, our financial results could be materially adversely affected if our portfolio companies in the SaaS industry encounter financial difficulty.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investment in the consumer goods and services sector is subject to substantial risks. Companies in the consumer goods and services sector frequently experience fluctuations in their earnings due to consumer cyclicality, and are extremely sensitive to economic downturns or recessions as well as currency fluctuations. These companies are also subject to changing consumer tastes, extensive competition, product liability litigation and increased government regulation. Generally, spending on consumer goods and services is affected by the health of consumers. Companies in the consumer goods and services sectors are subject to government regulation affecting the permissibility of using various food additives and production methods, which regulations could affect company profitability. A weak economy and its effect on consumer spending would adversely affect companies in the consumer products and services sector and, in turn, the value of our investments in companies in that sector.</w:t>
      </w:r>
    </w:p>
    <w:p>
      <w:pPr>
        <w:spacing w:after="0" w:line="15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investment in the education technology industry is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 In addition, our portfolio companies in these sectors face intense competition since their businesses are rapidly evolving, intensely competitive and subject to changing technology, shifting user needs and frequent introductions of new products and services. For example, new technologies, including those based on artificial intelligence, can provide students with more immediate responses to inquiries than traditional tools, and over time, the accuracy of these tools and their ability to handle complex questions may improve, all of which may be disruptive to education technology businesses.</w:t>
      </w:r>
    </w:p>
    <w:p>
      <w:pPr>
        <w:spacing w:after="0" w:line="158"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Potential competitors to our portfolio companies in the education technology industry range from large and established companies to emerging start-ups. Further, such companies may be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Education technology has been a subject of particular scrutiny; for example, in 2019, certain members of the United States Senate circulated letters to education technology companies regarding their concerns about the amount of data being collected on students utilizing such technologies and the potential safety and security risks to children related to such data collection. Evolving regulatory landscapes and our portfolio companies’ mandated compliance with new laws and regulations could add new challenges to their operations and negatively affect such companies’ results of operations and, in turn, our business.</w:t>
      </w:r>
    </w:p>
    <w:p>
      <w:pPr>
        <w:spacing w:after="0" w:line="16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Our investment in the supply chain and logistics sector is subject to substantial risks. Geopolitical conflicts, trade restrictions, and regional instability can disrupt critical shipping lanes and cross-border commerce, while reliance on international suppliers heightens vulnerability to customs delays, tariff fluctuations, and sudden regulatory changes, all of which could impact the business, financial condition, and results of operations of such companies. Additionally, prolonged port congestion, container shortages, and labor disputes at key transit hubs may further impede delivery timelines, eroding customer trust and such companies’ contractual compliance, thus impacting these companies’ business and, accordingly, our investment.</w:t>
      </w:r>
    </w:p>
    <w:p>
      <w:pPr>
        <w:spacing w:after="0" w:line="15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Natural disasters, including hurricanes, floods, wildfires, and public health emergencies, as well as climate-related events, can necessitate rapid supply chain reconfiguration and disrupt essential infrastructure such as warehouses and transportation corridors. Companies must also navigate complex regulatory frameworks across jurisdictions governing emissions, labor practices, and safety protocols; for instance, stricter carbon disclosure requirements and evolving fuel efficiency standards may require costly compliance measures. Moreover, labor shortages in trucking, warehousing, and dock operations—as well as potential disruptions from unionization or collective bargaining—could further impact operational efficiency and profit margins. Any or all of these considerations or circumstances could distract these companies’ attention from their effective management, thereby potentially negatively impacting their financial condition and results of operations and, in turn, the value of our investment in such companies.</w:t>
      </w:r>
    </w:p>
    <w:p>
      <w:pPr>
        <w:spacing w:after="0" w:line="158"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Common to all of the artificial intelligence infrastructure &amp; applications, SaaS, consumer goods &amp; services, education technology, and supply chain &amp; logistic sectors are risks related to cybersecurity. Any of the portfolio companies in these sectors could be required to make a significant investment to remedy the effects of any cybersecurity incident, harm to their reputations, legal claims that they and their respective affiliates may be subjected to, regulatory action or enforcement arising out of applicable privacy and other laws, adverse publicity, and other events that may affect their business and financial performance. The increased use of mobile and cloud technologies can heighten these and other operational risks.</w:t>
      </w:r>
    </w:p>
    <w:p>
      <w:pPr>
        <w:spacing w:after="0" w:line="152"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Any of these factors could materially and adversely affect the business and operations of a portfolio company in these industries and, in turn, adversely affect the value of these portfolio companies and the value of any securities that we may hold.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financial results could be negatively affected if a portfolio company in which we have a significant investment fails to perform as expected.</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total investment in any one of our portfolio companies may be significant to our NAV.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 of Net</w:t>
            </w:r>
          </w:p>
        </w:tc>
      </w:tr>
      <w:tr>
        <w:trPr>
          <w:trHeight w:val="175"/>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480" w:type="dxa"/>
            <w:vAlign w:val="bottom"/>
            <w:gridSpan w:val="2"/>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3"/>
              </w:rPr>
              <w:t>Asset</w:t>
            </w:r>
          </w:p>
        </w:tc>
      </w:tr>
      <w:tr>
        <w:trPr>
          <w:trHeight w:val="191"/>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Cost</w:t>
            </w: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40" w:type="dxa"/>
            <w:vAlign w:val="bottom"/>
            <w:tcBorders>
              <w:bottom w:val="single" w:sz="8" w:color="CCEEFF"/>
            </w:tcBorders>
          </w:tcPr>
          <w:p>
            <w:pPr>
              <w:spacing w:after="0"/>
              <w:rPr>
                <w:sz w:val="16"/>
                <w:szCs w:val="16"/>
                <w:color w:val="auto"/>
              </w:rPr>
            </w:pPr>
          </w:p>
        </w:tc>
      </w:tr>
      <w:tr>
        <w:trPr>
          <w:trHeight w:val="198"/>
        </w:trPr>
        <w:tc>
          <w:tcPr>
            <w:tcW w:w="62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CW Opportunity 2 LP</w:t>
            </w:r>
            <w:r>
              <w:rPr>
                <w:rFonts w:ascii="Times New Roman" w:cs="Times New Roman" w:eastAsia="Times New Roman" w:hAnsi="Times New Roman"/>
                <w:sz w:val="23"/>
                <w:szCs w:val="23"/>
                <w:color w:val="auto"/>
                <w:vertAlign w:val="superscript"/>
              </w:rPr>
              <w:t>(1)</w:t>
            </w:r>
          </w:p>
        </w:tc>
        <w:tc>
          <w:tcPr>
            <w:tcW w:w="52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15,176,443</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17,775,155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08"/>
        </w:trPr>
        <w:tc>
          <w:tcPr>
            <w:tcW w:w="622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ARK Type One Deep Ventures Fund LLC</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17,696,568</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17,638,247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17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14,999,972</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16,882,029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75"/>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Blink Health,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15,004,340</w:t>
            </w: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15,092,515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10,011,460</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14,923,457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175"/>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10,008,233</w:t>
            </w: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14,027,713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208"/>
        </w:trPr>
        <w:tc>
          <w:tcPr>
            <w:tcW w:w="62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IH10, LLC</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12,273,784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12,215,010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75"/>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Canva,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10,058,820</w:t>
            </w:r>
          </w:p>
        </w:tc>
        <w:tc>
          <w:tcPr>
            <w:tcW w:w="28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12,000,000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75"/>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8,530,389</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11,716,925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Locus Robotics Corp.</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10,004,286</w:t>
            </w:r>
          </w:p>
        </w:tc>
        <w:tc>
          <w:tcPr>
            <w:tcW w:w="28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11,316,312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6220" w:type="dxa"/>
            <w:vAlign w:val="bottom"/>
            <w:tcBorders>
              <w:top w:val="single" w:sz="8" w:color="CCEEFF"/>
              <w:bottom w:val="single" w:sz="8" w:color="CCEEFF"/>
            </w:tcBorders>
            <w:shd w:val="clear" w:color="auto" w:fill="CCEEFF"/>
          </w:tcPr>
          <w:p>
            <w:pPr>
              <w:ind w:left="160"/>
              <w:spacing w:after="0" w:line="170" w:lineRule="exact"/>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123,764,295</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143,587,363</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95"/>
              </w:rPr>
              <w:t>%</w:t>
            </w: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ind w:left="260" w:hanging="253"/>
        <w:spacing w:after="0" w:line="253" w:lineRule="auto"/>
        <w:tabs>
          <w:tab w:leader="none" w:pos="2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an SPV for which the Class A Interest is solely invested in the Series C Preferred Shares of CoreWeave, Inc. SuRo Capital Corp. is invested in the Series C Preferred Shares of CoreWeave, Inc. through its investment in the Class A Interest of CW Opportunity 2 LP.</w:t>
      </w:r>
    </w:p>
    <w:p>
      <w:pPr>
        <w:ind w:left="260" w:hanging="253"/>
        <w:spacing w:after="0" w:line="243" w:lineRule="auto"/>
        <w:tabs>
          <w:tab w:leader="none" w:pos="2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w:t>
      </w:r>
    </w:p>
    <w:p>
      <w:pPr>
        <w:ind w:left="260" w:hanging="253"/>
        <w:spacing w:after="0" w:line="246" w:lineRule="auto"/>
        <w:tabs>
          <w:tab w:leader="none" w:pos="2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SuRo Capital Corp. is invested in the Series B Preferred Shares of VAST Data, Ltd. through its investment in the Membership Interest of IH10, LLC.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limited in our ability to make follow-on investments, and our failure to make follow-on investments in our portfolio companies could impair the value of our portfolio.</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company’s capital structure. Even if we have sufficient capital to make a desired follow-on investment, we may elect not to make a follow-on investment because we may not want to increase our concentration of risk, because we prefer other opportunities, or because we are inhibited by our mandate to comply with regulatory requirements applicable to BDCs.</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addition, we may be unable to complete follow-on investments in our portfolio companies that have conducted an IPO as a result of regulatory or financial restrictions. This or any of the preceding rationales for failing to undertake a follow-on investment could impact our portfolio companies’ performance and, thus, its value, which could, in turn, affect our financial condition and results of operations.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37"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4"/>
          <w:szCs w:val="14"/>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typically hold in our portfolio companies, we may not be able to dispose of our investments in the event we disagree with the actions of a portfolio company’s management or its substantial stockholders, and may therefore suffer a decrease in the value of our investments and, accordingly, our financial condition and results of operations.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 the event that we make an investment in a sponsor of a SPAC and the SPAC does not consummate a business combination, we will lose the entirety of our investment.</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invest selectively in the sponsors of SPACs, which investments are subject to certain particularized and substantial risks. For example, 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 which, if such loss were to occur, would negatively impact our financial condition and results of operations.</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37"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4"/>
          <w:szCs w:val="14"/>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14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 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Investments in foreign companies may involve significant risks in addition to the risks inherent in U.S. investments.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issuers.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Developments with respect to any one of these or any other factors affecting currency values may negatively impact the value of our investment, thereby resulting in a material adverse effect on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expose ourselves to risks if we engage in hedging transactions.</w:t>
      </w:r>
    </w:p>
    <w:p>
      <w:pPr>
        <w:spacing w:after="0" w:line="181"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4"/>
          <w:szCs w:val="14"/>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Changes to the regulations applicable to the financial instruments we may use to accomplish our hedging strategy could affect the effectiveness of that strategy. See “</w:t>
      </w:r>
      <w:r>
        <w:rPr>
          <w:rFonts w:ascii="Times New Roman" w:cs="Times New Roman" w:eastAsia="Times New Roman" w:hAnsi="Times New Roman"/>
          <w:sz w:val="14"/>
          <w:szCs w:val="14"/>
          <w:i w:val="1"/>
          <w:iCs w:val="1"/>
          <w:color w:val="auto"/>
        </w:rPr>
        <w:t>—We are exposed to risks associated with changes in interest rates.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enter into transactions involving derivatives and financial commitment transactions may be limited.</w:t>
      </w:r>
    </w:p>
    <w:p>
      <w:pPr>
        <w:spacing w:after="0" w:line="181"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BDCs that enter into transactions involving derivatives are subject to a value-at-risk (“VaR”) leverage limit, certain other derivatives risk management program and testing requirements and requirements related to board reporting. These requirements apply unless the BDC qualifies as a “limited derivatives user” under Rule 18f-4 under the 1940 Act. Under Rule 18f-4,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We currently operate as a “limited derivatives user,” which may limit our ability to use derivatives and/or enter into certain other financial contracts.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The market structure applicable to derivatives imposed by the Dodd-Frank Act, the U.S. Commodity Futures Trading Commission (“CFTC”) and the SEC may affect our ability to use over-the-counter (“OTC”) derivatives for hedging purposes.</w:t>
      </w:r>
    </w:p>
    <w:p>
      <w:pPr>
        <w:spacing w:after="0" w:line="137"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The Dodd-Frank Act and the CFTC enacted, and the SEC has issued rules implementing,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1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CFTC and the SEC have issued final rules establishing that certain swap transactions are subject to CFTC regulation. Engaging in such swap or other commodity interest transactions such as futures contracts or options on futures contracts may cause us to fall within the definition of a “commodity pool operator” under the Commodity Exchange Act and related CFTC regulations. We have claimed relief from CFTC registration and regulation as a commodity pool operator with respect to our operations, with the result that we are limited in our ability to use futures contracts or options on futures contracts or engage in swap transactions. Specifically, we are subject to strict limitations on using such derivatives other than for hedging purposes, whereby the use of derivatives not used solely for hedging purposes is generally limited to situations where (i) the aggregate initial margin and premiums required to establish such positions does not exceed 5% of the liquidation value of our portfolio, after taking into account unrealized profits and unrealized losses on any such contracts we have entered into; or (ii) the aggregate net notional value of such derivatives does not exceed 100% of the liquidation value of our portfolio.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Dodd-Frank Act also imposed requirements relating to real-time public and regulatory reporting of OTC derivative transactions, enhanced documentation requirements, position limits on an expanded array of derivatives, and record 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Structure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are subject to certain limitations and restrictions in our operations as a result of the regulations applicable to BDCs, and any failure to comply with such regulations could negatively impact our business or expose us to enforcement actions or the claims of private litigants.</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As an internally managed BDC, we are subject to certain restrictions that may adversely affect our business.</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Additionally, as an internally managed BDC, our ability to offer more competitive and flexible compensation structures, such as offering both a profit-sharing plan and an equity incentive plan, is subject to the limitations imposed by the 1940 Act, which limitations thus may limit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team, our ability to implement our business strategy could be significantly harmed.</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As an internally managed BDC, our ability to achieve our investment objectives and to make distributions to our stockholders depends upon the performance of our management team and investment professionals. We depend upon the expertise, skill and network of members of our management and our investment professionals for the identification, diligence, final selection, structuring, closing and monitoring of our investments. These employees have critical industry experience and relationships on which we rely to implement our business plan. If we lose the services of key members of our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5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Members of our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team or competing demands on their time could have a negative impact on our business, financial condition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financial condition and results of operations will depend on our ability to manage our business effectively and achieve our investment objective.</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their ability to provide competent, attentive and efficient services. We seek a specified number of investments in rapidly growing venture 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15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model depends upon the development and maintenance of strong referral relationships with private equity, venture capital funds and investment banking firms.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inhibit our ability to identify attractive portfolio companies that meet our investment criteria, thus negatively impacting our cash flows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are significant potential risks related to investing in securities traded on private secondary marketplaces.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have utilized and expect to continue to utilize private secondary marketplaces, such as Hiive Markets, Ltd. and Forge Global, Inc., to acquire investments for our portfolio. When we purchase investments in the secondary marketplace, we may have little or no direct access to financial or other information from these portfolio companies. As a result, we are dependent upon the relationships of our management team and investment professionals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NAV and results of operations.</w:t>
      </w:r>
    </w:p>
    <w:p>
      <w:pPr>
        <w:spacing w:after="0" w:line="156"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4"/>
          <w:szCs w:val="14"/>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NAV and results of operations.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37"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40"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addition, any failure to keep pace with such rules, or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Capital markets may experience periods of disruption and instability, including as recently experienced. Such market conditions may materially and adversely affect debt and equity capital markets in the United States and abroad, which may have a negative impact on our business and operations.</w:t>
      </w:r>
    </w:p>
    <w:p>
      <w:pPr>
        <w:spacing w:after="0" w:line="13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From time to time, capital markets may experience periods of disruption and instability, including during portions of the last three fiscal years. Since 2020, the U.S. capital markets have experienced extreme volatility and disruption. Despite actions of the U.S. federal government and foreign governments, these types of events contribute to unpredictable general economic conditions that materially and adversely impact the broader financial and credit markets and reduce the availability of debt and equity capital for the market as a whole. These conditions could continue for a prolonged period of time or worsen in the future.</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Given the ongoing and dynamic nature of recent market disruption and instability, it is difficult to predict the full impact of these conditions on our business. The extent of any such impact will depend on future developments, which are highly uncertain, including the duration or reoccurrence of any potential business or supply chain disruption, changes in interest rates and inflation rates, global conflicts, health epidemics and pandemics and the actions taken by governments in response to these conditions.</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During any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NAV without first obtaining approval for such issuance from our stockholders and our independent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4"/>
          <w:szCs w:val="14"/>
          <w:color w:val="auto"/>
        </w:rPr>
        <w:t>Volatility and dislocation in the capital markets can also create a challenging environment in which to raise or access debt capital, and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continuance or reappearance of market conditions similar to those experienced during portions of the last three fiscal years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46"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Significant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mark-to-market transactions between market participants. As a result, volatility in the capital markets can adversely affect our investment valuations.</w:t>
      </w:r>
    </w:p>
    <w:p>
      <w:pPr>
        <w:spacing w:after="0" w:line="149"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Significant disruption or volatility in the capital markets may also affect the pace of our investment activity and the potential for liquidity events involving our investments. The illiquidity of our investments may make it difficult for us to sell such investments to access capital if required and to value such investments. Consequently, we may realize significantly less than the value at which we carry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exposed to risks associated with changes in interest rates.</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General interest rate fluctuations may have a negative impact on our investments and our investment returns and, accordingly, may have a material adverse effect on our investment objective and our net investment income.</w:t>
      </w:r>
    </w:p>
    <w:p>
      <w:pPr>
        <w:spacing w:after="0" w:line="14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U.S. Federal Reserve decreased the federal funds rate multiple times in 2024 after a sustained period of historically high rates. We may borrow money and issue debt securities or preferred stock to make investments, and if we do so, our net investment income will be dependent upon the difference between the rate at which we borrow funds or pay interest or dividends on such debt securities or preferred stock and the rate at which we invest these funds. While we are principally invested in the equity and equity-related securities of our portfolio companies, to the extent we have debt investments with floating rates, in periods of declining interest rates, we may earn less interest income from investments and our cost of funds will also decrease. Conversely, in periods of rising interest rates, our interest income on these investments will increase. There can be no assurance that a significant change in market interest rates will not have a material adverse effect on our net investment income.</w:t>
      </w:r>
    </w:p>
    <w:p>
      <w:pPr>
        <w:spacing w:after="0" w:line="15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Rising interest rates may also increase the cost of debt for our underlying portfolio companies, which could adversely impact their financial performance and ability to meet ongoing obligations to us. Also, an increase in interest rates available to investors could make an investment in our common stock less attractive if we are not able to pay dividends at a level that provides a similar return, which could reduce the value of our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Economic recessions or downturns could impair our portfolio companies and harm our operating results.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58"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54"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5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the negotiation of trade deals between the United Kingdom and the European Union following the United Kingdom’s exit from the European Union and tensions uncertainty between the United States and other countries, including China and Russia, with respect to trade policies, treaties, and tariffs, among other factors, have caused disruption in the global markets. There can be no assurance that market conditions will not worsen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Economic sanction laws in the United States and other jurisdictions may prohibit us from transacting with certain countries, individuals and companies.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58"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As a result, we may be adversely affected because of our unwillingness to enter into transactions that violate any such laws or regulations.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Inflation may adversely affect the business, results of operations and financial condition of our portfolio companies.</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Certain of our portfolio companies may be impacted by inflation. If such portfolio companies are unable to pass any increases in their costs along to their customers, it could adversely affect their results, which could in turn adversely impact our results of operations. In addition, any projected future decreases in our portfolio companies’ operating results due to inflation could adversely impact the fair value of our investments. Any decreases in the fair value of our investments could result in future unrealized losses and therefore reduce our net assets resulting from operations. See “</w:t>
      </w:r>
      <w:r>
        <w:rPr>
          <w:rFonts w:ascii="Times New Roman" w:cs="Times New Roman" w:eastAsia="Times New Roman" w:hAnsi="Times New Roman"/>
          <w:sz w:val="15"/>
          <w:szCs w:val="15"/>
          <w:i w:val="1"/>
          <w:iCs w:val="1"/>
          <w:color w:val="auto"/>
        </w:rPr>
        <w:t>—We are exposed to risks associated with changes in interest rates.</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corporate social responsibility.</w:t>
      </w:r>
    </w:p>
    <w:p>
      <w:pPr>
        <w:spacing w:after="0" w:line="181"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4"/>
          <w:szCs w:val="14"/>
          <w:color w:val="auto"/>
        </w:rPr>
        <w:t>Our business (including that of our portfolio companies) faces increasing public scrutiny related to environmental, social, and governance (“ESG”) activities. A variety of organizations measure the performance of companies on ESG topics, and the results of these assessments are widely publicized. If our ESG ratings or performance do not meet the standards set by such investors or our stockholders, they may choose to exclude our securities from their investments. In addition, investment in funds that specialize in companies that perform well in such assessments remain popular, and major institutional investors have publicly discussed their consideration of such ESG ratings and measures in making their investment decisions.</w:t>
      </w:r>
    </w:p>
    <w:p>
      <w:pPr>
        <w:spacing w:after="0" w:line="13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risk damage to our brand and reputation if we fail to act responsibly in a number of areas, including, but not limited to, human rights, climate change and environmental stewardship, support for local communities, corporate governance and transparency, or consideration of ESG factors in our investment processes. Adverse incidents with respect to ESG activities could impact the value of our brand, our relationship with existing and future portfolio companies, the cost of our operations and relationships with investors, all of which could adversely affect our business and results of operations.</w:t>
      </w:r>
    </w:p>
    <w:p>
      <w:pPr>
        <w:spacing w:after="0" w:line="152"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Conversely, “anti-ESG” sentiment has gained momentum across the U.S., with a growing number of states, federal agencies, the executive branch and Congress having enacted, proposed or indicated an intent to pursue “anti-ESG” policies, legislation or issued related legal opinions and engaged in related investigations and litigation. If investors subject to “anti-ESG” legislation view our investment activities as being in contradiction of such “anti-ESG” policies, legislation or legal opinions, such investors may not invest in us and it could negatively impact the price of our common stock. In addition, corporate diversity, equity and inclusion (“DEI”) practices have recently come under increasing scrutiny. For example,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our investment adviser to the risk of litigation, investigations or challenges by federal or state authorities or result in reputational harm.</w:t>
      </w:r>
    </w:p>
    <w:p>
      <w:pPr>
        <w:spacing w:after="0" w:line="162"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There is also regulatory interest across jurisdictions in improving transparency regarding the definition, measurement and disclosure of ESG factors in order to allow investors to validate and better understand sustainability claims. For example, the SEC sometimes reviews compliance with ESG commitments in examinations and has taken enforcement actions against registered investment advisers for not establishing adequate or consistently implementing ESG policies and procedures to meet ESG commitments to investors. In March 2024, the SEC adopted rules aimed at enhancing and standardizing climate-related disclosures; however, these rules are stayed pending the outcome of consolidated legal challenges in the Eighth Circuit Court of Appeals. At the state level, in October 2023, California enacted legislation that will ultimately require certain companies that do business in California to publicly disclose their Scopes 1, 2, and 3 greenhouse gas emissions, with third party assurance of such data, and issue public reports on their climate-related financial risk and related mitigation measures. Compliance with any new laws or regulations increases our regulatory burden and could result in increased legal, accounting and compliance costs, make some activities more difficult, time-consuming and costly, affect the manner in which we or our portfolio companies conduct our businesses and adversely affect our profitability.</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3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operate in a highly competitive market for direct equity investment opportunities.</w:t>
      </w:r>
    </w:p>
    <w:p>
      <w:pPr>
        <w:spacing w:after="0" w:line="181"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ability to subject to tax as a RIC. These characteristics could allow our competitors to consider a wider variety of investments, establish more relationships and offer financing at more attractive terms than we are able to offer.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Borrowings, such as the 6.00% Notes due 2026 and our 6.50% Convertible Notes due 2029, can magnify the potential for gain or loss on amounts invested and may increase the risk of investing in us.</w:t>
      </w:r>
    </w:p>
    <w:p>
      <w:pPr>
        <w:spacing w:after="0" w:line="13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Borrowings, also known as leverage, magnify the potential for gain or loss on amounts invested and, therefore, increase the risks associated with investing in our securities. In addition to the 6.00% Notes due 2026 and our 6.50% Convertible Notes due 2029,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6.00% Notes due 2026, the 6.50% Convertible Notes due 2029 or any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pacing w:after="0" w:line="15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2460" w:type="dxa"/>
            <w:vAlign w:val="bottom"/>
            <w:gridSpan w:val="4"/>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7"/>
              </w:rPr>
              <w:t>Assumed Return on Our Portfolio</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3160" w:type="dxa"/>
            <w:vAlign w:val="bottom"/>
          </w:tcPr>
          <w:p>
            <w:pPr>
              <w:spacing w:after="0"/>
              <w:rPr>
                <w:sz w:val="16"/>
                <w:szCs w:val="16"/>
                <w:color w:val="auto"/>
              </w:rPr>
            </w:pPr>
          </w:p>
        </w:tc>
        <w:tc>
          <w:tcPr>
            <w:tcW w:w="2460" w:type="dxa"/>
            <w:vAlign w:val="bottom"/>
            <w:gridSpan w:val="4"/>
          </w:tcPr>
          <w:p>
            <w:pPr>
              <w:jc w:val="center"/>
              <w:ind w:left="187"/>
              <w:spacing w:after="0"/>
              <w:rPr>
                <w:sz w:val="20"/>
                <w:szCs w:val="20"/>
                <w:color w:val="auto"/>
              </w:rPr>
            </w:pPr>
            <w:r>
              <w:rPr>
                <w:rFonts w:ascii="Times New Roman" w:cs="Times New Roman" w:eastAsia="Times New Roman" w:hAnsi="Times New Roman"/>
                <w:sz w:val="15"/>
                <w:szCs w:val="15"/>
                <w:b w:val="1"/>
                <w:bCs w:val="1"/>
                <w:color w:val="auto"/>
                <w:w w:val="96"/>
              </w:rPr>
              <w:t>(Net of Expenses)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(10.0)%</w:t>
            </w:r>
          </w:p>
        </w:tc>
        <w:tc>
          <w:tcPr>
            <w:tcW w:w="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(5.0)%</w:t>
            </w:r>
          </w:p>
        </w:tc>
        <w:tc>
          <w:tcPr>
            <w:tcW w:w="3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0.0%</w:t>
            </w:r>
          </w:p>
        </w:tc>
        <w:tc>
          <w:tcPr>
            <w:tcW w:w="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5.0%</w:t>
            </w:r>
          </w:p>
        </w:tc>
        <w:tc>
          <w:tcPr>
            <w:tcW w:w="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10.0%</w:t>
            </w:r>
          </w:p>
        </w:tc>
        <w:tc>
          <w:tcPr>
            <w:tcW w:w="120" w:type="dxa"/>
            <w:vAlign w:val="bottom"/>
            <w:tcBorders>
              <w:bottom w:val="single" w:sz="8" w:color="CCEEFF"/>
            </w:tcBorders>
          </w:tcPr>
          <w:p>
            <w:pPr>
              <w:spacing w:after="0"/>
              <w:rPr>
                <w:sz w:val="16"/>
                <w:szCs w:val="16"/>
                <w:color w:val="auto"/>
              </w:rPr>
            </w:pPr>
          </w:p>
        </w:tc>
      </w:tr>
      <w:tr>
        <w:trPr>
          <w:trHeight w:val="188"/>
        </w:trPr>
        <w:tc>
          <w:tcPr>
            <w:tcW w:w="316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3"/>
                <w:szCs w:val="13"/>
                <w:color w:val="auto"/>
              </w:rPr>
              <w:t>Corresponding return to common stockholder</w:t>
            </w:r>
            <w:r>
              <w:rPr>
                <w:rFonts w:ascii="Times New Roman" w:cs="Times New Roman" w:eastAsia="Times New Roman" w:hAnsi="Times New Roman"/>
                <w:sz w:val="21"/>
                <w:szCs w:val="21"/>
                <w:color w:val="auto"/>
                <w:vertAlign w:val="superscript"/>
              </w:rPr>
              <w:t>(1)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(16.49)%</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(9.84)%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(3.20)%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ind w:left="260" w:hanging="253"/>
        <w:spacing w:after="0" w:line="267" w:lineRule="auto"/>
        <w:tabs>
          <w:tab w:leader="none" w:pos="2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$209.4 million in total portfolio assets excluding U.S. Treasuries, and $74.7 million in outstanding debt related to our 6.00% Notes due 2026 and 6.50% Convertible Notes due 2029 as of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use of borrowed funds to make investments exposes us to risks typically associated with leverage.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borrow money and may issue debt securities or preferred stock to leverage our capital structure. As a result:</w:t>
      </w:r>
    </w:p>
    <w:p>
      <w:pPr>
        <w:spacing w:after="0" w:line="177" w:lineRule="exact"/>
        <w:rPr>
          <w:sz w:val="20"/>
          <w:szCs w:val="20"/>
          <w:color w:val="auto"/>
        </w:rPr>
      </w:pPr>
    </w:p>
    <w:p>
      <w:pPr>
        <w:ind w:left="540" w:hanging="270"/>
        <w:spacing w:after="0" w:line="267"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would be exposed to incremental risk of loss; therefore, a decrease in the value of our investments would have a greater negative impact on the value of our common stock than if we did not use leverage;</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depreciation in the value of our assets may magnify losses associated with an investment and could totally eliminate the value of an asset to us;</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future credit facility we may enter into would be subject to periodic renewal by the lenders party thereto, whose continued participation cannot be guaranteed;</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and indirectly our common stockholders, bear the entire cost of issuing and paying interest or dividends on such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540" w:right="20" w:hanging="270"/>
        <w:spacing w:after="0" w:line="303"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117" w:lineRule="exact"/>
        <w:rPr>
          <w:rFonts w:ascii="Times New Roman" w:cs="Times New Roman" w:eastAsia="Times New Roman" w:hAnsi="Times New Roman"/>
          <w:sz w:val="14"/>
          <w:szCs w:val="14"/>
          <w:color w:val="auto"/>
        </w:rPr>
      </w:pPr>
    </w:p>
    <w:p>
      <w:pPr>
        <w:ind w:left="540" w:hanging="270"/>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convertible or exchangeable securities that we issue may have rights, preferences and privileges more favorable than those of our common shares; and</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p>
    <w:p>
      <w:pPr>
        <w:spacing w:after="0" w:line="14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Under the provisions of the 1940 Act, we are permitted, as a BDC, to issue senior securities only in amounts such that our asset coverage ratio equals at least 200% after each issuance of senior securities (or 150% if certain requirements are met).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3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5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have difficulty paying our required distributions if we recognize income before or without receiving cash representing such income.</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U.S. federal income tax.</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may in the future issue additional debt securities or preferred stock and/or borrow money from banks or other financial institutions, which we refer to collectively (along with the 6.00% Notes due 2026 and the 6.50% Convertible Notes due 2029)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All of the costs of offering and servicing the 6.00% Notes due 2026, the 6.50% Convertible Notes due 2029 and any additional debt or preferred stock we may issue in the future, including interest payments thereon, will be borne by our common stockholders. The interests of the holders of the 6.00% Notes due 2026, the 6.50% Convertible Notes due 2029 and any additional debt or preferred stock we may issue will not necessarily be aligned with the interests of our common stockholders. In particular, the rights of holders of the 6.00% Notes due 2026, the 6.50% Convertible Notes due 2029 and any other debt or preferred stock we mato receive interest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45"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are not generally able to issue and sell our common stock at a price below NAV per share. We may, however, sell our common stock, or warrants, options or rights to acquire our common stock, at a price below the then-current NAV per share of our common stock if our Board of Directors determines that such sale is in the best interests of the Company and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3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NAV requirement, a limitation on the reduction of our NAV,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will be subject to U.S. federal income tax imposed at corporate rates if we are profitable and are unable to qualify as a RIC, which could have a material adverse effect on us and our stockholders.</w:t>
      </w:r>
    </w:p>
    <w:p>
      <w:pPr>
        <w:spacing w:after="0" w:line="13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elected to be treated as a RIC under Subchapter M of the Code beginning with our taxable year ended December 31, 2014, have qualified to be treated as a RIC for subsequent taxable years and expect to continue to operate in a manner so as to qualify for the tax treatment applicable to RICs. See “Item 1. Business—Material U.S. Federal Income Tax Considerations” and “Note 2—Significant Accounting Policies—</w:t>
      </w:r>
      <w:r>
        <w:rPr>
          <w:rFonts w:ascii="Times New Roman" w:cs="Times New Roman" w:eastAsia="Times New Roman" w:hAnsi="Times New Roman"/>
          <w:sz w:val="15"/>
          <w:szCs w:val="15"/>
          <w:i w:val="1"/>
          <w:iCs w:val="1"/>
          <w:color w:val="auto"/>
        </w:rPr>
        <w:t>U.S. Federal and State Income Taxes</w:t>
      </w:r>
      <w:r>
        <w:rPr>
          <w:rFonts w:ascii="Times New Roman" w:cs="Times New Roman" w:eastAsia="Times New Roman" w:hAnsi="Times New Roman"/>
          <w:sz w:val="15"/>
          <w:szCs w:val="15"/>
          <w:color w:val="auto"/>
        </w:rPr>
        <w:t>” and “Note 9—Income Taxes” to our Consolidated Financial Statements for the year ended December 31, 2024 for more information.</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generally believe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U.S. federal income tax imposed at corporate rates, which could substantially reduce our net assets, the amount of income available for distribution or reinvestment and the amount of our distributions. Such a failure could have a material adverse effect on us and our stockholders.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37"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To qualify as a RIC,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and, thus, be subject to U.S. federal income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Legislative or regulatory tax changes could adversely affect our business and financial condition.</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rules dealing with U.S. federal income taxation are constantly under review by persons involved in the legislative process and by the Internal Revenue Service (“IRS”) and the U.S. Treasury Department. Changes in tax laws, regulations or administrative interpretations or any amendments thereto could adversely affect us, the entities in which we invest, or the holders of our securities, including our common stock and the 6.00% Notes due 2026. Additionally, the Trump Administration has proposed significant changes to the Code and existing U.S federal income tax regulations and there are a number of proposals in Congress that would similarly modify the Code. The likelihood of any such legislation being enacted is uncertain, but new legislation and any U.S. Treasury regulations, administrative interpretations or court decisions interpreting such legislation could have adverse consequences, including affecting our ability to qualify as a RIC or otherwise impacting the U.S. federal income tax consequences to us and our investors. Investors are urged to consult with their tax advisors with respect to the impact of this legislation and the status of any other regulatory or administrative developments and proposals and their potential effect on an investment in our securities.</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3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We have elected to be taxed for U.S. federal income tax purposes as a RIC under Subchapter M of the Code. If we meet certain requirements, including source of income, asset diversification and distribution requirements, and if we continue to operate as a BDC, we will continue to qualify for tax treatment as a RIC under the Code and will not be subject to U.S. income taxes on income we distribute to our stockholders as dividends, allowing us to substantially reduce or eliminate our U.S. federal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issuing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NAV without stockholder approval. If additional funds are not available to us, we could be forced to curtail or cease new lending and investment activities, and our NAV could decline.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continue to choose to pay dividends in our common stock, in which case you may be required to pay tax in excess of the cash you receive.</w:t>
      </w:r>
    </w:p>
    <w:p>
      <w:pPr>
        <w:spacing w:after="0" w:line="181"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We have in the past, and may continue to, distribute taxable dividends that are payable in part in shares of our common stock. In accordance with certain applicable U.S. Treasury regulations and published guidance issued by the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not exceed more than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37"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and, consequently, the full impact that such legislation will ultimately have on us and the markets in which we trade and invest is not fully known. For example, on August 16, 2022, the Biden Administration enacted the Inflation Reduction Act of 2022, which modifies key aspects of the Code, including by creating an alternative minimum tax on certain large corporations and an excise tax on stock repurchases by certain corporations. We will assess the potential impact of these legislative changes. Such uncertainty and any resulting confusion may itself be detrimental to the efficient functioning of the markets and the success of certain of our investment strategies.</w:t>
      </w:r>
    </w:p>
    <w:p>
      <w:pPr>
        <w:spacing w:after="0" w:line="15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unclear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SBCAA allows us to incur additional leverage, which could increase the risk of investing in us.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SBCAA modified the 1940 Act to allow BDCs to decrease their asset coverage requirement from 200% to 150% (i.e. the amount of debt may not exceed 66.7% of the value of our total assets) if certain requirements are met. Under the SBCAA,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As a result of the SBCAA,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investors are limited in their ability to make significant investments in us.</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Private funds that are excluded from the definition of “investment company”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Ineffective internal controls could impact our business and operating results.</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3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 Accordingly, any issuance of preferred stock that we effect would subject our stockholders, including our common stockholders, to these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93"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4"/>
          <w:szCs w:val="14"/>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the Company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NAV per share of our common stock upon conversion. These effects, among others, could have an adverse effect on an investment in our common stock.</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Board of Directors may change our investment objective, operating policies and strategies without prior notice or stockholder approval, the effects of which may be adverse.</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Provisions of the Maryland General Corporation Law and of our charter and bylaws could deter takeover attempts and have an adverse impact on the price of our common stock.</w:t>
      </w:r>
    </w:p>
    <w:p>
      <w:pPr>
        <w:spacing w:after="0" w:line="181"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5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and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3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152" w:lineRule="exact"/>
        <w:rPr>
          <w:sz w:val="20"/>
          <w:szCs w:val="20"/>
          <w:color w:val="auto"/>
        </w:rPr>
      </w:pPr>
    </w:p>
    <w:p>
      <w:pPr>
        <w:ind w:left="540" w:hanging="270"/>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sudden electrical or telecommunications outages;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disasters such as earthquakes, tornadoes and hurricanes;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disease pandemics;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events arising from local or larger scale political or social matters, including terrorist acts;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cyber-attacks.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These events, in turn, could have a material adverse effect on our operating results and negatively affect the market price of our common stock and our ability to pay dividends to our stockholders.</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will likely experience fluctuations in our results and we may be unable to replicate past investment opportunities or make the types of investments we have made to date in future periods.</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2024,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Borrowings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borrowings, including the 6.00% Notes due 2026 and the 6.50% Convertible Notes due 2029 are unsecured and therefore effectively subordinated to any future secured indebtedness we could incur.</w:t>
      </w:r>
    </w:p>
    <w:p>
      <w:pPr>
        <w:spacing w:after="0" w:line="13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6.00% Notes due 2026 and 6.50% Convertible Notes due 2029 are not secured by any of our assets or any of the assets of any of our subsidiaries. As a result, these borrowings are effectively subordinated to any future secured indebtedness we or our subsidiaries may incur in the future (or any indebtedness that is initially unsecured as to which we subsequently grant a security interest) to the extent of the value of the assets securing such indebtedness. In any liquidation, dissolution, bankruptcy or other similar proceeding, the holders of any of our future secured indebtedness or secured indebtedness of our subsidiaries may assert rights against the assets pledged to secure that indebtedness in order to receive full payment of their indebtedness before the assets may be used to pay other creditors.</w:t>
      </w:r>
    </w:p>
    <w:p>
      <w:pPr>
        <w:spacing w:after="0" w:line="152" w:lineRule="exact"/>
        <w:rPr>
          <w:sz w:val="20"/>
          <w:szCs w:val="20"/>
          <w:color w:val="auto"/>
        </w:rPr>
      </w:pPr>
    </w:p>
    <w:p>
      <w:pPr>
        <w:jc w:val="both"/>
        <w:ind w:firstLine="262"/>
        <w:spacing w:after="0" w:line="252" w:lineRule="auto"/>
        <w:rPr>
          <w:sz w:val="20"/>
          <w:szCs w:val="20"/>
          <w:color w:val="auto"/>
        </w:rPr>
      </w:pPr>
      <w:r>
        <w:rPr>
          <w:rFonts w:ascii="Times New Roman" w:cs="Times New Roman" w:eastAsia="Times New Roman" w:hAnsi="Times New Roman"/>
          <w:sz w:val="15"/>
          <w:szCs w:val="15"/>
          <w:color w:val="auto"/>
        </w:rPr>
        <w:t xml:space="preserve">The 6.00% Notes due 2026 and 6.50% Convertible Notes due 2029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which means equal in right of payment, with all outstanding and future unsecured, unsubordinated indebtedness issued by us. The 6.00% Notes due 2026 also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or equal to, our general liabilities (total liabilities, less debt). In total, these general liabilities were approximately $0.8 million as of December 31, 2024. In any liquidation, dissolution, bankruptcy or other similar proceeding, the holders of such indebtedness may assert rights equal to the holders of the 6.00% Notes due 2026 and 6.50% Convertible Notes due 2029, which may limit recovery by the holders of these debt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6.00% Notes due 2026 are structurally subordinated to the indebtedness and other liabilities of our subsidiaries.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6.00% Notes due 2026 are obligations exclusively of SuRo Capital Corp., and not of any of our subsidiaries. None of our subsidiaries will be a guarantor of the 6.00% Notes due 2026, and the 6.00% Notes due 2026 are not be required to be guaranteed by any subsidiary we may acquire or create in the future. Any assets of our subsidiaries will not be directly available to satisfy the claims of our creditors, including holders of the 6.00% Notes due 2026. Except to the extent we are a creditor with recognized claims against our subsidiaries, all claims of creditors of our subsidiaries will have priority over our equity interests in such entities (and therefore the claims of our creditors, including holders of the 6.00% Notes due 2026)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6.00% Notes due 2026 are structurally subordinated to all indebtedness and other liabilities, including trade payables, of any of our existing or future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indenture under which the 6.00% Notes due 2026 were issued contains limited protection for holders of the 6.00% Notes due 2026.</w:t>
      </w:r>
    </w:p>
    <w:p>
      <w:pPr>
        <w:spacing w:after="0" w:line="181"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The indenture under which the 6.00% Notes due 2026 were issued offers limited protection to holders of the 6.00% Notes due 2026. The terms of the indenture and the 6.00% Notes due 2026 do not restrict our or any of our subsidiaries’ ability to engage in, or otherwise be a party to, a variety of corporate transactions, circumstances or events that could have a material adverse impact on an investment in the 6.00% Notes due 2026. In particular, the terms of the indenture and the 6.00% Notes due 2026 do not place any restrictions on our or our subsidiaries’ ability to:</w:t>
      </w:r>
    </w:p>
    <w:p>
      <w:pPr>
        <w:spacing w:after="0" w:line="134" w:lineRule="exact"/>
        <w:rPr>
          <w:sz w:val="20"/>
          <w:szCs w:val="20"/>
          <w:color w:val="auto"/>
        </w:rPr>
      </w:pPr>
    </w:p>
    <w:p>
      <w:pPr>
        <w:jc w:val="both"/>
        <w:ind w:left="540" w:hanging="270"/>
        <w:spacing w:after="0" w:line="245"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securities or otherwise incur additional indebtedness or other obligations, including (1) any indebtedness or other obligations that would be equal in right of payment to the 6.00% Notes due 2026, (2) any indebtedness or other obligations that would be secured and therefore rank effectively senior in right of payment to the 6.00% Notes due 2026 to the extent of the values of the assets securing such debt, (3) indebtedness of ours that is guaranteed by one or more of our subsidiaries and which therefore is structurally senior to the 6.00% Notes due 2026 and (4) securities, indebtedness or obligations issued or incurred by our subsidiaries that would be senior to our equity interests in those entities and therefore rank structurally senior to the 6.00% Notes due 2026 with respect to the assets of our subsidiaries, in each case other than an incurrence of indebtedness or other obligation that would cause a violation of Section 18(a)(1)(A) as modified by such provisions of Section 61(a) of the 1940 Act as may be applicable to us from time to time or any successor provisions, whether or not we continue to be subject to such provisions of the 1940 Act,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incur any indebtedness, unless at the time of the incurrence of such indebtedness we have an asset coverage (as defined in the 1940 Act) of at least 300% after giving effect to the incurrence of such indebtedness and the application of the net proceeds therefrom;</w:t>
      </w:r>
    </w:p>
    <w:p>
      <w:pPr>
        <w:spacing w:after="0" w:line="157" w:lineRule="exact"/>
        <w:rPr>
          <w:rFonts w:ascii="Times New Roman" w:cs="Times New Roman" w:eastAsia="Times New Roman" w:hAnsi="Times New Roman"/>
          <w:sz w:val="15"/>
          <w:szCs w:val="15"/>
          <w:color w:val="auto"/>
        </w:rPr>
      </w:pPr>
    </w:p>
    <w:p>
      <w:pPr>
        <w:jc w:val="both"/>
        <w:ind w:left="540" w:hanging="270"/>
        <w:spacing w:after="0" w:line="245"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dividends on, or purchase or redeem or make any payments in respect of, capital stock or other securities ranking junior in right of payment to the 6.00% Notes due 2026, including subordinated indebtedness, except that we have agreed under the indenture that, for the period of time during which the 6.00% Notes due 2026 are outstanding, we will not violate Section 18(a)(1)(B) as modified by (i) Section 61(a) of the 1940 Act or any successor provisions thereto, whether or not we are subject to such provisions of the 1940 Act and after giving effect to any exemptive relief granted to us by the SEC and (ii) the following two exceptions: (A)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 of the 1940 Act or any successor provisions (after giving effect to any exemptive relief granted to us by the SEC) for more than six consecutive months. Currently, these provisions would generally prohibit us from declaring any cash dividend or distribution upon any class of our capital stock, or purchasing any such capital stock if our asset coverage, as defined in the 1940 Act, were below 200% (or 150% if certain requirements are met) at the time of the declaration of the dividend or distribution or the purchase and after deducting the amount of such dividend, distribution or purchase.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purchase any shares of our outstanding capital stock, unless at the time of any such purchase we have an asset coverage (as defined in the 1940 Act) of at least 300% after deducting the amount of such purchase price;</w:t>
      </w:r>
    </w:p>
    <w:p>
      <w:pPr>
        <w:spacing w:after="0" w:line="156"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assets (other than certain limited restrictions on our ability to consolidate, merge or sell all or substantially all of our assets);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transactions with affiliates;</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liens (including liens on the shares of our subsidiaries) or enter into sale and leaseback transactions, except that we have agreed under the indenture to not incur any secured or unsecured indebtedness that would be senior to the 6.00% Notes due 2026 while the 6.00% Notes due 2026 are outstanding, subject to certain exceptions;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investments; or</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restrictions on the payment of dividends or other amounts to us from our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 addition, the indenture governing the 6.00% Notes due 2026 does not require us to make an offer to purchase the 6.00% Notes due 2026 in connection with a change of control or any other event.</w:t>
      </w:r>
    </w:p>
    <w:p>
      <w:pPr>
        <w:spacing w:after="0" w:line="14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Furthermore, the terms of the indenture and the 6.00% Notes due 2026 do not protect holders of the 6.00% Notes due 2026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ability to recapitalize, incur additional debt (including additional debt that matures prior to the maturity of the 6.00% Notes due 2026), and take a number of other actions that are not limited by the terms of the 6.00% Notes due 2026 may have important consequences for a holder of the 6.00% Notes due 2026, including making it more difficult for us to satisfy our obligations with respect to the 6.00% Notes due 2026 or negatively affecting the trading value of the 6.00% Notes due 2026.</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Other debt we issue or incur in the future could contain more protections for its holders than the indenture and the 6.00% Notes due 2026, including additional covenants and events of default. The issuance or incurrence of any such debt with incremental protections could affect the market for, trading levels, and prices of the 6.00% Notes due 2026.</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6.00% Notes due 2026 are a new issue of debt securities for which there initially was no trading market. The 6.00% Notes due 2026 are listed on the Nasdaq Global Select Market under the symbol “SSSSL”. We cannot provide any assurances that an active trading market will develop or be maintained for the 6.00% Notes due 2026 or that a holder will be able to sell its 6.00% Notes due 2026. The 6.00% Notes due 2026 may trade at a discount from their initial offering price depending on prevailing interest rates, the market for similar securities, our credit ratings, if any, general economic conditions, our financial condition, performance and prospects and other factors. The underwriters of the public offering of the 6.00% Notes due 2026 have advised us that they intend to make a market in the 6.00% Notes due 2026, but they are not obligated to do so. Such underwriters may discontinue any market-making in the 6.00% Notes due 2026 at any time at their sole discretion.</w:t>
      </w:r>
    </w:p>
    <w:p>
      <w:pPr>
        <w:spacing w:after="0" w:line="158"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Accordingly, we can provide no assurance that a liquid trading market will develop or be maintained for the 6.00% Notes due 2026, that a holder will be able to sell its 6.00% Notes due 2026 at a particular time or that the price a holder may receive when it sells its 6.00% Notes due 2026 will be favorable. To the extent an active trading market does not develop, the liquidity and trading price for the 6.00% Notes due 2026 may be harmed. Accordingly, a holder may be required to bear the financial risk of an investment in the 6.00% Notes due 2026 for an indefinite period of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default on our obligations to pay other indebtedness, we may not be able to make payments on the 6.00% Notes due 2026 or 6.50% Convertible Notes due 2029.</w:t>
      </w:r>
    </w:p>
    <w:p>
      <w:pPr>
        <w:spacing w:after="0" w:line="181"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Any default under any agreements governing any of our existing or future indebtedness that is not waived by the required lenders or holders of such indebtedness, and the remedies sought by lenders or the holders of such indebtedness could make us unable to pay principal, premium, if any, and interest on the 6.00% Notes due 2026 or 6.50% Convertible Notes due 2029 and substantially decrease the market value thereof. If we are unable to generate sufficient cash flow and are otherwise unable to obtain funds necessary to meet required payments of principal, premium, if any, and interest on our indebtedness, if any, or if we otherwise fail to comply with any covenants, including financial and operating covenants, as applicable, in the instruments governing our indebtedness, if any, we could be in default under the terms of the agreements governing such indebtedness, including the 6.00% Notes due 2026 and/or 6.50% Convertible Notes due 2029. In the event of such default, the holders of such indebtedness could elect to declare all the funds borrowed thereunder to be due and payable, together with accrued and unpaid interest, the lenders under any credit facility or other debt we may enter into or incur in the future could elect to terminate their commitment, cease making further loans and institute foreclosure proceedings against our assets, and we could be forced into bankruptcy or liquidation.</w:t>
      </w:r>
    </w:p>
    <w:p>
      <w:pPr>
        <w:spacing w:after="0" w:line="15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ability to generate sufficient cash flow in the future is, to some extent, subject to general economic, financial, competitive, legislative and regulatory factors as well as other factors that are beyond our control. We can provide no assurance that our business will generate cash flow from operations, or that future borrowings will be available to us, in an amount sufficient to enable us to meet our payment obligations under the 6.00% Notes due 2026 and/or 6.50% Convertible Notes due 2029, our other debt, and to fund other liquidity needs.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If our operating performance declines and we are not able to generate sufficient cash flow to service our debt obligations, we may in the future need to refinance or restructure our debt, including any 6.00% Notes due 2026 and/or 6.50% Convertible Notes due 2029 sold, sell assets, reduce or delay capital investments, seek to raise additional capital or seek to obtain waivers from the lenders under any credit facility or other debt we may enter into or incur in the future to avoid being in default. If we are unable to implement one or more of these alternatives, we may not be able to meet our payment obligations under the 6.00% Notes due 2026, the 6.50% Convertible Notes due 2029 and any other debt. If we are unable to repay debt, lenders having secured obligations could proceed against the collateral securing the debt. Because any future credit facilities will likely have customary cross-default provisions, if we have a default under the terms of the 6.00% Notes due 2026 or the 6.50% Convertible Notes due 2029, the obligations under any future credit facility may be accelerated and we may be unable to repay or finance the amounts due.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choose to redeem the 6.00% Notes due 2026 when prevailing interest rates are relatively low.</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On or after December 30, 2024, we may choose to redeem the 6.00% Notes due 2026 from time to time, especially if prevailing interest rates are lower than the rate borne by the 6.00% Notes due 2026. If prevailing rates are lower at the time of redemption, and we redeem the 6.00% Notes due 2026, a holder likely would not be able to reinvest the redemption proceeds in a comparable security at an effective interest rate as high as the interest rate on the 6.00% Notes due 2026 being redeemed. Our redemption right also may adversely impact a holder’s ability to sell the 6.00% Notes due 2026 as the optional redemption date or period approaches.</w:t>
      </w:r>
    </w:p>
    <w:p>
      <w:pPr>
        <w:spacing w:after="0" w:line="14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A downgrade, suspension or withdrawal of the credit rating assigned by a rating agency to us or our securities, if any, could cause the liquidity or market value of the 6.00% Notes due 2026 to decline significantly.</w:t>
      </w:r>
    </w:p>
    <w:p>
      <w:pPr>
        <w:spacing w:after="0" w:line="137"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Our credit ratings, if any, are an assessment by rating agencies of our ability to pay our debts when due. Consequently, real or anticipated changes in our credit ratings will generally affect the market value of the 6.00% Notes due 2026. These credit ratings may not reflect the potential impact of risks relating to the structure or marketing of the 6.00% Notes due 2026. Credit ratings are paid for by the issuer and are not a recommendation to buy, sell or hold any security, and may be revised or withdrawn at any time by the issuing organization in its sole discretion.</w:t>
      </w:r>
    </w:p>
    <w:p>
      <w:pPr>
        <w:spacing w:after="0" w:line="13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An explanation of the significance of any ratings of us or our securities may be obtained from the applicable rating agency. Generally, rating agencies base their ratings on such material and information, and their own investigations, studies and assumptions, as they deem appropriate. Neither we nor any underwriter undertakes any obligation to maintain any such credit ratings or to advise holders of 6.00% Notes due 2026 of any changes in credit ratings of us or our securities. There can be no assurance that our credit ratings will remain at their current levels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54"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Pursuant to the terms of the indenture governing the 6.00% Notes due 2026, we will use commercially reasonable efforts to maintain a credit rating on the 6.00% Notes due 2026 by a “nationally recognized statistical rating organization” (as such term is defined in Section 3(a)(62) of the Exchange Act) during the period of time that the 6.00% Notes due 2026 are outstanding; provided that no minimum credit rating is required. We offer no assurance that such rating, should it be maintained, will comport to any particular minimum level of creditworthiness.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an Investment in Our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in our securities may involve an above average degree of risk.</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securities may not be suitable for someone with lower risk tolerance.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common stock price may be volatile and may decrease substantially.</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149" w:lineRule="exact"/>
        <w:rPr>
          <w:sz w:val="20"/>
          <w:szCs w:val="20"/>
          <w:color w:val="auto"/>
        </w:rPr>
      </w:pPr>
    </w:p>
    <w:p>
      <w:pPr>
        <w:ind w:left="540" w:hanging="270"/>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and volume fluctuations in the overall stock market from time to time;</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 demand for our shares;</w:t>
      </w:r>
    </w:p>
    <w:p>
      <w:pPr>
        <w:spacing w:after="0" w:line="177" w:lineRule="exact"/>
        <w:rPr>
          <w:rFonts w:ascii="Times New Roman" w:cs="Times New Roman" w:eastAsia="Times New Roman" w:hAnsi="Times New Roman"/>
          <w:sz w:val="15"/>
          <w:szCs w:val="15"/>
          <w:color w:val="auto"/>
        </w:rPr>
      </w:pPr>
    </w:p>
    <w:p>
      <w:pPr>
        <w:ind w:left="5580" w:right="3360" w:hanging="5310"/>
        <w:spacing w:after="0" w:line="510" w:lineRule="auto"/>
        <w:tabs>
          <w:tab w:leader="none" w:pos="541"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volatility in the market price and trading volume of securities of RICs, BDCs or other financial services companies;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5835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regulatory policies or tax guidelines with respect to RICs or BDCs;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qualify as a RIC for a particular taxable year, or the loss of RIC status;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our earnings or fluctuations in our operating results or changes in the expectations of securities analysts;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and trends;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our portfolio investments;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performance of companies comparable to us;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sentiment against technology-related companies; or</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departures of any of the senior members of our management team.</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Shares of our common stock have recently traded, and may in the future trade, at discounts from NAV or at premiums that may prove to be unsustainable.</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Shares of BDCs like us may, during some periods, trade at prices higher than their NAV per share and, during other periods, as frequently occurs with closed-end investment companies, trade at prices lower than their NAV per share. The perceived value of our investment portfolio may be affected by a number of factors, including perceived prospects for individual companies we invest in, market conditions for common stock generally, for IPOs and other exit events for venture capital-backed companies, and the mix of companies in our investment portfolio over time. Negative or unforeseen developments affecting the perceived value of companies in our investment portfolio could result in a decline in the trading price of our common stock relative to our NAV per share.</w:t>
      </w:r>
    </w:p>
    <w:p>
      <w:pPr>
        <w:spacing w:after="0" w:line="15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possibility that our shares will trade at a discount from NAV or at premiums that are unsustainable are risks separate and distinct from the risk that our NAV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NAV per share. As of March 11, 2025, the closing price of our common stock on the Nasdaq Global Select Market was $5.27 per share, which represented an approximately 21.1% discount to our NAV of $6.68 per share as of December 31, 2024.</w:t>
      </w:r>
    </w:p>
    <w:p>
      <w:pPr>
        <w:spacing w:after="0" w:line="1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5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U.S.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broad discretion over the use of proceeds from our offerings, to the extent they are successful, and will use proceeds in part to satisfy operating expenses.</w:t>
      </w:r>
    </w:p>
    <w:p>
      <w:pPr>
        <w:spacing w:after="0" w:line="181"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Global economic, political and market conditions, including uncertainty about the financial stability of the United States, could have a significant adverse effect on our business, financial condition and results of operations.</w:t>
      </w:r>
    </w:p>
    <w:p>
      <w:pPr>
        <w:spacing w:after="0" w:line="13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149"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leaving the European Union, instability in the Chinese capital markets and bank failures.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or elsewhere negatively impacts consumer confidence and consumer credit factors, our and our portfolio companies’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62"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Various social and political circumstances in the United States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United States and worldwide. Such events, including uncertainties regarding actual and potential shifts in U.S. and foreign trade, economic and other policies with other countries, and global conflicts could adversely affect our business, financial condition or results of operations. These market and economic disruptions could negatively impact the operating results of our portfolio companies.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Uncertainty about presidential administration initiatives could negatively impact our business, financial condition and results of operations.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Trump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37"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Terrorist acts, acts of war or natural disasters, including as a result of global climate change, may disrupt our operations, as well as the operations of the businesses in which we invest. Such acts have created, and may continue to create, economic and political uncertainties and have contributed to global economic instability. Terrorist activities, military or security operations, global health emergencies, or extreme weather conditions or other natural disasters, including as a result of global climate change, could further weaken domestic and/or 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extreme weather conditions or other natural disasters are generally uninsurable. The nature and level of extreme weather conditions or other natural disasters cannot be predicted and may be exacerbated by global climate change.</w:t>
      </w:r>
    </w:p>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3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Cybersecurity incidents and cyber-attacks have been occurring globally at a more frequent and severe level, and will likely continue to increase in frequency in the future. The occurrence of a disaster, such as a cyber-attack against us or against a third 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64" w:lineRule="auto"/>
        <w:rPr>
          <w:sz w:val="20"/>
          <w:szCs w:val="20"/>
          <w:color w:val="auto"/>
        </w:rPr>
      </w:pPr>
      <w:r>
        <w:rPr>
          <w:rFonts w:ascii="Times New Roman" w:cs="Times New Roman" w:eastAsia="Times New Roman" w:hAnsi="Times New Roman"/>
          <w:sz w:val="14"/>
          <w:szCs w:val="14"/>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4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Finally, the increased use of mobile and cloud technologies due to the proliferation of remote work could heighten these and other operational risks as certain aspects of the security of such technologies may be complex and unpredictable. Reliance on mobile or cloud technology or any failure by mobile technology and cloud service providers to adequately safeguard their systems and prevent cyber-attacks could disrupt our operations, the operations of a portfolio company or the operations of our or their service providers and result in misappropriation, corruption or loss of personal, confidential or proprietary information or the inability to conduct ordinary business operations. In addition, there is a risk that encryption and other protective measures may be circumvented, particularly to the extent that new computing technologies increase the speed and computing power available. An extended period of remote working, whether by us, our portfolio companies, or our third-party providers, could strain technology resources and introduce operational risks, including heightened cybersecurity risk. Remote working environments may be less secure and more susceptible to hacking attacks, including phishing and social engineering attempts. Accordingly, the risks described above are heightened under current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Program Overview</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We maintain, routinely review and evaluate our information technology and cybersecurity policies, practices and procedures (our “Cybersecurity Program”). The Cybersecurity Program has various policies and procedures, including an Information and Cybersecurity Policy and Business Continuity/Disaster Recovery Plan. Our Cybersecurity Program is administered by our Information Security Committee, which consists of our Chief Financial Officer, Chief Compliance Officer and other Company management and counsel, as appropriate, all of which is subject to the oversight of our Board of Directors. We also utilize the services of information technology and cybersecurity advisers, consultants and experts in the evaluation and periodic testing of our information technology and cybersecurity systems to recommend improvements to our Cybersecurity Program and in connection with any cybersecurity incident. We believe that the individuals involved in our Cybersecurity Program possess the necessary skills, experience and backgrounds that, when combined with the resources of our external information technology and cybersecurity advisers, consultants and experts, are sufficient to manage our Cybersecurity Program.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Role in Cybersecurity Risk Management</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 xml:space="preserve">As part of our overall risk management process, our management engages at least annually in an enterprise risk management review and evaluation, during which management reviews the principal risks relating to our business and operations. Included in this process is a review and evaluation of our risks relating to our Cybersecurity Program. Additionally, as part of our Rule 38a-1 compliance program, we review at least annually the compliance policies and procedures of our key service providers, including documentation discussing each service providers’ information security and privacy controls. Any failure in our or our key service providers’ cybersecurity systems could have a material impact on our operating results. See “Item 1A. Risk Factors - General Risk Factors - </w:t>
      </w:r>
      <w:r>
        <w:rPr>
          <w:rFonts w:ascii="Times New Roman" w:cs="Times New Roman" w:eastAsia="Times New Roman" w:hAnsi="Times New Roman"/>
          <w:sz w:val="15"/>
          <w:szCs w:val="15"/>
          <w:i w:val="1"/>
          <w:iCs w:val="1"/>
          <w:color w:val="auto"/>
        </w:rPr>
        <w:t>The failure in cybersecurity systems, as well as the occurrence of events unanticipated in our disaster recovery systems and management continuity planning,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could impair our ability to conduct business effectively.</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Oversight of Cybersecurity Risks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Board of Directors as a whole has responsibility for the Company’s risk oversight, with reviews of certain areas being conducted by the relevant Board committees that report on their deliberations to the full Board of Directors. The oversight responsibility of the Board of Directors and its committees is enabled by management reporting processes that are designed to provide visibility to the Board of Directors about the identification, assessment and management of critical risks and management’s risk mitigation strategies. Accordingly, our Board of Directors provides strategic oversight on cybersecurity matters, including material risks associated with cybersecurity threats. Our Board of Directors receives periodic updates from our Chief Compliance Officer (or more frequently, as needed) regarding the overall state of our Cybersecurity Program, information on the current threat landscape, and material risks from cybersecurity threats and cybersecurity incidents.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We do not own any real estate or other physical properties materially important to our operations. Our principal executive office and headquarters is located at 640 Fifth Avenue, 12th Floor, New York, NY 10019 and we maintain an additional office at One Sansome Street, Suite 730, San Francisco, CA 94104. We are party to office leases pursuant to which we are leasing office facilities from third parties. We believe our office facilities are suitable and adequate for our business as it is presently conducted.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“SSSS.” Prior to November 24, 2021, our common stock traded on the Nasdaq Capital Market under the same symbol (“SSSS”). Our common stock has historically traded at prices both above and below our NAV per share. It is not possible to predict whether our common stock will trade at, above or below NAV. See “Item 1A. Risk Factors—Risks Related to an Investment in Our Securities.” The following table sets forth, for each fiscal quarter for the fiscal years ended December 31, 2024, 2023 and 2022, the NAV per share of our common stock, the range of high and low closing sales prices for our common stock, and such closing sales price as a percentage (premium and discount) to our NAV per share. The closing market prices reported below have been adjusted to give retroactive effect to material changes resulting from stock dividends. The reported closing market price of our common stock on March 11, 2025 was $5.27 per share, which represented an approximately 21.1% discount to our NAV of $6.68 per share as of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High Close Price as</w:t>
            </w:r>
          </w:p>
        </w:tc>
        <w:tc>
          <w:tcPr>
            <w:tcW w:w="10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Low Close Price as</w:t>
            </w:r>
          </w:p>
        </w:tc>
      </w:tr>
      <w:tr>
        <w:trPr>
          <w:trHeight w:val="175"/>
        </w:trPr>
        <w:tc>
          <w:tcPr>
            <w:tcW w:w="2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79"/>
              </w:rPr>
              <w:t>a</w:t>
            </w:r>
          </w:p>
        </w:tc>
        <w:tc>
          <w:tcPr>
            <w:tcW w:w="10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w:t>
            </w:r>
          </w:p>
        </w:tc>
      </w:tr>
      <w:tr>
        <w:trPr>
          <w:trHeight w:val="202"/>
        </w:trPr>
        <w:tc>
          <w:tcPr>
            <w:tcW w:w="2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Price Range</w:t>
            </w:r>
          </w:p>
        </w:tc>
        <w:tc>
          <w:tcPr>
            <w:tcW w:w="7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Premium/(Discount)</w:t>
            </w: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7"/>
              </w:rPr>
              <w:t>Premium/(Discount)</w:t>
            </w:r>
          </w:p>
        </w:tc>
      </w:tr>
      <w:tr>
        <w:trPr>
          <w:trHeight w:val="188"/>
        </w:trPr>
        <w:tc>
          <w:tcPr>
            <w:tcW w:w="2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High</w:t>
            </w:r>
          </w:p>
        </w:tc>
        <w:tc>
          <w:tcPr>
            <w:tcW w:w="3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Low</w:t>
            </w:r>
          </w:p>
        </w:tc>
        <w:tc>
          <w:tcPr>
            <w:tcW w:w="15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3"/>
                <w:szCs w:val="13"/>
                <w:b w:val="1"/>
                <w:bCs w:val="1"/>
                <w:color w:val="auto"/>
                <w:w w:val="98"/>
              </w:rPr>
              <w:t>to NAV</w:t>
            </w:r>
            <w:r>
              <w:rPr>
                <w:rFonts w:ascii="Times New Roman" w:cs="Times New Roman" w:eastAsia="Times New Roman" w:hAnsi="Times New Roman"/>
                <w:sz w:val="21"/>
                <w:szCs w:val="21"/>
                <w:b w:val="1"/>
                <w:bCs w:val="1"/>
                <w:color w:val="auto"/>
                <w:w w:val="98"/>
                <w:vertAlign w:val="superscript"/>
              </w:rPr>
              <w:t>(2)</w:t>
            </w:r>
          </w:p>
        </w:tc>
        <w:tc>
          <w:tcPr>
            <w:tcW w:w="100" w:type="dxa"/>
            <w:vAlign w:val="bottom"/>
          </w:tcPr>
          <w:p>
            <w:pPr>
              <w:spacing w:after="0"/>
              <w:rPr>
                <w:sz w:val="16"/>
                <w:szCs w:val="16"/>
                <w:color w:val="auto"/>
              </w:rPr>
            </w:pPr>
          </w:p>
        </w:tc>
        <w:tc>
          <w:tcPr>
            <w:tcW w:w="144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3"/>
                <w:szCs w:val="13"/>
                <w:b w:val="1"/>
                <w:bCs w:val="1"/>
                <w:color w:val="auto"/>
              </w:rPr>
              <w:t>to NAV</w:t>
            </w:r>
            <w:r>
              <w:rPr>
                <w:rFonts w:ascii="Times New Roman" w:cs="Times New Roman" w:eastAsia="Times New Roman" w:hAnsi="Times New Roman"/>
                <w:sz w:val="21"/>
                <w:szCs w:val="21"/>
                <w:b w:val="1"/>
                <w:bCs w:val="1"/>
                <w:color w:val="auto"/>
                <w:vertAlign w:val="superscript"/>
              </w:rPr>
              <w:t>(2)</w:t>
            </w:r>
          </w:p>
        </w:tc>
      </w:tr>
      <w:tr>
        <w:trPr>
          <w:trHeight w:val="166"/>
        </w:trPr>
        <w:tc>
          <w:tcPr>
            <w:tcW w:w="252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Fiscal 2024</w:t>
            </w:r>
          </w:p>
        </w:tc>
        <w:tc>
          <w:tcPr>
            <w:tcW w:w="14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Fourth Quarter</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6.68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6.38</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4.62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w w:val="94"/>
              </w:rPr>
              <w:t>(30.8)%</w:t>
            </w: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Third Quarter</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6.73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4.93</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3.63</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(26.7)</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(46.1)</w:t>
            </w: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Second Quarter</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6.94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4.46</w:t>
            </w:r>
          </w:p>
        </w:tc>
        <w:tc>
          <w:tcPr>
            <w:tcW w:w="3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3.76</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(35.7)</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rPr>
              <w:t>(45.8)</w:t>
            </w: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First Quarter</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7.17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4.72</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3.39</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(34.2)</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(52.7)</w:t>
            </w:r>
          </w:p>
        </w:tc>
      </w:tr>
      <w:tr>
        <w:trPr>
          <w:trHeight w:val="175"/>
        </w:trPr>
        <w:tc>
          <w:tcPr>
            <w:tcW w:w="2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Fiscal 2023</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Fourth Quarter</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7.99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4.32</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3.51</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(45.9)%</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w w:val="94"/>
              </w:rPr>
              <w:t>(56.1)%</w:t>
            </w: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Third Quarter</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8.41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4.31</w:t>
            </w:r>
          </w:p>
        </w:tc>
        <w:tc>
          <w:tcPr>
            <w:tcW w:w="3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3.19</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(48.8)</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rPr>
              <w:t>(62.1)</w:t>
            </w: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Second Quarter</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7.35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3.93</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3.20</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(46.5)</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(56.5)</w:t>
            </w: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First Quarter</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4.64</w:t>
            </w:r>
          </w:p>
        </w:tc>
        <w:tc>
          <w:tcPr>
            <w:tcW w:w="3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2.93</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(38.9)</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rPr>
              <w:t>(61.4)</w:t>
            </w:r>
          </w:p>
        </w:tc>
      </w:tr>
      <w:tr>
        <w:trPr>
          <w:trHeight w:val="17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2022</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Fourth Quarter</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7.39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4.38</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3.67</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(40.7)%</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w w:val="94"/>
              </w:rPr>
              <w:t>(50.3)%</w:t>
            </w: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Third Quarter</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7.83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6.81</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3.87</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(13.0)</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(50.6)</w:t>
            </w:r>
          </w:p>
        </w:tc>
      </w:tr>
      <w:tr>
        <w:trPr>
          <w:trHeight w:val="175"/>
        </w:trPr>
        <w:tc>
          <w:tcPr>
            <w:tcW w:w="2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Second Quarter</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9.24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8.94</w:t>
            </w:r>
          </w:p>
        </w:tc>
        <w:tc>
          <w:tcPr>
            <w:tcW w:w="3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6.33</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(3.2)</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5"/>
                <w:szCs w:val="15"/>
                <w:color w:val="auto"/>
              </w:rPr>
              <w:t>(31.5)</w:t>
            </w:r>
          </w:p>
        </w:tc>
      </w:tr>
      <w:tr>
        <w:trPr>
          <w:trHeight w:val="175"/>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First Quarter</w:t>
            </w: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12.22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13.36</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8.27</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9.3</w:t>
            </w:r>
          </w:p>
        </w:tc>
        <w:tc>
          <w:tcPr>
            <w:tcW w:w="15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ind w:left="260" w:hanging="253"/>
        <w:spacing w:after="0" w:line="253" w:lineRule="auto"/>
        <w:tabs>
          <w:tab w:leader="none" w:pos="2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ind w:left="260" w:hanging="253"/>
        <w:spacing w:after="0"/>
        <w:tabs>
          <w:tab w:leader="none" w:pos="2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close sales price divided by the NAV and subtracting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March 11, 2025, there were 17 holders of record of our common stock (including Cede &amp; 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79" w:lineRule="exact"/>
        <w:rPr>
          <w:sz w:val="20"/>
          <w:szCs w:val="20"/>
          <w:color w:val="auto"/>
        </w:rPr>
      </w:pPr>
    </w:p>
    <w:p>
      <w:pPr>
        <w:jc w:val="both"/>
        <w:ind w:firstLine="262"/>
        <w:spacing w:after="0" w:line="265" w:lineRule="auto"/>
        <w:rPr>
          <w:sz w:val="20"/>
          <w:szCs w:val="20"/>
          <w:color w:val="auto"/>
        </w:rPr>
      </w:pPr>
      <w:r>
        <w:rPr>
          <w:rFonts w:ascii="Times New Roman" w:cs="Times New Roman" w:eastAsia="Times New Roman" w:hAnsi="Times New Roman"/>
          <w:sz w:val="14"/>
          <w:szCs w:val="14"/>
          <w:color w:val="auto"/>
        </w:rPr>
        <w:t>We have elected to be treated as a RIC under Subchapter M of the Code and expect to continue to operate in a manner so as to qualify for the tax treatment applicable to RICs. To maintain RIC tax treatment, we generally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w:t>
      </w:r>
    </w:p>
    <w:p>
      <w:pPr>
        <w:jc w:val="both"/>
        <w:ind w:firstLine="7"/>
        <w:spacing w:after="0" w:line="243" w:lineRule="auto"/>
        <w:tabs>
          <w:tab w:leader="none" w:pos="214"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2024. The table is divided by fiscal year according to record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Date Declared</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Record Date</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Payment Date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Amount per Share</w:t>
            </w:r>
          </w:p>
        </w:tc>
      </w:tr>
      <w:tr>
        <w:trPr>
          <w:trHeight w:val="166"/>
        </w:trPr>
        <w:tc>
          <w:tcPr>
            <w:tcW w:w="430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Fiscal 2015:</w:t>
            </w:r>
          </w:p>
        </w:tc>
        <w:tc>
          <w:tcPr>
            <w:tcW w:w="22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November 4, 2015</w:t>
            </w:r>
            <w:r>
              <w:rPr>
                <w:rFonts w:ascii="Times New Roman" w:cs="Times New Roman" w:eastAsia="Times New Roman" w:hAnsi="Times New Roman"/>
                <w:sz w:val="24"/>
                <w:szCs w:val="24"/>
                <w:color w:val="auto"/>
                <w:vertAlign w:val="superscript"/>
              </w:rPr>
              <w:t>(1)</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16, 2015</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31, 2015</w:t>
            </w:r>
          </w:p>
        </w:tc>
        <w:tc>
          <w:tcPr>
            <w:tcW w:w="28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2.76</w:t>
            </w:r>
          </w:p>
        </w:tc>
      </w:tr>
      <w:tr>
        <w:trPr>
          <w:trHeight w:val="175"/>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2016:</w:t>
            </w:r>
          </w:p>
        </w:tc>
        <w:tc>
          <w:tcPr>
            <w:tcW w:w="2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August 3, 2016</w:t>
            </w:r>
            <w:r>
              <w:rPr>
                <w:rFonts w:ascii="Times New Roman" w:cs="Times New Roman" w:eastAsia="Times New Roman" w:hAnsi="Times New Roman"/>
                <w:sz w:val="24"/>
                <w:szCs w:val="24"/>
                <w:color w:val="auto"/>
                <w:vertAlign w:val="superscript"/>
              </w:rPr>
              <w:t>(2)</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August 16, 2016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August 24, 2016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0.04</w:t>
            </w:r>
          </w:p>
        </w:tc>
      </w:tr>
      <w:tr>
        <w:trPr>
          <w:trHeight w:val="175"/>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2019:</w:t>
            </w:r>
          </w:p>
        </w:tc>
        <w:tc>
          <w:tcPr>
            <w:tcW w:w="2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November 5, 2019</w:t>
            </w:r>
            <w:r>
              <w:rPr>
                <w:rFonts w:ascii="Times New Roman" w:cs="Times New Roman" w:eastAsia="Times New Roman" w:hAnsi="Times New Roman"/>
                <w:sz w:val="24"/>
                <w:szCs w:val="24"/>
                <w:color w:val="auto"/>
                <w:vertAlign w:val="superscript"/>
              </w:rPr>
              <w:t>(3)</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December 2, 2019</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12, 2019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0.20</w:t>
            </w: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December 20, 2019</w:t>
            </w:r>
            <w:r>
              <w:rPr>
                <w:rFonts w:ascii="Times New Roman" w:cs="Times New Roman" w:eastAsia="Times New Roman" w:hAnsi="Times New Roman"/>
                <w:sz w:val="24"/>
                <w:szCs w:val="24"/>
                <w:color w:val="auto"/>
                <w:vertAlign w:val="superscript"/>
              </w:rPr>
              <w:t>(4)</w:t>
            </w:r>
          </w:p>
        </w:tc>
        <w:tc>
          <w:tcPr>
            <w:tcW w:w="2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31, 2019</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January 15, 2020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0.12</w:t>
            </w:r>
          </w:p>
        </w:tc>
      </w:tr>
      <w:tr>
        <w:trPr>
          <w:trHeight w:val="175"/>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2020:</w:t>
            </w: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July 29, 2020</w:t>
            </w:r>
            <w:r>
              <w:rPr>
                <w:rFonts w:ascii="Times New Roman" w:cs="Times New Roman" w:eastAsia="Times New Roman" w:hAnsi="Times New Roman"/>
                <w:sz w:val="24"/>
                <w:szCs w:val="24"/>
                <w:color w:val="auto"/>
                <w:vertAlign w:val="superscript"/>
              </w:rPr>
              <w:t>(5)</w:t>
            </w:r>
          </w:p>
        </w:tc>
        <w:tc>
          <w:tcPr>
            <w:tcW w:w="2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August 11, 2020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August 25, 2020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0.15</w:t>
            </w: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September 28, 2020</w:t>
            </w:r>
            <w:r>
              <w:rPr>
                <w:rFonts w:ascii="Times New Roman" w:cs="Times New Roman" w:eastAsia="Times New Roman" w:hAnsi="Times New Roman"/>
                <w:sz w:val="24"/>
                <w:szCs w:val="24"/>
                <w:color w:val="auto"/>
                <w:vertAlign w:val="superscript"/>
              </w:rPr>
              <w:t>(6)</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October 5, 2020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October 20, 2020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October 28, 2020</w:t>
            </w:r>
            <w:r>
              <w:rPr>
                <w:rFonts w:ascii="Times New Roman" w:cs="Times New Roman" w:eastAsia="Times New Roman" w:hAnsi="Times New Roman"/>
                <w:sz w:val="24"/>
                <w:szCs w:val="24"/>
                <w:color w:val="auto"/>
                <w:vertAlign w:val="superscript"/>
              </w:rPr>
              <w:t>(7)</w:t>
            </w:r>
          </w:p>
        </w:tc>
        <w:tc>
          <w:tcPr>
            <w:tcW w:w="2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10, 2020</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30, 2020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December 16, 2020</w:t>
            </w:r>
            <w:r>
              <w:rPr>
                <w:rFonts w:ascii="Times New Roman" w:cs="Times New Roman" w:eastAsia="Times New Roman" w:hAnsi="Times New Roman"/>
                <w:sz w:val="24"/>
                <w:szCs w:val="24"/>
                <w:color w:val="auto"/>
                <w:vertAlign w:val="superscript"/>
              </w:rPr>
              <w:t>(8)</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30, 2020</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January 15, 2021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0.22</w:t>
            </w:r>
          </w:p>
        </w:tc>
      </w:tr>
      <w:tr>
        <w:trPr>
          <w:trHeight w:val="175"/>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2021:</w:t>
            </w:r>
          </w:p>
        </w:tc>
        <w:tc>
          <w:tcPr>
            <w:tcW w:w="2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January 26, 2021</w:t>
            </w:r>
            <w:r>
              <w:rPr>
                <w:rFonts w:ascii="Times New Roman" w:cs="Times New Roman" w:eastAsia="Times New Roman" w:hAnsi="Times New Roman"/>
                <w:sz w:val="24"/>
                <w:szCs w:val="24"/>
                <w:color w:val="auto"/>
                <w:vertAlign w:val="superscript"/>
              </w:rPr>
              <w:t>(9)</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February 5,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February 19, 2021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March 8, 2021</w:t>
            </w:r>
            <w:r>
              <w:rPr>
                <w:rFonts w:ascii="Times New Roman" w:cs="Times New Roman" w:eastAsia="Times New Roman" w:hAnsi="Times New Roman"/>
                <w:sz w:val="24"/>
                <w:szCs w:val="24"/>
                <w:color w:val="auto"/>
                <w:vertAlign w:val="superscript"/>
              </w:rPr>
              <w:t>(10)</w:t>
            </w:r>
          </w:p>
        </w:tc>
        <w:tc>
          <w:tcPr>
            <w:tcW w:w="2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March 30,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April 15, 2021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May 4, 2021</w:t>
            </w:r>
            <w:r>
              <w:rPr>
                <w:rFonts w:ascii="Times New Roman" w:cs="Times New Roman" w:eastAsia="Times New Roman" w:hAnsi="Times New Roman"/>
                <w:sz w:val="24"/>
                <w:szCs w:val="24"/>
                <w:color w:val="auto"/>
                <w:vertAlign w:val="superscript"/>
              </w:rPr>
              <w:t>(11)</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May 18,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June 30, 2021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August 3, 2021</w:t>
            </w:r>
            <w:r>
              <w:rPr>
                <w:rFonts w:ascii="Times New Roman" w:cs="Times New Roman" w:eastAsia="Times New Roman" w:hAnsi="Times New Roman"/>
                <w:sz w:val="24"/>
                <w:szCs w:val="24"/>
                <w:color w:val="auto"/>
                <w:vertAlign w:val="superscript"/>
              </w:rPr>
              <w:t>(12)</w:t>
            </w:r>
          </w:p>
        </w:tc>
        <w:tc>
          <w:tcPr>
            <w:tcW w:w="2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August 18,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September 30, 2021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2.25</w:t>
            </w:r>
          </w:p>
        </w:tc>
      </w:tr>
      <w:tr>
        <w:trPr>
          <w:trHeight w:val="208"/>
        </w:trPr>
        <w:tc>
          <w:tcPr>
            <w:tcW w:w="45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November 2, 2021</w:t>
            </w:r>
            <w:r>
              <w:rPr>
                <w:rFonts w:ascii="Times New Roman" w:cs="Times New Roman" w:eastAsia="Times New Roman" w:hAnsi="Times New Roman"/>
                <w:sz w:val="24"/>
                <w:szCs w:val="24"/>
                <w:color w:val="auto"/>
                <w:vertAlign w:val="superscript"/>
              </w:rPr>
              <w:t>(13)</w:t>
            </w: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17,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30, 2021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2.00</w:t>
            </w:r>
          </w:p>
        </w:tc>
      </w:tr>
      <w:tr>
        <w:trPr>
          <w:trHeight w:val="208"/>
        </w:trPr>
        <w:tc>
          <w:tcPr>
            <w:tcW w:w="452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December 20, 2021</w:t>
            </w:r>
            <w:r>
              <w:rPr>
                <w:rFonts w:ascii="Times New Roman" w:cs="Times New Roman" w:eastAsia="Times New Roman" w:hAnsi="Times New Roman"/>
                <w:sz w:val="24"/>
                <w:szCs w:val="24"/>
                <w:color w:val="auto"/>
                <w:vertAlign w:val="superscript"/>
              </w:rPr>
              <w:t>(14)</w:t>
            </w:r>
          </w:p>
        </w:tc>
        <w:tc>
          <w:tcPr>
            <w:tcW w:w="2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December 31, 2021</w:t>
            </w:r>
          </w:p>
        </w:tc>
        <w:tc>
          <w:tcPr>
            <w:tcW w:w="2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January 14, 2022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0.75</w:t>
            </w:r>
          </w:p>
        </w:tc>
      </w:tr>
      <w:tr>
        <w:trPr>
          <w:trHeight w:val="175"/>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2022:</w:t>
            </w: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8"/>
        </w:trPr>
        <w:tc>
          <w:tcPr>
            <w:tcW w:w="452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5"/>
                <w:szCs w:val="15"/>
                <w:color w:val="auto"/>
              </w:rPr>
              <w:t>March 8, 2022</w:t>
            </w:r>
            <w:r>
              <w:rPr>
                <w:rFonts w:ascii="Times New Roman" w:cs="Times New Roman" w:eastAsia="Times New Roman" w:hAnsi="Times New Roman"/>
                <w:sz w:val="24"/>
                <w:szCs w:val="24"/>
                <w:color w:val="auto"/>
                <w:vertAlign w:val="superscript"/>
              </w:rPr>
              <w:t>(15)</w:t>
            </w:r>
          </w:p>
        </w:tc>
        <w:tc>
          <w:tcPr>
            <w:tcW w:w="2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March 25, 2022</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April 15, 2022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0.11</w:t>
            </w:r>
          </w:p>
        </w:tc>
        <w:tc>
          <w:tcPr>
            <w:tcW w:w="80" w:type="dxa"/>
            <w:vAlign w:val="bottom"/>
            <w:shd w:val="clear" w:color="auto" w:fill="CCEEFF"/>
          </w:tcPr>
          <w:p>
            <w:pPr>
              <w:spacing w:after="0"/>
              <w:rPr>
                <w:sz w:val="18"/>
                <w:szCs w:val="18"/>
                <w:color w:val="auto"/>
              </w:rPr>
            </w:pPr>
          </w:p>
        </w:tc>
      </w:tr>
      <w:tr>
        <w:trPr>
          <w:trHeight w:val="166"/>
        </w:trPr>
        <w:tc>
          <w:tcPr>
            <w:tcW w:w="452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12.10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jc w:val="both"/>
        <w:ind w:left="260" w:hanging="253"/>
        <w:spacing w:after="0" w:line="247" w:lineRule="auto"/>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total distribution of $887,240 on August 24, 2016, $820,753 represented a distribution from realized gains, and $66,487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$3,512,849 distribution paid on December 12, 2019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$2,107,709 distribution paid on January 15, 2020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$2,516,452 distribution paid on August 25, 2020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$5,071,326 distribution paid on October 20, 2020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$4,978,504 distribution paid on November 30, 2020 represented a distribution from realized gains. None of the distribution represented a return of capital.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260" w:hanging="253"/>
        <w:spacing w:after="0"/>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$4,381,084 distribution paid on January 15, 2021 represented a distribution from realized gains. None of the distribution represented a return of capital.</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$4,981,131 distribution paid on February 19, 2021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$6,051,304 distribution paid on April 15, 2021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jc w:val="both"/>
        <w:ind w:left="260" w:hanging="253"/>
        <w:spacing w:after="0" w:line="243" w:lineRule="auto"/>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260" w:hanging="253"/>
        <w:spacing w:after="0" w:line="243" w:lineRule="auto"/>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jc w:val="both"/>
        <w:ind w:left="260" w:hanging="253"/>
        <w:spacing w:after="0" w:line="243" w:lineRule="auto"/>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ind w:left="260" w:hanging="253"/>
        <w:spacing w:after="0"/>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$23,338,915 distribution paid on January 14, 2022 represented a distribution from realized gains. None of the distribution represented a return of capital.</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$3,441,824 distribution paid on April 15, 2022 represented a distribution from realized gains. None of the distribution represented a return of capital.</w:t>
      </w:r>
    </w:p>
    <w:p>
      <w:pPr>
        <w:spacing w:after="0" w:line="16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52"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5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5"/>
          <w:szCs w:val="15"/>
          <w:i w:val="1"/>
          <w:iCs w:val="1"/>
          <w:color w:val="auto"/>
        </w:rPr>
        <w:t>U.S. Federal and State Income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and “Note 9—Income Taxes” to our Consolidated Financial Statements as of December 31, 2024 for more information. The Taxable Subsidiaries included in our Consolidated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Equity Compensation Plans</w:t>
      </w:r>
    </w:p>
    <w:p>
      <w:pPr>
        <w:spacing w:after="0" w:line="179"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On July 31, 2019, our Board of Directors approved and adopted the SuRo Capital Corp. Amended and Restated 2019 Equity Incentive Plan (the “Amended Equity Incentive Plan”) and on June 19, 2020, stockholders approved the Amended Equity Incentive Plan. The Amended Equity Incentive Plan provides stock-based awards as long-term incentive compensation to our employees, including our executive officers. We use stock-based awards to (i) attract and retain key employees and officers, (ii) motivate employees and officers by means of performance-related incentives to achieve long-range performance goals, (iii) enable employees and officers to participate in our long-term growth, (iv) link employees’ compensation to the long-term interests of stockholders, (v) recognize individual contributions to corporate strategic priorities and to our long-term performance and (vi) provide competitive total direct compensation. The Compensation Committee of the Board of Directors (the “Compensation Committee”) has authority to select the persons to receive stock-based awards, and our Board of Directors may also grant awards and administer the Amended Equity Incentive Plan in its sole discretion. At the time of each award, the Compensation Committee determines the terms of the award in its sole discretion, including any performance period (or periods) and any performance objectives relating to the award. We do not have any equity compensation plan that has not been approved by our stockholders.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details the securities authorized for issuance under our equity compensation plans as of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Number of securities remaining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available for future issuance under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Number of securities to be issued</w:t>
            </w:r>
          </w:p>
        </w:tc>
        <w:tc>
          <w:tcPr>
            <w:tcW w:w="26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Weighted-average exercise price of</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equity compensation plans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upon exercise of outstanding</w:t>
            </w:r>
          </w:p>
        </w:tc>
        <w:tc>
          <w:tcPr>
            <w:tcW w:w="26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outstanding options, warrants and</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(excluding securities reflected in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26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options, warrants and rights</w:t>
            </w:r>
          </w:p>
        </w:tc>
        <w:tc>
          <w:tcPr>
            <w:tcW w:w="26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rights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4"/>
              </w:rPr>
              <w:t>column (a))</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0" w:type="dxa"/>
            <w:vAlign w:val="bottom"/>
          </w:tcPr>
          <w:p>
            <w:pPr>
              <w:spacing w:after="0"/>
              <w:rPr>
                <w:sz w:val="13"/>
                <w:szCs w:val="13"/>
                <w:color w:val="auto"/>
              </w:rPr>
            </w:pPr>
          </w:p>
        </w:tc>
        <w:tc>
          <w:tcPr>
            <w:tcW w:w="308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Equity compensation plans approved by security</w:t>
            </w:r>
          </w:p>
        </w:tc>
        <w:tc>
          <w:tcPr>
            <w:tcW w:w="2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holders</w:t>
            </w:r>
          </w:p>
        </w:tc>
        <w:tc>
          <w:tcPr>
            <w:tcW w:w="26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5"/>
                <w:szCs w:val="15"/>
                <w:color w:val="auto"/>
              </w:rPr>
              <w:t>—</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567,940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33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Equity compensation plans not approved by security</w:t>
            </w:r>
          </w:p>
        </w:tc>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holders</w:t>
            </w:r>
          </w:p>
        </w:tc>
        <w:tc>
          <w:tcPr>
            <w:tcW w:w="262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w:t>
            </w: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567,940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vMerge w:val="restart"/>
          </w:tcPr>
          <w:p>
            <w:pPr>
              <w:jc w:val="right"/>
              <w:ind w:right="67"/>
              <w:spacing w:after="0"/>
              <w:rPr>
                <w:sz w:val="20"/>
                <w:szCs w:val="20"/>
                <w:color w:val="auto"/>
              </w:rPr>
            </w:pPr>
            <w:r>
              <w:rPr>
                <w:rFonts w:ascii="Times New Roman" w:cs="Times New Roman" w:eastAsia="Times New Roman" w:hAnsi="Times New Roman"/>
                <w:sz w:val="15"/>
                <w:szCs w:val="15"/>
                <w:color w:val="auto"/>
              </w:rPr>
              <w:t>51</w:t>
            </w: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Graph</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2024. The graph assumes that, on December 31, 2019, a person invested $100.00 in our common stock, at the closing price of our common stock on December 31, 2019,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107315</wp:posOffset>
            </wp:positionV>
            <wp:extent cx="4855845" cy="2386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55845" cy="238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12/31/19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12/31/20</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12/31/21</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12/31/22</w:t>
            </w: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12/31/23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12/31/24</w:t>
            </w:r>
          </w:p>
        </w:tc>
        <w:tc>
          <w:tcPr>
            <w:tcW w:w="100" w:type="dxa"/>
            <w:vAlign w:val="bottom"/>
            <w:tcBorders>
              <w:bottom w:val="single" w:sz="8" w:color="CCEEFF"/>
            </w:tcBorders>
          </w:tcPr>
          <w:p>
            <w:pPr>
              <w:spacing w:after="0"/>
              <w:rPr>
                <w:sz w:val="16"/>
                <w:szCs w:val="16"/>
                <w:color w:val="auto"/>
              </w:rPr>
            </w:pPr>
          </w:p>
        </w:tc>
      </w:tr>
      <w:tr>
        <w:trPr>
          <w:trHeight w:val="166"/>
        </w:trPr>
        <w:tc>
          <w:tcPr>
            <w:tcW w:w="30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SSSS</w:t>
            </w: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216.67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ind w:left="360"/>
              <w:spacing w:after="0" w:line="166" w:lineRule="exact"/>
              <w:rPr>
                <w:sz w:val="20"/>
                <w:szCs w:val="20"/>
                <w:color w:val="auto"/>
              </w:rPr>
            </w:pPr>
            <w:r>
              <w:rPr>
                <w:rFonts w:ascii="Times New Roman" w:cs="Times New Roman" w:eastAsia="Times New Roman" w:hAnsi="Times New Roman"/>
                <w:sz w:val="15"/>
                <w:szCs w:val="15"/>
                <w:color w:val="auto"/>
                <w:w w:val="92"/>
              </w:rPr>
              <w:t>374.27</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111.11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115.20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171.93</w:t>
            </w:r>
          </w:p>
        </w:tc>
        <w:tc>
          <w:tcPr>
            <w:tcW w:w="100" w:type="dxa"/>
            <w:vAlign w:val="bottom"/>
            <w:shd w:val="clear" w:color="auto" w:fill="CCEEFF"/>
          </w:tcPr>
          <w:p>
            <w:pPr>
              <w:spacing w:after="0"/>
              <w:rPr>
                <w:sz w:val="14"/>
                <w:szCs w:val="14"/>
                <w:color w:val="auto"/>
              </w:rPr>
            </w:pP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S&amp;P 500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116.26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147.52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118.84</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147.64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182.05</w:t>
            </w:r>
          </w:p>
        </w:tc>
      </w:tr>
      <w:tr>
        <w:trPr>
          <w:trHeight w:val="17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Nasdaq Stock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143.64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174.36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116.65</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167.30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215.22</w:t>
            </w:r>
          </w:p>
        </w:tc>
      </w:tr>
    </w:tbl>
    <w:p>
      <w:pPr>
        <w:spacing w:after="0" w:line="160" w:lineRule="exact"/>
        <w:rPr>
          <w:sz w:val="20"/>
          <w:szCs w:val="20"/>
          <w:color w:val="auto"/>
        </w:rPr>
      </w:pPr>
    </w:p>
    <w:p>
      <w:pPr>
        <w:ind w:firstLine="262"/>
        <w:spacing w:after="0" w:line="303" w:lineRule="auto"/>
        <w:rPr>
          <w:sz w:val="20"/>
          <w:szCs w:val="20"/>
          <w:color w:val="auto"/>
        </w:rPr>
      </w:pPr>
      <w:r>
        <w:rPr>
          <w:rFonts w:ascii="Times New Roman" w:cs="Times New Roman" w:eastAsia="Times New Roman" w:hAnsi="Times New Roman"/>
          <w:sz w:val="14"/>
          <w:szCs w:val="14"/>
          <w:color w:val="auto"/>
        </w:rPr>
        <w:t>The graph and other information furnished under this Part II, Item 5 of this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of Unregistered Equity Securities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did not sell any equity securities during the period covered in this report that were not registered under the Securities Act of 1933, as amended.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r>
        <w:rPr>
          <w:rFonts w:ascii="Times New Roman" w:cs="Times New Roman" w:eastAsia="Times New Roman" w:hAnsi="Times New Roman"/>
          <w:sz w:val="24"/>
          <w:szCs w:val="24"/>
          <w:b w:val="1"/>
          <w:bCs w:val="1"/>
          <w:color w:val="auto"/>
          <w:vertAlign w:val="superscript"/>
        </w:rPr>
        <w:t>(1)</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Information relating to our purchases of our common stock during the year ended December 31, 2024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Approximate</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4"/>
              </w:rPr>
              <w:t>Total Number</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Dollar Value of</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of Shares</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Shares that May</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5"/>
                <w:szCs w:val="15"/>
                <w:b w:val="1"/>
                <w:bCs w:val="1"/>
                <w:color w:val="auto"/>
                <w:w w:val="96"/>
              </w:rPr>
              <w:t>Purchased as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w w:val="94"/>
              </w:rPr>
              <w:t>Yet Be Purchased</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4"/>
              </w:rPr>
              <w:t>Number of</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w w:val="93"/>
              </w:rPr>
              <w:t>Average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Part of Publicly</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Under the Share</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w w:val="96"/>
              </w:rPr>
              <w:t>Price Paid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5"/>
              </w:rPr>
              <w:t>Announced</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Repurchase</w:t>
            </w:r>
          </w:p>
        </w:tc>
        <w:tc>
          <w:tcPr>
            <w:tcW w:w="0" w:type="dxa"/>
            <w:vAlign w:val="bottom"/>
          </w:tcPr>
          <w:p>
            <w:pPr>
              <w:spacing w:after="0"/>
              <w:rPr>
                <w:sz w:val="1"/>
                <w:szCs w:val="1"/>
                <w:color w:val="auto"/>
              </w:rPr>
            </w:pPr>
          </w:p>
        </w:tc>
      </w:tr>
      <w:tr>
        <w:trPr>
          <w:trHeight w:val="218"/>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540" w:type="dxa"/>
            <w:vAlign w:val="bottom"/>
            <w:gridSpan w:val="2"/>
          </w:tcPr>
          <w:p>
            <w:pPr>
              <w:jc w:val="center"/>
              <w:ind w:right="160"/>
              <w:spacing w:after="0" w:line="218" w:lineRule="exact"/>
              <w:rPr>
                <w:sz w:val="20"/>
                <w:szCs w:val="20"/>
                <w:color w:val="auto"/>
              </w:rPr>
            </w:pPr>
            <w:r>
              <w:rPr>
                <w:rFonts w:ascii="Times New Roman" w:cs="Times New Roman" w:eastAsia="Times New Roman" w:hAnsi="Times New Roman"/>
                <w:sz w:val="15"/>
                <w:szCs w:val="15"/>
                <w:b w:val="1"/>
                <w:bCs w:val="1"/>
                <w:color w:val="auto"/>
                <w:w w:val="90"/>
              </w:rPr>
              <w:t>Purchased</w:t>
            </w:r>
            <w:r>
              <w:rPr>
                <w:rFonts w:ascii="Times New Roman" w:cs="Times New Roman" w:eastAsia="Times New Roman" w:hAnsi="Times New Roman"/>
                <w:sz w:val="24"/>
                <w:szCs w:val="24"/>
                <w:b w:val="1"/>
                <w:bCs w:val="1"/>
                <w:color w:val="auto"/>
                <w:w w:val="90"/>
                <w:vertAlign w:val="superscript"/>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w w:val="97"/>
              </w:rPr>
              <w:t>Per Share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Plans or Programs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Program</w:t>
            </w:r>
          </w:p>
        </w:tc>
        <w:tc>
          <w:tcPr>
            <w:tcW w:w="0" w:type="dxa"/>
            <w:vAlign w:val="bottom"/>
          </w:tcPr>
          <w:p>
            <w:pPr>
              <w:spacing w:after="0"/>
              <w:rPr>
                <w:sz w:val="1"/>
                <w:szCs w:val="1"/>
                <w:color w:val="auto"/>
              </w:rPr>
            </w:pPr>
          </w:p>
        </w:tc>
      </w:tr>
      <w:tr>
        <w:trPr>
          <w:trHeight w:val="166"/>
        </w:trPr>
        <w:tc>
          <w:tcPr>
            <w:tcW w:w="452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January 1 through January 31, 2024</w:t>
            </w:r>
          </w:p>
        </w:tc>
        <w:tc>
          <w:tcPr>
            <w:tcW w:w="2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ind w:left="100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20,686,087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1 through February 28,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 through March 31, 2024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1 through April 30,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2,000,000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4.70</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1 through May 31, 2024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1 through June 30,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1 through July 31, 2024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1 through August 31,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3.84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 through September 30, 2024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75"/>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1 through October 31,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25,000,000</w:t>
            </w:r>
          </w:p>
        </w:tc>
        <w:tc>
          <w:tcPr>
            <w:tcW w:w="0" w:type="dxa"/>
            <w:vAlign w:val="bottom"/>
          </w:tcPr>
          <w:p>
            <w:pPr>
              <w:spacing w:after="0"/>
              <w:rPr>
                <w:sz w:val="1"/>
                <w:szCs w:val="1"/>
                <w:color w:val="auto"/>
              </w:rPr>
            </w:pPr>
          </w:p>
        </w:tc>
      </w:tr>
      <w:tr>
        <w:trPr>
          <w:trHeight w:val="17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1 through November 30, 2024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81,257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5.11</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25,000,000</w:t>
            </w:r>
          </w:p>
        </w:tc>
        <w:tc>
          <w:tcPr>
            <w:tcW w:w="0" w:type="dxa"/>
            <w:vAlign w:val="bottom"/>
          </w:tcPr>
          <w:p>
            <w:pPr>
              <w:spacing w:after="0"/>
              <w:rPr>
                <w:sz w:val="1"/>
                <w:szCs w:val="1"/>
                <w:color w:val="auto"/>
              </w:rPr>
            </w:pPr>
          </w:p>
        </w:tc>
      </w:tr>
      <w:tr>
        <w:trPr>
          <w:trHeight w:val="186"/>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1 through December 31, 2024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9,843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25,000,000</w:t>
            </w:r>
          </w:p>
        </w:tc>
        <w:tc>
          <w:tcPr>
            <w:tcW w:w="0" w:type="dxa"/>
            <w:vAlign w:val="bottom"/>
          </w:tcPr>
          <w:p>
            <w:pPr>
              <w:spacing w:after="0"/>
              <w:rPr>
                <w:sz w:val="1"/>
                <w:szCs w:val="1"/>
                <w:color w:val="auto"/>
              </w:rPr>
            </w:pPr>
          </w:p>
        </w:tc>
      </w:tr>
      <w:tr>
        <w:trPr>
          <w:trHeight w:val="177"/>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2,103,100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2,000,000</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On February 20, 2024, we commenced the Modified Dutch Auction Tender Offer to purchase up to 2,000,000 shares of our common stock from our stockholders, which expired on April 1, 2024. In accordance with the terms of the Modified Dutch Auction Tender Offer, we selected the lowest price per share of not less than $4.00 per share and not greater than $5.00 per share.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Modified Dutch Auction Tender Offer, we repurchased 2,000,000 shares, representing 7.9% of our outstanding shares, on or about April 5, 2024 at a price of $4.70 per share.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used available cash to fund the purchase of our shares of common stock in the Modified Dutch Auction Tender Offer and to pay for all related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7894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51" w:lineRule="exact"/>
        <w:rPr>
          <w:sz w:val="20"/>
          <w:szCs w:val="20"/>
          <w:color w:val="auto"/>
        </w:rPr>
      </w:pPr>
    </w:p>
    <w:p>
      <w:pPr>
        <w:jc w:val="both"/>
        <w:ind w:left="260" w:hanging="253"/>
        <w:spacing w:after="0" w:line="263"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8, 2017, we announced the $5.0 million discretionary open-market Share Repurchase Program (the “Share Repurchase Program”) under which our Board of Directors authorized the repurchase of shares of our common stock in the open market until the earlier of (i) August 6, 2018 or (ii) the repurchase of $5.0 million in aggregate amount of our common stock. Following several intervening approvals from our Board of Directors to increase the amount of shares of our common stock that may be repurchased under the discretionary Share Repurchase Program and/or extend the Share Repurchase Program to later expiration dates, most recently, on October 29, 2024, our Board of Directors approved an extension of, and an increase in the amount of shares of our common stock that may be repurchased under, the Share Repurchase Program until the earlier of (i) October 31, 2025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2024, we did not repurchase any shares of common stock under the Share Repurchase Program. As of December 31, 2024, the dollar value of shares that remained available to be purchased under the Share Repurchase Program was approximately $25.0 million.</w:t>
      </w:r>
    </w:p>
    <w:p>
      <w:pPr>
        <w:ind w:left="260" w:hanging="253"/>
        <w:spacing w:after="0"/>
        <w:tabs>
          <w:tab w:leader="none" w:pos="2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purchases of our common stock made on the open market by or on behalf of any “affiliated purchaser,” as defined in Exchange Act Rule 10b-18(a)(3),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Senior Securities</w:t>
      </w:r>
    </w:p>
    <w:p>
      <w:pPr>
        <w:spacing w:after="0" w:line="179" w:lineRule="exact"/>
        <w:rPr>
          <w:sz w:val="20"/>
          <w:szCs w:val="20"/>
          <w:color w:val="auto"/>
        </w:rPr>
      </w:pPr>
    </w:p>
    <w:p>
      <w:pPr>
        <w:ind w:firstLine="328"/>
        <w:spacing w:after="0" w:line="267" w:lineRule="auto"/>
        <w:rPr>
          <w:sz w:val="20"/>
          <w:szCs w:val="20"/>
          <w:color w:val="auto"/>
        </w:rPr>
      </w:pPr>
      <w:r>
        <w:rPr>
          <w:rFonts w:ascii="Times New Roman" w:cs="Times New Roman" w:eastAsia="Times New Roman" w:hAnsi="Times New Roman"/>
          <w:sz w:val="15"/>
          <w:szCs w:val="15"/>
          <w:color w:val="auto"/>
        </w:rPr>
        <w:t>Information about our senior securities is shown in the following table as of the end of the last ten fiscal years. The report of our independent registered public accounting firm, Marcum LLP, on the senior securities table, as of December 31, 2024, 2023, 2022, 2021 and 2020, is attached as an exhibit to this annual report on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Total Amount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6"/>
              </w:rPr>
              <w:t>Involuntary</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Liquidation</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Exclusive of Treasury</w:t>
            </w:r>
          </w:p>
        </w:tc>
        <w:tc>
          <w:tcPr>
            <w:tcW w:w="18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Asset Coverage Ratio</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Preference Per</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Average Market</w:t>
            </w:r>
          </w:p>
        </w:tc>
      </w:tr>
      <w:tr>
        <w:trPr>
          <w:trHeight w:val="218"/>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Class and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40"/>
              <w:spacing w:after="0" w:line="218" w:lineRule="exact"/>
              <w:rPr>
                <w:sz w:val="20"/>
                <w:szCs w:val="20"/>
                <w:color w:val="auto"/>
              </w:rPr>
            </w:pPr>
            <w:r>
              <w:rPr>
                <w:rFonts w:ascii="Times New Roman" w:cs="Times New Roman" w:eastAsia="Times New Roman" w:hAnsi="Times New Roman"/>
                <w:sz w:val="15"/>
                <w:szCs w:val="15"/>
                <w:b w:val="1"/>
                <w:bCs w:val="1"/>
                <w:color w:val="auto"/>
                <w:w w:val="91"/>
              </w:rPr>
              <w:t>Securities</w:t>
            </w:r>
            <w:r>
              <w:rPr>
                <w:rFonts w:ascii="Times New Roman" w:cs="Times New Roman" w:eastAsia="Times New Roman" w:hAnsi="Times New Roman"/>
                <w:sz w:val="24"/>
                <w:szCs w:val="24"/>
                <w:b w:val="1"/>
                <w:bCs w:val="1"/>
                <w:color w:val="auto"/>
                <w:w w:val="91"/>
                <w:vertAlign w:val="superscript"/>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80"/>
              <w:spacing w:after="0" w:line="218" w:lineRule="exact"/>
              <w:rPr>
                <w:sz w:val="20"/>
                <w:szCs w:val="20"/>
                <w:color w:val="auto"/>
              </w:rPr>
            </w:pPr>
            <w:r>
              <w:rPr>
                <w:rFonts w:ascii="Times New Roman" w:cs="Times New Roman" w:eastAsia="Times New Roman" w:hAnsi="Times New Roman"/>
                <w:sz w:val="15"/>
                <w:szCs w:val="15"/>
                <w:b w:val="1"/>
                <w:bCs w:val="1"/>
                <w:color w:val="auto"/>
              </w:rPr>
              <w:t>Per Unit</w:t>
            </w:r>
            <w:r>
              <w:rPr>
                <w:rFonts w:ascii="Times New Roman" w:cs="Times New Roman" w:eastAsia="Times New Roman" w:hAnsi="Times New Roman"/>
                <w:sz w:val="24"/>
                <w:szCs w:val="24"/>
                <w:b w:val="1"/>
                <w:bCs w:val="1"/>
                <w:color w:val="auto"/>
                <w:vertAlign w:val="superscript"/>
              </w:rPr>
              <w:t>(2)</w:t>
            </w:r>
          </w:p>
        </w:tc>
        <w:tc>
          <w:tcPr>
            <w:tcW w:w="1660" w:type="dxa"/>
            <w:vAlign w:val="bottom"/>
            <w:gridSpan w:val="2"/>
          </w:tcPr>
          <w:p>
            <w:pPr>
              <w:jc w:val="center"/>
              <w:ind w:right="320"/>
              <w:spacing w:after="0" w:line="218" w:lineRule="exact"/>
              <w:rPr>
                <w:sz w:val="20"/>
                <w:szCs w:val="20"/>
                <w:color w:val="auto"/>
              </w:rPr>
            </w:pPr>
            <w:r>
              <w:rPr>
                <w:rFonts w:ascii="Times New Roman" w:cs="Times New Roman" w:eastAsia="Times New Roman" w:hAnsi="Times New Roman"/>
                <w:sz w:val="15"/>
                <w:szCs w:val="15"/>
                <w:b w:val="1"/>
                <w:bCs w:val="1"/>
                <w:color w:val="auto"/>
                <w:w w:val="89"/>
              </w:rPr>
              <w:t>Unit</w:t>
            </w:r>
            <w:r>
              <w:rPr>
                <w:rFonts w:ascii="Times New Roman" w:cs="Times New Roman" w:eastAsia="Times New Roman" w:hAnsi="Times New Roman"/>
                <w:sz w:val="24"/>
                <w:szCs w:val="24"/>
                <w:b w:val="1"/>
                <w:bCs w:val="1"/>
                <w:color w:val="auto"/>
                <w:w w:val="89"/>
                <w:vertAlign w:val="superscript"/>
              </w:rPr>
              <w:t>(3)</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Value Per Unit</w:t>
            </w:r>
          </w:p>
        </w:tc>
      </w:tr>
      <w:tr>
        <w:trPr>
          <w:trHeight w:val="146"/>
        </w:trPr>
        <w:tc>
          <w:tcPr>
            <w:tcW w:w="2060" w:type="dxa"/>
            <w:vAlign w:val="bottom"/>
            <w:tcBorders>
              <w:top w:val="single" w:sz="8" w:color="auto"/>
              <w:bottom w:val="single" w:sz="8" w:color="auto"/>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w w:val="96"/>
              </w:rPr>
              <w:t>6.</w:t>
            </w:r>
            <w:r>
              <w:rPr>
                <w:rFonts w:ascii="Times New Roman" w:cs="Times New Roman" w:eastAsia="Times New Roman" w:hAnsi="Times New Roman"/>
                <w:sz w:val="15"/>
                <w:szCs w:val="15"/>
                <w:u w:val="single" w:color="auto"/>
                <w:color w:val="auto"/>
                <w:w w:val="96"/>
              </w:rPr>
              <w:t>50%</w:t>
            </w:r>
            <w:r>
              <w:rPr>
                <w:rFonts w:ascii="Times New Roman" w:cs="Times New Roman" w:eastAsia="Times New Roman" w:hAnsi="Times New Roman"/>
                <w:sz w:val="15"/>
                <w:szCs w:val="15"/>
                <w:color w:val="auto"/>
                <w:w w:val="96"/>
              </w:rPr>
              <w:t xml:space="preserve"> Convertible Notes due 2029</w:t>
            </w:r>
          </w:p>
        </w:tc>
        <w:tc>
          <w:tcPr>
            <w:tcW w:w="246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12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2024</w:t>
            </w:r>
            <w:r>
              <w:rPr>
                <w:rFonts w:ascii="Times New Roman" w:cs="Times New Roman" w:eastAsia="Times New Roman" w:hAnsi="Times New Roman"/>
                <w:sz w:val="24"/>
                <w:szCs w:val="24"/>
                <w:color w:val="auto"/>
                <w:vertAlign w:val="superscript"/>
              </w:rPr>
              <w:t>(9)</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30,000,000</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3,110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3,711</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3,800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5,865</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8,892</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5,998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3,968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4,884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48"/>
        </w:trPr>
        <w:tc>
          <w:tcPr>
            <w:tcW w:w="13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5"/>
                <w:szCs w:val="15"/>
                <w:color w:val="auto"/>
                <w:w w:val="96"/>
              </w:rPr>
              <w:t>6.</w:t>
            </w:r>
            <w:r>
              <w:rPr>
                <w:rFonts w:ascii="Times New Roman" w:cs="Times New Roman" w:eastAsia="Times New Roman" w:hAnsi="Times New Roman"/>
                <w:sz w:val="15"/>
                <w:szCs w:val="15"/>
                <w:u w:val="single" w:color="auto"/>
                <w:color w:val="auto"/>
                <w:w w:val="96"/>
              </w:rPr>
              <w:t>00%</w:t>
            </w:r>
            <w:r>
              <w:rPr>
                <w:rFonts w:ascii="Times New Roman" w:cs="Times New Roman" w:eastAsia="Times New Roman" w:hAnsi="Times New Roman"/>
                <w:sz w:val="15"/>
                <w:szCs w:val="15"/>
                <w:color w:val="auto"/>
                <w:w w:val="96"/>
              </w:rPr>
              <w:t xml:space="preserve"> Notes due 2026</w:t>
            </w:r>
          </w:p>
        </w:tc>
        <w:tc>
          <w:tcPr>
            <w:tcW w:w="31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4520" w:type="dxa"/>
            <w:vAlign w:val="bottom"/>
            <w:gridSpan w:val="5"/>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Fiscal 2024</w:t>
            </w:r>
            <w:r>
              <w:rPr>
                <w:rFonts w:ascii="Times New Roman" w:cs="Times New Roman" w:eastAsia="Times New Roman" w:hAnsi="Times New Roman"/>
                <w:sz w:val="24"/>
                <w:szCs w:val="24"/>
                <w:color w:val="auto"/>
                <w:vertAlign w:val="superscript"/>
              </w:rPr>
              <w:t>(4)</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44,667,400</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3,110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24.20</w:t>
            </w: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2023</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75,000,000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3,711</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23.40</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2022</w:t>
            </w:r>
            <w:r>
              <w:rPr>
                <w:rFonts w:ascii="Times New Roman" w:cs="Times New Roman" w:eastAsia="Times New Roman" w:hAnsi="Times New Roman"/>
                <w:sz w:val="24"/>
                <w:szCs w:val="24"/>
                <w:color w:val="auto"/>
                <w:vertAlign w:val="superscript"/>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75,000,000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3,800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24.83</w:t>
            </w: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2021</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75,000,000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5,865</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25.52</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8,892</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5,998</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3,968</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55"/>
        </w:trPr>
        <w:tc>
          <w:tcPr>
            <w:tcW w:w="2480" w:type="dxa"/>
            <w:vAlign w:val="bottom"/>
            <w:tcBorders>
              <w:bottom w:val="single" w:sz="8" w:color="auto"/>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w w:val="96"/>
              </w:rPr>
              <w:t>4.</w:t>
            </w:r>
            <w:r>
              <w:rPr>
                <w:rFonts w:ascii="Times New Roman" w:cs="Times New Roman" w:eastAsia="Times New Roman" w:hAnsi="Times New Roman"/>
                <w:sz w:val="15"/>
                <w:szCs w:val="15"/>
                <w:u w:val="single" w:color="auto"/>
                <w:color w:val="auto"/>
                <w:w w:val="96"/>
              </w:rPr>
              <w:t>75%</w:t>
            </w:r>
            <w:r>
              <w:rPr>
                <w:rFonts w:ascii="Times New Roman" w:cs="Times New Roman" w:eastAsia="Times New Roman" w:hAnsi="Times New Roman"/>
                <w:sz w:val="15"/>
                <w:szCs w:val="15"/>
                <w:color w:val="auto"/>
                <w:w w:val="96"/>
              </w:rPr>
              <w:t xml:space="preserve"> Convertible Senior Notes due 2023</w:t>
            </w:r>
          </w:p>
        </w:tc>
        <w:tc>
          <w:tcPr>
            <w:tcW w:w="20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2024</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3,110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3,711</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3,800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2021</w:t>
            </w:r>
            <w:r>
              <w:rPr>
                <w:rFonts w:ascii="Times New Roman" w:cs="Times New Roman" w:eastAsia="Times New Roman" w:hAnsi="Times New Roman"/>
                <w:sz w:val="24"/>
                <w:szCs w:val="24"/>
                <w:color w:val="auto"/>
                <w:vertAlign w:val="superscript"/>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5,865</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2020</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38,215,000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8,892</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40,000,000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5,998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40,000,000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3,968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4,884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48"/>
        </w:trPr>
        <w:tc>
          <w:tcPr>
            <w:tcW w:w="2480" w:type="dxa"/>
            <w:vAlign w:val="bottom"/>
            <w:tcBorders>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5"/>
                <w:szCs w:val="15"/>
                <w:color w:val="auto"/>
                <w:w w:val="96"/>
              </w:rPr>
              <w:t>5.</w:t>
            </w:r>
            <w:r>
              <w:rPr>
                <w:rFonts w:ascii="Times New Roman" w:cs="Times New Roman" w:eastAsia="Times New Roman" w:hAnsi="Times New Roman"/>
                <w:sz w:val="15"/>
                <w:szCs w:val="15"/>
                <w:u w:val="single" w:color="auto"/>
                <w:color w:val="auto"/>
                <w:w w:val="96"/>
              </w:rPr>
              <w:t>25%</w:t>
            </w:r>
            <w:r>
              <w:rPr>
                <w:rFonts w:ascii="Times New Roman" w:cs="Times New Roman" w:eastAsia="Times New Roman" w:hAnsi="Times New Roman"/>
                <w:sz w:val="15"/>
                <w:szCs w:val="15"/>
                <w:color w:val="auto"/>
                <w:w w:val="96"/>
              </w:rPr>
              <w:t xml:space="preserve"> Convertible Senior Notes due 2018</w:t>
            </w: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2024</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3,110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3,711</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3,800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5,865</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8,892</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5,998</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2018</w:t>
            </w:r>
            <w:r>
              <w:rPr>
                <w:rFonts w:ascii="Times New Roman" w:cs="Times New Roman" w:eastAsia="Times New Roman" w:hAnsi="Times New Roman"/>
                <w:sz w:val="24"/>
                <w:szCs w:val="24"/>
                <w:color w:val="auto"/>
                <w:vertAlign w:val="superscript"/>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69,000,000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3,968</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2016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69,000,000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69,000,000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55"/>
        </w:trPr>
        <w:tc>
          <w:tcPr>
            <w:tcW w:w="8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w w:val="96"/>
              </w:rPr>
              <w:t>Credit Facility</w:t>
            </w:r>
          </w:p>
        </w:tc>
        <w:tc>
          <w:tcPr>
            <w:tcW w:w="3660" w:type="dxa"/>
            <w:vAlign w:val="bottom"/>
            <w:tcBorders>
              <w:bottom w:val="single" w:sz="8" w:color="CCEEFF"/>
            </w:tcBorders>
            <w:gridSpan w:val="4"/>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2024</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3,110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3,711</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3,800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Fiscal 2021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5,865</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17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Fiscal 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8,892</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2019</w:t>
            </w:r>
            <w:r>
              <w:rPr>
                <w:rFonts w:ascii="Times New Roman" w:cs="Times New Roman" w:eastAsia="Times New Roman" w:hAnsi="Times New Roman"/>
                <w:sz w:val="24"/>
                <w:szCs w:val="24"/>
                <w:color w:val="auto"/>
                <w:vertAlign w:val="superscript"/>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5,998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2018</w:t>
            </w:r>
            <w:r>
              <w:rPr>
                <w:rFonts w:ascii="Times New Roman" w:cs="Times New Roman" w:eastAsia="Times New Roman" w:hAnsi="Times New Roman"/>
                <w:sz w:val="24"/>
                <w:szCs w:val="24"/>
                <w:color w:val="auto"/>
                <w:vertAlign w:val="superscript"/>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2017</w:t>
            </w:r>
            <w:r>
              <w:rPr>
                <w:rFonts w:ascii="Times New Roman" w:cs="Times New Roman" w:eastAsia="Times New Roman" w:hAnsi="Times New Roman"/>
                <w:sz w:val="24"/>
                <w:szCs w:val="24"/>
                <w:color w:val="auto"/>
                <w:vertAlign w:val="superscript"/>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3,968</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tcPr>
          <w:p>
            <w:pPr>
              <w:spacing w:after="0" w:line="207" w:lineRule="exact"/>
              <w:rPr>
                <w:sz w:val="20"/>
                <w:szCs w:val="20"/>
                <w:color w:val="auto"/>
              </w:rPr>
            </w:pPr>
            <w:r>
              <w:rPr>
                <w:rFonts w:ascii="Times New Roman" w:cs="Times New Roman" w:eastAsia="Times New Roman" w:hAnsi="Times New Roman"/>
                <w:sz w:val="15"/>
                <w:szCs w:val="15"/>
                <w:color w:val="auto"/>
              </w:rPr>
              <w:t>Fiscal 2016</w:t>
            </w:r>
            <w:r>
              <w:rPr>
                <w:rFonts w:ascii="Times New Roman" w:cs="Times New Roman" w:eastAsia="Times New Roman" w:hAnsi="Times New Roman"/>
                <w:sz w:val="24"/>
                <w:szCs w:val="24"/>
                <w:color w:val="auto"/>
                <w:vertAlign w:val="superscript"/>
              </w:rPr>
              <w:t>(8)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3,784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r>
        <w:trPr>
          <w:trHeight w:val="208"/>
        </w:trPr>
        <w:tc>
          <w:tcPr>
            <w:tcW w:w="4520" w:type="dxa"/>
            <w:vAlign w:val="bottom"/>
            <w:gridSpan w:val="5"/>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Fiscal 2015</w:t>
            </w:r>
            <w:r>
              <w:rPr>
                <w:rFonts w:ascii="Times New Roman" w:cs="Times New Roman" w:eastAsia="Times New Roman" w:hAnsi="Times New Roman"/>
                <w:sz w:val="24"/>
                <w:szCs w:val="24"/>
                <w:color w:val="auto"/>
                <w:vertAlign w:val="superscript"/>
              </w:rPr>
              <w:t>(8)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4,884</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260" w:hanging="253"/>
        <w:spacing w:after="0"/>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gross amount of each class of senior securities outstanding at the end of the period presented, before deduction of discount and debt issuance costs.</w:t>
      </w:r>
    </w:p>
    <w:p>
      <w:pPr>
        <w:spacing w:after="0" w:line="17" w:lineRule="exact"/>
        <w:rPr>
          <w:rFonts w:ascii="Times New Roman" w:cs="Times New Roman" w:eastAsia="Times New Roman" w:hAnsi="Times New Roman"/>
          <w:sz w:val="15"/>
          <w:szCs w:val="15"/>
          <w:color w:val="auto"/>
        </w:rPr>
      </w:pPr>
    </w:p>
    <w:p>
      <w:pPr>
        <w:ind w:left="260" w:hanging="253"/>
        <w:spacing w:after="0" w:line="243" w:lineRule="auto"/>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260" w:hanging="253"/>
        <w:spacing w:after="0" w:line="260"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ind w:left="260" w:hanging="253"/>
        <w:spacing w:after="0" w:line="243" w:lineRule="auto"/>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6.00% Notes due 2026 were issued on December 17, 2021. During the year ended December 31, 2024, 1,213,304 units of the 6.00% Notes due 2026 representing $30,332,600 in principal were repurchased.</w:t>
      </w:r>
    </w:p>
    <w:p>
      <w:pPr>
        <w:ind w:left="260" w:hanging="253"/>
        <w:spacing w:after="0" w:line="243" w:lineRule="auto"/>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2020, we issued 174,888 shares of our common stock and cash for fractional shares upon the conversion of $1,785,000 in aggregate principal amount of the 4.75% Convertible Senior Notes due 2023. The 4.75% Convertible Senior Notes due 2023 were repaid in full with interest on March 29, 2021.</w:t>
      </w:r>
    </w:p>
    <w:p>
      <w:pPr>
        <w:ind w:left="260" w:hanging="253"/>
        <w:spacing w:after="0"/>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5.25% Convertible Senior Notes due 2018 were repaid in full with interest on September 15, 2018.</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under the $12.0 million senior secured revolving Credit Facility with Western Alliance Bank National Association, which matured on May 31, 2019.</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under the $18.0 million Credit Facility with Silicon Valley Bank National Association, which matured on December 31, 2016.</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6.50% Convertible Notes due 2029 were issued on August 14, 2024 in the amount of $25.0 million and on October 9, 2024 in the amount of $5.0 million.</w:t>
      </w:r>
    </w:p>
    <w:p>
      <w:pPr>
        <w:sectPr>
          <w:pgSz w:w="11900" w:h="16838" w:orient="portrait"/>
          <w:cols w:equalWidth="0" w:num="1">
            <w:col w:w="11280"/>
          </w:cols>
          <w:pgMar w:left="300" w:top="212" w:right="31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5835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forward-looking statements contained in this annual report on Form 10-K involve risks and uncertainties, including, without limitation, statements as to:</w:t>
      </w:r>
    </w:p>
    <w:p>
      <w:pPr>
        <w:spacing w:after="0" w:line="177" w:lineRule="exact"/>
        <w:rPr>
          <w:sz w:val="20"/>
          <w:szCs w:val="20"/>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upon our management team and key investment professionals;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prospects of our portfolio companies;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business and future growth;</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investments that we expect to make;</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investments in growth-stage companies, other venture capital-backed companies, and generally U.S. companies;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contractual arrangements and relationships with third parties;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make distributions;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dependence of our future success on the general economy and its impact on the industries in which we invest;</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the uncertainty of the value of our portfolio investments;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political, economic or industry conditions;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laws or regulations (including the interpretation thereof), including tax laws, on our operations and/or the operation of our portfolio companies;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market volatility, including general price and volume fluctuations in stock markets;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w:t>
      </w:r>
    </w:p>
    <w:p>
      <w:pPr>
        <w:spacing w:after="0" w:line="177"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1" w:lineRule="exact"/>
        <w:rPr>
          <w:sz w:val="20"/>
          <w:szCs w:val="20"/>
          <w:color w:val="auto"/>
        </w:rPr>
      </w:pPr>
    </w:p>
    <w:p>
      <w:pPr>
        <w:jc w:val="center"/>
        <w:ind w:left="5580" w:right="100" w:hanging="5310"/>
        <w:spacing w:after="0" w:line="510" w:lineRule="auto"/>
        <w:tabs>
          <w:tab w:leader="none" w:pos="541"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economic downturn could impair our portfolio companies’ ability to continue to operate, which could lead to the loss of some or all of our investments in such portfolio companies;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5835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540" w:hanging="270"/>
        <w:spacing w:after="0"/>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disproportionately impact the market sectors in which a significant portion of our portfolio is concentrated, causing us to suffer losses in our portfolio;</w:t>
      </w:r>
    </w:p>
    <w:p>
      <w:pPr>
        <w:spacing w:after="0" w:line="188" w:lineRule="exact"/>
        <w:rPr>
          <w:rFonts w:ascii="Times New Roman" w:cs="Times New Roman" w:eastAsia="Times New Roman" w:hAnsi="Times New Roman"/>
          <w:sz w:val="14"/>
          <w:szCs w:val="14"/>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contraction of available credit and/or an inability to access the equity markets could impair our investment activities;</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inflation or an inflationary economic environment could adversely affect our portfolio companies’ operating results, causing us to suffer losses in our portfolio;</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volatility could adversely affect our results, particularly because we use leverage as part of our investment strategy; and</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uncertainties and other factors we identify in the sections entitled “Risk Factors” in our quarterly reports on Form 10-Q, our annual report on Form 10-K, and in our other filings with the SEC.</w:t>
      </w:r>
    </w:p>
    <w:p>
      <w:pPr>
        <w:spacing w:after="0" w:line="14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are an internally managed, non-diversified closed-end management investment company that has elected to be regulated as a BDC under the 1940 Act, and has elected to be treated, and intends to qualify annually, as a RIC under Subchapter M of the Code.</w:t>
      </w:r>
    </w:p>
    <w:p>
      <w:pPr>
        <w:spacing w:after="0" w:line="14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SPVs and investment funds that invest directly in the equity or debt of a single private issuer. In addition, we may invest in private credit and in the founders equity, founders warrants, venture capital investment funds, and PIPE transactions of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56"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5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Our investment philosophy is based on a disciplined approach of identifying promising investments in high-growth, venture-backed companies across several key industry themes which may include, among others, Software-as-a-Service, Artificial Intelligence Infrastructure &amp; Applications, Consumer Goods &amp; Services, Education Technology, Logistics &amp; Supply Chain, Financial Technology &amp; Services, and SuRo Sports.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seek to create a low-turnover portfolio that includes investments in companies representing a broad range of investment themes.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History</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4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4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Portfolio and Investment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2024</w:t>
      </w:r>
    </w:p>
    <w:p>
      <w:pPr>
        <w:spacing w:after="0" w:line="181"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2024 of all of our portfolio investments was $209,380,742.</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During the year ended December 31, 2024, we funded investments in an aggregate amount of $74,500,754 (not including capitalized transaction costs) as shown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2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14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Gross Payments</w:t>
            </w:r>
          </w:p>
        </w:tc>
      </w:tr>
      <w:tr>
        <w:trPr>
          <w:trHeight w:val="166"/>
        </w:trPr>
        <w:tc>
          <w:tcPr>
            <w:tcW w:w="430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Supplying Demand, Inc. (d/b/a Liquid Death)</w:t>
            </w:r>
          </w:p>
        </w:tc>
        <w:tc>
          <w:tcPr>
            <w:tcW w:w="22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6"/>
              </w:rPr>
              <w:t>Preferred shares, Series F-1</w:t>
            </w:r>
          </w:p>
        </w:tc>
        <w:tc>
          <w:tcPr>
            <w:tcW w:w="22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8"/>
              </w:rPr>
              <w:t>1/18/2024</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9,999,996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5"/>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Canva, Inc.</w:t>
            </w: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6"/>
              </w:rPr>
              <w:t>Common shares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4/17/2024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9,999,948</w:t>
            </w:r>
          </w:p>
        </w:tc>
        <w:tc>
          <w:tcPr>
            <w:tcW w:w="80" w:type="dxa"/>
            <w:vAlign w:val="bottom"/>
          </w:tcPr>
          <w:p>
            <w:pPr>
              <w:spacing w:after="0"/>
              <w:rPr>
                <w:sz w:val="15"/>
                <w:szCs w:val="15"/>
                <w:color w:val="auto"/>
              </w:rPr>
            </w:pPr>
          </w:p>
        </w:tc>
      </w:tr>
      <w:tr>
        <w:trPr>
          <w:trHeight w:val="208"/>
        </w:trPr>
        <w:tc>
          <w:tcPr>
            <w:tcW w:w="45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CW Opportunity 2 LP</w:t>
            </w:r>
            <w:r>
              <w:rPr>
                <w:rFonts w:ascii="Times New Roman" w:cs="Times New Roman" w:eastAsia="Times New Roman" w:hAnsi="Times New Roman"/>
                <w:sz w:val="24"/>
                <w:szCs w:val="24"/>
                <w:color w:val="auto"/>
                <w:vertAlign w:val="superscript"/>
              </w:rPr>
              <w:t>(1)</w:t>
            </w:r>
          </w:p>
        </w:tc>
        <w:tc>
          <w:tcPr>
            <w:tcW w:w="2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Membership Interest, Class A</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5/7/2024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15,000,000</w:t>
            </w:r>
          </w:p>
        </w:tc>
        <w:tc>
          <w:tcPr>
            <w:tcW w:w="80" w:type="dxa"/>
            <w:vAlign w:val="bottom"/>
            <w:shd w:val="clear" w:color="auto" w:fill="CCEEFF"/>
          </w:tcPr>
          <w:p>
            <w:pPr>
              <w:spacing w:after="0"/>
              <w:rPr>
                <w:sz w:val="18"/>
                <w:szCs w:val="18"/>
                <w:color w:val="auto"/>
              </w:rPr>
            </w:pPr>
          </w:p>
        </w:tc>
      </w:tr>
      <w:tr>
        <w:trPr>
          <w:trHeight w:val="208"/>
        </w:trPr>
        <w:tc>
          <w:tcPr>
            <w:tcW w:w="45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ARK Type One Deep Ventures Fund LLC</w:t>
            </w:r>
            <w:r>
              <w:rPr>
                <w:rFonts w:ascii="Times New Roman" w:cs="Times New Roman" w:eastAsia="Times New Roman" w:hAnsi="Times New Roman"/>
                <w:sz w:val="24"/>
                <w:szCs w:val="24"/>
                <w:color w:val="auto"/>
                <w:vertAlign w:val="superscript"/>
              </w:rPr>
              <w:t>(2)</w:t>
            </w: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Membership Interest, Class A</w:t>
            </w: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9/25/2024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17,500,000</w:t>
            </w:r>
          </w:p>
        </w:tc>
        <w:tc>
          <w:tcPr>
            <w:tcW w:w="80" w:type="dxa"/>
            <w:vAlign w:val="bottom"/>
          </w:tcPr>
          <w:p>
            <w:pPr>
              <w:spacing w:after="0"/>
              <w:rPr>
                <w:sz w:val="18"/>
                <w:szCs w:val="18"/>
                <w:color w:val="auto"/>
              </w:rPr>
            </w:pPr>
          </w:p>
        </w:tc>
      </w:tr>
      <w:tr>
        <w:trPr>
          <w:trHeight w:val="175"/>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CoreWeave, Inc.</w:t>
            </w:r>
          </w:p>
        </w:tc>
        <w:tc>
          <w:tcPr>
            <w:tcW w:w="2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6"/>
              </w:rPr>
              <w:t>Common shares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9/26/2024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5,000,400</w:t>
            </w:r>
          </w:p>
        </w:tc>
        <w:tc>
          <w:tcPr>
            <w:tcW w:w="80" w:type="dxa"/>
            <w:vAlign w:val="bottom"/>
            <w:shd w:val="clear" w:color="auto" w:fill="CCEEFF"/>
          </w:tcPr>
          <w:p>
            <w:pPr>
              <w:spacing w:after="0"/>
              <w:rPr>
                <w:sz w:val="15"/>
                <w:szCs w:val="15"/>
                <w:color w:val="auto"/>
              </w:rPr>
            </w:pPr>
          </w:p>
        </w:tc>
      </w:tr>
      <w:tr>
        <w:trPr>
          <w:trHeight w:val="175"/>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CoreWeave, Inc.</w:t>
            </w: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Preferred Shares, Series A</w:t>
            </w: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10/8/2024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5,000,400</w:t>
            </w:r>
          </w:p>
        </w:tc>
        <w:tc>
          <w:tcPr>
            <w:tcW w:w="80" w:type="dxa"/>
            <w:vAlign w:val="bottom"/>
          </w:tcPr>
          <w:p>
            <w:pPr>
              <w:spacing w:after="0"/>
              <w:rPr>
                <w:sz w:val="15"/>
                <w:szCs w:val="15"/>
                <w:color w:val="auto"/>
              </w:rPr>
            </w:pPr>
          </w:p>
        </w:tc>
      </w:tr>
      <w:tr>
        <w:trPr>
          <w:trHeight w:val="218"/>
        </w:trPr>
        <w:tc>
          <w:tcPr>
            <w:tcW w:w="452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5"/>
                <w:szCs w:val="15"/>
                <w:color w:val="auto"/>
              </w:rPr>
              <w:t>IH10, LLC</w:t>
            </w:r>
            <w:r>
              <w:rPr>
                <w:rFonts w:ascii="Times New Roman" w:cs="Times New Roman" w:eastAsia="Times New Roman" w:hAnsi="Times New Roman"/>
                <w:sz w:val="24"/>
                <w:szCs w:val="24"/>
                <w:color w:val="auto"/>
                <w:vertAlign w:val="superscript"/>
              </w:rPr>
              <w:t>(3)</w:t>
            </w:r>
          </w:p>
        </w:tc>
        <w:tc>
          <w:tcPr>
            <w:tcW w:w="2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Membership Interest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10/9/2024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12,000,010</w:t>
            </w:r>
          </w:p>
        </w:tc>
        <w:tc>
          <w:tcPr>
            <w:tcW w:w="80" w:type="dxa"/>
            <w:vAlign w:val="bottom"/>
            <w:shd w:val="clear" w:color="auto" w:fill="CCEEFF"/>
          </w:tcPr>
          <w:p>
            <w:pPr>
              <w:spacing w:after="0"/>
              <w:rPr>
                <w:sz w:val="18"/>
                <w:szCs w:val="18"/>
                <w:color w:val="auto"/>
              </w:rPr>
            </w:pPr>
          </w:p>
        </w:tc>
      </w:tr>
      <w:tr>
        <w:trPr>
          <w:trHeight w:val="177"/>
        </w:trPr>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74,500,754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260" w:hanging="253"/>
        <w:spacing w:after="0" w:line="253" w:lineRule="auto"/>
        <w:tabs>
          <w:tab w:leader="none" w:pos="2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an SPV that is solely invested in the Series C Preferred Shares of CoreWeave, Inc. SuRo Capital Corp. is invested in the Series C Preferred Shares of CoreWeave, Inc. through its investment in the Class A Interest of CW Opportunity 2 LP.</w:t>
      </w:r>
    </w:p>
    <w:p>
      <w:pPr>
        <w:ind w:left="260" w:hanging="253"/>
        <w:spacing w:after="0" w:line="243" w:lineRule="auto"/>
        <w:tabs>
          <w:tab w:leader="none" w:pos="2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w:t>
      </w:r>
    </w:p>
    <w:p>
      <w:pPr>
        <w:ind w:left="260" w:hanging="253"/>
        <w:spacing w:after="0" w:line="246" w:lineRule="auto"/>
        <w:tabs>
          <w:tab w:leader="none" w:pos="2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SuRo Capital Corp. is invested in the Series B Preferred Shares of VAST Data, Ltd. through its investment in the Membership Interest of IH10, LLC.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During the year ended December 31, 2024, we capitalized fees of $564,146, which include prepaid fund expenses and management fees.</w:t>
      </w:r>
    </w:p>
    <w:p>
      <w:pPr>
        <w:spacing w:after="0" w:line="177"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2024, we exited or received proceeds from investments (not including short-term U.S. Treasury bills) in the amount of $26,107,936, net of transaction costs, and realized a net loss on investments of $5,020,314 (including adjustments to amounts held in escrow receivable) as shown in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Average Net Share</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Realized</w:t>
            </w:r>
          </w:p>
        </w:tc>
      </w:tr>
      <w:tr>
        <w:trPr>
          <w:trHeight w:val="22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Transaction Date</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line="222" w:lineRule="exact"/>
              <w:rPr>
                <w:sz w:val="20"/>
                <w:szCs w:val="20"/>
                <w:color w:val="auto"/>
              </w:rPr>
            </w:pPr>
            <w:r>
              <w:rPr>
                <w:rFonts w:ascii="Times New Roman" w:cs="Times New Roman" w:eastAsia="Times New Roman" w:hAnsi="Times New Roman"/>
                <w:sz w:val="15"/>
                <w:szCs w:val="15"/>
                <w:b w:val="1"/>
                <w:bCs w:val="1"/>
                <w:color w:val="auto"/>
              </w:rPr>
              <w:t>Price</w:t>
            </w:r>
            <w:r>
              <w:rPr>
                <w:rFonts w:ascii="Times New Roman" w:cs="Times New Roman" w:eastAsia="Times New Roman" w:hAnsi="Times New Roman"/>
                <w:sz w:val="24"/>
                <w:szCs w:val="24"/>
                <w:b w:val="1"/>
                <w:bCs w:val="1"/>
                <w:color w:val="auto"/>
                <w:vertAlign w:val="superscript"/>
              </w:rPr>
              <w:t>(1)</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7"/>
              <w:spacing w:after="0" w:line="222" w:lineRule="exact"/>
              <w:rPr>
                <w:sz w:val="20"/>
                <w:szCs w:val="20"/>
                <w:color w:val="auto"/>
              </w:rPr>
            </w:pPr>
            <w:r>
              <w:rPr>
                <w:rFonts w:ascii="Times New Roman" w:cs="Times New Roman" w:eastAsia="Times New Roman" w:hAnsi="Times New Roman"/>
                <w:sz w:val="15"/>
                <w:szCs w:val="15"/>
                <w:b w:val="1"/>
                <w:bCs w:val="1"/>
                <w:color w:val="auto"/>
                <w:w w:val="96"/>
              </w:rPr>
              <w:t>Gain/(Loss)</w:t>
            </w:r>
            <w:r>
              <w:rPr>
                <w:rFonts w:ascii="Times New Roman" w:cs="Times New Roman" w:eastAsia="Times New Roman" w:hAnsi="Times New Roman"/>
                <w:sz w:val="24"/>
                <w:szCs w:val="24"/>
                <w:b w:val="1"/>
                <w:bCs w:val="1"/>
                <w:color w:val="auto"/>
                <w:w w:val="96"/>
                <w:vertAlign w:val="superscript"/>
              </w:rPr>
              <w:t>(2)</w:t>
            </w:r>
          </w:p>
        </w:tc>
        <w:tc>
          <w:tcPr>
            <w:tcW w:w="100" w:type="dxa"/>
            <w:vAlign w:val="bottom"/>
            <w:tcBorders>
              <w:bottom w:val="single" w:sz="8" w:color="CCEEFF"/>
            </w:tcBorders>
            <w:gridSpan w:val="2"/>
          </w:tcPr>
          <w:p>
            <w:pPr>
              <w:spacing w:after="0"/>
              <w:rPr>
                <w:sz w:val="19"/>
                <w:szCs w:val="19"/>
                <w:color w:val="auto"/>
              </w:rPr>
            </w:pPr>
          </w:p>
        </w:tc>
      </w:tr>
      <w:tr>
        <w:trPr>
          <w:trHeight w:val="198"/>
        </w:trPr>
        <w:tc>
          <w:tcPr>
            <w:tcW w:w="340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Nextdoor Holdings, Inc.</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112,420</w:t>
            </w:r>
          </w:p>
        </w:tc>
        <w:tc>
          <w:tcPr>
            <w:tcW w:w="40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1.92</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215,318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(411,151)</w:t>
            </w:r>
          </w:p>
        </w:tc>
      </w:tr>
      <w:tr>
        <w:trPr>
          <w:trHeight w:val="208"/>
        </w:trPr>
        <w:tc>
          <w:tcPr>
            <w:tcW w:w="36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 xml:space="preserve">PSQ Holdings, Inc. (d/b/a PublicSquare) </w:t>
            </w:r>
            <w:r>
              <w:rPr>
                <w:rFonts w:ascii="Times New Roman" w:cs="Times New Roman" w:eastAsia="Times New Roman" w:hAnsi="Times New Roman"/>
                <w:sz w:val="15"/>
                <w:szCs w:val="15"/>
                <w:i w:val="1"/>
                <w:iCs w:val="1"/>
                <w:color w:val="auto"/>
              </w:rPr>
              <w:t>- Warrants</w:t>
            </w:r>
            <w:r>
              <w:rPr>
                <w:rFonts w:ascii="Times New Roman" w:cs="Times New Roman" w:eastAsia="Times New Roman" w:hAnsi="Times New Roman"/>
                <w:sz w:val="24"/>
                <w:szCs w:val="24"/>
                <w:color w:val="auto"/>
                <w:vertAlign w:val="superscript"/>
              </w:rPr>
              <w:t>(4)</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600,000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1.07</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641,583</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383,994</w:t>
            </w:r>
          </w:p>
        </w:tc>
        <w:tc>
          <w:tcPr>
            <w:tcW w:w="80" w:type="dxa"/>
            <w:vAlign w:val="bottom"/>
          </w:tcPr>
          <w:p>
            <w:pPr>
              <w:spacing w:after="0"/>
              <w:rPr>
                <w:sz w:val="18"/>
                <w:szCs w:val="18"/>
                <w:color w:val="auto"/>
              </w:rPr>
            </w:pPr>
          </w:p>
        </w:tc>
      </w:tr>
      <w:tr>
        <w:trPr>
          <w:trHeight w:val="208"/>
        </w:trPr>
        <w:tc>
          <w:tcPr>
            <w:tcW w:w="36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Architect Capital PayJoy SPV, LLC</w:t>
            </w:r>
            <w:r>
              <w:rPr>
                <w:rFonts w:ascii="Times New Roman" w:cs="Times New Roman" w:eastAsia="Times New Roman" w:hAnsi="Times New Roman"/>
                <w:sz w:val="24"/>
                <w:szCs w:val="24"/>
                <w:color w:val="auto"/>
                <w:vertAlign w:val="superscript"/>
              </w:rPr>
              <w:t>(5)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6/28/2024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10,000,000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(6,745)</w:t>
            </w:r>
          </w:p>
        </w:tc>
      </w:tr>
      <w:tr>
        <w:trPr>
          <w:trHeight w:val="208"/>
        </w:trPr>
        <w:tc>
          <w:tcPr>
            <w:tcW w:w="36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4"/>
                <w:szCs w:val="24"/>
                <w:color w:val="auto"/>
                <w:vertAlign w:val="superscript"/>
              </w:rPr>
              <w:t>(6)</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375,762</w:t>
            </w: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3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PSQ Holdings, Inc. (d/b/a PublicSquare) </w:t>
            </w:r>
            <w:r>
              <w:rPr>
                <w:rFonts w:ascii="Times New Roman" w:cs="Times New Roman" w:eastAsia="Times New Roman" w:hAnsi="Times New Roman"/>
                <w:sz w:val="15"/>
                <w:szCs w:val="15"/>
                <w:i w:val="1"/>
                <w:iCs w:val="1"/>
                <w:color w:val="auto"/>
              </w:rPr>
              <w:t>- Public</w:t>
            </w: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0"/>
        </w:trPr>
        <w:tc>
          <w:tcPr>
            <w:tcW w:w="362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5"/>
                <w:szCs w:val="15"/>
                <w:i w:val="1"/>
                <w:iCs w:val="1"/>
                <w:color w:val="auto"/>
              </w:rPr>
              <w:t>Common Shares</w:t>
            </w:r>
            <w:r>
              <w:rPr>
                <w:rFonts w:ascii="Times New Roman" w:cs="Times New Roman" w:eastAsia="Times New Roman" w:hAnsi="Times New Roman"/>
                <w:sz w:val="24"/>
                <w:szCs w:val="24"/>
                <w:color w:val="auto"/>
                <w:vertAlign w:val="superscript"/>
              </w:rPr>
              <w:t>(7)</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1,976,032</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3.19</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6,312,243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4,755,656</w:t>
            </w:r>
          </w:p>
        </w:tc>
        <w:tc>
          <w:tcPr>
            <w:tcW w:w="80" w:type="dxa"/>
            <w:vAlign w:val="bottom"/>
            <w:shd w:val="clear" w:color="auto" w:fill="CCEEFF"/>
          </w:tcPr>
          <w:p>
            <w:pPr>
              <w:spacing w:after="0"/>
              <w:rPr>
                <w:sz w:val="19"/>
                <w:szCs w:val="19"/>
                <w:color w:val="auto"/>
              </w:rPr>
            </w:pPr>
          </w:p>
        </w:tc>
      </w:tr>
      <w:tr>
        <w:trPr>
          <w:trHeight w:val="175"/>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Churchill Sponsor VII LLC</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8/18/2024</w:t>
            </w:r>
          </w:p>
        </w:tc>
        <w:tc>
          <w:tcPr>
            <w:tcW w:w="2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(300,000)</w:t>
            </w:r>
          </w:p>
        </w:tc>
      </w:tr>
      <w:tr>
        <w:trPr>
          <w:trHeight w:val="17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YouBet Technology, Inc. (d/b/a FanPower)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8/22/2024</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(752,943)</w:t>
            </w:r>
          </w:p>
        </w:tc>
      </w:tr>
      <w:tr>
        <w:trPr>
          <w:trHeight w:val="208"/>
        </w:trPr>
        <w:tc>
          <w:tcPr>
            <w:tcW w:w="36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OneValley, Inc. (f/k/a NestGSV, Inc.)</w:t>
            </w:r>
            <w:r>
              <w:rPr>
                <w:rFonts w:ascii="Times New Roman" w:cs="Times New Roman" w:eastAsia="Times New Roman" w:hAnsi="Times New Roman"/>
                <w:sz w:val="24"/>
                <w:szCs w:val="24"/>
                <w:color w:val="auto"/>
                <w:vertAlign w:val="superscript"/>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8/29/2024</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3,000,000</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(6,598,530)</w:t>
            </w:r>
          </w:p>
        </w:tc>
      </w:tr>
      <w:tr>
        <w:trPr>
          <w:trHeight w:val="208"/>
        </w:trPr>
        <w:tc>
          <w:tcPr>
            <w:tcW w:w="36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SPBRX, INC. (f/k/a GSV Sustainability Partners, Inc.)</w:t>
            </w:r>
            <w:r>
              <w:rPr>
                <w:rFonts w:ascii="Times New Roman" w:cs="Times New Roman" w:eastAsia="Times New Roman" w:hAnsi="Times New Roman"/>
                <w:sz w:val="24"/>
                <w:szCs w:val="24"/>
                <w:color w:val="auto"/>
                <w:vertAlign w:val="superscript"/>
              </w:rPr>
              <w:t>(9)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9/30/2024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374,950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(6,790,680)</w:t>
            </w:r>
          </w:p>
        </w:tc>
      </w:tr>
      <w:tr>
        <w:trPr>
          <w:trHeight w:val="175"/>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Oklo, Inc.</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11/15/2024</w:t>
            </w:r>
          </w:p>
        </w:tc>
        <w:tc>
          <w:tcPr>
            <w:tcW w:w="2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239,300</w:t>
            </w:r>
          </w:p>
        </w:tc>
        <w:tc>
          <w:tcPr>
            <w:tcW w:w="40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5"/>
                <w:szCs w:val="15"/>
                <w:color w:val="auto"/>
                <w:w w:val="88"/>
              </w:rPr>
              <w:t>21.14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5,058,709</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4,807,382</w:t>
            </w:r>
          </w:p>
        </w:tc>
        <w:tc>
          <w:tcPr>
            <w:tcW w:w="80" w:type="dxa"/>
            <w:vAlign w:val="bottom"/>
          </w:tcPr>
          <w:p>
            <w:pPr>
              <w:spacing w:after="0"/>
              <w:rPr>
                <w:sz w:val="15"/>
                <w:szCs w:val="15"/>
                <w:color w:val="auto"/>
              </w:rPr>
            </w:pPr>
          </w:p>
        </w:tc>
      </w:tr>
      <w:tr>
        <w:trPr>
          <w:trHeight w:val="218"/>
        </w:trPr>
        <w:tc>
          <w:tcPr>
            <w:tcW w:w="362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5"/>
                <w:szCs w:val="15"/>
                <w:color w:val="auto"/>
              </w:rPr>
              <w:t>Forge Global, Inc.</w:t>
            </w:r>
            <w:r>
              <w:rPr>
                <w:rFonts w:ascii="Times New Roman" w:cs="Times New Roman" w:eastAsia="Times New Roman" w:hAnsi="Times New Roman"/>
                <w:sz w:val="24"/>
                <w:szCs w:val="24"/>
                <w:color w:val="auto"/>
                <w:vertAlign w:val="superscript"/>
              </w:rPr>
              <w:t>(10)</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125,000</w:t>
            </w:r>
          </w:p>
        </w:tc>
        <w:tc>
          <w:tcPr>
            <w:tcW w:w="40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129,371</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14,305</w:t>
            </w:r>
          </w:p>
        </w:tc>
      </w:tr>
      <w:tr>
        <w:trPr>
          <w:trHeight w:val="177"/>
        </w:trPr>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26,107,936</w:t>
            </w:r>
          </w:p>
        </w:tc>
        <w:tc>
          <w:tcPr>
            <w:tcW w:w="340" w:type="dxa"/>
            <w:vAlign w:val="bottom"/>
          </w:tcPr>
          <w:p>
            <w:pPr>
              <w:spacing w:after="0"/>
              <w:rPr>
                <w:sz w:val="15"/>
                <w:szCs w:val="15"/>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(4,898,712</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net share price is the net share price realized after deducting all commissions and fees on the sale(s), if applicable.</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Realized gain/(loss) does not include adjustments to amounts held in escrow receivable.</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February 23, 2024, we had sold our remaining Nextdoor Holdings, Inc. public common shares.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we held 1,796,037 remaining PSQ Holdings, Inc. (d/b/a PublicSquare) public warrants.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28, 2024, we redeemed the entirety of our Membership Interest in Architect Capital PayJoy SPV, LLC.</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28, 2024 and December 23, 2024, we received return of capital distributions from our investment in True Global Ventures 4 Plus Pte Ltd.</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 2024, we had sold our remaining PSQ Holdings, Inc. (d/b/a PublicSquare) public common shares.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29, 2024, we sold our remaining position in OneValley, Inc. (f/k/a NestGSV, Inc.).</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20, 2024, SPBRX, INC. (f/k/a GSV Sustainability Partners, Inc.) dissolved its business and made a final distribution.</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we held 1,020,875 remaining Forge Global, Inc. public common shares.</w:t>
      </w:r>
    </w:p>
    <w:p>
      <w:pPr>
        <w:spacing w:after="0" w:line="162" w:lineRule="exact"/>
        <w:rPr>
          <w:rFonts w:ascii="Times New Roman" w:cs="Times New Roman" w:eastAsia="Times New Roman" w:hAnsi="Times New Roman"/>
          <w:sz w:val="15"/>
          <w:szCs w:val="15"/>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2024, we wrote-off our investments in Churchill Sponsor VII LLC and YouBet Technology, Inc. (d/b/a FanPower) following their dissolution.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2023</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2023, of all of our portfolio investments, excluding short-term U.S. Treasury bills, was $184,081,249.</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year ended December 31, 2023, we funded investments in an aggregate amount of $25,766,162 (not including capitalized transaction costs or investments in short-term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Treasury bills) as shown in the following table: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Transaction Date</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8"/>
              </w:rPr>
              <w:t>Gross Payments</w:t>
            </w:r>
          </w:p>
        </w:tc>
        <w:tc>
          <w:tcPr>
            <w:tcW w:w="100" w:type="dxa"/>
            <w:vAlign w:val="bottom"/>
            <w:tcBorders>
              <w:bottom w:val="single" w:sz="8" w:color="CCEEFF"/>
            </w:tcBorders>
            <w:gridSpan w:val="2"/>
          </w:tcPr>
          <w:p>
            <w:pPr>
              <w:spacing w:after="0"/>
              <w:rPr>
                <w:sz w:val="16"/>
                <w:szCs w:val="16"/>
                <w:color w:val="auto"/>
              </w:rPr>
            </w:pPr>
          </w:p>
        </w:tc>
      </w:tr>
      <w:tr>
        <w:trPr>
          <w:trHeight w:val="198"/>
        </w:trPr>
        <w:tc>
          <w:tcPr>
            <w:tcW w:w="34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Orchard Technologies, Inc.</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Preferred shares, Series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366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4"/>
                <w:szCs w:val="24"/>
                <w:color w:val="auto"/>
                <w:vertAlign w:val="superscript"/>
              </w:rPr>
              <w:t>(2)</w:t>
            </w: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Limited Partner Fund Investment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3/31/2023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PayJoy, Inc.</w:t>
            </w:r>
          </w:p>
        </w:tc>
        <w:tc>
          <w:tcPr>
            <w:tcW w:w="36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Simple Agreement for Future Equity (SAFE)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5/25/2023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500,000</w:t>
            </w:r>
          </w:p>
        </w:tc>
        <w:tc>
          <w:tcPr>
            <w:tcW w:w="80" w:type="dxa"/>
            <w:vAlign w:val="bottom"/>
            <w:shd w:val="clear" w:color="auto" w:fill="CCEEFF"/>
          </w:tcPr>
          <w:p>
            <w:pPr>
              <w:spacing w:after="0"/>
              <w:rPr>
                <w:sz w:val="15"/>
                <w:szCs w:val="15"/>
                <w:color w:val="auto"/>
              </w:rPr>
            </w:pPr>
          </w:p>
        </w:tc>
      </w:tr>
      <w:tr>
        <w:trPr>
          <w:trHeight w:val="175"/>
        </w:trPr>
        <w:tc>
          <w:tcPr>
            <w:tcW w:w="3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Common shares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6/30/2023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36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Common shares</w:t>
            </w:r>
          </w:p>
        </w:tc>
        <w:tc>
          <w:tcPr>
            <w:tcW w:w="14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2"/>
              </w:rPr>
              <w:t>Various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8,511,174</w:t>
            </w:r>
          </w:p>
        </w:tc>
        <w:tc>
          <w:tcPr>
            <w:tcW w:w="80" w:type="dxa"/>
            <w:vAlign w:val="bottom"/>
            <w:shd w:val="clear" w:color="auto" w:fill="CCEEFF"/>
          </w:tcPr>
          <w:p>
            <w:pPr>
              <w:spacing w:after="0"/>
              <w:rPr>
                <w:sz w:val="15"/>
                <w:szCs w:val="15"/>
                <w:color w:val="auto"/>
              </w:rPr>
            </w:pPr>
          </w:p>
        </w:tc>
      </w:tr>
      <w:tr>
        <w:trPr>
          <w:trHeight w:val="208"/>
        </w:trPr>
        <w:tc>
          <w:tcPr>
            <w:tcW w:w="366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Shogun Enterprises, Inc. (d/b/a Hearth)</w:t>
            </w:r>
            <w:r>
              <w:rPr>
                <w:rFonts w:ascii="Times New Roman" w:cs="Times New Roman" w:eastAsia="Times New Roman" w:hAnsi="Times New Roman"/>
                <w:sz w:val="24"/>
                <w:szCs w:val="24"/>
                <w:color w:val="auto"/>
                <w:vertAlign w:val="superscript"/>
              </w:rPr>
              <w:t>(3)</w:t>
            </w: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Preferred shares, Series B-4</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499,998</w:t>
            </w:r>
          </w:p>
        </w:tc>
        <w:tc>
          <w:tcPr>
            <w:tcW w:w="80" w:type="dxa"/>
            <w:vAlign w:val="bottom"/>
          </w:tcPr>
          <w:p>
            <w:pPr>
              <w:spacing w:after="0"/>
              <w:rPr>
                <w:sz w:val="18"/>
                <w:szCs w:val="18"/>
                <w:color w:val="auto"/>
              </w:rPr>
            </w:pPr>
          </w:p>
        </w:tc>
      </w:tr>
      <w:tr>
        <w:trPr>
          <w:trHeight w:val="17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Stake Trade, Inc. (d/b/a Prophet Exchange)</w:t>
            </w:r>
          </w:p>
        </w:tc>
        <w:tc>
          <w:tcPr>
            <w:tcW w:w="36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Simple Agreement for Future Equity (SAFE)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7/26/2023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5"/>
        </w:trPr>
        <w:tc>
          <w:tcPr>
            <w:tcW w:w="3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Xgroup Holdings Limited (d/b/a Xpoint)</w:t>
            </w:r>
          </w:p>
        </w:tc>
        <w:tc>
          <w:tcPr>
            <w:tcW w:w="36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Convertible Note 6%, Due 8/17/2024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10/26/2023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325,000</w:t>
            </w:r>
          </w:p>
        </w:tc>
        <w:tc>
          <w:tcPr>
            <w:tcW w:w="80" w:type="dxa"/>
            <w:vAlign w:val="bottom"/>
          </w:tcPr>
          <w:p>
            <w:pPr>
              <w:spacing w:after="0"/>
              <w:rPr>
                <w:sz w:val="15"/>
                <w:szCs w:val="15"/>
                <w:color w:val="auto"/>
              </w:rPr>
            </w:pPr>
          </w:p>
        </w:tc>
      </w:tr>
      <w:tr>
        <w:trPr>
          <w:trHeight w:val="18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Colombier Sponsor II LLC</w:t>
            </w:r>
          </w:p>
        </w:tc>
        <w:tc>
          <w:tcPr>
            <w:tcW w:w="36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Class B Units and Class W Units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11/20/2023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7"/>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25,766,162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jc w:val="both"/>
        <w:ind w:left="260" w:hanging="253"/>
        <w:spacing w:after="0" w:line="250" w:lineRule="auto"/>
        <w:tabs>
          <w:tab w:leader="none" w:pos="2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13, 2023, we invested $2.0 million in Orchard Technologies, Inc.’s Series 1 Senior Preferred financing round. As part of the transaction, we exchanged a portion of our existing Series D Preferred shares for Series 1 Senior Preferred shares, Series 2 Senior Preferred shares, and Common shares. Additionally, our previous investment in the Simple Agreement for Future Equity of Orchard Technologies, Inc. was converted into additional Series 1 Senior Preferred shares.</w:t>
      </w:r>
    </w:p>
    <w:p>
      <w:pPr>
        <w:ind w:left="260" w:hanging="253"/>
        <w:spacing w:after="0" w:line="243" w:lineRule="auto"/>
        <w:tabs>
          <w:tab w:leader="none" w:pos="2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31, 2023, the previously unfunded capital commitment of $1.3 million was deemed fully contributed in lieu of cash distributions. On March 31, 2023, the full $2.0 million capital commitment to True Global Ventures 4 Plus Fund LP had been called and funded.</w:t>
      </w:r>
    </w:p>
    <w:p>
      <w:pPr>
        <w:ind w:left="260" w:hanging="253"/>
        <w:spacing w:after="0" w:line="246" w:lineRule="auto"/>
        <w:tabs>
          <w:tab w:leader="none" w:pos="2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12, 2023, we invested $0.5 million in Shogun Enterprises, Inc. (d/b/a Hearth)’s Series B-4 Preferred financing round. As part of the transaction, our previous investment in the Convertible Note of Shogun Enterprises, Inc. (d/b/a Hearth) was converted into Series B-3 Preferred shares. Additionally, we received Common Warrants as part of the transaction.</w:t>
      </w:r>
    </w:p>
    <w:p>
      <w:pPr>
        <w:spacing w:after="0" w:line="155" w:lineRule="exact"/>
        <w:rPr>
          <w:rFonts w:ascii="Times New Roman" w:cs="Times New Roman" w:eastAsia="Times New Roman" w:hAnsi="Times New Roman"/>
          <w:sz w:val="15"/>
          <w:szCs w:val="15"/>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2023, we capitalized fees of $49,269.</w:t>
      </w:r>
    </w:p>
    <w:p>
      <w:pPr>
        <w:spacing w:after="0" w:line="177"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2023, we exited or received proceeds from investments in the amount of $17,338,100, net of transaction costs, and realized a net loss on investments of $11,947,504 (including adjustments to amounts held in escrow receivable) as shown in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Average Net Share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w w:val="97"/>
              </w:rPr>
              <w:t>Realized Gain/(Loss)</w:t>
            </w:r>
          </w:p>
        </w:tc>
      </w:tr>
      <w:tr>
        <w:trPr>
          <w:trHeight w:val="208"/>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Transaction Date</w:t>
            </w:r>
          </w:p>
        </w:tc>
        <w:tc>
          <w:tcPr>
            <w:tcW w:w="2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
              <w:spacing w:after="0" w:line="207" w:lineRule="exact"/>
              <w:rPr>
                <w:sz w:val="20"/>
                <w:szCs w:val="20"/>
                <w:color w:val="auto"/>
              </w:rPr>
            </w:pPr>
            <w:r>
              <w:rPr>
                <w:rFonts w:ascii="Times New Roman" w:cs="Times New Roman" w:eastAsia="Times New Roman" w:hAnsi="Times New Roman"/>
                <w:sz w:val="15"/>
                <w:szCs w:val="15"/>
                <w:b w:val="1"/>
                <w:bCs w:val="1"/>
                <w:color w:val="auto"/>
                <w:w w:val="88"/>
              </w:rPr>
              <w:t>Price</w:t>
            </w:r>
            <w:r>
              <w:rPr>
                <w:rFonts w:ascii="Times New Roman" w:cs="Times New Roman" w:eastAsia="Times New Roman" w:hAnsi="Times New Roman"/>
                <w:sz w:val="24"/>
                <w:szCs w:val="24"/>
                <w:b w:val="1"/>
                <w:bCs w:val="1"/>
                <w:color w:val="auto"/>
                <w:w w:val="88"/>
                <w:vertAlign w:val="superscript"/>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Borders>
              <w:bottom w:val="single" w:sz="8" w:color="CCEEFF"/>
            </w:tcBorders>
          </w:tcPr>
          <w:p>
            <w:pPr>
              <w:spacing w:after="0"/>
              <w:rPr>
                <w:sz w:val="18"/>
                <w:szCs w:val="18"/>
                <w:color w:val="auto"/>
              </w:rPr>
            </w:pPr>
          </w:p>
        </w:tc>
      </w:tr>
      <w:tr>
        <w:trPr>
          <w:trHeight w:val="198"/>
        </w:trPr>
        <w:tc>
          <w:tcPr>
            <w:tcW w:w="29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Kahoot! ASA</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38,305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1.97</w:t>
            </w:r>
          </w:p>
        </w:tc>
        <w:tc>
          <w:tcPr>
            <w:tcW w:w="3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75,601</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(100,466)</w:t>
            </w:r>
          </w:p>
        </w:tc>
      </w:tr>
      <w:tr>
        <w:trPr>
          <w:trHeight w:val="162"/>
        </w:trPr>
        <w:tc>
          <w:tcPr>
            <w:tcW w:w="31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NewLake Capital Partners, Inc. (f/k/a</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18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GreenAcreage Real Estate Corp.)</w:t>
            </w:r>
            <w:r>
              <w:rPr>
                <w:rFonts w:ascii="Times New Roman" w:cs="Times New Roman" w:eastAsia="Times New Roman" w:hAnsi="Times New Roman"/>
                <w:sz w:val="24"/>
                <w:szCs w:val="24"/>
                <w:color w:val="auto"/>
                <w:vertAlign w:val="superscript"/>
              </w:rPr>
              <w:t>(4)</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229,758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3,776,638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(903,070)</w:t>
            </w:r>
          </w:p>
        </w:tc>
      </w:tr>
      <w:tr>
        <w:trPr>
          <w:trHeight w:val="208"/>
        </w:trPr>
        <w:tc>
          <w:tcPr>
            <w:tcW w:w="3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4"/>
                <w:szCs w:val="24"/>
                <w:color w:val="auto"/>
                <w:vertAlign w:val="superscript"/>
              </w:rPr>
              <w:t>(5)</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1,689,996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5,011,707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(4,364,489)</w:t>
            </w:r>
          </w:p>
        </w:tc>
      </w:tr>
      <w:tr>
        <w:trPr>
          <w:trHeight w:val="208"/>
        </w:trPr>
        <w:tc>
          <w:tcPr>
            <w:tcW w:w="318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Rent the Runway, Inc.</w:t>
            </w:r>
            <w:r>
              <w:rPr>
                <w:rFonts w:ascii="Times New Roman" w:cs="Times New Roman" w:eastAsia="Times New Roman" w:hAnsi="Times New Roman"/>
                <w:sz w:val="24"/>
                <w:szCs w:val="24"/>
                <w:color w:val="auto"/>
                <w:vertAlign w:val="superscript"/>
              </w:rPr>
              <w:t>(6)</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1/4/2023</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79,191</w:t>
            </w:r>
          </w:p>
        </w:tc>
        <w:tc>
          <w:tcPr>
            <w:tcW w:w="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241,456</w:t>
            </w:r>
          </w:p>
        </w:tc>
        <w:tc>
          <w:tcPr>
            <w:tcW w:w="340" w:type="dxa"/>
            <w:vAlign w:val="bottom"/>
          </w:tcPr>
          <w:p>
            <w:pPr>
              <w:spacing w:after="0"/>
              <w:rPr>
                <w:sz w:val="18"/>
                <w:szCs w:val="18"/>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(961,837)</w:t>
            </w:r>
          </w:p>
        </w:tc>
      </w:tr>
      <w:tr>
        <w:trPr>
          <w:trHeight w:val="162"/>
        </w:trPr>
        <w:tc>
          <w:tcPr>
            <w:tcW w:w="31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Residential Homes for Rent, LLC (d/b/a Second</w:t>
            </w: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20"/>
        </w:trPr>
        <w:tc>
          <w:tcPr>
            <w:tcW w:w="3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Avenue)</w:t>
            </w:r>
            <w:r>
              <w:rPr>
                <w:rFonts w:ascii="Times New Roman" w:cs="Times New Roman" w:eastAsia="Times New Roman" w:hAnsi="Times New Roman"/>
                <w:sz w:val="24"/>
                <w:szCs w:val="24"/>
                <w:color w:val="auto"/>
                <w:vertAlign w:val="superscript"/>
              </w:rPr>
              <w:t>(7)</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N/A</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318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4"/>
                <w:szCs w:val="24"/>
                <w:color w:val="auto"/>
                <w:vertAlign w:val="superscript"/>
              </w:rPr>
              <w:t>(8)</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N/A</w:t>
            </w:r>
          </w:p>
        </w:tc>
        <w:tc>
          <w:tcPr>
            <w:tcW w:w="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1,699,222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1,330,000</w:t>
            </w:r>
          </w:p>
        </w:tc>
      </w:tr>
      <w:tr>
        <w:trPr>
          <w:trHeight w:val="208"/>
        </w:trPr>
        <w:tc>
          <w:tcPr>
            <w:tcW w:w="3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5/4/2023</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3,492,465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(10,945,024)</w:t>
            </w:r>
          </w:p>
        </w:tc>
      </w:tr>
      <w:tr>
        <w:trPr>
          <w:trHeight w:val="162"/>
        </w:trPr>
        <w:tc>
          <w:tcPr>
            <w:tcW w:w="31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 xml:space="preserve">PSQ Holdings, Inc. (d/b/a PublicSquare) </w:t>
            </w:r>
            <w:r>
              <w:rPr>
                <w:rFonts w:ascii="Times New Roman" w:cs="Times New Roman" w:eastAsia="Times New Roman" w:hAnsi="Times New Roman"/>
                <w:sz w:val="15"/>
                <w:szCs w:val="15"/>
                <w:i w:val="1"/>
                <w:iCs w:val="1"/>
                <w:color w:val="auto"/>
              </w:rPr>
              <w:t>-</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18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i w:val="1"/>
                <w:iCs w:val="1"/>
                <w:color w:val="auto"/>
              </w:rPr>
              <w:t xml:space="preserve">Warrants </w:t>
            </w:r>
            <w:r>
              <w:rPr>
                <w:rFonts w:ascii="Times New Roman" w:cs="Times New Roman" w:eastAsia="Times New Roman" w:hAnsi="Times New Roman"/>
                <w:sz w:val="24"/>
                <w:szCs w:val="24"/>
                <w:color w:val="auto"/>
                <w:vertAlign w:val="superscript"/>
              </w:rPr>
              <w:t>(10)</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303,963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318,369</w:t>
            </w:r>
          </w:p>
        </w:tc>
        <w:tc>
          <w:tcPr>
            <w:tcW w:w="340" w:type="dxa"/>
            <w:vAlign w:val="bottom"/>
          </w:tcPr>
          <w:p>
            <w:pPr>
              <w:spacing w:after="0"/>
              <w:rPr>
                <w:sz w:val="19"/>
                <w:szCs w:val="19"/>
                <w:color w:val="auto"/>
              </w:rPr>
            </w:pPr>
          </w:p>
        </w:tc>
        <w:tc>
          <w:tcPr>
            <w:tcW w:w="11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187,873</w:t>
            </w:r>
          </w:p>
        </w:tc>
      </w:tr>
      <w:tr>
        <w:trPr>
          <w:trHeight w:val="208"/>
        </w:trPr>
        <w:tc>
          <w:tcPr>
            <w:tcW w:w="3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Forge Global, Inc.</w:t>
            </w:r>
            <w:r>
              <w:rPr>
                <w:rFonts w:ascii="Times New Roman" w:cs="Times New Roman" w:eastAsia="Times New Roman" w:hAnsi="Times New Roman"/>
                <w:sz w:val="24"/>
                <w:szCs w:val="24"/>
                <w:color w:val="auto"/>
                <w:vertAlign w:val="superscript"/>
              </w:rPr>
              <w:t>(11)</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2"/>
              </w:rPr>
              <w:t>Various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1,465,994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5,215,107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3,865,611</w:t>
            </w:r>
          </w:p>
        </w:tc>
      </w:tr>
      <w:tr>
        <w:trPr>
          <w:trHeight w:val="186"/>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Churchill Sponsor VI LLC</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12/4/2023</w:t>
            </w:r>
          </w:p>
        </w:tc>
        <w:tc>
          <w:tcPr>
            <w:tcW w:w="240" w:type="dxa"/>
            <w:vAlign w:val="bottom"/>
          </w:tcPr>
          <w:p>
            <w:pPr>
              <w:spacing w:after="0"/>
              <w:rPr>
                <w:sz w:val="16"/>
                <w:szCs w:val="16"/>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N/A</w:t>
            </w: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(200,000)</w:t>
            </w:r>
          </w:p>
        </w:tc>
      </w:tr>
      <w:tr>
        <w:trPr>
          <w:trHeight w:val="177"/>
        </w:trPr>
        <w:tc>
          <w:tcPr>
            <w:tcW w:w="31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17,338,100</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(12,091,402</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60" w:lineRule="exact"/>
        <w:rPr>
          <w:sz w:val="20"/>
          <w:szCs w:val="20"/>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net share price is the net share price realized after deducting all commissions and fees on the sale(s), if applicable.</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Realized gain/(loss) does not include adjustments to amounts held in escrow receivable.</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8, 2023, we had sold our remaining Kahoot! ASA public common shares.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15, 2023, we had sold our remaining NewLake Capital Partners, Inc. public common shares.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we held 112,420 remaining Nextdoor Holdings, Inc. public common shares.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January 4, 2023, we had sold our remaining Rent the Runway, Inc. public common shares.</w:t>
      </w:r>
    </w:p>
    <w:p>
      <w:pPr>
        <w:spacing w:after="0" w:line="2" w:lineRule="exact"/>
        <w:rPr>
          <w:rFonts w:ascii="Times New Roman" w:cs="Times New Roman" w:eastAsia="Times New Roman" w:hAnsi="Times New Roman"/>
          <w:sz w:val="15"/>
          <w:szCs w:val="15"/>
          <w:color w:val="auto"/>
        </w:rPr>
      </w:pPr>
    </w:p>
    <w:p>
      <w:pPr>
        <w:jc w:val="both"/>
        <w:ind w:left="260" w:hanging="253"/>
        <w:spacing w:after="0" w:line="244" w:lineRule="auto"/>
        <w:tabs>
          <w:tab w:leader="none" w:pos="2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26, 2023, a final payment was received from Residential Homes For Rent, LLC (d/b/a Second Avenue) related to the 15% term loan due December 23, 2023. During the year ended December 31, 2023, approximately $1.1 million was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260" w:hanging="253"/>
        <w:spacing w:after="0"/>
        <w:tabs>
          <w:tab w:leader="none" w:pos="2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31, 2023, the previously unfunded capital commitment of $1.3 million to True Global Ventures 4 Plus Pte Ltd was deemed fully contributed in lieu of cash distributions.</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4, 2023, we abandoned our investment in Ozy Media, Inc.</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we held 2,396,037 remaining PSQ Holdings, Inc. (d/b/a PublicSquare) warrants.</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we held 1,145,875 remaining Forge Global, Inc. public common shares.</w:t>
      </w:r>
    </w:p>
    <w:p>
      <w:pPr>
        <w:spacing w:after="0" w:line="162" w:lineRule="exact"/>
        <w:rPr>
          <w:rFonts w:ascii="Times New Roman" w:cs="Times New Roman" w:eastAsia="Times New Roman" w:hAnsi="Times New Roman"/>
          <w:sz w:val="15"/>
          <w:szCs w:val="15"/>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2023, our OneValley, Inc. (f/k/a NestGSV, Inc.) Series B preferred warrants with a strike price of $2.31 expired on 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2024, 2023, and 2022</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Operating results for the years ended December 31, 2024, 2023, and 2022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50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66"/>
        </w:trPr>
        <w:tc>
          <w:tcPr>
            <w:tcW w:w="50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7"/>
              <w:spacing w:after="0" w:line="16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4,673,427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7"/>
              <w:spacing w:after="0" w:line="16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6,596,780</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7"/>
              <w:spacing w:after="0" w:line="16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3,456,193</w:t>
            </w:r>
          </w:p>
        </w:tc>
        <w:tc>
          <w:tcPr>
            <w:tcW w:w="100" w:type="dxa"/>
            <w:vAlign w:val="bottom"/>
            <w:shd w:val="clear" w:color="auto" w:fill="CCEEFF"/>
          </w:tcPr>
          <w:p>
            <w:pPr>
              <w:spacing w:after="0"/>
              <w:rPr>
                <w:sz w:val="14"/>
                <w:szCs w:val="14"/>
                <w:color w:val="auto"/>
              </w:rPr>
            </w:pP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3,441,188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5,885,470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2,914,954</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income</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1,232,239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711,310</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541,239</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4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18,624,714</w:t>
            </w:r>
          </w:p>
        </w:tc>
        <w:tc>
          <w:tcPr>
            <w:tcW w:w="5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20,036,389</w:t>
            </w: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18,164,201</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9,159,673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9,482,867</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7,566,452</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682,260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645,548</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675,716</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2,277,765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2,602,894</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3,395,260</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4,843,570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4,858,049</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4,845,549</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88,692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624,049</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82,238</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1,572,754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1,822,982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1,598,986</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Investment Loss</w:t>
            </w:r>
          </w:p>
        </w:tc>
        <w:tc>
          <w:tcPr>
            <w:tcW w:w="14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(13,951,287)</w:t>
            </w:r>
          </w:p>
        </w:tc>
        <w:tc>
          <w:tcPr>
            <w:tcW w:w="5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(13,439,609)</w:t>
            </w: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(14,708,008)</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(5,020,314)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(11,947,504)</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(5,905,453)</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loss on partial repurchase of 6.00% Notes due December 30, 2026</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(183,668)</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(18,968,978)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30,453,935</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(111,563,592)</w:t>
            </w: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4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(38,124,247)</w:t>
            </w:r>
          </w:p>
        </w:tc>
        <w:tc>
          <w:tcPr>
            <w:tcW w:w="5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5,066,822</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(132,177,053)</w:t>
            </w:r>
          </w:p>
        </w:tc>
      </w:tr>
      <w:tr>
        <w:trPr>
          <w:trHeight w:val="350"/>
        </w:trPr>
        <w:tc>
          <w:tcPr>
            <w:tcW w:w="5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color w:val="auto"/>
              </w:rPr>
              <w:t>60</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2024 as compared to the year ended December 31, 2023</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Investment income decreased to $4,673,427 for the year ended December 31, 2024 from $6,596,780 for the year ended December 31, 2023. The net decrease between periods was primarily due to the cessation of interest income from short-term U.S. Treasury bills and from Architect Capital PayJoy SPV, LLC following the redemption of our investment in June 2024. Additional decreases in interest income were related to interest accruals from debt investments in Xgroup Holdings Limited (d/b/a Xpoint) and Shogun Enterprises, Inc. (d/b/a Hearth), and the repayment in full of the Residential Homes for Rent, LLC (d/b/a Second Avenue) term loan as of December 26, 2023, as well as a decrease in dividend income from SPBRX, INC. (f/k/a GSV Sustainability Partners, Inc.) and NewLake Capital Partners, Inc. (f/k/a GreenAcreage Real Estate Corp.) following our complete exit in December 2023. The decreases were offset by an increase in interest income received on cash, and an increase in dividend income from CW Opportunity 2 LP during the year ended December 31, 2024, relative to the year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2023 as compared to the year ended December 31, 2022</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Investment income increased to $6,596,780 for the year ended December 31, 2023 from $3,456,193 for the year ended December 31, 2022. The net increase between periods was due to increases in interest income from U.S. Treasury Bills and interest on idle cash, plus an increase in dividend income from SPBRX, INC. (f/k/a GSV Sustainability Partners, Inc.). The increase was offset by a decrease in interest income from Architect Capital PayJoy SPV, LLC, Residential Homes for Rent, LLC (d/b/a Second Avenue), and a decrease in dividend income from NewLake Capital Partners, Inc. (f/k/a GreenAcreage Real Estate Corp.) during the year ended December 31, 2023, relative to the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2024 as compared to the year ended December 31, 2023</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Total operating expenses decreased to $18,624,714 for the year ended December 31, 2024 from $20,036,389 for the year ended December 31, 2023. The decrease in operating expense was primarily due to decreases in income tax expense, professional fees, compensation expense and other expenses, offset by an increase in directors’ fees during the year ended December 31, 2024, relative to the year ended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2023 as compared to the year ended December 31, 2022</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Total operating expenses increased to $20,036,389 for the year ended December 31, 2023 from $18,164,201 for the year ended December 31, 2022. The increase in operating expense was primarily due to an increase in compensation expense associated with an increased headcount and stock-based compensation expense, and income tax expense related to blocker corporations, offset by a decrease in professional fees during the year ended December 31, 2023, relative to the year ended December 31, 2022.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Investment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2024 as compared to the year ended December 31, 2023</w:t>
      </w:r>
    </w:p>
    <w:p>
      <w:pPr>
        <w:spacing w:after="0" w:line="179"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For the year ended December 31, 2024, we recognized a net investment loss of $13,951,287, compared to a net investment loss of $13,439,609 for the year ended December 31, 2023. The change between periods resulted from a decrease in total investment income and operating expenses during the year ended December 31, 2024, relative to the year ended December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2023 as compared to the year ended December 31, 2022</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the year ended December 31, 2023, we recognized a net investment loss of $13,439,609, compared to a net investment loss of $14,708,008 for the year ended December 31, 2022. The change between periods resulted from an increase in total investment income, offset by an increase in operating expenses during the year ended December 31, 2023, relative to the year ended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Realized Loss on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2024 as compared to the year ended December 31, 2023</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the year ended December 31, 2024, we recognized a net realized loss on our investments of $5,020,314, compared to a net realized loss of $11,947,504 for the year ended December 31, 2023. The components of our net realized losses on portfolio investments for the year ended December 31, 2024 and 2023, excluding short-term U.S. Treasury bills and fluctuations in escrow receivables estimates, are reflected in the tables above, under “—Portfolio and Investment Activity.”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 the year ended December 31, 2023 as compared to the year ended December 31, 2022</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the year ended December 31, 2023, we recognized a net realized loss on our investments of $11,947,504, compared to a net realized loss of $5,905,453 for the year ended December 31, 2022. The components of our net realized losses on portfolio investments for the year ended December 31, 2023 and 2022, excluding short-term U.S. Treasury bills and fluctuations in escrow receivables estimates, are reflected in the tables above, under “—Portfolio and Investment Activity.”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Change in Unrealized Appreciation/(Depreciation) of Investments</w:t>
      </w:r>
    </w:p>
    <w:p>
      <w:pPr>
        <w:spacing w:after="0" w:line="181"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For the year ended December 31, 2024, we had a net change in unrealized appreciation/(depreciation) of $(18,968,978). For the year ended December 31, 2023, we had a net change in unrealized appreciation/(depreciation) of $30,453,935. For the year ended December 31, 2022, we had a net change in unrealized appreciation/(depreciation) of $(111,563,592). The following tables summarize, by portfolio company, the significant changes in unrealized appreciation/(depreciation) of our investment portfolio for the years ended December 31, 2024, 2023, and 2022.</w:t>
      </w:r>
    </w:p>
    <w:p>
      <w:pPr>
        <w:spacing w:after="0" w:line="132"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center"/>
              <w:ind w:right="118"/>
              <w:spacing w:after="0"/>
              <w:rPr>
                <w:sz w:val="20"/>
                <w:szCs w:val="20"/>
                <w:color w:val="auto"/>
              </w:rPr>
            </w:pPr>
            <w:r>
              <w:rPr>
                <w:rFonts w:ascii="Times New Roman" w:cs="Times New Roman" w:eastAsia="Times New Roman" w:hAnsi="Times New Roman"/>
                <w:sz w:val="15"/>
                <w:szCs w:val="15"/>
                <w:b w:val="1"/>
                <w:bCs w:val="1"/>
                <w:color w:val="auto"/>
                <w:w w:val="96"/>
              </w:rPr>
              <w:t>Net Change in Unrealized</w:t>
            </w:r>
          </w:p>
        </w:tc>
      </w:tr>
      <w:tr>
        <w:trPr>
          <w:trHeight w:val="175"/>
        </w:trPr>
        <w:tc>
          <w:tcPr>
            <w:tcW w:w="7560" w:type="dxa"/>
            <w:vAlign w:val="bottom"/>
          </w:tcPr>
          <w:p>
            <w:pPr>
              <w:spacing w:after="0"/>
              <w:rPr>
                <w:sz w:val="15"/>
                <w:szCs w:val="15"/>
                <w:color w:val="auto"/>
              </w:rPr>
            </w:pPr>
          </w:p>
        </w:tc>
        <w:tc>
          <w:tcPr>
            <w:tcW w:w="2020" w:type="dxa"/>
            <w:vAlign w:val="bottom"/>
            <w:gridSpan w:val="4"/>
          </w:tcPr>
          <w:p>
            <w:pPr>
              <w:jc w:val="center"/>
              <w:ind w:left="7"/>
              <w:spacing w:after="0"/>
              <w:rPr>
                <w:sz w:val="20"/>
                <w:szCs w:val="20"/>
                <w:color w:val="auto"/>
              </w:rPr>
            </w:pPr>
            <w:r>
              <w:rPr>
                <w:rFonts w:ascii="Times New Roman" w:cs="Times New Roman" w:eastAsia="Times New Roman" w:hAnsi="Times New Roman"/>
                <w:sz w:val="15"/>
                <w:szCs w:val="15"/>
                <w:b w:val="1"/>
                <w:bCs w:val="1"/>
                <w:color w:val="auto"/>
                <w:w w:val="96"/>
              </w:rPr>
              <w:t>Appreciation/(Depreciation)</w:t>
            </w:r>
          </w:p>
        </w:tc>
      </w:tr>
      <w:tr>
        <w:trPr>
          <w:trHeight w:val="175"/>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w w:val="95"/>
              </w:rPr>
              <w:t>For the Year Ended</w:t>
            </w:r>
          </w:p>
        </w:tc>
      </w:tr>
      <w:tr>
        <w:trPr>
          <w:trHeight w:val="191"/>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December 31, 2024</w:t>
            </w:r>
          </w:p>
        </w:tc>
        <w:tc>
          <w:tcPr>
            <w:tcW w:w="80" w:type="dxa"/>
            <w:vAlign w:val="bottom"/>
            <w:tcBorders>
              <w:bottom w:val="single" w:sz="8" w:color="CCEEFF"/>
            </w:tcBorders>
          </w:tcPr>
          <w:p>
            <w:pPr>
              <w:spacing w:after="0"/>
              <w:rPr>
                <w:sz w:val="16"/>
                <w:szCs w:val="16"/>
                <w:color w:val="auto"/>
              </w:rPr>
            </w:pPr>
          </w:p>
        </w:tc>
      </w:tr>
      <w:tr>
        <w:trPr>
          <w:trHeight w:val="198"/>
        </w:trPr>
        <w:tc>
          <w:tcPr>
            <w:tcW w:w="756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OneValley, Inc. (f/k/a NestGSV, Inc.)</w:t>
            </w:r>
            <w:r>
              <w:rPr>
                <w:rFonts w:ascii="Times New Roman" w:cs="Times New Roman" w:eastAsia="Times New Roman" w:hAnsi="Times New Roman"/>
                <w:sz w:val="23"/>
                <w:szCs w:val="23"/>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7,696,978</w:t>
            </w:r>
          </w:p>
        </w:tc>
        <w:tc>
          <w:tcPr>
            <w:tcW w:w="80" w:type="dxa"/>
            <w:vAlign w:val="bottom"/>
            <w:shd w:val="clear" w:color="auto" w:fill="CCEEFF"/>
          </w:tcPr>
          <w:p>
            <w:pPr>
              <w:spacing w:after="0"/>
              <w:rPr>
                <w:sz w:val="17"/>
                <w:szCs w:val="17"/>
                <w:color w:val="auto"/>
              </w:rPr>
            </w:pPr>
          </w:p>
        </w:tc>
      </w:tr>
      <w:tr>
        <w:trPr>
          <w:trHeight w:val="208"/>
        </w:trPr>
        <w:tc>
          <w:tcPr>
            <w:tcW w:w="756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SPBRX, INC. (f/k/a GSV Sustainability Partners, Inc.)</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6,779,031</w:t>
            </w:r>
          </w:p>
        </w:tc>
        <w:tc>
          <w:tcPr>
            <w:tcW w:w="80" w:type="dxa"/>
            <w:vAlign w:val="bottom"/>
          </w:tcPr>
          <w:p>
            <w:pPr>
              <w:spacing w:after="0"/>
              <w:rPr>
                <w:sz w:val="18"/>
                <w:szCs w:val="18"/>
                <w:color w:val="auto"/>
              </w:rPr>
            </w:pP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5,310,570</w:t>
            </w:r>
          </w:p>
        </w:tc>
        <w:tc>
          <w:tcPr>
            <w:tcW w:w="80" w:type="dxa"/>
            <w:vAlign w:val="bottom"/>
            <w:shd w:val="clear" w:color="auto" w:fill="CCEEFF"/>
          </w:tcPr>
          <w:p>
            <w:pPr>
              <w:spacing w:after="0"/>
              <w:rPr>
                <w:sz w:val="15"/>
                <w:szCs w:val="15"/>
                <w:color w:val="auto"/>
              </w:rPr>
            </w:pPr>
          </w:p>
        </w:tc>
      </w:tr>
      <w:tr>
        <w:trPr>
          <w:trHeight w:val="175"/>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4,790,749</w:t>
            </w:r>
          </w:p>
        </w:tc>
        <w:tc>
          <w:tcPr>
            <w:tcW w:w="80" w:type="dxa"/>
            <w:vAlign w:val="bottom"/>
          </w:tcPr>
          <w:p>
            <w:pPr>
              <w:spacing w:after="0"/>
              <w:rPr>
                <w:sz w:val="15"/>
                <w:szCs w:val="15"/>
                <w:color w:val="auto"/>
              </w:rPr>
            </w:pP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Blink Health, Inc.</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3,399,685</w:t>
            </w:r>
          </w:p>
        </w:tc>
        <w:tc>
          <w:tcPr>
            <w:tcW w:w="80" w:type="dxa"/>
            <w:vAlign w:val="bottom"/>
            <w:shd w:val="clear" w:color="auto" w:fill="CCEEFF"/>
          </w:tcPr>
          <w:p>
            <w:pPr>
              <w:spacing w:after="0"/>
              <w:rPr>
                <w:sz w:val="15"/>
                <w:szCs w:val="15"/>
                <w:color w:val="auto"/>
              </w:rPr>
            </w:pPr>
          </w:p>
        </w:tc>
      </w:tr>
      <w:tr>
        <w:trPr>
          <w:trHeight w:val="175"/>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Trax, Ltd.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2,730,323</w:t>
            </w:r>
          </w:p>
        </w:tc>
        <w:tc>
          <w:tcPr>
            <w:tcW w:w="80" w:type="dxa"/>
            <w:vAlign w:val="bottom"/>
          </w:tcPr>
          <w:p>
            <w:pPr>
              <w:spacing w:after="0"/>
              <w:rPr>
                <w:sz w:val="15"/>
                <w:szCs w:val="15"/>
                <w:color w:val="auto"/>
              </w:rPr>
            </w:pP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 Opportunity 2 LP</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2,598,712</w:t>
            </w:r>
          </w:p>
        </w:tc>
        <w:tc>
          <w:tcPr>
            <w:tcW w:w="80" w:type="dxa"/>
            <w:vAlign w:val="bottom"/>
            <w:shd w:val="clear" w:color="auto" w:fill="CCEEFF"/>
          </w:tcPr>
          <w:p>
            <w:pPr>
              <w:spacing w:after="0"/>
              <w:rPr>
                <w:sz w:val="15"/>
                <w:szCs w:val="15"/>
                <w:color w:val="auto"/>
              </w:rPr>
            </w:pPr>
          </w:p>
        </w:tc>
      </w:tr>
      <w:tr>
        <w:trPr>
          <w:trHeight w:val="175"/>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2,066,739</w:t>
            </w:r>
          </w:p>
        </w:tc>
        <w:tc>
          <w:tcPr>
            <w:tcW w:w="80" w:type="dxa"/>
            <w:vAlign w:val="bottom"/>
          </w:tcPr>
          <w:p>
            <w:pPr>
              <w:spacing w:after="0"/>
              <w:rPr>
                <w:sz w:val="15"/>
                <w:szCs w:val="15"/>
                <w:color w:val="auto"/>
              </w:rPr>
            </w:pP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Canva, Inc.</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1,941,180</w:t>
            </w:r>
          </w:p>
        </w:tc>
        <w:tc>
          <w:tcPr>
            <w:tcW w:w="80" w:type="dxa"/>
            <w:vAlign w:val="bottom"/>
            <w:shd w:val="clear" w:color="auto" w:fill="CCEEFF"/>
          </w:tcPr>
          <w:p>
            <w:pPr>
              <w:spacing w:after="0"/>
              <w:rPr>
                <w:sz w:val="15"/>
                <w:szCs w:val="15"/>
                <w:color w:val="auto"/>
              </w:rPr>
            </w:pPr>
          </w:p>
        </w:tc>
      </w:tr>
      <w:tr>
        <w:trPr>
          <w:trHeight w:val="175"/>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Residential Homes for Rent, LLC (d/b/a Second Avenue)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(1,020,825)</w:t>
            </w: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(1,708,738)</w:t>
            </w:r>
          </w:p>
        </w:tc>
      </w:tr>
      <w:tr>
        <w:trPr>
          <w:trHeight w:val="208"/>
        </w:trPr>
        <w:tc>
          <w:tcPr>
            <w:tcW w:w="756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Forge Global, Inc.</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(2,864,952)</w:t>
            </w: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StormWind, LLC</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(3,267,047)</w:t>
            </w:r>
          </w:p>
        </w:tc>
      </w:tr>
      <w:tr>
        <w:trPr>
          <w:trHeight w:val="208"/>
        </w:trPr>
        <w:tc>
          <w:tcPr>
            <w:tcW w:w="756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(7,256,132)</w:t>
            </w:r>
          </w:p>
        </w:tc>
      </w:tr>
      <w:tr>
        <w:trPr>
          <w:trHeight w:val="175"/>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(39,100,522)</w:t>
            </w:r>
          </w:p>
        </w:tc>
      </w:tr>
      <w:tr>
        <w:trPr>
          <w:trHeight w:val="218"/>
        </w:trPr>
        <w:tc>
          <w:tcPr>
            <w:tcW w:w="7560" w:type="dxa"/>
            <w:vAlign w:val="bottom"/>
          </w:tcPr>
          <w:p>
            <w:pPr>
              <w:spacing w:after="0" w:line="21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(1,064,729)</w:t>
            </w:r>
          </w:p>
        </w:tc>
      </w:tr>
      <w:tr>
        <w:trPr>
          <w:trHeight w:val="177"/>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(18,968,978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400" w:hanging="393"/>
        <w:spacing w:after="0" w:line="253" w:lineRule="auto"/>
        <w:tabs>
          <w:tab w:leader="none" w:pos="4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400" w:hanging="393"/>
        <w:spacing w:after="0"/>
        <w:tabs>
          <w:tab w:leader="none" w:pos="4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investments for which individual changes in unrealized appreciation/(depreciation) was less than $1.0 million for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48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2"/>
          </w:tcPr>
          <w:p>
            <w:pPr>
              <w:jc w:val="right"/>
              <w:ind w:right="960"/>
              <w:spacing w:after="0"/>
              <w:rPr>
                <w:sz w:val="20"/>
                <w:szCs w:val="20"/>
                <w:color w:val="auto"/>
              </w:rPr>
            </w:pPr>
            <w:r>
              <w:rPr>
                <w:rFonts w:ascii="Times New Roman" w:cs="Times New Roman" w:eastAsia="Times New Roman" w:hAnsi="Times New Roman"/>
                <w:sz w:val="15"/>
                <w:szCs w:val="15"/>
                <w:b w:val="1"/>
                <w:bCs w:val="1"/>
                <w:color w:val="auto"/>
              </w:rPr>
              <w:t>Net Change in</w:t>
            </w:r>
          </w:p>
        </w:tc>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2"/>
          </w:tcPr>
          <w:p>
            <w:pPr>
              <w:jc w:val="center"/>
              <w:ind w:right="358"/>
              <w:spacing w:after="0"/>
              <w:rPr>
                <w:sz w:val="20"/>
                <w:szCs w:val="20"/>
                <w:color w:val="auto"/>
              </w:rPr>
            </w:pPr>
            <w:r>
              <w:rPr>
                <w:rFonts w:ascii="Times New Roman" w:cs="Times New Roman" w:eastAsia="Times New Roman" w:hAnsi="Times New Roman"/>
                <w:sz w:val="15"/>
                <w:szCs w:val="15"/>
                <w:b w:val="1"/>
                <w:bCs w:val="1"/>
                <w:color w:val="auto"/>
                <w:w w:val="98"/>
              </w:rPr>
              <w:t>Net Change in</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2"/>
          </w:tcPr>
          <w:p>
            <w:pPr>
              <w:jc w:val="center"/>
              <w:ind w:right="338"/>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Appreciation/</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2"/>
          </w:tcPr>
          <w:p>
            <w:pPr>
              <w:jc w:val="center"/>
              <w:ind w:right="358"/>
              <w:spacing w:after="0"/>
              <w:rPr>
                <w:sz w:val="20"/>
                <w:szCs w:val="20"/>
                <w:color w:val="auto"/>
              </w:rPr>
            </w:pPr>
            <w:r>
              <w:rPr>
                <w:rFonts w:ascii="Times New Roman" w:cs="Times New Roman" w:eastAsia="Times New Roman" w:hAnsi="Times New Roman"/>
                <w:sz w:val="15"/>
                <w:szCs w:val="15"/>
                <w:b w:val="1"/>
                <w:bCs w:val="1"/>
                <w:color w:val="auto"/>
                <w:w w:val="97"/>
              </w:rPr>
              <w:t>Appreciation/</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7"/>
              </w:rPr>
              <w:t>(Depreciation) For the</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2"/>
          </w:tcPr>
          <w:p>
            <w:pPr>
              <w:jc w:val="center"/>
              <w:ind w:right="358"/>
              <w:spacing w:after="0"/>
              <w:rPr>
                <w:sz w:val="20"/>
                <w:szCs w:val="20"/>
                <w:color w:val="auto"/>
              </w:rPr>
            </w:pPr>
            <w:r>
              <w:rPr>
                <w:rFonts w:ascii="Times New Roman" w:cs="Times New Roman" w:eastAsia="Times New Roman" w:hAnsi="Times New Roman"/>
                <w:sz w:val="15"/>
                <w:szCs w:val="15"/>
                <w:b w:val="1"/>
                <w:bCs w:val="1"/>
                <w:color w:val="auto"/>
                <w:w w:val="96"/>
              </w:rPr>
              <w:t>(Depreciation) For the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3"/>
              </w:rPr>
              <w:t>Year Ended</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2"/>
          </w:tcPr>
          <w:p>
            <w:pPr>
              <w:jc w:val="center"/>
              <w:ind w:right="398"/>
              <w:spacing w:after="0"/>
              <w:rPr>
                <w:sz w:val="20"/>
                <w:szCs w:val="20"/>
                <w:color w:val="auto"/>
              </w:rPr>
            </w:pPr>
            <w:r>
              <w:rPr>
                <w:rFonts w:ascii="Times New Roman" w:cs="Times New Roman" w:eastAsia="Times New Roman" w:hAnsi="Times New Roman"/>
                <w:sz w:val="15"/>
                <w:szCs w:val="15"/>
                <w:b w:val="1"/>
                <w:bCs w:val="1"/>
                <w:color w:val="auto"/>
                <w:w w:val="95"/>
              </w:rPr>
              <w:t>Year Ended</w:t>
            </w:r>
          </w:p>
        </w:tc>
        <w:tc>
          <w:tcPr>
            <w:tcW w:w="0" w:type="dxa"/>
            <w:vAlign w:val="bottom"/>
          </w:tcPr>
          <w:p>
            <w:pPr>
              <w:spacing w:after="0"/>
              <w:rPr>
                <w:sz w:val="1"/>
                <w:szCs w:val="1"/>
                <w:color w:val="auto"/>
              </w:rPr>
            </w:pPr>
          </w:p>
        </w:tc>
      </w:tr>
      <w:tr>
        <w:trPr>
          <w:trHeight w:val="191"/>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jc w:val="center"/>
              <w:ind w:right="227"/>
              <w:spacing w:after="0"/>
              <w:rPr>
                <w:sz w:val="20"/>
                <w:szCs w:val="20"/>
                <w:color w:val="auto"/>
              </w:rPr>
            </w:pPr>
            <w:r>
              <w:rPr>
                <w:rFonts w:ascii="Times New Roman" w:cs="Times New Roman" w:eastAsia="Times New Roman" w:hAnsi="Times New Roman"/>
                <w:sz w:val="15"/>
                <w:szCs w:val="15"/>
                <w:b w:val="1"/>
                <w:bCs w:val="1"/>
                <w:color w:val="auto"/>
                <w:w w:val="97"/>
              </w:rPr>
              <w:t>December 31, 2023</w:t>
            </w:r>
          </w:p>
        </w:tc>
        <w:tc>
          <w:tcPr>
            <w:tcW w:w="200" w:type="dxa"/>
            <w:vAlign w:val="bottom"/>
          </w:tcPr>
          <w:p>
            <w:pPr>
              <w:spacing w:after="0"/>
              <w:rPr>
                <w:sz w:val="16"/>
                <w:szCs w:val="16"/>
                <w:color w:val="auto"/>
              </w:rPr>
            </w:pP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60" w:type="dxa"/>
            <w:vAlign w:val="bottom"/>
          </w:tcPr>
          <w:p>
            <w:pPr>
              <w:spacing w:after="0"/>
              <w:rPr>
                <w:sz w:val="16"/>
                <w:szCs w:val="16"/>
                <w:color w:val="auto"/>
              </w:rPr>
            </w:pPr>
          </w:p>
        </w:tc>
        <w:tc>
          <w:tcPr>
            <w:tcW w:w="2180" w:type="dxa"/>
            <w:vAlign w:val="bottom"/>
            <w:gridSpan w:val="2"/>
          </w:tcPr>
          <w:p>
            <w:pPr>
              <w:jc w:val="center"/>
              <w:ind w:right="358"/>
              <w:spacing w:after="0"/>
              <w:rPr>
                <w:sz w:val="20"/>
                <w:szCs w:val="20"/>
                <w:color w:val="auto"/>
              </w:rPr>
            </w:pPr>
            <w:r>
              <w:rPr>
                <w:rFonts w:ascii="Times New Roman" w:cs="Times New Roman" w:eastAsia="Times New Roman" w:hAnsi="Times New Roman"/>
                <w:sz w:val="15"/>
                <w:szCs w:val="15"/>
                <w:b w:val="1"/>
                <w:bCs w:val="1"/>
                <w:color w:val="auto"/>
                <w:w w:val="97"/>
              </w:rPr>
              <w:t>December 31, 2022</w:t>
            </w: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4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10,945,024</w:t>
            </w:r>
          </w:p>
        </w:tc>
        <w:tc>
          <w:tcPr>
            <w:tcW w:w="140" w:type="dxa"/>
            <w:vAlign w:val="bottom"/>
            <w:vMerge w:val="continue"/>
            <w:shd w:val="clear" w:color="auto" w:fill="CCEEFF"/>
          </w:tcPr>
          <w:p>
            <w:pPr>
              <w:spacing w:after="0"/>
              <w:rPr>
                <w:sz w:val="17"/>
                <w:szCs w:val="17"/>
                <w:color w:val="auto"/>
              </w:rPr>
            </w:pPr>
          </w:p>
        </w:tc>
        <w:tc>
          <w:tcPr>
            <w:tcW w:w="2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True Global Ventures 4 Plus Pte Ltd</w:t>
            </w:r>
            <w:r>
              <w:rPr>
                <w:rFonts w:ascii="Times New Roman" w:cs="Times New Roman" w:eastAsia="Times New Roman" w:hAnsi="Times New Roman"/>
                <w:sz w:val="23"/>
                <w:szCs w:val="23"/>
                <w:color w:val="auto"/>
                <w:vertAlign w:val="superscript"/>
              </w:rPr>
              <w:t>(1)</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5"/>
                <w:szCs w:val="5"/>
                <w:color w:val="auto"/>
                <w:w w:val="7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3,106,863</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7,925,790</w:t>
            </w:r>
          </w:p>
        </w:tc>
        <w:tc>
          <w:tcPr>
            <w:tcW w:w="320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5"/>
                <w:szCs w:val="15"/>
                <w:color w:val="auto"/>
              </w:rPr>
              <w:t>Rent the Runway</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1,773,329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5,875,694</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StormWind, LLC</w:t>
            </w: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(1,879,887)</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3"/>
          </w:tcPr>
          <w:p>
            <w:pPr>
              <w:ind w:left="140"/>
              <w:spacing w:after="0" w:line="162" w:lineRule="exact"/>
              <w:rPr>
                <w:sz w:val="20"/>
                <w:szCs w:val="20"/>
                <w:color w:val="auto"/>
              </w:rPr>
            </w:pPr>
            <w:r>
              <w:rPr>
                <w:rFonts w:ascii="Times New Roman" w:cs="Times New Roman" w:eastAsia="Times New Roman" w:hAnsi="Times New Roman"/>
                <w:sz w:val="15"/>
                <w:szCs w:val="15"/>
                <w:color w:val="auto"/>
              </w:rPr>
              <w:t>NewLake Capital Partners, Inc. (f/k/a</w:t>
            </w: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5,441,177</w:t>
            </w:r>
          </w:p>
        </w:tc>
        <w:tc>
          <w:tcPr>
            <w:tcW w:w="3200" w:type="dxa"/>
            <w:vAlign w:val="bottom"/>
            <w:gridSpan w:val="3"/>
          </w:tcPr>
          <w:p>
            <w:pPr>
              <w:ind w:left="140"/>
              <w:spacing w:after="0" w:line="220" w:lineRule="exact"/>
              <w:rPr>
                <w:sz w:val="20"/>
                <w:szCs w:val="20"/>
                <w:color w:val="auto"/>
              </w:rPr>
            </w:pPr>
            <w:r>
              <w:rPr>
                <w:rFonts w:ascii="Times New Roman" w:cs="Times New Roman" w:eastAsia="Times New Roman" w:hAnsi="Times New Roman"/>
                <w:sz w:val="15"/>
                <w:szCs w:val="15"/>
                <w:color w:val="auto"/>
              </w:rPr>
              <w:t>GreenAcreage Real Estate Corp.)</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9"/>
                <w:szCs w:val="19"/>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(3,331,136)</w:t>
            </w:r>
          </w:p>
        </w:tc>
        <w:tc>
          <w:tcPr>
            <w:tcW w:w="0" w:type="dxa"/>
            <w:vAlign w:val="bottom"/>
          </w:tcPr>
          <w:p>
            <w:pPr>
              <w:spacing w:after="0"/>
              <w:rPr>
                <w:sz w:val="1"/>
                <w:szCs w:val="1"/>
                <w:color w:val="auto"/>
              </w:rPr>
            </w:pPr>
          </w:p>
        </w:tc>
      </w:tr>
      <w:tr>
        <w:trPr>
          <w:trHeight w:val="1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Neutron Holdings, Inc. (d/b/a/ Lime)</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3,991,353</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Blink Health, Inc.</w:t>
            </w:r>
          </w:p>
        </w:tc>
        <w:tc>
          <w:tcPr>
            <w:tcW w:w="26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(3,365,627)</w:t>
            </w: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Whoop,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3,528,846</w:t>
            </w: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Whoop, Inc.</w:t>
            </w:r>
          </w:p>
        </w:tc>
        <w:tc>
          <w:tcPr>
            <w:tcW w:w="260" w:type="dxa"/>
            <w:vAlign w:val="bottom"/>
          </w:tcPr>
          <w:p>
            <w:pPr>
              <w:spacing w:after="0"/>
              <w:rPr>
                <w:sz w:val="15"/>
                <w:szCs w:val="15"/>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(3,927,419)</w:t>
            </w:r>
          </w:p>
        </w:tc>
        <w:tc>
          <w:tcPr>
            <w:tcW w:w="0" w:type="dxa"/>
            <w:vAlign w:val="bottom"/>
          </w:tcPr>
          <w:p>
            <w:pPr>
              <w:spacing w:after="0"/>
              <w:rPr>
                <w:sz w:val="1"/>
                <w:szCs w:val="1"/>
                <w:color w:val="auto"/>
              </w:rPr>
            </w:pPr>
          </w:p>
        </w:tc>
      </w:tr>
      <w:tr>
        <w:trPr>
          <w:trHeight w:val="1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3,240,026</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Neutron Holdings, Inc. (d/b/a/ Lime)</w:t>
            </w:r>
          </w:p>
        </w:tc>
        <w:tc>
          <w:tcPr>
            <w:tcW w:w="26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(3,991,353)</w:t>
            </w: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StormWind, LLC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2,585,041</w:t>
            </w: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260" w:type="dxa"/>
            <w:vAlign w:val="bottom"/>
          </w:tcPr>
          <w:p>
            <w:pPr>
              <w:spacing w:after="0"/>
              <w:rPr>
                <w:sz w:val="15"/>
                <w:szCs w:val="15"/>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(4,225,397)</w:t>
            </w:r>
          </w:p>
        </w:tc>
        <w:tc>
          <w:tcPr>
            <w:tcW w:w="0" w:type="dxa"/>
            <w:vAlign w:val="bottom"/>
          </w:tcPr>
          <w:p>
            <w:pPr>
              <w:spacing w:after="0"/>
              <w:rPr>
                <w:sz w:val="1"/>
                <w:szCs w:val="1"/>
                <w:color w:val="auto"/>
              </w:rPr>
            </w:pPr>
          </w:p>
        </w:tc>
      </w:tr>
      <w:tr>
        <w:trPr>
          <w:trHeight w:val="160"/>
        </w:trPr>
        <w:tc>
          <w:tcPr>
            <w:tcW w:w="14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0" w:type="dxa"/>
            <w:vAlign w:val="bottom"/>
            <w:tcBorders>
              <w:right w:val="single" w:sz="8" w:color="CCEEFF"/>
            </w:tcBorders>
            <w:gridSpan w:val="3"/>
            <w:shd w:val="clear" w:color="auto" w:fill="CCEEFF"/>
          </w:tcPr>
          <w:p>
            <w:pPr>
              <w:ind w:left="140"/>
              <w:spacing w:after="0" w:line="160" w:lineRule="exact"/>
              <w:rPr>
                <w:sz w:val="20"/>
                <w:szCs w:val="20"/>
                <w:color w:val="auto"/>
              </w:rPr>
            </w:pPr>
            <w:r>
              <w:rPr>
                <w:rFonts w:ascii="Times New Roman" w:cs="Times New Roman" w:eastAsia="Times New Roman" w:hAnsi="Times New Roman"/>
                <w:sz w:val="15"/>
                <w:szCs w:val="15"/>
                <w:color w:val="auto"/>
              </w:rPr>
              <w:t>CTN Holdings, Inc. (d/b/a Catona Climate, f/k/a</w:t>
            </w:r>
          </w:p>
        </w:tc>
        <w:tc>
          <w:tcPr>
            <w:tcW w:w="2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1,952,742</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Aspiration Partners, Inc.)</w:t>
            </w:r>
          </w:p>
        </w:tc>
        <w:tc>
          <w:tcPr>
            <w:tcW w:w="2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(4,514,232)</w:t>
            </w:r>
          </w:p>
        </w:tc>
        <w:tc>
          <w:tcPr>
            <w:tcW w:w="0" w:type="dxa"/>
            <w:vAlign w:val="bottom"/>
          </w:tcPr>
          <w:p>
            <w:pPr>
              <w:spacing w:after="0"/>
              <w:rPr>
                <w:sz w:val="1"/>
                <w:szCs w:val="1"/>
                <w:color w:val="auto"/>
              </w:rPr>
            </w:pPr>
          </w:p>
        </w:tc>
      </w:tr>
      <w:tr>
        <w:trPr>
          <w:trHeight w:val="208"/>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Varo Money, Inc.</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1,029,807</w:t>
            </w:r>
          </w:p>
        </w:tc>
        <w:tc>
          <w:tcPr>
            <w:tcW w:w="320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15"/>
                <w:szCs w:val="15"/>
                <w:color w:val="auto"/>
              </w:rPr>
              <w:t>Rover Group, Inc.</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(5,259,385)</w:t>
            </w:r>
          </w:p>
        </w:tc>
        <w:tc>
          <w:tcPr>
            <w:tcW w:w="0" w:type="dxa"/>
            <w:vAlign w:val="bottom"/>
          </w:tcPr>
          <w:p>
            <w:pPr>
              <w:spacing w:after="0"/>
              <w:rPr>
                <w:sz w:val="1"/>
                <w:szCs w:val="1"/>
                <w:color w:val="auto"/>
              </w:rPr>
            </w:pPr>
          </w:p>
        </w:tc>
      </w:tr>
      <w:tr>
        <w:trPr>
          <w:trHeight w:val="1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(1,604,213)</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Varo Money, Inc.</w:t>
            </w:r>
          </w:p>
        </w:tc>
        <w:tc>
          <w:tcPr>
            <w:tcW w:w="26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(7,254,893)</w:t>
            </w: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Trax, Ltd.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(2,927,814)</w:t>
            </w: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Trax Ltd.</w:t>
            </w:r>
          </w:p>
        </w:tc>
        <w:tc>
          <w:tcPr>
            <w:tcW w:w="260" w:type="dxa"/>
            <w:vAlign w:val="bottom"/>
          </w:tcPr>
          <w:p>
            <w:pPr>
              <w:spacing w:after="0"/>
              <w:rPr>
                <w:sz w:val="15"/>
                <w:szCs w:val="15"/>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(7,442,485)</w:t>
            </w:r>
          </w:p>
        </w:tc>
        <w:tc>
          <w:tcPr>
            <w:tcW w:w="0" w:type="dxa"/>
            <w:vAlign w:val="bottom"/>
          </w:tcPr>
          <w:p>
            <w:pPr>
              <w:spacing w:after="0"/>
              <w:rPr>
                <w:sz w:val="1"/>
                <w:szCs w:val="1"/>
                <w:color w:val="auto"/>
              </w:rPr>
            </w:pPr>
          </w:p>
        </w:tc>
      </w:tr>
      <w:tr>
        <w:trPr>
          <w:trHeight w:val="160"/>
        </w:trPr>
        <w:tc>
          <w:tcPr>
            <w:tcW w:w="28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w w:val="97"/>
              </w:rPr>
              <w:t>CTN Holdings, Inc. (d/b/a Catona Climate, f/k/a</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Aspiration Partners, Inc.)</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(6,541,511)</w:t>
            </w: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Skillsoft Corp.</w:t>
            </w:r>
          </w:p>
        </w:tc>
        <w:tc>
          <w:tcPr>
            <w:tcW w:w="26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(7,707,467)</w:t>
            </w: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(7,649,609)</w:t>
            </w: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Nextdoor Holdings, Inc.</w:t>
            </w:r>
          </w:p>
        </w:tc>
        <w:tc>
          <w:tcPr>
            <w:tcW w:w="260" w:type="dxa"/>
            <w:vAlign w:val="bottom"/>
          </w:tcPr>
          <w:p>
            <w:pPr>
              <w:spacing w:after="0"/>
              <w:rPr>
                <w:sz w:val="15"/>
                <w:szCs w:val="15"/>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(8,726,545)</w:t>
            </w: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Forge Global, Inc.</w:t>
            </w:r>
          </w:p>
        </w:tc>
        <w:tc>
          <w:tcPr>
            <w:tcW w:w="26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(17,594,073)</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60" w:type="dxa"/>
            <w:vAlign w:val="bottom"/>
          </w:tcPr>
          <w:p>
            <w:pPr>
              <w:spacing w:after="0"/>
              <w:rPr>
                <w:sz w:val="15"/>
                <w:szCs w:val="15"/>
                <w:color w:val="auto"/>
              </w:rPr>
            </w:pPr>
          </w:p>
        </w:tc>
        <w:tc>
          <w:tcPr>
            <w:tcW w:w="21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(37,290,369)</w:t>
            </w:r>
          </w:p>
        </w:tc>
        <w:tc>
          <w:tcPr>
            <w:tcW w:w="0" w:type="dxa"/>
            <w:vAlign w:val="bottom"/>
          </w:tcPr>
          <w:p>
            <w:pPr>
              <w:spacing w:after="0"/>
              <w:rPr>
                <w:sz w:val="1"/>
                <w:szCs w:val="1"/>
                <w:color w:val="auto"/>
              </w:rPr>
            </w:pPr>
          </w:p>
        </w:tc>
      </w:tr>
      <w:tr>
        <w:trPr>
          <w:trHeight w:val="218"/>
        </w:trPr>
        <w:tc>
          <w:tcPr>
            <w:tcW w:w="284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4"/>
                <w:szCs w:val="24"/>
                <w:color w:val="auto"/>
                <w:vertAlign w:val="superscript"/>
              </w:rPr>
              <w:t>(2)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2,661,582</w:t>
            </w:r>
          </w:p>
        </w:tc>
        <w:tc>
          <w:tcPr>
            <w:tcW w:w="3200" w:type="dxa"/>
            <w:vAlign w:val="bottom"/>
            <w:tcBorders>
              <w:right w:val="single" w:sz="8" w:color="CCEEFF"/>
            </w:tcBorders>
            <w:gridSpan w:val="3"/>
            <w:shd w:val="clear" w:color="auto" w:fill="CCEEFF"/>
          </w:tcPr>
          <w:p>
            <w:pPr>
              <w:ind w:left="140"/>
              <w:spacing w:after="0" w:line="21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4"/>
                <w:szCs w:val="24"/>
                <w:color w:val="auto"/>
                <w:vertAlign w:val="superscript"/>
              </w:rPr>
              <w:t>(2)</w:t>
            </w: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66,484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Pr>
          <w:p>
            <w:pPr>
              <w:spacing w:after="0"/>
              <w:rPr>
                <w:sz w:val="15"/>
                <w:szCs w:val="15"/>
                <w:color w:val="auto"/>
              </w:rPr>
            </w:pPr>
          </w:p>
        </w:tc>
        <w:tc>
          <w:tcPr>
            <w:tcW w:w="30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30,453,935</w:t>
            </w:r>
          </w:p>
        </w:tc>
        <w:tc>
          <w:tcPr>
            <w:tcW w:w="200" w:type="dxa"/>
            <w:vAlign w:val="bottom"/>
          </w:tcPr>
          <w:p>
            <w:pPr>
              <w:spacing w:after="0"/>
              <w:rPr>
                <w:sz w:val="15"/>
                <w:szCs w:val="15"/>
                <w:color w:val="auto"/>
              </w:rPr>
            </w:pPr>
          </w:p>
        </w:tc>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(111,563,592</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400" w:hanging="393"/>
        <w:spacing w:after="0" w:line="253" w:lineRule="auto"/>
        <w:tabs>
          <w:tab w:leader="none" w:pos="4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400" w:hanging="393"/>
        <w:spacing w:after="0"/>
        <w:tabs>
          <w:tab w:leader="none" w:pos="4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investments for which individual changes in unrealized appreciation/(depreciation) was less than $1.0 million for the year ended December 31, 2023 and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6.00% Notes due 2026, of which $44.7 million remain outstanding, and on August 14, 2024 and October 9, 2024, we issued $25.0 million and $5.0 million, respectively, in aggregate principal amount of 6.50% Convertible Notes due 2029, all of which remain outstanding. For additional information, see below and “Note 10—Debt Capital Activities” to our Consolidated Financial Statements as of December 31,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Our primary uses of cash are to make investments, pay our operating expenses, and make distributions to our stockholders. For the year ended December 31, 2024, December 31, 2023 and December 31, 2022, our operating expenses, including interest payments on our debt obligations, were $18,624,714, $20,036,389 and $18,164,201,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Reserves and Liquid Securities</w:t>
            </w: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0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166"/>
        </w:trPr>
        <w:tc>
          <w:tcPr>
            <w:tcW w:w="588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Cash</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20,035,640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28,178,352</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40,117,598</w:t>
            </w:r>
          </w:p>
        </w:tc>
        <w:tc>
          <w:tcPr>
            <w:tcW w:w="100" w:type="dxa"/>
            <w:vAlign w:val="bottom"/>
            <w:tcBorders>
              <w:top w:val="single" w:sz="8" w:color="CCEEFF"/>
            </w:tcBorders>
            <w:gridSpan w:val="2"/>
            <w:shd w:val="clear" w:color="auto" w:fill="CCEEFF"/>
          </w:tcPr>
          <w:p>
            <w:pPr>
              <w:spacing w:after="0"/>
              <w:rPr>
                <w:sz w:val="14"/>
                <w:szCs w:val="14"/>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610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U.S. Treasury bills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63,810,855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85,056,817</w:t>
            </w:r>
          </w:p>
        </w:tc>
        <w:tc>
          <w:tcPr>
            <w:tcW w:w="80" w:type="dxa"/>
            <w:vAlign w:val="bottom"/>
            <w:shd w:val="clear" w:color="auto" w:fill="CCEEFF"/>
          </w:tcPr>
          <w:p>
            <w:pPr>
              <w:spacing w:after="0"/>
              <w:rPr>
                <w:sz w:val="18"/>
                <w:szCs w:val="18"/>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610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Unrestricted securities</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3,563,407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6,970,612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13,298,992</w:t>
            </w:r>
          </w:p>
        </w:tc>
        <w:tc>
          <w:tcPr>
            <w:tcW w:w="80" w:type="dxa"/>
            <w:vAlign w:val="bottom"/>
            <w:shd w:val="clear" w:color="auto" w:fill="CCEEFF"/>
          </w:tcPr>
          <w:p>
            <w:pPr>
              <w:spacing w:after="0"/>
              <w:rPr>
                <w:sz w:val="18"/>
                <w:szCs w:val="18"/>
                <w:color w:val="auto"/>
              </w:rPr>
            </w:pPr>
          </w:p>
        </w:tc>
      </w:tr>
      <w:tr>
        <w:trPr>
          <w:trHeight w:val="218"/>
        </w:trPr>
        <w:tc>
          <w:tcPr>
            <w:tcW w:w="6100" w:type="dxa"/>
            <w:vAlign w:val="bottom"/>
            <w:gridSpan w:val="2"/>
          </w:tcPr>
          <w:p>
            <w:pPr>
              <w:ind w:left="160"/>
              <w:spacing w:after="0" w:line="218" w:lineRule="exact"/>
              <w:rPr>
                <w:sz w:val="20"/>
                <w:szCs w:val="20"/>
                <w:color w:val="auto"/>
              </w:rPr>
            </w:pPr>
            <w:r>
              <w:rPr>
                <w:rFonts w:ascii="Times New Roman" w:cs="Times New Roman" w:eastAsia="Times New Roman" w:hAnsi="Times New Roman"/>
                <w:sz w:val="15"/>
                <w:szCs w:val="15"/>
                <w:color w:val="auto"/>
              </w:rPr>
              <w:t>Subject to other sales restrictions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14,027,713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24,493</w:t>
            </w:r>
          </w:p>
        </w:tc>
      </w:tr>
      <w:tr>
        <w:trPr>
          <w:trHeight w:val="166"/>
        </w:trPr>
        <w:tc>
          <w:tcPr>
            <w:tcW w:w="6100" w:type="dxa"/>
            <w:vAlign w:val="bottom"/>
            <w:tcBorders>
              <w:top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17,591,120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15,512,998</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13,323,485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7"/>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Cash Reserves and Liquid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37,626,760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107,502,205</w:t>
            </w:r>
          </w:p>
        </w:tc>
        <w:tc>
          <w:tcPr>
            <w:tcW w:w="3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138,497,900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49" w:lineRule="exact"/>
        <w:rPr>
          <w:sz w:val="20"/>
          <w:szCs w:val="20"/>
          <w:color w:val="auto"/>
        </w:rPr>
      </w:pPr>
    </w:p>
    <w:p>
      <w:pPr>
        <w:ind w:left="260" w:hanging="253"/>
        <w:spacing w:after="0"/>
        <w:tabs>
          <w:tab w:leader="none" w:pos="2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short-term U.S. Treasury bills.</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securities” represents common stock and warrants of our publicly traded portfolio companies that are not currently subject to any restrictions upon sale. We may incur losses.</w:t>
      </w:r>
    </w:p>
    <w:p>
      <w:pPr>
        <w:spacing w:after="0" w:line="13" w:lineRule="exact"/>
        <w:rPr>
          <w:rFonts w:ascii="Times New Roman" w:cs="Times New Roman" w:eastAsia="Times New Roman" w:hAnsi="Times New Roman"/>
          <w:sz w:val="14"/>
          <w:szCs w:val="14"/>
          <w:color w:val="auto"/>
        </w:rPr>
      </w:pPr>
    </w:p>
    <w:p>
      <w:pPr>
        <w:ind w:left="260" w:hanging="253"/>
        <w:spacing w:after="0" w:line="246" w:lineRule="auto"/>
        <w:tabs>
          <w:tab w:leader="none" w:pos="2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of publicly traded portfolio companies “subject to other sales restrictions” represents common stock of our publicly traded portfolio companies that are currently subject to certain lock-up restrictions.</w:t>
      </w:r>
    </w:p>
    <w:p>
      <w:pPr>
        <w:spacing w:after="0" w:line="156"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During the year ended December 31, 2024, cash decreased to $20,035,640 from $28,178,352 at the beginning of the year. The decrease in cash was primarily due to the purchase of new investments, payment of our operating expenses, repurchase of our common stock pursuant to a modified “Dutch Auction” tender offer (the “Modified Dutch Auction Tender Offer”), and payment of interest on the 6.00% Notes due 2026 and 6.50% Convertible Notes due 2029. The decrease was offset the sale or exit of investments including the maturity of our investments in short-term U.S. Treasury bills, and other investment income received. For additional information relating to the Modified Dutch Auction Tender Offer, see “Modified Dutch Auction Tender Offer” below and “Note 5 - Common Stock” to our Consolidated Financial Statements as of December 31, 2024.</w:t>
      </w:r>
    </w:p>
    <w:p>
      <w:pPr>
        <w:spacing w:after="0" w:line="15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summary of our significant contractual payment obligations as of December 31, 2024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 xml:space="preserve">Payments Due By Period </w:t>
            </w:r>
            <w:r>
              <w:rPr>
                <w:rFonts w:ascii="Times New Roman" w:cs="Times New Roman" w:eastAsia="Times New Roman" w:hAnsi="Times New Roman"/>
                <w:sz w:val="15"/>
                <w:szCs w:val="15"/>
                <w:b w:val="1"/>
                <w:bCs w:val="1"/>
                <w:i w:val="1"/>
                <w:iCs w:val="1"/>
                <w:color w:val="auto"/>
                <w:w w:val="97"/>
              </w:rPr>
              <w:t>(in millions)</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5"/>
                <w:szCs w:val="15"/>
                <w:b w:val="1"/>
                <w:bCs w:val="1"/>
                <w:color w:val="auto"/>
              </w:rPr>
              <w:t>Less than</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Times New Roman" w:cs="Times New Roman" w:eastAsia="Times New Roman" w:hAnsi="Times New Roman"/>
                <w:sz w:val="15"/>
                <w:szCs w:val="15"/>
                <w:b w:val="1"/>
                <w:bCs w:val="1"/>
                <w:color w:val="auto"/>
              </w:rPr>
              <w:t>More than</w:t>
            </w:r>
          </w:p>
        </w:tc>
        <w:tc>
          <w:tcPr>
            <w:tcW w:w="100" w:type="dxa"/>
            <w:vAlign w:val="bottom"/>
            <w:gridSpan w:val="2"/>
          </w:tcPr>
          <w:p>
            <w:pPr>
              <w:spacing w:after="0"/>
              <w:rPr>
                <w:sz w:val="12"/>
                <w:szCs w:val="12"/>
                <w:color w:val="auto"/>
              </w:rPr>
            </w:pPr>
          </w:p>
        </w:tc>
      </w:tr>
      <w:tr>
        <w:trPr>
          <w:trHeight w:val="191"/>
        </w:trPr>
        <w:tc>
          <w:tcPr>
            <w:tcW w:w="42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1–3 years</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95"/>
              </w:rPr>
              <w:t>3–5 years</w:t>
            </w: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00" w:type="dxa"/>
            <w:vAlign w:val="bottom"/>
            <w:tcBorders>
              <w:bottom w:val="single" w:sz="8" w:color="CCEEFF"/>
            </w:tcBorders>
            <w:gridSpan w:val="2"/>
          </w:tcPr>
          <w:p>
            <w:pPr>
              <w:spacing w:after="0"/>
              <w:rPr>
                <w:sz w:val="16"/>
                <w:szCs w:val="16"/>
                <w:color w:val="auto"/>
              </w:rPr>
            </w:pPr>
          </w:p>
        </w:tc>
      </w:tr>
      <w:tr>
        <w:trPr>
          <w:trHeight w:val="188"/>
        </w:trPr>
        <w:tc>
          <w:tcPr>
            <w:tcW w:w="42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3"/>
                <w:szCs w:val="13"/>
                <w:color w:val="auto"/>
              </w:rPr>
              <w:t>6.00% Notes due 2026</w:t>
            </w:r>
            <w:r>
              <w:rPr>
                <w:rFonts w:ascii="Times New Roman" w:cs="Times New Roman" w:eastAsia="Times New Roman" w:hAnsi="Times New Roman"/>
                <w:sz w:val="21"/>
                <w:szCs w:val="21"/>
                <w:color w:val="auto"/>
                <w:vertAlign w:val="superscript"/>
              </w:rPr>
              <w:t>(1)</w:t>
            </w:r>
          </w:p>
        </w:tc>
        <w:tc>
          <w:tcPr>
            <w:tcW w:w="80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44.7</w:t>
            </w:r>
          </w:p>
        </w:tc>
        <w:tc>
          <w:tcPr>
            <w:tcW w:w="80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44.7</w:t>
            </w:r>
          </w:p>
        </w:tc>
        <w:tc>
          <w:tcPr>
            <w:tcW w:w="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420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6.50% Convertible Notes due 2029</w:t>
            </w:r>
            <w:r>
              <w:rPr>
                <w:rFonts w:ascii="Times New Roman" w:cs="Times New Roman" w:eastAsia="Times New Roman" w:hAnsi="Times New Roman"/>
                <w:sz w:val="24"/>
                <w:szCs w:val="24"/>
                <w:color w:val="auto"/>
                <w:vertAlign w:val="superscript"/>
              </w:rPr>
              <w:t>(2)</w:t>
            </w:r>
          </w:p>
        </w:tc>
        <w:tc>
          <w:tcPr>
            <w:tcW w:w="800" w:type="dxa"/>
            <w:vAlign w:val="bottom"/>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30.0</w:t>
            </w:r>
          </w:p>
        </w:tc>
        <w:tc>
          <w:tcPr>
            <w:tcW w:w="800" w:type="dxa"/>
            <w:vAlign w:val="bottom"/>
          </w:tcPr>
          <w:p>
            <w:pPr>
              <w:jc w:val="right"/>
              <w:ind w:right="67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3"/>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w:t>
            </w: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0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83"/>
              </w:rPr>
              <w:t>75.2</w:t>
            </w:r>
          </w:p>
        </w:tc>
        <w:tc>
          <w:tcPr>
            <w:tcW w:w="360" w:type="dxa"/>
            <w:vAlign w:val="bottom"/>
          </w:tcPr>
          <w:p>
            <w:pPr>
              <w:spacing w:after="0"/>
              <w:rPr>
                <w:sz w:val="15"/>
                <w:szCs w:val="15"/>
                <w:color w:val="auto"/>
              </w:rPr>
            </w:pPr>
          </w:p>
        </w:tc>
        <w:tc>
          <w:tcPr>
            <w:tcW w:w="80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340" w:type="dxa"/>
            <w:vAlign w:val="bottom"/>
          </w:tcPr>
          <w:p>
            <w:pPr>
              <w:spacing w:after="0"/>
              <w:rPr>
                <w:sz w:val="15"/>
                <w:szCs w:val="15"/>
                <w:color w:val="auto"/>
              </w:rPr>
            </w:pPr>
          </w:p>
        </w:tc>
        <w:tc>
          <w:tcPr>
            <w:tcW w:w="18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3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gridSpan w:val="2"/>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7894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60" w:lineRule="exact"/>
        <w:rPr>
          <w:sz w:val="20"/>
          <w:szCs w:val="20"/>
          <w:color w:val="auto"/>
        </w:rPr>
      </w:pPr>
    </w:p>
    <w:p>
      <w:pPr>
        <w:ind w:left="260" w:hanging="253"/>
        <w:spacing w:after="0" w:line="253" w:lineRule="auto"/>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principal balance payable for the 6.00% Notes due 2026 as of December 31, 2024. Refer to “Note 10—Debt Capital Activities” in our Consolidated Financial Statements as of December 31, 2024 for more information.</w:t>
      </w:r>
    </w:p>
    <w:p>
      <w:pPr>
        <w:ind w:left="260" w:hanging="253"/>
        <w:spacing w:after="0" w:line="246" w:lineRule="auto"/>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principal balance payable for the 6.50% Convertible Notes due 2029 as of December 31, 2024. Refer to “Note 10—Debt Capital Activities” in our Consolidated Financial Statements as of December 31, 2024 for more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During the year ended December 31, 2024, we did not repurchase any shares of our common stock under the discretionary open-market Share Repurchase Program. During the year ended December 31, 2023, we repurchased 186,493 shares of our common stock under the Share Repurchase Program. As of December 31, 2024, the dollar value of shares that remained available to be purchased under the Share Repurchase Program was approximately $25.0 million. On October 29, 2024, our Board of Directors authorized an extension of, and an increase in the amount of shares of our common stock that may be repurchased under the discretionary Share Repurchase Program until the earlier of (i) October 31, 2025 or (ii) the repurchase of $64.3 million in aggregate amount of our common stock.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and the rules promulgated thereunder. For more information on the Share Repurchase Program, see “Note 5—Common Stock” to our Consolidated Financial Statements as of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Modified Dutch Auction Tender Offer</w:t>
      </w:r>
    </w:p>
    <w:p>
      <w:pPr>
        <w:spacing w:after="0" w:line="181"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On February 20, 2024, we commenced the Modified Dutch Auction Tender Offer to purchase up to 2,000,000 shares of our common stock from our stockholders, which expired on April 1, 2024. In accordance with the terms of the Modified Dutch Auction Tender Offer, we selected the lowest price per share of not less than $4.00 per share and not greater than $5.00 per share.</w:t>
      </w:r>
    </w:p>
    <w:p>
      <w:pPr>
        <w:spacing w:after="0" w:line="118"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Pursuant to the Modified Dutch Auction Tender Offer, we repurchased 2,000,000 shares, representing 7.9% of our then-outstanding shares, on or about April 5, 2024 at a price of $4.70 per share. We used available cash to fund the purchase of our shares of common stock in the Modified Dutch Auction Tender Offer and to pay for all related fees and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As of December 31, 2024, we had no off-balance sheet arrangements, including any risk management of commodity pricing or other hedging practices. However, we may employ hedging and other risk management techniques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Issuances and Debt Capital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At-the-Market Offering</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spacing w:after="0" w:line="154"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During the years ended December 31, 2024 and 2023, we did not issue or sell Shares under the ATM Program. As of December 31, 2024, up to approximately $98.8 million in aggregate amount of the Shares remain available for sale under the ATM Program.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Refer to “Note 5—Common Stock” to our Consolidated Financial Statements as of December 31, 2024 for more information regarding the ATM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6.00% Notes due 2026 - Note Repurchase Program</w:t>
      </w:r>
    </w:p>
    <w:p>
      <w:pPr>
        <w:spacing w:after="0" w:line="179"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4"/>
          <w:szCs w:val="14"/>
          <w:color w:val="auto"/>
        </w:rPr>
        <w:t>On August 6, 2024, our Board of Directors approved a discretionary note repurchase program (the “Note Repurchase Program”) which allows us to repurchase up to 46.67%, or $35.0 million in aggregate principal amount, of our 6.00% Notes due 2026 through open market purchases, including block purchases, in such manner as will comply with the provisions of the 1940 Act and the Exchange Act. During the year ended December 31, 2024, we repurchased and retired $30.3 million of aggregate principal amount of the 6.00% Notes due 2026. As of December 31, 2024, the aggregate principal dollar amount of 6.00% Notes due 2026 that remained available to be purchased under the Note Repurchase Program was approximately $5.0 million.</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Refer to “Note 10—Debt Capital Activities” to our Consolidated Financial Statements as of December 31, 2024 for more information regarding the 6.00% Notes due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6.50% Convertible Notes due 2029</w:t>
      </w:r>
    </w:p>
    <w:p>
      <w:pPr>
        <w:spacing w:after="0" w:line="17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4"/>
          <w:szCs w:val="14"/>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spacing w:after="0" w:line="146"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6.50% Convertible Notes due 2029 will be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10—Debt Capital Activities” to our Consolidated Financial Statements as of December 31, 2024 for more information regarding the 6.50% Convertible Notes due 2029.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that we have declared since our formation through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 and Policies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2024 for further detail regarding our critical accounting policies and recently issued or adopted accounting pronouncements.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Portfolio Valuation</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most significant determination inherent in the preparation of our Consolidated Financial Statements is the valuation of our investment portfolio. We consider this determination to be a critical accounting estimate, given the significant judgments and subjective measurements required. As of December 31, 2024 and 2023, our investment portfolio valued at fair value represented 132.88% and 90.52% of our net assets, respectively.</w:t>
      </w:r>
    </w:p>
    <w:p>
      <w:pPr>
        <w:spacing w:after="0" w:line="149"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We are required to report our investments at fair value. We follow the provisions of the Financial Accounting Standards Board Accounting Standards Codification (“ASC”)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Market participants are defined as buyers and sellers in the principal market that are independent, knowledgeable and willing and able to transact. See “Note 2 – Significant Accounting Policies – Investments at Fair Value” to our Consolidated Financial Statements for more information.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Due to the inherent uncertainty in the valuation process, the determination of fair value for our investment portfolio may differ materially from the values that would have been determined had a ready market for the securities existed. In addition, changes in the market environment, portfolio company performance and other events that may occur over the lives of the investments may cause the gains or losses ultimately realized on these investments to be materially different than the valuations currently assigned. We determine the fair value of each individual investment and record changes in fair value as unrealized appreciation or depreciation.</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2022, the SEC adopted Rule 2a-5 under the 1940 Act, which establishes a framework for determining fair value in good faith for purposes of the 1940 Act. As adopted, Rule 2a-5 permits boards of directors to designate certain parties to perform fair value determinations, subject to board oversight and certain other conditions. The SEC also adopted Rule 31a-4 under the 1940 Act (“Rule 31a-4”), which provides the recordkeeping requirements associated with fair value determinations. While our Board of Directors has not elected to designate a valuation designee, we adopted certain revisions to our valuation policies and procedures to comply with the applicable requirements of Rule 2a-5 and Rule 31a-4.</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While the Board of Directors is ultimately and solely responsible for determining the fair value of our investments, we have engaged independent valuation firms to provide us with valuation assistance with respect to our investments. Our Board of Directors consulted with an independent third-party valuation firm in arriving at its determination of fair value for 100% of our portfolio investments as of December 31,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We recognize gains or losses on the sale of investments using the specific identification method. We recognize interest income, adjusted for amortization of premium and accretion of discount, on an accrual basis. We recognize dividend income on the ex-dividend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Transaction Costs and Escrow Deposit</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Commissions and other costs associated with an investment transaction, including legal expenses not reimbursed by the portfolio company, are included in the cost basis of purchases and deducted from the proceeds of sales. We make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2024 and December 31, 2023, we had no escrow deposits.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Related-Party Transactions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“Note 3—Related-Party Arrangements” to our Consolidated Financial Statements as of December 31, 2024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6.00% Notes Due 2026 - Note Repurchase Program</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Between January 1, 2025 and January 8, 2025, we repurchased an additional 199,990 units of the 6.00% Notes due 2026 under the Note Repurchase Program resulting in the total use of the authorized available funds.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6.50% Convertible Notes due 2029</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On January 16, 2025, we issued and sold $5.0 million in aggregate principal amount of Additional Notes to the Purchaser pursuant to the Notes Purchase Agreement. The Additional Notes are treated as a single series with our initial issuance of $25.0 million in aggregate principal amount of the outstanding 6.50% Convertible Notes due 2029 and the additional $5.0 million issuance of the 6.50% Convertible Notes due 2029 on October 9, 2024 (together, the “Initial Notes”) and have the same terms as the Initial Notes. The Additional Notes are fungible and rank equally with the Initial Notes. Upon issuance of the Additional Notes on January 16, 2025, the outstanding aggregate principal amount of our 6.50% Convertible Notes due 2029 became $35.0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Activity</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Please refer to “Note 12—Subsequent Events” to our Consolidated Financial Statements as of December 31, 2024 for details regarding activity in our investment portfolio from January 1, 2025 through March 11, 2025.</w:t>
      </w:r>
    </w:p>
    <w:p>
      <w:pPr>
        <w:spacing w:after="0" w:line="14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Risk</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Risk</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December 31, 2024, all of our debt investments and outstanding borrowings bore fixed rates of interest.</w:t>
      </w:r>
    </w:p>
    <w:p>
      <w:pPr>
        <w:sectPr>
          <w:pgSz w:w="11900" w:h="16838" w:orient="portrait"/>
          <w:cols w:equalWidth="0" w:num="1">
            <w:col w:w="11280"/>
          </w:cols>
          <w:pgMar w:left="300" w:top="212" w:right="31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72"/>
        </w:trPr>
        <w:tc>
          <w:tcPr>
            <w:tcW w:w="1050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780" w:type="dxa"/>
            <w:vAlign w:val="bottom"/>
          </w:tcPr>
          <w:p>
            <w:pPr>
              <w:spacing w:after="0"/>
              <w:rPr>
                <w:sz w:val="15"/>
                <w:szCs w:val="15"/>
                <w:color w:val="auto"/>
              </w:rPr>
            </w:pPr>
          </w:p>
        </w:tc>
      </w:tr>
      <w:tr>
        <w:trPr>
          <w:trHeight w:val="20"/>
        </w:trPr>
        <w:tc>
          <w:tcPr>
            <w:tcW w:w="14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63"/>
        </w:trPr>
        <w:tc>
          <w:tcPr>
            <w:tcW w:w="1050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tc>
        <w:tc>
          <w:tcPr>
            <w:tcW w:w="780" w:type="dxa"/>
            <w:vAlign w:val="bottom"/>
          </w:tcPr>
          <w:p>
            <w:pPr>
              <w:spacing w:after="0"/>
              <w:rPr>
                <w:sz w:val="24"/>
                <w:szCs w:val="24"/>
                <w:color w:val="auto"/>
              </w:rPr>
            </w:pPr>
          </w:p>
        </w:tc>
      </w:tr>
      <w:tr>
        <w:trPr>
          <w:trHeight w:val="350"/>
        </w:trPr>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gridSpan w:val="5"/>
          </w:tcPr>
          <w:p>
            <w:pPr>
              <w:ind w:left="98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tc>
        <w:tc>
          <w:tcPr>
            <w:tcW w:w="780" w:type="dxa"/>
            <w:vAlign w:val="bottom"/>
          </w:tcPr>
          <w:p>
            <w:pPr>
              <w:spacing w:after="0"/>
              <w:rPr>
                <w:sz w:val="24"/>
                <w:szCs w:val="24"/>
                <w:color w:val="auto"/>
              </w:rPr>
            </w:pPr>
          </w:p>
        </w:tc>
      </w:tr>
      <w:tr>
        <w:trPr>
          <w:trHeight w:val="355"/>
        </w:trPr>
        <w:tc>
          <w:tcPr>
            <w:tcW w:w="14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27"/>
        </w:trPr>
        <w:tc>
          <w:tcPr>
            <w:tcW w:w="10500" w:type="dxa"/>
            <w:vAlign w:val="bottom"/>
            <w:gridSpan w:val="9"/>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PCAOB ID: 688</w:t>
            </w: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69</w:t>
            </w:r>
          </w:p>
        </w:tc>
      </w:tr>
      <w:tr>
        <w:trPr>
          <w:trHeight w:val="24"/>
        </w:trPr>
        <w:tc>
          <w:tcPr>
            <w:tcW w:w="148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142"/>
        </w:trPr>
        <w:tc>
          <w:tcPr>
            <w:tcW w:w="10500" w:type="dxa"/>
            <w:vAlign w:val="bottom"/>
            <w:gridSpan w:val="9"/>
          </w:tcPr>
          <w:p>
            <w:pPr>
              <w:spacing w:after="0" w:line="142" w:lineRule="exact"/>
              <w:rPr>
                <w:sz w:val="20"/>
                <w:szCs w:val="20"/>
                <w:color w:val="auto"/>
              </w:rPr>
            </w:pPr>
            <w:r>
              <w:rPr>
                <w:rFonts w:ascii="Times New Roman" w:cs="Times New Roman" w:eastAsia="Times New Roman" w:hAnsi="Times New Roman"/>
                <w:sz w:val="15"/>
                <w:szCs w:val="15"/>
                <w:color w:val="0000EE"/>
              </w:rPr>
              <w:t>Consolidated Statements of Assets and Liabilities as of December 31, 2024 and 2023</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70</w:t>
            </w:r>
          </w:p>
        </w:tc>
      </w:tr>
      <w:tr>
        <w:trPr>
          <w:trHeight w:val="20"/>
        </w:trPr>
        <w:tc>
          <w:tcPr>
            <w:tcW w:w="1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8"/>
        </w:trPr>
        <w:tc>
          <w:tcPr>
            <w:tcW w:w="5560" w:type="dxa"/>
            <w:vAlign w:val="bottom"/>
            <w:tcBorders>
              <w:bottom w:val="single" w:sz="8" w:color="0000EE"/>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w w:val="96"/>
              </w:rPr>
              <w:t>Consolidated Statements of Operations for the years ended December 31, 2024, 2023 and 2022</w:t>
            </w:r>
          </w:p>
        </w:tc>
        <w:tc>
          <w:tcPr>
            <w:tcW w:w="4940" w:type="dxa"/>
            <w:vAlign w:val="bottom"/>
            <w:tcBorders>
              <w:bottom w:val="single" w:sz="8" w:color="CCEEFF"/>
            </w:tcBorders>
            <w:gridSpan w:val="3"/>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71</w:t>
            </w:r>
          </w:p>
        </w:tc>
      </w:tr>
      <w:tr>
        <w:trPr>
          <w:trHeight w:val="148"/>
        </w:trPr>
        <w:tc>
          <w:tcPr>
            <w:tcW w:w="10500" w:type="dxa"/>
            <w:vAlign w:val="bottom"/>
            <w:gridSpan w:val="9"/>
          </w:tcPr>
          <w:p>
            <w:pPr>
              <w:spacing w:after="0" w:line="142" w:lineRule="exact"/>
              <w:rPr>
                <w:sz w:val="20"/>
                <w:szCs w:val="20"/>
                <w:color w:val="auto"/>
              </w:rPr>
            </w:pPr>
            <w:r>
              <w:rPr>
                <w:rFonts w:ascii="Times New Roman" w:cs="Times New Roman" w:eastAsia="Times New Roman" w:hAnsi="Times New Roman"/>
                <w:sz w:val="15"/>
                <w:szCs w:val="15"/>
                <w:color w:val="0000EE"/>
              </w:rPr>
              <w:t>Consolidated Statements of Changes in Net Assets for the years ended December 31, 2024, 2023 and 2022</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72</w:t>
            </w:r>
          </w:p>
        </w:tc>
      </w:tr>
      <w:tr>
        <w:trPr>
          <w:trHeight w:val="161"/>
        </w:trPr>
        <w:tc>
          <w:tcPr>
            <w:tcW w:w="5600" w:type="dxa"/>
            <w:vAlign w:val="bottom"/>
            <w:tcBorders>
              <w:top w:val="single" w:sz="8" w:color="0000EE"/>
              <w:bottom w:val="single" w:sz="8" w:color="0000EE"/>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Consolidated Statements of Cash Flows for the years ended December 31, 2024, 2023 and 2022</w:t>
            </w:r>
          </w:p>
        </w:tc>
        <w:tc>
          <w:tcPr>
            <w:tcW w:w="620" w:type="dxa"/>
            <w:vAlign w:val="bottom"/>
            <w:tcBorders>
              <w:top w:val="single" w:sz="8" w:color="0000EE"/>
              <w:bottom w:val="single" w:sz="8" w:color="CCEEFF"/>
            </w:tcBorders>
            <w:shd w:val="clear" w:color="auto" w:fill="CCEEFF"/>
          </w:tcPr>
          <w:p>
            <w:pPr>
              <w:spacing w:after="0"/>
              <w:rPr>
                <w:sz w:val="14"/>
                <w:szCs w:val="14"/>
                <w:color w:val="auto"/>
              </w:rPr>
            </w:pPr>
          </w:p>
        </w:tc>
        <w:tc>
          <w:tcPr>
            <w:tcW w:w="42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73</w:t>
            </w:r>
          </w:p>
        </w:tc>
      </w:tr>
      <w:tr>
        <w:trPr>
          <w:trHeight w:val="148"/>
        </w:trPr>
        <w:tc>
          <w:tcPr>
            <w:tcW w:w="374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5"/>
                <w:szCs w:val="15"/>
                <w:color w:val="0000EE"/>
                <w:w w:val="96"/>
              </w:rPr>
              <w:t>Consolidated Schedule of Investments as of December 31, 2024</w:t>
            </w:r>
          </w:p>
        </w:tc>
        <w:tc>
          <w:tcPr>
            <w:tcW w:w="6760" w:type="dxa"/>
            <w:vAlign w:val="bottom"/>
            <w:gridSpan w:val="5"/>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74</w:t>
            </w:r>
          </w:p>
        </w:tc>
      </w:tr>
      <w:tr>
        <w:trPr>
          <w:trHeight w:val="161"/>
        </w:trPr>
        <w:tc>
          <w:tcPr>
            <w:tcW w:w="3740" w:type="dxa"/>
            <w:vAlign w:val="bottom"/>
            <w:tcBorders>
              <w:bottom w:val="single" w:sz="8" w:color="0000EE"/>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Consolidated Schedule of Investments as of December 31, 2023</w:t>
            </w:r>
          </w:p>
        </w:tc>
        <w:tc>
          <w:tcPr>
            <w:tcW w:w="6760" w:type="dxa"/>
            <w:vAlign w:val="bottom"/>
            <w:tcBorders>
              <w:bottom w:val="single" w:sz="8" w:color="CCEEFF"/>
            </w:tcBorders>
            <w:gridSpan w:val="5"/>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78</w:t>
            </w:r>
          </w:p>
        </w:tc>
      </w:tr>
      <w:tr>
        <w:trPr>
          <w:trHeight w:val="142"/>
        </w:trPr>
        <w:tc>
          <w:tcPr>
            <w:tcW w:w="2560" w:type="dxa"/>
            <w:vAlign w:val="bottom"/>
            <w:tcBorders>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5"/>
                <w:szCs w:val="15"/>
                <w:color w:val="0000EE"/>
                <w:w w:val="96"/>
              </w:rPr>
              <w:t>Notes to Consolidated Financial Statements</w:t>
            </w:r>
          </w:p>
        </w:tc>
        <w:tc>
          <w:tcPr>
            <w:tcW w:w="7940" w:type="dxa"/>
            <w:vAlign w:val="bottom"/>
            <w:gridSpan w:val="7"/>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82</w:t>
            </w:r>
          </w:p>
        </w:tc>
      </w:tr>
      <w:tr>
        <w:trPr>
          <w:trHeight w:val="362"/>
        </w:trPr>
        <w:tc>
          <w:tcPr>
            <w:tcW w:w="6220" w:type="dxa"/>
            <w:vAlign w:val="bottom"/>
            <w:tcBorders>
              <w:bottom w:val="single" w:sz="8" w:color="auto"/>
            </w:tcBorders>
            <w:gridSpan w:val="8"/>
          </w:tcPr>
          <w:p>
            <w:pPr>
              <w:ind w:left="5580"/>
              <w:spacing w:after="0"/>
              <w:rPr>
                <w:sz w:val="20"/>
                <w:szCs w:val="20"/>
                <w:color w:val="auto"/>
              </w:rPr>
            </w:pPr>
            <w:r>
              <w:rPr>
                <w:rFonts w:ascii="Times New Roman" w:cs="Times New Roman" w:eastAsia="Times New Roman" w:hAnsi="Times New Roman"/>
                <w:sz w:val="15"/>
                <w:szCs w:val="15"/>
                <w:color w:val="auto"/>
              </w:rPr>
              <w:t>68</w:t>
            </w:r>
          </w:p>
        </w:tc>
        <w:tc>
          <w:tcPr>
            <w:tcW w:w="4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9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Board of Directors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We have audited the accompanying consolidated statements of assets and liabilities of SuRo Capital Corp. and subsidiaries (the “Company”), including the consolidated schedule of investments as of December 31, 2024 and 2023, the related consolidated statements of operations, cash flows, and changes in net assets for each of the three years in the period ended December 31, 2024, the financial highlights (presented in Note 8) for each of the five years in the period ended December 31, 2024, and the related notes (collectively referred to as the “financial statements”). In our opinion, the financial statements and financial highlights present fairly, in all material respects, the financial position of the Company as of December 31, 2024 and 2023, and the results of its operations and its cash flows for each of the three years in the period ended December 31, 2024 and the financial highlights for each of the five years in the period ended December 31, 2024, in conformity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We conducted our audit</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5"/>
          <w:szCs w:val="15"/>
          <w:color w:val="auto"/>
        </w:rPr>
        <w:t xml:space="preserve">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2024, and 2023, by correspondence with the custodian, loan agents, and borrowers; when replies were not received, we performed other auditing procedures.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Valuation of Investments – Level 3 Investments in Preferred Stock, Common Stock, Debt Investments and Options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As described in Note 4 to the financial statements, approximately 91.6% of the Company’s $209 million total investments in securities as of December 31, 2024, represents investments in Level 3 preferred stock, common stock, debt investments and options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liquidation value, financing risk, term to expiration and discount rates.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principal considerations for our determination that performing procedures relating to the valuation of Level 3 investments in preferred stock, common stock, debt investments and options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Addressing the matter involved performing procedures and evaluating audit evidence in connection with forming our overall opinion on the financial statements and financial highlights. Our principal audit procedures included, among others:</w:t>
      </w:r>
    </w:p>
    <w:p>
      <w:pPr>
        <w:spacing w:after="0" w:line="141" w:lineRule="exact"/>
        <w:rPr>
          <w:sz w:val="20"/>
          <w:szCs w:val="20"/>
          <w:color w:val="auto"/>
        </w:rPr>
      </w:pPr>
    </w:p>
    <w:p>
      <w:pPr>
        <w:ind w:firstLine="7"/>
        <w:spacing w:after="0" w:line="267" w:lineRule="auto"/>
        <w:tabs>
          <w:tab w:leader="none" w:pos="1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liquidation value, financing risk, term to expiration and discount rates; and</w:t>
      </w:r>
    </w:p>
    <w:p>
      <w:pPr>
        <w:spacing w:after="0" w:line="140" w:lineRule="exact"/>
        <w:rPr>
          <w:rFonts w:ascii="Times New Roman" w:cs="Times New Roman" w:eastAsia="Times New Roman" w:hAnsi="Times New Roman"/>
          <w:sz w:val="15"/>
          <w:szCs w:val="15"/>
          <w:color w:val="auto"/>
        </w:rPr>
      </w:pPr>
    </w:p>
    <w:p>
      <w:pPr>
        <w:ind w:firstLine="7"/>
        <w:spacing w:after="0" w:line="267" w:lineRule="auto"/>
        <w:tabs>
          <w:tab w:leader="none" w:pos="23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Marcum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2"/>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480" w:type="dxa"/>
            <w:vAlign w:val="bottom"/>
            <w:tcBorders>
              <w:top w:val="single" w:sz="8" w:color="0000EE"/>
            </w:tcBorders>
          </w:tcPr>
          <w:p>
            <w:pPr>
              <w:spacing w:after="0"/>
              <w:rPr>
                <w:sz w:val="24"/>
                <w:szCs w:val="24"/>
                <w:color w:val="auto"/>
              </w:rPr>
            </w:pPr>
          </w:p>
        </w:tc>
        <w:tc>
          <w:tcPr>
            <w:tcW w:w="5780" w:type="dxa"/>
            <w:vAlign w:val="bottom"/>
            <w:gridSpan w:val="3"/>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7780" w:type="dxa"/>
            <w:vAlign w:val="bottom"/>
            <w:gridSpan w:val="5"/>
          </w:tcPr>
          <w:p>
            <w:pPr>
              <w:jc w:val="right"/>
              <w:ind w:right="1480"/>
              <w:spacing w:after="0"/>
              <w:rPr>
                <w:sz w:val="20"/>
                <w:szCs w:val="20"/>
                <w:color w:val="auto"/>
              </w:rPr>
            </w:pPr>
            <w:r>
              <w:rPr>
                <w:rFonts w:ascii="Times New Roman" w:cs="Times New Roman" w:eastAsia="Times New Roman" w:hAnsi="Times New Roman"/>
                <w:sz w:val="15"/>
                <w:szCs w:val="15"/>
                <w:b w:val="1"/>
                <w:bCs w:val="1"/>
                <w:color w:val="auto"/>
              </w:rPr>
              <w:t>CONSOLIDATED STATEMENTS OF ASSETS AND LIABILITIES</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14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20" w:type="dxa"/>
            <w:vAlign w:val="bottom"/>
          </w:tcPr>
          <w:p>
            <w:pPr>
              <w:spacing w:after="0"/>
              <w:rPr>
                <w:sz w:val="24"/>
                <w:szCs w:val="24"/>
                <w:color w:val="auto"/>
              </w:rPr>
            </w:pPr>
          </w:p>
        </w:tc>
        <w:tc>
          <w:tcPr>
            <w:tcW w:w="180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66"/>
        </w:trPr>
        <w:tc>
          <w:tcPr>
            <w:tcW w:w="6620" w:type="dxa"/>
            <w:vAlign w:val="bottom"/>
            <w:tcBorders>
              <w:top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ASSETS</w:t>
            </w:r>
          </w:p>
        </w:tc>
        <w:tc>
          <w:tcPr>
            <w:tcW w:w="3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 investments (cost of $234,601,314 and $160,994,161, respectively)</w:t>
            </w:r>
          </w:p>
        </w:tc>
        <w:tc>
          <w:tcPr>
            <w:tcW w:w="6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198,511,915</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147,167,535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Non-controlled/affiliate investments (cost of $20,605,400 and $32,775,940, respectively)</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9,268,827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24,931,333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 (cost of $1,602,940 and $18,771,097, respectively)</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11,982,381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2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 Portfolio Investments</w:t>
            </w:r>
          </w:p>
        </w:tc>
        <w:tc>
          <w:tcPr>
            <w:tcW w:w="3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209,380,742</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184,081,249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in U.S. Treasury bills (cost of $0 and $63,792,704, respectively)</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63,810,855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2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Total Investments (cost of $256,809,654 and $276,333,902, respectively)</w:t>
            </w:r>
          </w:p>
        </w:tc>
        <w:tc>
          <w:tcPr>
            <w:tcW w:w="3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209,380,742</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247,892,104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20,035,640</w:t>
            </w:r>
          </w:p>
        </w:tc>
        <w:tc>
          <w:tcPr>
            <w:tcW w:w="2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28,178,352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45,298</w:t>
            </w: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309,293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756,022</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132,607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526,261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594,726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5"/>
                <w:szCs w:val="15"/>
                <w:color w:val="auto"/>
              </w:rPr>
              <w:t>Prepaid expenses and other assets</w:t>
            </w:r>
            <w:r>
              <w:rPr>
                <w:rFonts w:ascii="Times New Roman" w:cs="Times New Roman" w:eastAsia="Times New Roman" w:hAnsi="Times New Roman"/>
                <w:sz w:val="24"/>
                <w:szCs w:val="24"/>
                <w:color w:val="auto"/>
                <w:vertAlign w:val="superscript"/>
              </w:rPr>
              <w:t>(1)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855,630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494,602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20" w:type="dxa"/>
            <w:vAlign w:val="bottom"/>
            <w:tcBorders>
              <w:bottom w:val="single" w:sz="8" w:color="CCEEFF"/>
            </w:tcBorders>
            <w:gridSpan w:val="2"/>
          </w:tcPr>
          <w:p>
            <w:pPr>
              <w:ind w:left="260"/>
              <w:spacing w:after="0" w:line="16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3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231,599,593</w:t>
            </w:r>
          </w:p>
        </w:tc>
        <w:tc>
          <w:tcPr>
            <w:tcW w:w="3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277,601,684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6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6.00% Notes due December 30, 2026</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44,198,838</w:t>
            </w:r>
          </w:p>
        </w:tc>
        <w:tc>
          <w:tcPr>
            <w:tcW w:w="2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73,745,207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gridSpan w:val="2"/>
            <w:shd w:val="clear" w:color="auto" w:fill="CCEEFF"/>
          </w:tcPr>
          <w:p>
            <w:pPr>
              <w:spacing w:after="0" w:line="218" w:lineRule="exact"/>
              <w:rPr>
                <w:sz w:val="20"/>
                <w:szCs w:val="20"/>
                <w:color w:val="auto"/>
              </w:rPr>
            </w:pPr>
            <w:r>
              <w:rPr>
                <w:rFonts w:ascii="Times New Roman" w:cs="Times New Roman" w:eastAsia="Times New Roman" w:hAnsi="Times New Roman"/>
                <w:sz w:val="15"/>
                <w:szCs w:val="15"/>
                <w:color w:val="auto"/>
              </w:rPr>
              <w:t>6.50% Convertible Notes due August 14, 2029</w:t>
            </w:r>
            <w:r>
              <w:rPr>
                <w:rFonts w:ascii="Times New Roman" w:cs="Times New Roman" w:eastAsia="Times New Roman" w:hAnsi="Times New Roman"/>
                <w:sz w:val="24"/>
                <w:szCs w:val="24"/>
                <w:color w:val="auto"/>
                <w:vertAlign w:val="superscript"/>
              </w:rPr>
              <w:t>(3)</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29,051,408</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6620" w:type="dxa"/>
            <w:vAlign w:val="bottom"/>
            <w:gridSpan w:val="2"/>
          </w:tcPr>
          <w:p>
            <w:pPr>
              <w:spacing w:after="0" w:line="207" w:lineRule="exact"/>
              <w:rPr>
                <w:sz w:val="20"/>
                <w:szCs w:val="20"/>
                <w:color w:val="auto"/>
              </w:rPr>
            </w:pPr>
            <w:r>
              <w:rPr>
                <w:rFonts w:ascii="Times New Roman" w:cs="Times New Roman" w:eastAsia="Times New Roman" w:hAnsi="Times New Roman"/>
                <w:sz w:val="15"/>
                <w:szCs w:val="15"/>
                <w:color w:val="auto"/>
              </w:rPr>
              <w:t>Accounts payable and accrued expenses</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768,394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346,308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Dividends payable</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8,867</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152,523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20" w:type="dxa"/>
            <w:vAlign w:val="bottom"/>
            <w:gridSpan w:val="2"/>
          </w:tcPr>
          <w:p>
            <w:pPr>
              <w:ind w:left="260"/>
              <w:spacing w:after="0" w:line="16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3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74,027,507</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74,244,038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(Notes 7 and 10)</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64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3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203,357,646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20" w:type="dxa"/>
            <w:vAlign w:val="bottom"/>
            <w:tcBorders>
              <w:top w:val="single" w:sz="8" w:color="CCEEFF"/>
            </w:tcBorders>
            <w:gridSpan w:val="2"/>
            <w:shd w:val="clear" w:color="auto" w:fill="CCEEFF"/>
          </w:tcPr>
          <w:p>
            <w:pPr>
              <w:ind w:left="40"/>
              <w:spacing w:after="0" w:line="148" w:lineRule="exact"/>
              <w:rPr>
                <w:sz w:val="20"/>
                <w:szCs w:val="20"/>
                <w:color w:val="auto"/>
              </w:rPr>
            </w:pPr>
            <w:r>
              <w:rPr>
                <w:rFonts w:ascii="Times New Roman" w:cs="Times New Roman" w:eastAsia="Times New Roman" w:hAnsi="Times New Roman"/>
                <w:sz w:val="15"/>
                <w:szCs w:val="15"/>
                <w:b w:val="1"/>
                <w:bCs w:val="1"/>
                <w:color w:val="auto"/>
              </w:rPr>
              <w:t>NET ASSETS</w:t>
            </w:r>
          </w:p>
        </w:tc>
        <w:tc>
          <w:tcPr>
            <w:tcW w:w="3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2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color w:val="auto"/>
              </w:rPr>
              <w:t>Common stock, par value $0.01 per share (100,000,000 authorized; 23,601,566 and 25,445,805 issued and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respectively)</w:t>
            </w:r>
          </w:p>
        </w:tc>
        <w:tc>
          <w:tcPr>
            <w:tcW w:w="64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236,016</w:t>
            </w:r>
          </w:p>
        </w:tc>
        <w:tc>
          <w:tcPr>
            <w:tcW w:w="32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254,458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Paid-in capital in excess of par</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226,579,432</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248,454,107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net investment loss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(4,302,192)</w:t>
            </w:r>
          </w:p>
        </w:tc>
        <w:tc>
          <w:tcPr>
            <w:tcW w:w="220" w:type="dxa"/>
            <w:vAlign w:val="bottom"/>
          </w:tcPr>
          <w:p>
            <w:pPr>
              <w:spacing w:after="0"/>
              <w:rPr>
                <w:sz w:val="15"/>
                <w:szCs w:val="15"/>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(4,304,111)</w:t>
            </w:r>
          </w:p>
        </w:tc>
        <w:tc>
          <w:tcPr>
            <w:tcW w:w="0" w:type="dxa"/>
            <w:vAlign w:val="bottom"/>
          </w:tcPr>
          <w:p>
            <w:pPr>
              <w:spacing w:after="0"/>
              <w:rPr>
                <w:sz w:val="1"/>
                <w:szCs w:val="1"/>
                <w:color w:val="auto"/>
              </w:rPr>
            </w:pPr>
          </w:p>
        </w:tc>
      </w:tr>
      <w:tr>
        <w:trPr>
          <w:trHeight w:val="17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net realized loss on investments, net of distributions</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(17,409,097)</w:t>
            </w:r>
          </w:p>
        </w:tc>
        <w:tc>
          <w:tcPr>
            <w:tcW w:w="22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(12,348,772)</w:t>
            </w:r>
          </w:p>
        </w:tc>
        <w:tc>
          <w:tcPr>
            <w:tcW w:w="0" w:type="dxa"/>
            <w:vAlign w:val="bottom"/>
          </w:tcPr>
          <w:p>
            <w:pPr>
              <w:spacing w:after="0"/>
              <w:rPr>
                <w:sz w:val="1"/>
                <w:szCs w:val="1"/>
                <w:color w:val="auto"/>
              </w:rPr>
            </w:pPr>
          </w:p>
        </w:tc>
      </w:tr>
      <w:tr>
        <w:trPr>
          <w:trHeight w:val="186"/>
        </w:trPr>
        <w:tc>
          <w:tcPr>
            <w:tcW w:w="6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net unrealized appreciation/(depreciation) of investments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(47,532,073)</w:t>
            </w:r>
          </w:p>
        </w:tc>
        <w:tc>
          <w:tcPr>
            <w:tcW w:w="220" w:type="dxa"/>
            <w:vAlign w:val="bottom"/>
          </w:tcPr>
          <w:p>
            <w:pPr>
              <w:spacing w:after="0"/>
              <w:rPr>
                <w:sz w:val="16"/>
                <w:szCs w:val="16"/>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(28,698,036)</w:t>
            </w:r>
          </w:p>
        </w:tc>
        <w:tc>
          <w:tcPr>
            <w:tcW w:w="0" w:type="dxa"/>
            <w:vAlign w:val="bottom"/>
          </w:tcPr>
          <w:p>
            <w:pPr>
              <w:spacing w:after="0"/>
              <w:rPr>
                <w:sz w:val="1"/>
                <w:szCs w:val="1"/>
                <w:color w:val="auto"/>
              </w:rPr>
            </w:pPr>
          </w:p>
        </w:tc>
      </w:tr>
      <w:tr>
        <w:trPr>
          <w:trHeight w:val="177"/>
        </w:trPr>
        <w:tc>
          <w:tcPr>
            <w:tcW w:w="66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203,357,646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Net Asset Value Per Share</w:t>
            </w:r>
          </w:p>
        </w:tc>
        <w:tc>
          <w:tcPr>
            <w:tcW w:w="3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2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Borders>
              <w:bottom w:val="single" w:sz="8" w:color="auto"/>
            </w:tcBorders>
          </w:tcPr>
          <w:p>
            <w:pPr>
              <w:jc w:val="right"/>
              <w:ind w:right="107"/>
              <w:spacing w:after="0" w:line="148" w:lineRule="exact"/>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color w:val="auto"/>
              </w:rPr>
              <w:t>6.68</w:t>
            </w:r>
          </w:p>
        </w:tc>
        <w:tc>
          <w:tcPr>
            <w:tcW w:w="32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67"/>
              <w:spacing w:after="0" w:line="148"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color w:val="auto"/>
              </w:rPr>
              <w:t>7.99</w:t>
            </w:r>
          </w:p>
        </w:tc>
        <w:tc>
          <w:tcPr>
            <w:tcW w:w="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17894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66" w:lineRule="exact"/>
        <w:rPr>
          <w:sz w:val="20"/>
          <w:szCs w:val="20"/>
          <w:color w:val="auto"/>
        </w:rPr>
      </w:pPr>
    </w:p>
    <w:p>
      <w:pPr>
        <w:ind w:left="260" w:hanging="253"/>
        <w:spacing w:after="0" w:line="254" w:lineRule="auto"/>
        <w:tabs>
          <w:tab w:leader="none" w:pos="2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5"/>
          <w:szCs w:val="15"/>
          <w:i w:val="1"/>
          <w:iCs w:val="1"/>
          <w:color w:val="auto"/>
        </w:rPr>
        <w:t>Operating Leases and Related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Deposits</w:t>
      </w:r>
      <w:r>
        <w:rPr>
          <w:rFonts w:ascii="Times New Roman" w:cs="Times New Roman" w:eastAsia="Times New Roman" w:hAnsi="Times New Roman"/>
          <w:sz w:val="15"/>
          <w:szCs w:val="15"/>
          <w:color w:val="auto"/>
        </w:rPr>
        <w:t>” for more detail.</w:t>
      </w:r>
    </w:p>
    <w:p>
      <w:pPr>
        <w:spacing w:after="0" w:line="1" w:lineRule="exact"/>
        <w:rPr>
          <w:rFonts w:ascii="Times New Roman" w:cs="Times New Roman" w:eastAsia="Times New Roman" w:hAnsi="Times New Roman"/>
          <w:sz w:val="15"/>
          <w:szCs w:val="15"/>
          <w:color w:val="auto"/>
        </w:rPr>
      </w:pPr>
    </w:p>
    <w:p>
      <w:pPr>
        <w:jc w:val="both"/>
        <w:ind w:left="260" w:hanging="253"/>
        <w:spacing w:after="0" w:line="243" w:lineRule="auto"/>
        <w:tabs>
          <w:tab w:leader="none" w:pos="2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6.00% Notes due December 30, 2026 (the “6.00% Notes due 2026”) (effective interest rate of 6.48%) had a face value $44,667,400. As of December 31, 2023, the 6.00% Notes due 2026 (effective interest rate of 6.53%) had a face value $75,000,000. Refer to “Note 10—Debt Capital Activities” for a reconciliation of the carrying value to the face value.</w:t>
      </w:r>
    </w:p>
    <w:p>
      <w:pPr>
        <w:ind w:left="260" w:hanging="253"/>
        <w:spacing w:after="0" w:line="246" w:lineRule="auto"/>
        <w:tabs>
          <w:tab w:leader="none" w:pos="2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6.50% Convertible Notes due August 14, 2029 (the “6.50% Convertible Notes due 2029”) (effective interest rate of 7.06%) had a face value $30,000,000. Refer to “Note 10—Debt Capital Activities” for a reconciliation of the carrying value to the face value.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2"/>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480" w:type="dxa"/>
            <w:vAlign w:val="bottom"/>
            <w:tcBorders>
              <w:top w:val="single" w:sz="8" w:color="0000EE"/>
            </w:tcBorders>
          </w:tcPr>
          <w:p>
            <w:pPr>
              <w:spacing w:after="0"/>
              <w:rPr>
                <w:sz w:val="24"/>
                <w:szCs w:val="24"/>
                <w:color w:val="auto"/>
              </w:rPr>
            </w:pPr>
          </w:p>
        </w:tc>
        <w:tc>
          <w:tcPr>
            <w:tcW w:w="6240" w:type="dxa"/>
            <w:vAlign w:val="bottom"/>
            <w:gridSpan w:val="4"/>
          </w:tcPr>
          <w:p>
            <w:pPr>
              <w:jc w:val="right"/>
              <w:ind w:right="53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6240" w:type="dxa"/>
            <w:vAlign w:val="bottom"/>
            <w:gridSpan w:val="4"/>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1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INVESTMENT INCOME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00" w:type="dxa"/>
            <w:vAlign w:val="bottom"/>
            <w:gridSpan w:val="2"/>
            <w:shd w:val="clear" w:color="auto" w:fill="CCEEFF"/>
          </w:tcPr>
          <w:p>
            <w:pPr>
              <w:ind w:left="260"/>
              <w:spacing w:after="0" w:line="207" w:lineRule="exact"/>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4"/>
                <w:szCs w:val="24"/>
                <w:color w:val="auto"/>
                <w:vertAlign w:val="superscript"/>
              </w:rPr>
              <w:t>(1)</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1,296,415</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795,847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403,029</w:t>
            </w:r>
          </w:p>
        </w:tc>
        <w:tc>
          <w:tcPr>
            <w:tcW w:w="0" w:type="dxa"/>
            <w:vAlign w:val="bottom"/>
          </w:tcPr>
          <w:p>
            <w:pPr>
              <w:spacing w:after="0"/>
              <w:rPr>
                <w:sz w:val="1"/>
                <w:szCs w:val="1"/>
                <w:color w:val="auto"/>
              </w:rPr>
            </w:pPr>
          </w:p>
        </w:tc>
      </w:tr>
      <w:tr>
        <w:trPr>
          <w:trHeight w:val="175"/>
        </w:trPr>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Dividend income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1,232,239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211,310</w:t>
            </w: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541,239</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Interest income</w:t>
            </w:r>
          </w:p>
        </w:tc>
        <w:tc>
          <w:tcPr>
            <w:tcW w:w="340" w:type="dxa"/>
            <w:vAlign w:val="bottom"/>
          </w:tcPr>
          <w:p>
            <w:pPr>
              <w:spacing w:after="0"/>
              <w:rPr>
                <w:sz w:val="15"/>
                <w:szCs w:val="15"/>
                <w:color w:val="auto"/>
              </w:rPr>
            </w:pPr>
          </w:p>
        </w:tc>
        <w:tc>
          <w:tcPr>
            <w:tcW w:w="128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955,628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1,331,258</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1,685,000</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Dividend income</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 from U.S. Treasury bills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1,189,145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3,758,365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826,925</w:t>
            </w:r>
          </w:p>
        </w:tc>
        <w:tc>
          <w:tcPr>
            <w:tcW w:w="0" w:type="dxa"/>
            <w:vAlign w:val="bottom"/>
          </w:tcPr>
          <w:p>
            <w:pPr>
              <w:spacing w:after="0"/>
              <w:rPr>
                <w:sz w:val="1"/>
                <w:szCs w:val="1"/>
                <w:color w:val="auto"/>
              </w:rPr>
            </w:pPr>
          </w:p>
        </w:tc>
      </w:tr>
      <w:tr>
        <w:trPr>
          <w:trHeight w:val="166"/>
        </w:trPr>
        <w:tc>
          <w:tcPr>
            <w:tcW w:w="6100" w:type="dxa"/>
            <w:vAlign w:val="bottom"/>
            <w:tcBorders>
              <w:top w:val="single" w:sz="8" w:color="CCEEFF"/>
            </w:tcBorders>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 Investment Income</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4,673,427</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6,596,780</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3,456,193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10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9,159,673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9,482,867</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7,566,452</w:t>
            </w: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4,843,570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4,858,049</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4,845,549</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2,277,765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2,602,894</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3,395,260</w:t>
            </w: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340" w:type="dxa"/>
            <w:vAlign w:val="bottom"/>
          </w:tcPr>
          <w:p>
            <w:pPr>
              <w:spacing w:after="0"/>
              <w:rPr>
                <w:sz w:val="15"/>
                <w:szCs w:val="15"/>
                <w:color w:val="auto"/>
              </w:rPr>
            </w:pPr>
          </w:p>
        </w:tc>
        <w:tc>
          <w:tcPr>
            <w:tcW w:w="128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682,260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645,548</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675,716</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88,692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624,049</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82,238</w:t>
            </w:r>
          </w:p>
        </w:tc>
        <w:tc>
          <w:tcPr>
            <w:tcW w:w="0" w:type="dxa"/>
            <w:vAlign w:val="bottom"/>
          </w:tcPr>
          <w:p>
            <w:pPr>
              <w:spacing w:after="0"/>
              <w:rPr>
                <w:sz w:val="1"/>
                <w:szCs w:val="1"/>
                <w:color w:val="auto"/>
              </w:rPr>
            </w:pPr>
          </w:p>
        </w:tc>
      </w:tr>
      <w:tr>
        <w:trPr>
          <w:trHeight w:val="18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1,572,754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1,822,982</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1,598,986</w:t>
            </w:r>
          </w:p>
        </w:tc>
        <w:tc>
          <w:tcPr>
            <w:tcW w:w="0" w:type="dxa"/>
            <w:vAlign w:val="bottom"/>
          </w:tcPr>
          <w:p>
            <w:pPr>
              <w:spacing w:after="0"/>
              <w:rPr>
                <w:sz w:val="1"/>
                <w:szCs w:val="1"/>
                <w:color w:val="auto"/>
              </w:rPr>
            </w:pPr>
          </w:p>
        </w:tc>
      </w:tr>
      <w:tr>
        <w:trPr>
          <w:trHeight w:val="166"/>
        </w:trPr>
        <w:tc>
          <w:tcPr>
            <w:tcW w:w="6100" w:type="dxa"/>
            <w:vAlign w:val="bottom"/>
            <w:tcBorders>
              <w:top w:val="single" w:sz="8" w:color="CCEEFF"/>
            </w:tcBorders>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18,624,714</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20,036,389</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18,164,201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10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5"/>
                <w:szCs w:val="15"/>
                <w:b w:val="1"/>
                <w:bCs w:val="1"/>
                <w:color w:val="auto"/>
              </w:rPr>
              <w:t>Net Investment Loss</w:t>
            </w:r>
          </w:p>
        </w:tc>
        <w:tc>
          <w:tcPr>
            <w:tcW w:w="34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(13,951,287)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(13,439,609)</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(14,708,008)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Realized Gain/(Loss) on Investments: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8,375,641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(1,185,273)</w:t>
            </w:r>
          </w:p>
        </w:tc>
        <w:tc>
          <w:tcPr>
            <w:tcW w:w="320" w:type="dxa"/>
            <w:vAlign w:val="bottom"/>
          </w:tcPr>
          <w:p>
            <w:pPr>
              <w:spacing w:after="0"/>
              <w:rPr>
                <w:sz w:val="15"/>
                <w:szCs w:val="15"/>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(5,835,074)</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(6,598,530)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(10,762,231)</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(70,379)</w:t>
            </w:r>
          </w:p>
        </w:tc>
        <w:tc>
          <w:tcPr>
            <w:tcW w:w="0" w:type="dxa"/>
            <w:vAlign w:val="bottom"/>
          </w:tcPr>
          <w:p>
            <w:pPr>
              <w:spacing w:after="0"/>
              <w:rPr>
                <w:sz w:val="1"/>
                <w:szCs w:val="1"/>
                <w:color w:val="auto"/>
              </w:rPr>
            </w:pPr>
          </w:p>
        </w:tc>
      </w:tr>
      <w:tr>
        <w:trPr>
          <w:trHeight w:val="18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40" w:type="dxa"/>
            <w:vAlign w:val="bottom"/>
          </w:tcPr>
          <w:p>
            <w:pPr>
              <w:spacing w:after="0"/>
              <w:rPr>
                <w:sz w:val="16"/>
                <w:szCs w:val="16"/>
                <w:color w:val="auto"/>
              </w:rPr>
            </w:pPr>
          </w:p>
        </w:tc>
        <w:tc>
          <w:tcPr>
            <w:tcW w:w="128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(6,797,425)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6100" w:type="dxa"/>
            <w:vAlign w:val="bottom"/>
            <w:tcBorders>
              <w:top w:val="single" w:sz="8" w:color="CCEEFF"/>
            </w:tcBorders>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b w:val="1"/>
                <w:bCs w:val="1"/>
                <w:color w:val="auto"/>
              </w:rPr>
              <w:t>Net Realized Loss on Investments</w:t>
            </w: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(5,020,314)</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(11,947,504)</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(5,905,453)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Realized loss on partial repurchase of 6.00% Notes due December 30, 2026</w:t>
            </w:r>
          </w:p>
        </w:tc>
        <w:tc>
          <w:tcPr>
            <w:tcW w:w="340" w:type="dxa"/>
            <w:vAlign w:val="bottom"/>
          </w:tcPr>
          <w:p>
            <w:pPr>
              <w:spacing w:after="0"/>
              <w:rPr>
                <w:sz w:val="15"/>
                <w:szCs w:val="15"/>
                <w:color w:val="auto"/>
              </w:rPr>
            </w:pPr>
          </w:p>
        </w:tc>
        <w:tc>
          <w:tcPr>
            <w:tcW w:w="128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(183,668)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Unrealized Appreciation/(Depreciation) of Investments: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340" w:type="dxa"/>
            <w:vAlign w:val="bottom"/>
          </w:tcPr>
          <w:p>
            <w:pPr>
              <w:spacing w:after="0"/>
              <w:rPr>
                <w:sz w:val="15"/>
                <w:szCs w:val="15"/>
                <w:color w:val="auto"/>
              </w:rPr>
            </w:pPr>
          </w:p>
        </w:tc>
        <w:tc>
          <w:tcPr>
            <w:tcW w:w="128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(30,184,682)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10,349,592</w:t>
            </w:r>
          </w:p>
        </w:tc>
        <w:tc>
          <w:tcPr>
            <w:tcW w:w="320" w:type="dxa"/>
            <w:vAlign w:val="bottom"/>
          </w:tcPr>
          <w:p>
            <w:pPr>
              <w:spacing w:after="0"/>
              <w:rPr>
                <w:sz w:val="15"/>
                <w:szCs w:val="15"/>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(109,553,034)</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4,429,928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20,705,035</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(1,947,553)</w:t>
            </w:r>
          </w:p>
        </w:tc>
        <w:tc>
          <w:tcPr>
            <w:tcW w:w="0" w:type="dxa"/>
            <w:vAlign w:val="bottom"/>
          </w:tcPr>
          <w:p>
            <w:pPr>
              <w:spacing w:after="0"/>
              <w:rPr>
                <w:sz w:val="1"/>
                <w:szCs w:val="1"/>
                <w:color w:val="auto"/>
              </w:rPr>
            </w:pPr>
          </w:p>
        </w:tc>
      </w:tr>
      <w:tr>
        <w:trPr>
          <w:trHeight w:val="18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6,785,776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(600,692)</w:t>
            </w:r>
          </w:p>
        </w:tc>
        <w:tc>
          <w:tcPr>
            <w:tcW w:w="320" w:type="dxa"/>
            <w:vAlign w:val="bottom"/>
          </w:tcPr>
          <w:p>
            <w:pPr>
              <w:spacing w:after="0"/>
              <w:rPr>
                <w:sz w:val="16"/>
                <w:szCs w:val="16"/>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(63,005)</w:t>
            </w:r>
          </w:p>
        </w:tc>
        <w:tc>
          <w:tcPr>
            <w:tcW w:w="0" w:type="dxa"/>
            <w:vAlign w:val="bottom"/>
          </w:tcPr>
          <w:p>
            <w:pPr>
              <w:spacing w:after="0"/>
              <w:rPr>
                <w:sz w:val="1"/>
                <w:szCs w:val="1"/>
                <w:color w:val="auto"/>
              </w:rPr>
            </w:pPr>
          </w:p>
        </w:tc>
      </w:tr>
      <w:tr>
        <w:trPr>
          <w:trHeight w:val="166"/>
        </w:trPr>
        <w:tc>
          <w:tcPr>
            <w:tcW w:w="6100" w:type="dxa"/>
            <w:vAlign w:val="bottom"/>
            <w:tcBorders>
              <w:top w:val="single" w:sz="8" w:color="CCEEFF"/>
            </w:tcBorders>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5"/>
                <w:szCs w:val="15"/>
                <w:b w:val="1"/>
                <w:bCs w:val="1"/>
                <w:color w:val="auto"/>
              </w:rPr>
              <w:t>Net Change in Unrealized Appreciation/(Depreciation) of Investments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(18,968,978</w:t>
            </w: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30,453,935</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(111,563,592</w:t>
            </w:r>
          </w:p>
        </w:tc>
        <w:tc>
          <w:tcPr>
            <w:tcW w:w="10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3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(38,124,247</w:t>
            </w:r>
          </w:p>
        </w:tc>
        <w:tc>
          <w:tcPr>
            <w:tcW w:w="14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5,066,822</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(132,177,053</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8"/>
        </w:trPr>
        <w:tc>
          <w:tcPr>
            <w:tcW w:w="6100" w:type="dxa"/>
            <w:vAlign w:val="bottom"/>
            <w:gridSpan w:val="2"/>
            <w:shd w:val="clear" w:color="auto" w:fill="CCEEFF"/>
          </w:tcPr>
          <w:p>
            <w:pPr>
              <w:ind w:left="180"/>
              <w:spacing w:after="0" w:line="148"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Operations per Common Share:</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34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(1.60)</w:t>
            </w:r>
          </w:p>
        </w:tc>
        <w:tc>
          <w:tcPr>
            <w:tcW w:w="5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0.19</w:t>
            </w: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(4.40)</w:t>
            </w:r>
          </w:p>
        </w:tc>
        <w:tc>
          <w:tcPr>
            <w:tcW w:w="0" w:type="dxa"/>
            <w:vAlign w:val="bottom"/>
          </w:tcPr>
          <w:p>
            <w:pPr>
              <w:spacing w:after="0"/>
              <w:rPr>
                <w:sz w:val="1"/>
                <w:szCs w:val="1"/>
                <w:color w:val="auto"/>
              </w:rPr>
            </w:pPr>
          </w:p>
        </w:tc>
      </w:tr>
      <w:tr>
        <w:trPr>
          <w:trHeight w:val="115"/>
        </w:trPr>
        <w:tc>
          <w:tcPr>
            <w:tcW w:w="6100" w:type="dxa"/>
            <w:vAlign w:val="bottom"/>
            <w:tcBorders>
              <w:top w:val="single" w:sz="8" w:color="CCEEFF"/>
            </w:tcBorders>
            <w:gridSpan w:val="2"/>
            <w:shd w:val="clear" w:color="auto" w:fill="CCEEFF"/>
          </w:tcPr>
          <w:p>
            <w:pPr>
              <w:ind w:left="260"/>
              <w:spacing w:after="0" w:line="115" w:lineRule="exact"/>
              <w:rPr>
                <w:sz w:val="20"/>
                <w:szCs w:val="20"/>
                <w:color w:val="auto"/>
              </w:rPr>
            </w:pPr>
            <w:r>
              <w:rPr>
                <w:rFonts w:ascii="Times New Roman" w:cs="Times New Roman" w:eastAsia="Times New Roman" w:hAnsi="Times New Roman"/>
                <w:sz w:val="9"/>
                <w:szCs w:val="9"/>
                <w:color w:val="auto"/>
              </w:rPr>
              <w:t>Diluted</w:t>
            </w:r>
            <w:r>
              <w:rPr>
                <w:rFonts w:ascii="Times New Roman" w:cs="Times New Roman" w:eastAsia="Times New Roman" w:hAnsi="Times New Roman"/>
                <w:sz w:val="13"/>
                <w:szCs w:val="13"/>
                <w:color w:val="auto"/>
                <w:vertAlign w:val="superscript"/>
              </w:rPr>
              <w:t>(2)</w:t>
            </w:r>
          </w:p>
        </w:tc>
        <w:tc>
          <w:tcPr>
            <w:tcW w:w="340" w:type="dxa"/>
            <w:vAlign w:val="bottom"/>
            <w:tcBorders>
              <w:top w:val="single" w:sz="8" w:color="auto"/>
            </w:tcBorders>
            <w:vMerge w:val="restart"/>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tcBorders>
            <w:vMerge w:val="restart"/>
            <w:shd w:val="clear" w:color="auto" w:fill="CCEEFF"/>
          </w:tcPr>
          <w:p>
            <w:pPr>
              <w:spacing w:after="0"/>
              <w:rPr>
                <w:sz w:val="9"/>
                <w:szCs w:val="9"/>
                <w:color w:val="auto"/>
              </w:rPr>
            </w:pPr>
          </w:p>
        </w:tc>
        <w:tc>
          <w:tcPr>
            <w:tcW w:w="340" w:type="dxa"/>
            <w:vAlign w:val="bottom"/>
            <w:tcBorders>
              <w:top w:val="single" w:sz="8" w:color="auto"/>
            </w:tcBorders>
            <w:vMerge w:val="restart"/>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320" w:type="dxa"/>
            <w:vAlign w:val="bottom"/>
            <w:tcBorders>
              <w:top w:val="single" w:sz="8" w:color="CCEEFF"/>
            </w:tcBorders>
            <w:vMerge w:val="restart"/>
            <w:shd w:val="clear" w:color="auto" w:fill="CCEEFF"/>
          </w:tcPr>
          <w:p>
            <w:pPr>
              <w:spacing w:after="0"/>
              <w:rPr>
                <w:sz w:val="9"/>
                <w:szCs w:val="9"/>
                <w:color w:val="auto"/>
              </w:rPr>
            </w:pPr>
          </w:p>
        </w:tc>
        <w:tc>
          <w:tcPr>
            <w:tcW w:w="320" w:type="dxa"/>
            <w:vAlign w:val="bottom"/>
            <w:tcBorders>
              <w:top w:val="single" w:sz="8" w:color="auto"/>
            </w:tcBorders>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6"/>
        </w:trPr>
        <w:tc>
          <w:tcPr>
            <w:tcW w:w="148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280" w:type="dxa"/>
            <w:vAlign w:val="bottom"/>
            <w:gridSpan w:val="2"/>
            <w:shd w:val="clear" w:color="auto" w:fill="CCEEFF"/>
          </w:tcPr>
          <w:p>
            <w:pPr>
              <w:jc w:val="right"/>
              <w:ind w:right="98"/>
              <w:spacing w:after="0" w:line="66" w:lineRule="exact"/>
              <w:rPr>
                <w:sz w:val="20"/>
                <w:szCs w:val="20"/>
                <w:color w:val="auto"/>
              </w:rPr>
            </w:pPr>
            <w:r>
              <w:rPr>
                <w:rFonts w:ascii="Times New Roman" w:cs="Times New Roman" w:eastAsia="Times New Roman" w:hAnsi="Times New Roman"/>
                <w:sz w:val="7"/>
                <w:szCs w:val="7"/>
                <w:color w:val="auto"/>
              </w:rPr>
              <w:t>(1.60</w:t>
            </w:r>
          </w:p>
        </w:tc>
        <w:tc>
          <w:tcPr>
            <w:tcW w:w="20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240" w:type="dxa"/>
            <w:vAlign w:val="bottom"/>
            <w:gridSpan w:val="2"/>
            <w:shd w:val="clear" w:color="auto" w:fill="CCEEFF"/>
          </w:tcPr>
          <w:p>
            <w:pPr>
              <w:jc w:val="right"/>
              <w:ind w:right="58"/>
              <w:spacing w:after="0" w:line="66" w:lineRule="exact"/>
              <w:rPr>
                <w:sz w:val="20"/>
                <w:szCs w:val="20"/>
                <w:color w:val="auto"/>
              </w:rPr>
            </w:pPr>
            <w:r>
              <w:rPr>
                <w:rFonts w:ascii="Times New Roman" w:cs="Times New Roman" w:eastAsia="Times New Roman" w:hAnsi="Times New Roman"/>
                <w:sz w:val="7"/>
                <w:szCs w:val="7"/>
                <w:color w:val="auto"/>
              </w:rPr>
              <w:t>(4.40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Weighted-Average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rPr>
              <w:t>23,901,805</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26,222,667</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30,023,202</w:t>
            </w:r>
          </w:p>
        </w:tc>
        <w:tc>
          <w:tcPr>
            <w:tcW w:w="0" w:type="dxa"/>
            <w:vAlign w:val="bottom"/>
          </w:tcPr>
          <w:p>
            <w:pPr>
              <w:spacing w:after="0"/>
              <w:rPr>
                <w:sz w:val="1"/>
                <w:szCs w:val="1"/>
                <w:color w:val="auto"/>
              </w:rPr>
            </w:pPr>
          </w:p>
        </w:tc>
      </w:tr>
      <w:tr>
        <w:trPr>
          <w:trHeight w:val="320"/>
        </w:trPr>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4"/>
                <w:szCs w:val="24"/>
                <w:color w:val="auto"/>
                <w:vertAlign w:val="superscript"/>
              </w:rPr>
              <w:t>(2)</w:t>
            </w:r>
          </w:p>
        </w:tc>
        <w:tc>
          <w:tcPr>
            <w:tcW w:w="340" w:type="dxa"/>
            <w:vAlign w:val="bottom"/>
          </w:tcPr>
          <w:p>
            <w:pPr>
              <w:spacing w:after="0"/>
              <w:rPr>
                <w:sz w:val="24"/>
                <w:szCs w:val="24"/>
                <w:color w:val="auto"/>
              </w:rPr>
            </w:pPr>
          </w:p>
        </w:tc>
        <w:tc>
          <w:tcPr>
            <w:tcW w:w="128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23,901,805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26,222,667</w:t>
            </w:r>
          </w:p>
        </w:tc>
        <w:tc>
          <w:tcPr>
            <w:tcW w:w="320" w:type="dxa"/>
            <w:vAlign w:val="bottom"/>
          </w:tcPr>
          <w:p>
            <w:pPr>
              <w:spacing w:after="0"/>
              <w:rPr>
                <w:sz w:val="24"/>
                <w:szCs w:val="24"/>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30,023,202</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17894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68" w:lineRule="exact"/>
        <w:rPr>
          <w:sz w:val="20"/>
          <w:szCs w:val="20"/>
          <w:color w:val="auto"/>
        </w:rPr>
      </w:pPr>
    </w:p>
    <w:p>
      <w:pPr>
        <w:ind w:left="260" w:hanging="253"/>
        <w:spacing w:after="0"/>
        <w:tabs>
          <w:tab w:leader="none" w:pos="2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income earned on cash.</w:t>
      </w:r>
    </w:p>
    <w:p>
      <w:pPr>
        <w:spacing w:after="0" w:line="17" w:lineRule="exact"/>
        <w:rPr>
          <w:rFonts w:ascii="Times New Roman" w:cs="Times New Roman" w:eastAsia="Times New Roman" w:hAnsi="Times New Roman"/>
          <w:sz w:val="15"/>
          <w:szCs w:val="15"/>
          <w:color w:val="auto"/>
        </w:rPr>
      </w:pPr>
    </w:p>
    <w:p>
      <w:pPr>
        <w:jc w:val="both"/>
        <w:ind w:left="260" w:hanging="253"/>
        <w:spacing w:after="0" w:line="244" w:lineRule="auto"/>
        <w:tabs>
          <w:tab w:leader="none" w:pos="2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2024, 3,870,969 potentially dilutive common shares were excluded from the weighted-average common shares outstanding for diluted net decrease in net assets resulting from operations per common share because the effect of these shares would have been anti-dilutive. For the year ended December 31, 2024, there were no potentially dilutive securities outstanding. Refer to “Note 6 — Net Change in Net Assets Resulting from Operations per Common Share — Basic and Diluted”.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2"/>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14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3700" w:type="dxa"/>
            <w:vAlign w:val="bottom"/>
            <w:gridSpan w:val="4"/>
          </w:tcPr>
          <w:p>
            <w:pPr>
              <w:jc w:val="right"/>
              <w:ind w:right="618"/>
              <w:spacing w:after="0"/>
              <w:rPr>
                <w:sz w:val="20"/>
                <w:szCs w:val="20"/>
                <w:color w:val="auto"/>
              </w:rPr>
            </w:pPr>
            <w:r>
              <w:rPr>
                <w:rFonts w:ascii="Times New Roman" w:cs="Times New Roman" w:eastAsia="Times New Roman" w:hAnsi="Times New Roman"/>
                <w:sz w:val="15"/>
                <w:szCs w:val="15"/>
                <w:b w:val="1"/>
                <w:bCs w:val="1"/>
                <w:color w:val="auto"/>
                <w:w w:val="97"/>
              </w:rPr>
              <w:t>SURO CAPITAL CORP. AND SUBSIDIARIES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1480" w:type="dxa"/>
            <w:vAlign w:val="bottom"/>
          </w:tcPr>
          <w:p>
            <w:pPr>
              <w:spacing w:after="0"/>
              <w:rPr>
                <w:sz w:val="16"/>
                <w:szCs w:val="16"/>
                <w:color w:val="auto"/>
              </w:rPr>
            </w:pPr>
          </w:p>
        </w:tc>
        <w:tc>
          <w:tcPr>
            <w:tcW w:w="632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NET ASSETS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0"/>
        </w:trPr>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4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66"/>
        </w:trPr>
        <w:tc>
          <w:tcPr>
            <w:tcW w:w="4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Change in Net Assets Resulting from Operations</w:t>
            </w:r>
          </w:p>
        </w:tc>
        <w:tc>
          <w:tcPr>
            <w:tcW w:w="2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Net investment loss</w:t>
            </w:r>
          </w:p>
        </w:tc>
        <w:tc>
          <w:tcPr>
            <w:tcW w:w="23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(13,951,287)</w:t>
            </w:r>
          </w:p>
        </w:tc>
        <w:tc>
          <w:tcPr>
            <w:tcW w:w="46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(13,439,609)</w:t>
            </w: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(14,708,008)</w:t>
            </w:r>
          </w:p>
        </w:tc>
      </w:tr>
      <w:tr>
        <w:trPr>
          <w:trHeight w:val="175"/>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2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(5,020,314)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5"/>
                <w:szCs w:val="15"/>
                <w:color w:val="auto"/>
              </w:rPr>
              <w:t>(11,947,504)</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(5,905,453)</w:t>
            </w:r>
          </w:p>
        </w:tc>
      </w:tr>
      <w:tr>
        <w:trPr>
          <w:trHeight w:val="175"/>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2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(183,668)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27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97"/>
              </w:rPr>
              <w:t>Net change in unrealized appreciation/(depreciation) of investments</w:t>
            </w:r>
          </w:p>
        </w:tc>
        <w:tc>
          <w:tcPr>
            <w:tcW w:w="2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(18,968,978)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5"/>
                <w:szCs w:val="15"/>
                <w:color w:val="auto"/>
              </w:rPr>
              <w:t>30,453,935</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(111,563,592)</w:t>
            </w:r>
          </w:p>
        </w:tc>
      </w:tr>
      <w:tr>
        <w:trPr>
          <w:trHeight w:val="166"/>
        </w:trPr>
        <w:tc>
          <w:tcPr>
            <w:tcW w:w="4100" w:type="dxa"/>
            <w:vAlign w:val="bottom"/>
            <w:gridSpan w:val="2"/>
          </w:tcPr>
          <w:p>
            <w:pPr>
              <w:ind w:left="180"/>
              <w:spacing w:after="0" w:line="166"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20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(38,124,247)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5,066,822</w:t>
            </w: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(132,177,053)</w:t>
            </w:r>
          </w:p>
        </w:tc>
        <w:tc>
          <w:tcPr>
            <w:tcW w:w="100" w:type="dxa"/>
            <w:vAlign w:val="bottom"/>
          </w:tcPr>
          <w:p>
            <w:pPr>
              <w:spacing w:after="0"/>
              <w:rPr>
                <w:sz w:val="14"/>
                <w:szCs w:val="14"/>
                <w:color w:val="auto"/>
              </w:rPr>
            </w:pPr>
          </w:p>
        </w:tc>
      </w:tr>
      <w:tr>
        <w:trPr>
          <w:trHeight w:val="17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Distributions</w:t>
            </w:r>
          </w:p>
        </w:tc>
        <w:tc>
          <w:tcPr>
            <w:tcW w:w="2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Dividends declared</w:t>
            </w: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78"/>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27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(3,441,824)</w:t>
            </w:r>
          </w:p>
        </w:tc>
      </w:tr>
      <w:tr>
        <w:trPr>
          <w:trHeight w:val="166"/>
        </w:trPr>
        <w:tc>
          <w:tcPr>
            <w:tcW w:w="4100" w:type="dxa"/>
            <w:vAlign w:val="bottom"/>
            <w:tcBorders>
              <w:top w:val="single" w:sz="8" w:color="CCEEFF"/>
            </w:tcBorders>
            <w:gridSpan w:val="2"/>
            <w:shd w:val="clear" w:color="auto" w:fill="CCEEFF"/>
          </w:tcPr>
          <w:p>
            <w:pPr>
              <w:ind w:left="180"/>
              <w:spacing w:after="0" w:line="166" w:lineRule="exact"/>
              <w:rPr>
                <w:sz w:val="20"/>
                <w:szCs w:val="20"/>
                <w:color w:val="auto"/>
              </w:rPr>
            </w:pPr>
            <w:r>
              <w:rPr>
                <w:rFonts w:ascii="Times New Roman" w:cs="Times New Roman" w:eastAsia="Times New Roman" w:hAnsi="Times New Roman"/>
                <w:sz w:val="15"/>
                <w:szCs w:val="15"/>
                <w:b w:val="1"/>
                <w:bCs w:val="1"/>
                <w:color w:val="auto"/>
              </w:rPr>
              <w:t>Total Distributions</w:t>
            </w:r>
          </w:p>
        </w:tc>
        <w:tc>
          <w:tcPr>
            <w:tcW w:w="20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(3,441,824)</w:t>
            </w:r>
          </w:p>
        </w:tc>
        <w:tc>
          <w:tcPr>
            <w:tcW w:w="100" w:type="dxa"/>
            <w:vAlign w:val="bottom"/>
            <w:tcBorders>
              <w:top w:val="single" w:sz="8" w:color="CCEEFF"/>
            </w:tcBorders>
            <w:shd w:val="clear" w:color="auto" w:fill="CCEEFF"/>
          </w:tcPr>
          <w:p>
            <w:pPr>
              <w:spacing w:after="0"/>
              <w:rPr>
                <w:sz w:val="14"/>
                <w:szCs w:val="14"/>
                <w:color w:val="auto"/>
              </w:rPr>
            </w:pPr>
          </w:p>
        </w:tc>
      </w:tr>
      <w:tr>
        <w:trPr>
          <w:trHeight w:val="175"/>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Capital Transactions</w:t>
            </w:r>
          </w:p>
        </w:tc>
        <w:tc>
          <w:tcPr>
            <w:tcW w:w="2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Issuance of common stock from public offering</w:t>
            </w:r>
          </w:p>
        </w:tc>
        <w:tc>
          <w:tcPr>
            <w:tcW w:w="2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229,896</w:t>
            </w:r>
          </w:p>
        </w:tc>
      </w:tr>
      <w:tr>
        <w:trPr>
          <w:trHeight w:val="208"/>
        </w:trPr>
        <w:tc>
          <w:tcPr>
            <w:tcW w:w="41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4"/>
                <w:szCs w:val="24"/>
                <w:color w:val="auto"/>
                <w:vertAlign w:val="superscript"/>
              </w:rPr>
              <w:t>(1)</w:t>
            </w: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1,738,687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2,448,807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2,015,600</w:t>
            </w:r>
          </w:p>
        </w:tc>
      </w:tr>
      <w:tr>
        <w:trPr>
          <w:trHeight w:val="186"/>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(9,400,000)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5"/>
                <w:szCs w:val="15"/>
                <w:color w:val="auto"/>
              </w:rPr>
              <w:t>(14,178,685)</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(21,452,541)</w:t>
            </w:r>
          </w:p>
        </w:tc>
      </w:tr>
      <w:tr>
        <w:trPr>
          <w:trHeight w:val="166"/>
        </w:trPr>
        <w:tc>
          <w:tcPr>
            <w:tcW w:w="4100" w:type="dxa"/>
            <w:vAlign w:val="bottom"/>
            <w:tcBorders>
              <w:bottom w:val="single" w:sz="8" w:color="CCEEFF"/>
            </w:tcBorders>
            <w:gridSpan w:val="2"/>
          </w:tcPr>
          <w:p>
            <w:pPr>
              <w:ind w:left="180"/>
              <w:spacing w:after="0" w:line="166" w:lineRule="exact"/>
              <w:rPr>
                <w:sz w:val="20"/>
                <w:szCs w:val="20"/>
                <w:color w:val="auto"/>
              </w:rPr>
            </w:pPr>
            <w:r>
              <w:rPr>
                <w:rFonts w:ascii="Times New Roman" w:cs="Times New Roman" w:eastAsia="Times New Roman" w:hAnsi="Times New Roman"/>
                <w:sz w:val="15"/>
                <w:szCs w:val="15"/>
                <w:b w:val="1"/>
                <w:bCs w:val="1"/>
                <w:color w:val="auto"/>
                <w:w w:val="97"/>
              </w:rPr>
              <w:t>Net Change in Net Assets Resulting from Capital Transactions</w:t>
            </w:r>
          </w:p>
        </w:tc>
        <w:tc>
          <w:tcPr>
            <w:tcW w:w="20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(7,661,313</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(11,729,878</w:t>
            </w:r>
          </w:p>
        </w:tc>
        <w:tc>
          <w:tcPr>
            <w:tcW w:w="320" w:type="dxa"/>
            <w:vAlign w:val="bottom"/>
            <w:tcBorders>
              <w:bottom w:val="single" w:sz="8" w:color="CCEEFF"/>
            </w:tcBorders>
          </w:tcPr>
          <w:p>
            <w:pPr>
              <w:jc w:val="right"/>
              <w:ind w:right="238"/>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(19,207,045</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66"/>
        </w:trPr>
        <w:tc>
          <w:tcPr>
            <w:tcW w:w="4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Change in Net Assets</w:t>
            </w:r>
          </w:p>
        </w:tc>
        <w:tc>
          <w:tcPr>
            <w:tcW w:w="2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(45,785,560)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(6,663,056)</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(154,825,922)</w:t>
            </w:r>
          </w:p>
        </w:tc>
        <w:tc>
          <w:tcPr>
            <w:tcW w:w="100" w:type="dxa"/>
            <w:vAlign w:val="bottom"/>
            <w:shd w:val="clear" w:color="auto" w:fill="CCEEFF"/>
          </w:tcPr>
          <w:p>
            <w:pPr>
              <w:spacing w:after="0"/>
              <w:rPr>
                <w:sz w:val="14"/>
                <w:szCs w:val="14"/>
                <w:color w:val="auto"/>
              </w:rPr>
            </w:pPr>
          </w:p>
        </w:tc>
      </w:tr>
      <w:tr>
        <w:trPr>
          <w:trHeight w:val="186"/>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Assets at Beginning of Year</w:t>
            </w: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203,357,646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210,020,702</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364,846,624</w:t>
            </w:r>
          </w:p>
        </w:tc>
      </w:tr>
      <w:tr>
        <w:trPr>
          <w:trHeight w:val="177"/>
        </w:trPr>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 at End of Year</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203,357,646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210,020,702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sectPr>
          <w:pgSz w:w="11900" w:h="16838" w:orient="portrait"/>
          <w:cols w:equalWidth="0" w:num="1">
            <w:col w:w="11280"/>
          </w:cols>
          <w:pgMar w:left="300" w:top="197" w:right="31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Capital Share Activity</w:t>
      </w:r>
    </w:p>
    <w:p>
      <w:pPr>
        <w:spacing w:after="0" w:line="19" w:lineRule="exact"/>
        <w:rPr>
          <w:sz w:val="20"/>
          <w:szCs w:val="20"/>
          <w:color w:val="auto"/>
        </w:rPr>
      </w:pPr>
    </w:p>
    <w:p>
      <w:pPr>
        <w:ind w:left="100" w:right="740"/>
        <w:spacing w:after="0" w:line="260" w:lineRule="auto"/>
        <w:rPr>
          <w:sz w:val="20"/>
          <w:szCs w:val="20"/>
          <w:color w:val="auto"/>
        </w:rPr>
      </w:pPr>
      <w:r>
        <w:rPr>
          <w:rFonts w:ascii="Times New Roman" w:cs="Times New Roman" w:eastAsia="Times New Roman" w:hAnsi="Times New Roman"/>
          <w:sz w:val="14"/>
          <w:szCs w:val="14"/>
          <w:color w:val="auto"/>
        </w:rPr>
        <w:t>Shares outstanding at beginning of year Issuance of common stock from public offering</w:t>
      </w:r>
    </w:p>
    <w:p>
      <w:pPr>
        <w:spacing w:after="0" w:line="1" w:lineRule="exact"/>
        <w:rPr>
          <w:sz w:val="20"/>
          <w:szCs w:val="20"/>
          <w:color w:val="auto"/>
        </w:rPr>
      </w:pPr>
    </w:p>
    <w:p>
      <w:pPr>
        <w:ind w:left="100"/>
        <w:spacing w:after="0" w:line="204" w:lineRule="auto"/>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5"/>
          <w:szCs w:val="15"/>
          <w:color w:val="auto"/>
        </w:rPr>
        <w:t xml:space="preserve"> Shares repurchased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Shares Outstanding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17894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2260" w:type="dxa"/>
        <w:tblCellMar>
          <w:top w:w="0" w:type="dxa"/>
          <w:left w:w="0" w:type="dxa"/>
          <w:bottom w:w="0" w:type="dxa"/>
          <w:right w:w="0" w:type="dxa"/>
        </w:tblCellMar>
      </w:tblPr>
      <w:tr>
        <w:trPr>
          <w:trHeight w:val="175"/>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25,445,805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28,429,499</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31,118,556</w:t>
            </w:r>
          </w:p>
        </w:tc>
      </w:tr>
      <w:tr>
        <w:trPr>
          <w:trHeight w:val="190"/>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17,807</w:t>
            </w:r>
          </w:p>
        </w:tc>
      </w:tr>
      <w:tr>
        <w:trPr>
          <w:trHeight w:val="193"/>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155,761</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202,799</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301,812</w:t>
            </w:r>
          </w:p>
        </w:tc>
        <w:tc>
          <w:tcPr>
            <w:tcW w:w="40" w:type="dxa"/>
            <w:vAlign w:val="bottom"/>
          </w:tcPr>
          <w:p>
            <w:pPr>
              <w:spacing w:after="0"/>
              <w:rPr>
                <w:sz w:val="16"/>
                <w:szCs w:val="16"/>
                <w:color w:val="auto"/>
              </w:rPr>
            </w:pPr>
          </w:p>
        </w:tc>
      </w:tr>
      <w:tr>
        <w:trPr>
          <w:trHeight w:val="200"/>
        </w:trPr>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(2,000,000)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(3,186,493)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(3,008,676)</w:t>
            </w:r>
          </w:p>
        </w:tc>
      </w:tr>
      <w:tr>
        <w:trPr>
          <w:trHeight w:val="17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23,601,566</w:t>
            </w:r>
          </w:p>
        </w:tc>
        <w:tc>
          <w:tcPr>
            <w:tcW w:w="3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25,445,805</w:t>
            </w:r>
          </w:p>
        </w:tc>
        <w:tc>
          <w:tcPr>
            <w:tcW w:w="32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28,429,499</w:t>
            </w:r>
          </w:p>
        </w:tc>
        <w:tc>
          <w:tcPr>
            <w:tcW w:w="40" w:type="dxa"/>
            <w:vAlign w:val="bottom"/>
          </w:tcPr>
          <w:p>
            <w:pPr>
              <w:spacing w:after="0"/>
              <w:rPr>
                <w:sz w:val="15"/>
                <w:szCs w:val="15"/>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-727710</wp:posOffset>
            </wp:positionV>
            <wp:extent cx="7158355" cy="111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-505460</wp:posOffset>
            </wp:positionV>
            <wp:extent cx="7158355"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-262890</wp:posOffset>
            </wp:positionV>
            <wp:extent cx="7158355" cy="118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11811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3620" w:space="220"/>
            <w:col w:w="7440"/>
          </w:cols>
          <w:pgMar w:left="300" w:top="197" w:right="31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Refer to “Note 11 — Stock-Based Compensation” for more detail.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5835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2"/>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1480" w:type="dxa"/>
            <w:vAlign w:val="bottom"/>
            <w:tcBorders>
              <w:top w:val="single" w:sz="8" w:color="0000EE"/>
            </w:tcBorders>
          </w:tcPr>
          <w:p>
            <w:pPr>
              <w:spacing w:after="0"/>
              <w:rPr>
                <w:sz w:val="24"/>
                <w:szCs w:val="24"/>
                <w:color w:val="auto"/>
              </w:rPr>
            </w:pPr>
          </w:p>
        </w:tc>
        <w:tc>
          <w:tcPr>
            <w:tcW w:w="6220" w:type="dxa"/>
            <w:vAlign w:val="bottom"/>
            <w:gridSpan w:val="4"/>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1480" w:type="dxa"/>
            <w:vAlign w:val="bottom"/>
          </w:tcPr>
          <w:p>
            <w:pPr>
              <w:spacing w:after="0"/>
              <w:rPr>
                <w:sz w:val="16"/>
                <w:szCs w:val="16"/>
                <w:color w:val="auto"/>
              </w:rPr>
            </w:pPr>
          </w:p>
        </w:tc>
        <w:tc>
          <w:tcPr>
            <w:tcW w:w="6220" w:type="dxa"/>
            <w:vAlign w:val="bottom"/>
            <w:gridSpan w:val="4"/>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0"/>
        </w:trPr>
        <w:tc>
          <w:tcPr>
            <w:tcW w:w="1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7"/>
        </w:trPr>
        <w:tc>
          <w:tcPr>
            <w:tcW w:w="14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auto"/>
            </w:tcBorders>
          </w:tcPr>
          <w:p>
            <w:pPr>
              <w:spacing w:after="0"/>
              <w:rPr>
                <w:sz w:val="15"/>
                <w:szCs w:val="15"/>
                <w:color w:val="auto"/>
              </w:rPr>
            </w:pPr>
          </w:p>
        </w:tc>
      </w:tr>
      <w:tr>
        <w:trPr>
          <w:trHeight w:val="166"/>
        </w:trPr>
        <w:tc>
          <w:tcPr>
            <w:tcW w:w="6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(38,124,247)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5,066,822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(132,177,053)</w:t>
            </w:r>
          </w:p>
        </w:tc>
      </w:tr>
      <w:tr>
        <w:trPr>
          <w:trHeight w:val="160"/>
        </w:trPr>
        <w:tc>
          <w:tcPr>
            <w:tcW w:w="6100" w:type="dxa"/>
            <w:vAlign w:val="bottom"/>
            <w:gridSpan w:val="2"/>
            <w:shd w:val="clear" w:color="auto" w:fill="CCEEFF"/>
          </w:tcPr>
          <w:p>
            <w:pPr>
              <w:ind w:left="160"/>
              <w:spacing w:after="0" w:line="160" w:lineRule="exact"/>
              <w:rPr>
                <w:sz w:val="20"/>
                <w:szCs w:val="20"/>
                <w:color w:val="auto"/>
              </w:rPr>
            </w:pPr>
            <w:r>
              <w:rPr>
                <w:rFonts w:ascii="Times New Roman" w:cs="Times New Roman" w:eastAsia="Times New Roman" w:hAnsi="Times New Roman"/>
                <w:sz w:val="15"/>
                <w:szCs w:val="15"/>
                <w:color w:val="auto"/>
              </w:rPr>
              <w:t>Adjustments to reconcile net change in net assets resulting from operations to net cash provided</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9"/>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by/(used in) operating activities: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5,020,314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11,947,504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5,905,453</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18,968,978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(30,453,935)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111,563,592</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Amortization of discount on 6.00% Notes due 2026</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468,999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319,092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425,550</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Amortization of discount on 6.50% Convertible Notes due 2029</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73,196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1,738,687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2,448,807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2,015,600</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Adjustments to escrow proceeds receivable</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(331,816)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117,136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(859,121)</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Accrued interest on U.S. Treasury bills</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18,150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13,024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Purchases of investments in:</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20" w:type="dxa"/>
            <w:vAlign w:val="bottom"/>
          </w:tcPr>
          <w:p>
            <w:pPr>
              <w:spacing w:after="0"/>
              <w:rPr>
                <w:sz w:val="15"/>
                <w:szCs w:val="15"/>
                <w:color w:val="auto"/>
              </w:rPr>
            </w:pP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(75,064,900)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(24,485,431)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(22,783,388)</w:t>
            </w:r>
          </w:p>
        </w:tc>
      </w:tr>
      <w:tr>
        <w:trPr>
          <w:trHeight w:val="175"/>
        </w:trPr>
        <w:tc>
          <w:tcPr>
            <w:tcW w:w="6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Treasury bills</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(253,585,717)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(184,172,673)</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Proceeds from sales or maturity of investments in:</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26,107,936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16,008,100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9,063,919</w:t>
            </w:r>
          </w:p>
        </w:tc>
      </w:tr>
      <w:tr>
        <w:trPr>
          <w:trHeight w:val="175"/>
        </w:trPr>
        <w:tc>
          <w:tcPr>
            <w:tcW w:w="6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 Treasury bills</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63,792,704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274,792,611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99,173,075</w:t>
            </w: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Proceeds receivable</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52,493</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263,995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319,039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1,418,313</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20" w:type="dxa"/>
            <w:vAlign w:val="bottom"/>
          </w:tcPr>
          <w:p>
            <w:pPr>
              <w:spacing w:after="0"/>
              <w:rPr>
                <w:sz w:val="15"/>
                <w:szCs w:val="15"/>
                <w:color w:val="auto"/>
              </w:rPr>
            </w:pP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(361,028)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232,404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210,978</w:t>
            </w:r>
          </w:p>
        </w:tc>
      </w:tr>
      <w:tr>
        <w:trPr>
          <w:trHeight w:val="175"/>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(623,415)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(55,111)</w:t>
            </w:r>
          </w:p>
        </w:tc>
      </w:tr>
      <w:tr>
        <w:trPr>
          <w:trHeight w:val="175"/>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422,086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(362,519)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(166,220)</w:t>
            </w:r>
          </w:p>
        </w:tc>
      </w:tr>
      <w:tr>
        <w:trPr>
          <w:trHeight w:val="186"/>
        </w:trPr>
        <w:tc>
          <w:tcPr>
            <w:tcW w:w="6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Accrued interest payable</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(175,000)</w:t>
            </w:r>
          </w:p>
        </w:tc>
      </w:tr>
      <w:tr>
        <w:trPr>
          <w:trHeight w:val="166"/>
        </w:trPr>
        <w:tc>
          <w:tcPr>
            <w:tcW w:w="6100" w:type="dxa"/>
            <w:vAlign w:val="bottom"/>
            <w:tcBorders>
              <w:bottom w:val="single" w:sz="8" w:color="CCEEFF"/>
            </w:tcBorders>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2,369,639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2,383,096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(110,559,593</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66"/>
        </w:trPr>
        <w:tc>
          <w:tcPr>
            <w:tcW w:w="6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the issuance of common stock, net</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229,896</w:t>
            </w: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proceeds from the issuance of 6.50% Convertible Notes due 2029</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30,000,000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debt issuance costs</w:t>
            </w:r>
          </w:p>
        </w:tc>
        <w:tc>
          <w:tcPr>
            <w:tcW w:w="120" w:type="dxa"/>
            <w:vAlign w:val="bottom"/>
          </w:tcPr>
          <w:p>
            <w:pPr>
              <w:spacing w:after="0"/>
              <w:rPr>
                <w:sz w:val="15"/>
                <w:szCs w:val="15"/>
                <w:color w:val="auto"/>
              </w:rPr>
            </w:pP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(1,021,789)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6.00% Notes due 2026</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(30,076,852)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120" w:type="dxa"/>
            <w:vAlign w:val="bottom"/>
          </w:tcPr>
          <w:p>
            <w:pPr>
              <w:spacing w:after="0"/>
              <w:rPr>
                <w:sz w:val="15"/>
                <w:szCs w:val="15"/>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183,668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(9,400,000)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(14,178,685)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(21,452,541)</w:t>
            </w:r>
          </w:p>
        </w:tc>
      </w:tr>
      <w:tr>
        <w:trPr>
          <w:trHeight w:val="175"/>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120" w:type="dxa"/>
            <w:vAlign w:val="bottom"/>
          </w:tcPr>
          <w:p>
            <w:pPr>
              <w:spacing w:after="0"/>
              <w:rPr>
                <w:sz w:val="15"/>
                <w:szCs w:val="15"/>
                <w:color w:val="auto"/>
              </w:rPr>
            </w:pPr>
          </w:p>
        </w:tc>
        <w:tc>
          <w:tcPr>
            <w:tcW w:w="148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(53,721)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(1,540)</w:t>
            </w:r>
          </w:p>
        </w:tc>
      </w:tr>
      <w:tr>
        <w:trPr>
          <w:trHeight w:val="18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dividends paid</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(143,657)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(143,657)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(26,535,702)</w:t>
            </w:r>
          </w:p>
        </w:tc>
      </w:tr>
      <w:tr>
        <w:trPr>
          <w:trHeight w:val="166"/>
        </w:trPr>
        <w:tc>
          <w:tcPr>
            <w:tcW w:w="6100" w:type="dxa"/>
            <w:vAlign w:val="bottom"/>
            <w:tcBorders>
              <w:bottom w:val="single" w:sz="8" w:color="CCEEFF"/>
            </w:tcBorders>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(10,512,351</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(14,322,342</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(47,759,887</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66"/>
        </w:trPr>
        <w:tc>
          <w:tcPr>
            <w:tcW w:w="6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Decrease in Cash Balance</w:t>
            </w: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(8,142,712</w:t>
            </w:r>
          </w:p>
        </w:tc>
        <w:tc>
          <w:tcPr>
            <w:tcW w:w="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(11,939,246</w:t>
            </w:r>
          </w:p>
        </w:tc>
        <w:tc>
          <w:tcPr>
            <w:tcW w:w="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(158,319,480</w:t>
            </w:r>
          </w:p>
        </w:tc>
        <w:tc>
          <w:tcPr>
            <w:tcW w:w="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66"/>
        </w:trPr>
        <w:tc>
          <w:tcPr>
            <w:tcW w:w="6100" w:type="dxa"/>
            <w:vAlign w:val="bottom"/>
            <w:tcBorders>
              <w:bottom w:val="single" w:sz="8" w:color="CCEEFF"/>
            </w:tcBorders>
            <w:gridSpan w:val="2"/>
          </w:tcPr>
          <w:p>
            <w:pPr>
              <w:spacing w:after="0" w:line="166" w:lineRule="exact"/>
              <w:rPr>
                <w:sz w:val="20"/>
                <w:szCs w:val="20"/>
                <w:color w:val="auto"/>
              </w:rPr>
            </w:pPr>
            <w:r>
              <w:rPr>
                <w:rFonts w:ascii="Times New Roman" w:cs="Times New Roman" w:eastAsia="Times New Roman" w:hAnsi="Times New Roman"/>
                <w:sz w:val="15"/>
                <w:szCs w:val="15"/>
                <w:color w:val="auto"/>
              </w:rPr>
              <w:t>Cash Balance at Beginning of Year</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28,178,352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40,117,598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198,437,078</w:t>
            </w:r>
          </w:p>
        </w:tc>
        <w:tc>
          <w:tcPr>
            <w:tcW w:w="100" w:type="dxa"/>
            <w:vAlign w:val="bottom"/>
            <w:tcBorders>
              <w:bottom w:val="single" w:sz="8" w:color="CCEEFF"/>
            </w:tcBorders>
          </w:tcPr>
          <w:p>
            <w:pPr>
              <w:spacing w:after="0"/>
              <w:rPr>
                <w:sz w:val="14"/>
                <w:szCs w:val="14"/>
                <w:color w:val="auto"/>
              </w:rPr>
            </w:pPr>
          </w:p>
        </w:tc>
      </w:tr>
      <w:tr>
        <w:trPr>
          <w:trHeight w:val="166"/>
        </w:trPr>
        <w:tc>
          <w:tcPr>
            <w:tcW w:w="61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Cash Balance at End of Year</w:t>
            </w:r>
          </w:p>
        </w:tc>
        <w:tc>
          <w:tcPr>
            <w:tcW w:w="1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20,035,640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28,178,352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40,117,598</w:t>
            </w:r>
          </w:p>
        </w:tc>
        <w:tc>
          <w:tcPr>
            <w:tcW w:w="100" w:type="dxa"/>
            <w:vAlign w:val="bottom"/>
            <w:shd w:val="clear" w:color="auto" w:fill="CCEEFF"/>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shd w:val="clear" w:color="auto" w:fill="CCEEFF"/>
          </w:tcPr>
          <w:p>
            <w:pPr>
              <w:spacing w:after="0"/>
              <w:rPr>
                <w:sz w:val="16"/>
                <w:szCs w:val="16"/>
                <w:color w:val="auto"/>
              </w:rPr>
            </w:pPr>
          </w:p>
        </w:tc>
      </w:tr>
      <w:tr>
        <w:trPr>
          <w:trHeight w:val="166"/>
        </w:trPr>
        <w:tc>
          <w:tcPr>
            <w:tcW w:w="610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Interest paid</w:t>
            </w:r>
          </w:p>
        </w:tc>
        <w:tc>
          <w:tcPr>
            <w:tcW w:w="1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4,359,287</w:t>
            </w:r>
          </w:p>
        </w:tc>
        <w:tc>
          <w:tcPr>
            <w:tcW w:w="120" w:type="dxa"/>
            <w:vAlign w:val="bottom"/>
          </w:tcPr>
          <w:p>
            <w:pPr>
              <w:spacing w:after="0"/>
              <w:rPr>
                <w:sz w:val="14"/>
                <w:szCs w:val="14"/>
                <w:color w:val="auto"/>
              </w:rPr>
            </w:pPr>
          </w:p>
        </w:tc>
        <w:tc>
          <w:tcPr>
            <w:tcW w:w="3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4,500,000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4,662,500</w:t>
            </w:r>
          </w:p>
        </w:tc>
        <w:tc>
          <w:tcPr>
            <w:tcW w:w="100" w:type="dxa"/>
            <w:vAlign w:val="bottom"/>
          </w:tcPr>
          <w:p>
            <w:pPr>
              <w:spacing w:after="0"/>
              <w:rPr>
                <w:sz w:val="14"/>
                <w:szCs w:val="14"/>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Taxes paid</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88,692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533,894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82,238</w:t>
            </w:r>
          </w:p>
        </w:tc>
      </w:tr>
      <w:tr>
        <w:trPr>
          <w:trHeight w:val="190"/>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 of use asset obtained in exchange for operating lease liabilities</w:t>
            </w:r>
          </w:p>
        </w:tc>
        <w:tc>
          <w:tcPr>
            <w:tcW w:w="120" w:type="dxa"/>
            <w:vAlign w:val="bottom"/>
          </w:tcPr>
          <w:p>
            <w:pPr>
              <w:spacing w:after="0"/>
              <w:rPr>
                <w:sz w:val="16"/>
                <w:szCs w:val="16"/>
                <w:color w:val="auto"/>
              </w:rPr>
            </w:pPr>
          </w:p>
        </w:tc>
        <w:tc>
          <w:tcPr>
            <w:tcW w:w="148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466,029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2"/>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7"/>
          </w:tcPr>
          <w:p>
            <w:pPr>
              <w:jc w:val="center"/>
              <w:ind w:left="1027"/>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gridSpan w:val="7"/>
          </w:tcPr>
          <w:p>
            <w:pPr>
              <w:jc w:val="center"/>
              <w:ind w:left="1027"/>
              <w:spacing w:after="0"/>
              <w:rPr>
                <w:sz w:val="20"/>
                <w:szCs w:val="20"/>
                <w:color w:val="auto"/>
              </w:rPr>
            </w:pPr>
            <w:r>
              <w:rPr>
                <w:rFonts w:ascii="Times New Roman" w:cs="Times New Roman" w:eastAsia="Times New Roman" w:hAnsi="Times New Roman"/>
                <w:sz w:val="15"/>
                <w:szCs w:val="15"/>
                <w:b w:val="1"/>
                <w:bCs w:val="1"/>
                <w:color w:val="auto"/>
                <w:w w:val="96"/>
              </w:rPr>
              <w:t>CONSOLIDATED SCHEDULE OF INVESTMENTS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left="167"/>
              <w:spacing w:after="0"/>
              <w:rPr>
                <w:sz w:val="20"/>
                <w:szCs w:val="20"/>
                <w:color w:val="auto"/>
              </w:rPr>
            </w:pPr>
            <w:r>
              <w:rPr>
                <w:rFonts w:ascii="Times New Roman" w:cs="Times New Roman" w:eastAsia="Times New Roman" w:hAnsi="Times New Roman"/>
                <w:sz w:val="15"/>
                <w:szCs w:val="15"/>
                <w:b w:val="1"/>
                <w:bCs w:val="1"/>
                <w:color w:val="auto"/>
                <w:w w:val="95"/>
              </w:rPr>
              <w:t>December 31, 2024</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Date of</w:t>
            </w:r>
          </w:p>
        </w:tc>
        <w:tc>
          <w:tcPr>
            <w:tcW w:w="120" w:type="dxa"/>
            <w:vAlign w:val="bottom"/>
          </w:tcPr>
          <w:p>
            <w:pPr>
              <w:spacing w:after="0"/>
              <w:rPr>
                <w:sz w:val="24"/>
                <w:szCs w:val="24"/>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Initial</w:t>
            </w:r>
          </w:p>
        </w:tc>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18"/>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line="218"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2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40" w:type="dxa"/>
            <w:vAlign w:val="bottom"/>
            <w:gridSpan w:val="2"/>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49"/>
        </w:trPr>
        <w:tc>
          <w:tcPr>
            <w:tcW w:w="2500" w:type="dxa"/>
            <w:vAlign w:val="bottom"/>
            <w:tcBorders>
              <w:top w:val="single" w:sz="8" w:color="auto"/>
            </w:tcBorders>
            <w:gridSpan w:val="23"/>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22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420" w:type="dxa"/>
            <w:vAlign w:val="bottom"/>
            <w:gridSpan w:val="1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CW Opportunity 2 LP</w:t>
            </w:r>
          </w:p>
        </w:tc>
        <w:tc>
          <w:tcPr>
            <w:tcW w:w="260" w:type="dxa"/>
            <w:vAlign w:val="bottom"/>
            <w:tcBorders>
              <w:bottom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w:t>
            </w:r>
          </w:p>
        </w:tc>
        <w:tc>
          <w:tcPr>
            <w:tcW w:w="20" w:type="dxa"/>
            <w:vAlign w:val="bottom"/>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8"/>
              </w:rPr>
              <w:t>Evanston, IL</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420" w:type="dxa"/>
            <w:vAlign w:val="bottom"/>
            <w:tcBorders>
              <w:bottom w:val="single" w:sz="8" w:color="auto"/>
            </w:tcBorders>
            <w:gridSpan w:val="14"/>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720" w:type="dxa"/>
            <w:vAlign w:val="bottom"/>
            <w:gridSpan w:val="24"/>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Membership Interest, Class A 10%</w:t>
            </w:r>
            <w:r>
              <w:rPr>
                <w:rFonts w:ascii="Times New Roman" w:cs="Times New Roman" w:eastAsia="Times New Roman" w:hAnsi="Times New Roman"/>
                <w:sz w:val="24"/>
                <w:szCs w:val="24"/>
                <w:color w:val="auto"/>
                <w:vertAlign w:val="superscript"/>
              </w:rPr>
              <w:t>***</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5/7/2024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15,000,000</w:t>
            </w: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15,176,443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17,775,155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142"/>
        </w:trPr>
        <w:tc>
          <w:tcPr>
            <w:tcW w:w="2720" w:type="dxa"/>
            <w:vAlign w:val="bottom"/>
            <w:gridSpan w:val="24"/>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ARK Type One Deep Ventures Fund</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w w:val="90"/>
              </w:rPr>
              <w:t>LLC</w:t>
            </w:r>
          </w:p>
        </w:tc>
        <w:tc>
          <w:tcPr>
            <w:tcW w:w="260" w:type="dxa"/>
            <w:vAlign w:val="bottom"/>
            <w:tcBorders>
              <w:top w:val="single" w:sz="8" w:color="auto"/>
              <w:bottom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92"/>
              </w:rPr>
              <w:t>**(9)</w:t>
            </w:r>
          </w:p>
        </w:tc>
        <w:tc>
          <w:tcPr>
            <w:tcW w:w="1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10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4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gridSpan w:val="2"/>
            <w:vMerge w:val="restart"/>
          </w:tcPr>
          <w:p>
            <w:pPr>
              <w:spacing w:after="0"/>
              <w:rPr>
                <w:sz w:val="11"/>
                <w:szCs w:val="11"/>
                <w:color w:val="auto"/>
              </w:rPr>
            </w:pPr>
          </w:p>
        </w:tc>
        <w:tc>
          <w:tcPr>
            <w:tcW w:w="260" w:type="dxa"/>
            <w:vAlign w:val="bottom"/>
            <w:tcBorders>
              <w:top w:val="single" w:sz="8" w:color="auto"/>
              <w:bottom w:val="single" w:sz="8" w:color="auto"/>
            </w:tcBorders>
            <w:gridSpan w:val="3"/>
            <w:vMerge w:val="restart"/>
          </w:tcPr>
          <w:p>
            <w:pPr>
              <w:spacing w:after="0"/>
              <w:rPr>
                <w:sz w:val="11"/>
                <w:szCs w:val="11"/>
                <w:color w:val="auto"/>
              </w:rPr>
            </w:pPr>
          </w:p>
        </w:tc>
        <w:tc>
          <w:tcPr>
            <w:tcW w:w="580" w:type="dxa"/>
            <w:vAlign w:val="bottom"/>
            <w:tcBorders>
              <w:top w:val="single" w:sz="8" w:color="auto"/>
              <w:bottom w:val="single" w:sz="8" w:color="auto"/>
            </w:tcBorders>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40" w:type="dxa"/>
            <w:vAlign w:val="bottom"/>
            <w:gridSpan w:val="2"/>
            <w:vMerge w:val="restart"/>
          </w:tcPr>
          <w:p>
            <w:pPr>
              <w:spacing w:after="0"/>
              <w:rPr>
                <w:sz w:val="11"/>
                <w:szCs w:val="11"/>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7"/>
              </w:rPr>
              <w:t>St. Petersburg, FL</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3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AI Application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9/25/2024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17,500,000</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17,696,568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17,638,247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auto"/>
            </w:tcBorders>
            <w:gridSpan w:val="21"/>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Learneo, Inc. (f/k/a Course Hero, Inc.)</w:t>
            </w:r>
          </w:p>
        </w:tc>
        <w:tc>
          <w:tcPr>
            <w:tcW w:w="320" w:type="dxa"/>
            <w:vAlign w:val="bottom"/>
            <w:gridSpan w:val="3"/>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5"/>
              </w:rPr>
              <w:t>Redwood City, CA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9/18/2014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2,145,509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6,882,058</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0" w:type="dxa"/>
            <w:vAlign w:val="bottom"/>
          </w:tcPr>
          <w:p>
            <w:pPr>
              <w:spacing w:after="0"/>
              <w:rPr>
                <w:sz w:val="1"/>
                <w:szCs w:val="1"/>
                <w:color w:val="auto"/>
              </w:rPr>
            </w:pPr>
          </w:p>
        </w:tc>
      </w:tr>
      <w:tr>
        <w:trPr>
          <w:trHeight w:val="18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11/5/2021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275,659</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9,999,971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9,999,971</w:t>
            </w: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4"/>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14,999,972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16,882,029</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10.71</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39"/>
        </w:trPr>
        <w:tc>
          <w:tcPr>
            <w:tcW w:w="1120" w:type="dxa"/>
            <w:vAlign w:val="bottom"/>
            <w:tcBorders>
              <w:bottom w:val="single" w:sz="8" w:color="auto"/>
            </w:tcBorders>
            <w:gridSpan w:val="12"/>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Blink Health, Inc.</w:t>
            </w:r>
          </w:p>
        </w:tc>
        <w:tc>
          <w:tcPr>
            <w:tcW w:w="1600" w:type="dxa"/>
            <w:vAlign w:val="bottom"/>
            <w:gridSpan w:val="12"/>
          </w:tcPr>
          <w:p>
            <w:pPr>
              <w:spacing w:after="0"/>
              <w:rPr>
                <w:sz w:val="12"/>
                <w:szCs w:val="12"/>
                <w:color w:val="auto"/>
              </w:rPr>
            </w:pPr>
          </w:p>
        </w:tc>
        <w:tc>
          <w:tcPr>
            <w:tcW w:w="2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Pharmaceutical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238,095</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5,000,423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4,998,467</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0" w:type="dxa"/>
            <w:vAlign w:val="bottom"/>
          </w:tcPr>
          <w:p>
            <w:pPr>
              <w:spacing w:after="0"/>
              <w:rPr>
                <w:sz w:val="1"/>
                <w:szCs w:val="1"/>
                <w:color w:val="auto"/>
              </w:rPr>
            </w:pPr>
          </w:p>
        </w:tc>
      </w:tr>
      <w:tr>
        <w:trPr>
          <w:trHeight w:val="18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261,944</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10,003,917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10,094,048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4"/>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15,004,340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15,092,515</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9.58</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39"/>
        </w:trPr>
        <w:tc>
          <w:tcPr>
            <w:tcW w:w="780" w:type="dxa"/>
            <w:vAlign w:val="bottom"/>
            <w:tcBorders>
              <w:bottom w:val="single" w:sz="8" w:color="auto"/>
            </w:tcBorders>
            <w:gridSpan w:val="6"/>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Whoop, Inc.</w:t>
            </w:r>
          </w:p>
        </w:tc>
        <w:tc>
          <w:tcPr>
            <w:tcW w:w="1940" w:type="dxa"/>
            <w:vAlign w:val="bottom"/>
            <w:gridSpan w:val="18"/>
          </w:tcPr>
          <w:p>
            <w:pPr>
              <w:spacing w:after="0"/>
              <w:rPr>
                <w:sz w:val="12"/>
                <w:szCs w:val="12"/>
                <w:color w:val="auto"/>
              </w:rPr>
            </w:pPr>
          </w:p>
        </w:tc>
        <w:tc>
          <w:tcPr>
            <w:tcW w:w="2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7"/>
              </w:rPr>
              <w:t>Boston, MA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Fitness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13,293,450</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10,011,460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14,923,457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0" w:type="dxa"/>
            <w:vAlign w:val="bottom"/>
          </w:tcPr>
          <w:p>
            <w:pPr>
              <w:spacing w:after="0"/>
              <w:rPr>
                <w:sz w:val="1"/>
                <w:szCs w:val="1"/>
                <w:color w:val="auto"/>
              </w:rPr>
            </w:pPr>
          </w:p>
        </w:tc>
      </w:tr>
      <w:tr>
        <w:trPr>
          <w:trHeight w:val="120"/>
        </w:trPr>
        <w:tc>
          <w:tcPr>
            <w:tcW w:w="1100" w:type="dxa"/>
            <w:vAlign w:val="bottom"/>
            <w:gridSpan w:val="11"/>
            <w:vMerge w:val="restart"/>
          </w:tcPr>
          <w:p>
            <w:pPr>
              <w:spacing w:after="0"/>
              <w:rPr>
                <w:sz w:val="20"/>
                <w:szCs w:val="20"/>
                <w:color w:val="auto"/>
              </w:rPr>
            </w:pPr>
            <w:r>
              <w:rPr>
                <w:rFonts w:ascii="Times New Roman" w:cs="Times New Roman" w:eastAsia="Times New Roman" w:hAnsi="Times New Roman"/>
                <w:sz w:val="15"/>
                <w:szCs w:val="15"/>
                <w:b w:val="1"/>
                <w:bCs w:val="1"/>
                <w:color w:val="auto"/>
                <w:w w:val="94"/>
              </w:rPr>
              <w:t>ServiceTitan, Inc.</w:t>
            </w:r>
          </w:p>
        </w:tc>
        <w:tc>
          <w:tcPr>
            <w:tcW w:w="340" w:type="dxa"/>
            <w:vAlign w:val="bottom"/>
            <w:tcBorders>
              <w:bottom w:val="single" w:sz="8" w:color="auto"/>
            </w:tcBorders>
            <w:gridSpan w:val="4"/>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**(16)</w:t>
            </w:r>
          </w:p>
        </w:tc>
        <w:tc>
          <w:tcPr>
            <w:tcW w:w="260" w:type="dxa"/>
            <w:vAlign w:val="bottom"/>
            <w:gridSpan w:val="3"/>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6"/>
              </w:rPr>
              <w:t>Glendale, CA</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100" w:type="dxa"/>
            <w:vAlign w:val="bottom"/>
            <w:tcBorders>
              <w:bottom w:val="single" w:sz="8" w:color="auto"/>
            </w:tcBorders>
            <w:gridSpan w:val="11"/>
            <w:vMerge w:val="continue"/>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720" w:type="dxa"/>
            <w:vAlign w:val="bottom"/>
            <w:gridSpan w:val="24"/>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060" w:type="dxa"/>
            <w:vAlign w:val="bottom"/>
            <w:gridSpan w:val="2"/>
            <w:shd w:val="clear" w:color="auto" w:fill="CCEEFF"/>
          </w:tcPr>
          <w:p>
            <w:pPr>
              <w:jc w:val="center"/>
              <w:ind w:right="240"/>
              <w:spacing w:after="0" w:line="167" w:lineRule="exact"/>
              <w:rPr>
                <w:sz w:val="20"/>
                <w:szCs w:val="20"/>
                <w:color w:val="auto"/>
              </w:rPr>
            </w:pPr>
            <w:r>
              <w:rPr>
                <w:rFonts w:ascii="Times New Roman" w:cs="Times New Roman" w:eastAsia="Times New Roman" w:hAnsi="Times New Roman"/>
                <w:sz w:val="15"/>
                <w:szCs w:val="15"/>
                <w:color w:val="auto"/>
                <w:w w:val="97"/>
              </w:rPr>
              <w:t>Contractor Management</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gridSpan w:val="24"/>
            <w:vMerge w:val="continue"/>
            <w:shd w:val="clear" w:color="auto" w:fill="CCEEFF"/>
          </w:tcPr>
          <w:p>
            <w:pPr>
              <w:spacing w:after="0"/>
              <w:rPr>
                <w:sz w:val="16"/>
                <w:szCs w:val="16"/>
                <w:color w:val="auto"/>
              </w:rPr>
            </w:pP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151,515</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10,008,233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14,027,713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0" w:type="dxa"/>
            <w:vAlign w:val="bottom"/>
          </w:tcPr>
          <w:p>
            <w:pPr>
              <w:spacing w:after="0"/>
              <w:rPr>
                <w:sz w:val="1"/>
                <w:szCs w:val="1"/>
                <w:color w:val="auto"/>
              </w:rPr>
            </w:pPr>
          </w:p>
        </w:tc>
      </w:tr>
      <w:tr>
        <w:trPr>
          <w:trHeight w:val="120"/>
        </w:trPr>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IH10, LLC</w:t>
            </w:r>
          </w:p>
        </w:tc>
        <w:tc>
          <w:tcPr>
            <w:tcW w:w="320" w:type="dxa"/>
            <w:vAlign w:val="bottom"/>
            <w:tcBorders>
              <w:bottom w:val="single" w:sz="8" w:color="auto"/>
            </w:tcBorders>
            <w:gridSpan w:val="5"/>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**(15)</w:t>
            </w:r>
          </w:p>
        </w:tc>
        <w:tc>
          <w:tcPr>
            <w:tcW w:w="20" w:type="dxa"/>
            <w:vAlign w:val="bottom"/>
            <w:vMerge w:val="restart"/>
          </w:tcPr>
          <w:p>
            <w:pPr>
              <w:spacing w:after="0"/>
              <w:rPr>
                <w:sz w:val="10"/>
                <w:szCs w:val="10"/>
                <w:color w:val="auto"/>
              </w:rPr>
            </w:pPr>
          </w:p>
        </w:tc>
        <w:tc>
          <w:tcPr>
            <w:tcW w:w="320" w:type="dxa"/>
            <w:vAlign w:val="bottom"/>
            <w:gridSpan w:val="3"/>
            <w:vMerge w:val="restart"/>
          </w:tcPr>
          <w:p>
            <w:pPr>
              <w:spacing w:after="0"/>
              <w:rPr>
                <w:sz w:val="10"/>
                <w:szCs w:val="10"/>
                <w:color w:val="auto"/>
              </w:rPr>
            </w:pPr>
          </w:p>
        </w:tc>
        <w:tc>
          <w:tcPr>
            <w:tcW w:w="340" w:type="dxa"/>
            <w:vAlign w:val="bottom"/>
            <w:gridSpan w:val="5"/>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auto"/>
            </w:tcBorders>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20" w:type="dxa"/>
            <w:vAlign w:val="bottom"/>
            <w:gridSpan w:val="3"/>
            <w:vMerge w:val="continue"/>
          </w:tcPr>
          <w:p>
            <w:pPr>
              <w:spacing w:after="0"/>
              <w:rPr>
                <w:sz w:val="3"/>
                <w:szCs w:val="3"/>
                <w:color w:val="auto"/>
              </w:rPr>
            </w:pPr>
          </w:p>
        </w:tc>
        <w:tc>
          <w:tcPr>
            <w:tcW w:w="34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AI Infrastructure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10/9/2024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12,000,010</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12,273,784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12,215,010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0" w:type="dxa"/>
            <w:vAlign w:val="bottom"/>
          </w:tcPr>
          <w:p>
            <w:pPr>
              <w:spacing w:after="0"/>
              <w:rPr>
                <w:sz w:val="1"/>
                <w:szCs w:val="1"/>
                <w:color w:val="auto"/>
              </w:rPr>
            </w:pPr>
          </w:p>
        </w:tc>
      </w:tr>
      <w:tr>
        <w:trPr>
          <w:trHeight w:val="120"/>
        </w:trPr>
        <w:tc>
          <w:tcPr>
            <w:tcW w:w="72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b w:val="1"/>
                <w:bCs w:val="1"/>
                <w:color w:val="auto"/>
                <w:w w:val="94"/>
              </w:rPr>
              <w:t>Canva, Inc.</w:t>
            </w:r>
          </w:p>
        </w:tc>
        <w:tc>
          <w:tcPr>
            <w:tcW w:w="12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320" w:type="dxa"/>
            <w:vAlign w:val="bottom"/>
            <w:gridSpan w:val="3"/>
            <w:vMerge w:val="restart"/>
          </w:tcPr>
          <w:p>
            <w:pPr>
              <w:spacing w:after="0"/>
              <w:rPr>
                <w:sz w:val="10"/>
                <w:szCs w:val="10"/>
                <w:color w:val="auto"/>
              </w:rPr>
            </w:pPr>
          </w:p>
        </w:tc>
        <w:tc>
          <w:tcPr>
            <w:tcW w:w="340" w:type="dxa"/>
            <w:vAlign w:val="bottom"/>
            <w:gridSpan w:val="5"/>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6"/>
              </w:rPr>
              <w:t>Sydney, Australia</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gridSpan w:val="5"/>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320" w:type="dxa"/>
            <w:vAlign w:val="bottom"/>
            <w:gridSpan w:val="3"/>
            <w:vMerge w:val="continue"/>
          </w:tcPr>
          <w:p>
            <w:pPr>
              <w:spacing w:after="0"/>
              <w:rPr>
                <w:sz w:val="3"/>
                <w:szCs w:val="3"/>
                <w:color w:val="auto"/>
              </w:rPr>
            </w:pPr>
          </w:p>
        </w:tc>
        <w:tc>
          <w:tcPr>
            <w:tcW w:w="34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Productivity 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4/17/2024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9,375</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10,058,820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12,000,000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0" w:type="dxa"/>
            <w:vAlign w:val="bottom"/>
          </w:tcPr>
          <w:p>
            <w:pPr>
              <w:spacing w:after="0"/>
              <w:rPr>
                <w:sz w:val="1"/>
                <w:szCs w:val="1"/>
                <w:color w:val="auto"/>
              </w:rPr>
            </w:pPr>
          </w:p>
        </w:tc>
      </w:tr>
      <w:tr>
        <w:trPr>
          <w:trHeight w:val="142"/>
        </w:trPr>
        <w:tc>
          <w:tcPr>
            <w:tcW w:w="2720" w:type="dxa"/>
            <w:vAlign w:val="bottom"/>
            <w:gridSpan w:val="24"/>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FourKites, Inc.</w:t>
            </w: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Supply Chain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7/7/2023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1,398,024</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8,530,389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11,716,925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gridSpan w:val="13"/>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Locus Robotics Corp.</w:t>
            </w:r>
          </w:p>
        </w:tc>
        <w:tc>
          <w:tcPr>
            <w:tcW w:w="1360" w:type="dxa"/>
            <w:vAlign w:val="bottom"/>
            <w:gridSpan w:val="11"/>
          </w:tcPr>
          <w:p>
            <w:pPr>
              <w:spacing w:after="0"/>
              <w:rPr>
                <w:sz w:val="12"/>
                <w:szCs w:val="12"/>
                <w:color w:val="auto"/>
              </w:rPr>
            </w:pPr>
          </w:p>
        </w:tc>
        <w:tc>
          <w:tcPr>
            <w:tcW w:w="2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5"/>
                <w:szCs w:val="15"/>
                <w:color w:val="auto"/>
                <w:w w:val="95"/>
              </w:rPr>
              <w:t>Wilmington, MA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Warehouse Automation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11/30/2022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232,568</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10,004,286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11,316,312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auto"/>
            </w:tcBorders>
            <w:gridSpan w:val="10"/>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5"/>
              </w:rPr>
              <w:t>CoreWeave, Inc.</w:t>
            </w:r>
          </w:p>
        </w:tc>
        <w:tc>
          <w:tcPr>
            <w:tcW w:w="1680" w:type="dxa"/>
            <w:vAlign w:val="bottom"/>
            <w:gridSpan w:val="14"/>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Roseland, NJ</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AI Infrastructure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9/26/2024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5,556</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5,002,973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5,221,824</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86"/>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10/8/2024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5,556</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5,000,610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5,221,824</w:t>
            </w: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4"/>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10,003,583</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10,443,648</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6.63</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22"/>
        </w:trPr>
        <w:tc>
          <w:tcPr>
            <w:tcW w:w="2380" w:type="dxa"/>
            <w:vAlign w:val="bottom"/>
            <w:tcBorders>
              <w:bottom w:val="single" w:sz="8" w:color="auto"/>
            </w:tcBorders>
            <w:gridSpan w:val="20"/>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Supplying Demand, Inc. (d/b/a Liquid</w:t>
            </w:r>
          </w:p>
        </w:tc>
        <w:tc>
          <w:tcPr>
            <w:tcW w:w="340" w:type="dxa"/>
            <w:vAlign w:val="bottom"/>
            <w:gridSpan w:val="4"/>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20" w:type="dxa"/>
            <w:vAlign w:val="bottom"/>
            <w:gridSpan w:val="24"/>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Death)</w:t>
            </w:r>
          </w:p>
        </w:tc>
        <w:tc>
          <w:tcPr>
            <w:tcW w:w="20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color w:val="auto"/>
                <w:w w:val="96"/>
              </w:rPr>
              <w:t>Los Angeles, CA</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F-1</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Lifestyle Beverage Brand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1/18/2024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776,747</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10,003,934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9,999,996</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auto"/>
            </w:tcBorders>
            <w:gridSpan w:val="22"/>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Shogun Enterprises, Inc. (d/b/a Hearth)</w:t>
            </w:r>
          </w:p>
        </w:tc>
        <w:tc>
          <w:tcPr>
            <w:tcW w:w="240" w:type="dxa"/>
            <w:vAlign w:val="bottom"/>
            <w:gridSpan w:val="2"/>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Austin, TX</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Home Improvement Finance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436,844</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3,501,657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2,342,458</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75"/>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301,750</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3,501,661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2,342,461</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75"/>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5/2/2022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56,936</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530,822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355,264</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0" w:type="dxa"/>
            <w:vAlign w:val="bottom"/>
          </w:tcPr>
          <w:p>
            <w:pPr>
              <w:spacing w:after="0"/>
              <w:rPr>
                <w:sz w:val="1"/>
                <w:szCs w:val="1"/>
                <w:color w:val="auto"/>
              </w:rPr>
            </w:pPr>
          </w:p>
        </w:tc>
      </w:tr>
      <w:tr>
        <w:trPr>
          <w:trHeight w:val="175"/>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48,267</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366,606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334,636</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0"/>
        </w:trPr>
        <w:tc>
          <w:tcPr>
            <w:tcW w:w="2720" w:type="dxa"/>
            <w:vAlign w:val="bottom"/>
            <w:gridSpan w:val="24"/>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1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7/12/2026</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86,076</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140,060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4"/>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8,040,806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5,374,819</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3.41</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46"/>
        </w:trPr>
        <w:tc>
          <w:tcPr>
            <w:tcW w:w="1700" w:type="dxa"/>
            <w:vAlign w:val="bottom"/>
            <w:tcBorders>
              <w:bottom w:val="single" w:sz="8" w:color="auto"/>
            </w:tcBorders>
            <w:gridSpan w:val="18"/>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5"/>
              </w:rPr>
              <w:t>Orchard Technologies, Inc.</w:t>
            </w:r>
          </w:p>
        </w:tc>
        <w:tc>
          <w:tcPr>
            <w:tcW w:w="1020" w:type="dxa"/>
            <w:vAlign w:val="bottom"/>
            <w:tcBorders>
              <w:bottom w:val="single" w:sz="8" w:color="CCEEFF"/>
            </w:tcBorders>
            <w:gridSpan w:val="6"/>
            <w:shd w:val="clear" w:color="auto" w:fill="CCEEFF"/>
          </w:tcPr>
          <w:p>
            <w:pPr>
              <w:spacing w:after="0"/>
              <w:rPr>
                <w:sz w:val="12"/>
                <w:szCs w:val="12"/>
                <w:color w:val="auto"/>
              </w:rPr>
            </w:pPr>
          </w:p>
        </w:tc>
        <w:tc>
          <w:tcPr>
            <w:tcW w:w="2060" w:type="dxa"/>
            <w:vAlign w:val="bottom"/>
            <w:tcBorders>
              <w:bottom w:val="single" w:sz="8" w:color="CCEEFF"/>
            </w:tcBorders>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Real Estate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558,052</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Preferred shares, Series 2 8%</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58,771</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587,951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Senior Preferred shares, Series 1 7%</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441,228</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4,418,406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4,412,280</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186"/>
        </w:trPr>
        <w:tc>
          <w:tcPr>
            <w:tcW w:w="27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558,053</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4"/>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12,509,393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4,412,280</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2.80</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46"/>
        </w:trPr>
        <w:tc>
          <w:tcPr>
            <w:tcW w:w="2280" w:type="dxa"/>
            <w:vAlign w:val="bottom"/>
            <w:tcBorders>
              <w:bottom w:val="single" w:sz="8" w:color="auto"/>
            </w:tcBorders>
            <w:gridSpan w:val="19"/>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Neutron Holdings, Inc. (d/b/a/ Lime)</w:t>
            </w:r>
          </w:p>
        </w:tc>
        <w:tc>
          <w:tcPr>
            <w:tcW w:w="440" w:type="dxa"/>
            <w:vAlign w:val="bottom"/>
            <w:tcBorders>
              <w:bottom w:val="single" w:sz="8" w:color="CCEEFF"/>
            </w:tcBorders>
            <w:gridSpan w:val="5"/>
            <w:shd w:val="clear" w:color="auto" w:fill="CCEEFF"/>
          </w:tcPr>
          <w:p>
            <w:pPr>
              <w:spacing w:after="0"/>
              <w:rPr>
                <w:sz w:val="12"/>
                <w:szCs w:val="12"/>
                <w:color w:val="auto"/>
              </w:rPr>
            </w:pPr>
          </w:p>
        </w:tc>
        <w:tc>
          <w:tcPr>
            <w:tcW w:w="2060" w:type="dxa"/>
            <w:vAlign w:val="bottom"/>
            <w:tcBorders>
              <w:bottom w:val="single" w:sz="8" w:color="CCEEFF"/>
            </w:tcBorders>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Junior Preferred shares, Series 1-D</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Micromobility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1/25/2019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41,237,113</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10,007,322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3,485,014</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62"/>
        </w:trPr>
        <w:tc>
          <w:tcPr>
            <w:tcW w:w="272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Junior Preferred Convertible Note 4%</w:t>
            </w: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720" w:type="dxa"/>
            <w:vAlign w:val="bottom"/>
            <w:gridSpan w:val="24"/>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Due 5/11/2027</w:t>
            </w:r>
            <w:r>
              <w:rPr>
                <w:rFonts w:ascii="Times New Roman" w:cs="Times New Roman" w:eastAsia="Times New Roman" w:hAnsi="Times New Roman"/>
                <w:sz w:val="24"/>
                <w:szCs w:val="24"/>
                <w:color w:val="auto"/>
                <w:vertAlign w:val="superscript"/>
              </w:rPr>
              <w:t>***</w:t>
            </w: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5/11/2020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506,339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0"/>
        </w:trPr>
        <w:tc>
          <w:tcPr>
            <w:tcW w:w="2720" w:type="dxa"/>
            <w:vAlign w:val="bottom"/>
            <w:gridSpan w:val="24"/>
          </w:tcPr>
          <w:p>
            <w:pPr>
              <w:ind w:left="20"/>
              <w:spacing w:after="0" w:line="160"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24"/>
          </w:tcPr>
          <w:p>
            <w:pPr>
              <w:ind w:left="20"/>
              <w:spacing w:after="0"/>
              <w:rPr>
                <w:sz w:val="20"/>
                <w:szCs w:val="20"/>
                <w:color w:val="auto"/>
              </w:rPr>
            </w:pPr>
            <w:r>
              <w:rPr>
                <w:rFonts w:ascii="Times New Roman" w:cs="Times New Roman" w:eastAsia="Times New Roman" w:hAnsi="Times New Roman"/>
                <w:sz w:val="15"/>
                <w:szCs w:val="15"/>
                <w:color w:val="auto"/>
              </w:rPr>
              <w:t>Expiration Date 5/11/2027</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5/11/2020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2,032,967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4"/>
            <w:shd w:val="clear" w:color="auto" w:fill="CCEEFF"/>
          </w:tcPr>
          <w:p>
            <w:pPr>
              <w:ind w:left="16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10,513,661</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3,991,353</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2.53</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Date of</w:t>
            </w:r>
          </w:p>
        </w:tc>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Initial</w:t>
            </w:r>
          </w:p>
        </w:tc>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18"/>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line="218" w:lineRule="exact"/>
              <w:rPr>
                <w:sz w:val="20"/>
                <w:szCs w:val="20"/>
                <w:color w:val="auto"/>
              </w:rPr>
            </w:pPr>
            <w:r>
              <w:rPr>
                <w:rFonts w:ascii="Times New Roman" w:cs="Times New Roman" w:eastAsia="Times New Roman" w:hAnsi="Times New Roman"/>
                <w:sz w:val="15"/>
                <w:szCs w:val="15"/>
                <w:b w:val="1"/>
                <w:bCs w:val="1"/>
                <w:color w:val="auto"/>
                <w:w w:val="89"/>
              </w:rPr>
              <w:t>Industry</w:t>
            </w:r>
            <w:r>
              <w:rPr>
                <w:rFonts w:ascii="Times New Roman" w:cs="Times New Roman" w:eastAsia="Times New Roman" w:hAnsi="Times New Roman"/>
                <w:sz w:val="24"/>
                <w:szCs w:val="24"/>
                <w:b w:val="1"/>
                <w:bCs w:val="1"/>
                <w:color w:val="auto"/>
                <w:w w:val="89"/>
                <w:vertAlign w:val="superscript"/>
              </w:rPr>
              <w:t>(15)</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line="218"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40" w:type="dxa"/>
            <w:vAlign w:val="bottom"/>
            <w:gridSpan w:val="2"/>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11"/>
        </w:trPr>
        <w:tc>
          <w:tcPr>
            <w:tcW w:w="2260" w:type="dxa"/>
            <w:vAlign w:val="bottom"/>
            <w:tcBorders>
              <w:top w:val="single" w:sz="8" w:color="auto"/>
              <w:bottom w:val="single" w:sz="8" w:color="auto"/>
            </w:tcBorders>
            <w:gridSpan w:val="25"/>
            <w:vMerge w:val="restart"/>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w w:val="95"/>
              </w:rPr>
              <w:t>True Global Ventures 4 Plus Pte Ltd</w:t>
            </w:r>
          </w:p>
        </w:tc>
        <w:tc>
          <w:tcPr>
            <w:tcW w:w="120" w:type="dxa"/>
            <w:vAlign w:val="bottom"/>
            <w:tcBorders>
              <w:top w:val="single" w:sz="8" w:color="auto"/>
              <w:bottom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82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12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260" w:type="dxa"/>
            <w:vAlign w:val="bottom"/>
            <w:tcBorders>
              <w:bottom w:val="single" w:sz="8" w:color="auto"/>
            </w:tcBorders>
            <w:gridSpan w:val="25"/>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2060" w:type="dxa"/>
            <w:vAlign w:val="bottom"/>
            <w:tcBorders>
              <w:bottom w:val="single" w:sz="8" w:color="CCEEFF"/>
            </w:tcBorders>
            <w:gridSpan w:val="2"/>
            <w:vMerge w:val="restart"/>
            <w:shd w:val="clear" w:color="auto" w:fill="CCEEFF"/>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w w:val="97"/>
              </w:rPr>
              <w:t>Singapore, Singapore</w:t>
            </w:r>
          </w:p>
        </w:tc>
        <w:tc>
          <w:tcPr>
            <w:tcW w:w="112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90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60" w:type="dxa"/>
            <w:vAlign w:val="bottom"/>
            <w:gridSpan w:val="2"/>
            <w:vMerge w:val="continue"/>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Limited Partner Fund Investment</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Venture Investment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8/27/2021</w:t>
            </w:r>
          </w:p>
        </w:tc>
        <w:tc>
          <w:tcPr>
            <w:tcW w:w="24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2,000,000</w:t>
            </w:r>
          </w:p>
        </w:tc>
        <w:tc>
          <w:tcPr>
            <w:tcW w:w="32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585,016</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3,489,005</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42"/>
        </w:trPr>
        <w:tc>
          <w:tcPr>
            <w:tcW w:w="2720" w:type="dxa"/>
            <w:vAlign w:val="bottom"/>
            <w:gridSpan w:val="29"/>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PayJoy, Inc.</w:t>
            </w:r>
          </w:p>
        </w:tc>
        <w:tc>
          <w:tcPr>
            <w:tcW w:w="2060" w:type="dxa"/>
            <w:vAlign w:val="bottom"/>
            <w:gridSpan w:val="2"/>
            <w:shd w:val="clear" w:color="auto" w:fill="CCEEFF"/>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Mobile Access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7/23/2021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244,117</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2,501,570</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2,500,002</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86"/>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5/25/2023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501,470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9"/>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3,003,040</w:t>
            </w:r>
          </w:p>
        </w:tc>
        <w:tc>
          <w:tcPr>
            <w:tcW w:w="34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3,000,002</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1.90</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00"/>
        </w:trPr>
        <w:tc>
          <w:tcPr>
            <w:tcW w:w="600" w:type="dxa"/>
            <w:vAlign w:val="bottom"/>
            <w:tcBorders>
              <w:bottom w:val="single" w:sz="8" w:color="CCEEFF"/>
            </w:tcBorders>
            <w:gridSpan w:val="3"/>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2"/>
              </w:rPr>
              <w:t>Trax Ltd.</w:t>
            </w:r>
          </w:p>
        </w:tc>
        <w:tc>
          <w:tcPr>
            <w:tcW w:w="220" w:type="dxa"/>
            <w:vAlign w:val="bottom"/>
            <w:tcBorders>
              <w:bottom w:val="single" w:sz="8" w:color="auto"/>
              <w:right w:val="single" w:sz="8" w:color="CCEEFF"/>
            </w:tcBorders>
            <w:gridSpan w:val="2"/>
            <w:shd w:val="clear" w:color="auto" w:fill="CCEEFF"/>
          </w:tcPr>
          <w:p>
            <w:pPr>
              <w:jc w:val="right"/>
              <w:ind w:right="39"/>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160" w:type="dxa"/>
            <w:vAlign w:val="bottom"/>
            <w:tcBorders>
              <w:bottom w:val="single" w:sz="8" w:color="CCEEFF"/>
            </w:tcBorders>
            <w:vMerge w:val="restart"/>
            <w:shd w:val="clear" w:color="auto" w:fill="CCEEFF"/>
          </w:tcPr>
          <w:p>
            <w:pPr>
              <w:spacing w:after="0"/>
              <w:rPr>
                <w:sz w:val="8"/>
                <w:szCs w:val="8"/>
                <w:color w:val="auto"/>
              </w:rPr>
            </w:pPr>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40" w:type="dxa"/>
            <w:vAlign w:val="bottom"/>
            <w:tcBorders>
              <w:bottom w:val="single" w:sz="8" w:color="CCEEFF"/>
            </w:tcBorders>
            <w:vMerge w:val="restart"/>
            <w:shd w:val="clear" w:color="auto" w:fill="CCEEFF"/>
          </w:tcPr>
          <w:p>
            <w:pPr>
              <w:spacing w:after="0"/>
              <w:rPr>
                <w:sz w:val="8"/>
                <w:szCs w:val="8"/>
                <w:color w:val="auto"/>
              </w:rPr>
            </w:pPr>
          </w:p>
        </w:tc>
        <w:tc>
          <w:tcPr>
            <w:tcW w:w="10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4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14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80" w:type="dxa"/>
            <w:vAlign w:val="bottom"/>
            <w:tcBorders>
              <w:bottom w:val="single" w:sz="8" w:color="CCEEFF"/>
            </w:tcBorders>
            <w:vMerge w:val="restart"/>
            <w:shd w:val="clear" w:color="auto" w:fill="CCEEFF"/>
          </w:tcPr>
          <w:p>
            <w:pPr>
              <w:spacing w:after="0"/>
              <w:rPr>
                <w:sz w:val="8"/>
                <w:szCs w:val="8"/>
                <w:color w:val="auto"/>
              </w:rPr>
            </w:pPr>
          </w:p>
        </w:tc>
        <w:tc>
          <w:tcPr>
            <w:tcW w:w="40" w:type="dxa"/>
            <w:vAlign w:val="bottom"/>
            <w:tcBorders>
              <w:bottom w:val="single" w:sz="8" w:color="CCEEFF"/>
            </w:tcBorders>
            <w:vMerge w:val="restart"/>
            <w:shd w:val="clear" w:color="auto" w:fill="CCEEFF"/>
          </w:tcPr>
          <w:p>
            <w:pPr>
              <w:spacing w:after="0"/>
              <w:rPr>
                <w:sz w:val="8"/>
                <w:szCs w:val="8"/>
                <w:color w:val="auto"/>
              </w:rPr>
            </w:pPr>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20" w:type="dxa"/>
            <w:vAlign w:val="bottom"/>
            <w:tcBorders>
              <w:bottom w:val="single" w:sz="8" w:color="CCEEFF"/>
            </w:tcBorders>
            <w:gridSpan w:val="2"/>
            <w:vMerge w:val="restart"/>
            <w:shd w:val="clear" w:color="auto" w:fill="CCEEFF"/>
          </w:tcPr>
          <w:p>
            <w:pPr>
              <w:spacing w:after="0"/>
              <w:rPr>
                <w:sz w:val="8"/>
                <w:szCs w:val="8"/>
                <w:color w:val="auto"/>
              </w:rPr>
            </w:pPr>
          </w:p>
        </w:tc>
        <w:tc>
          <w:tcPr>
            <w:tcW w:w="160" w:type="dxa"/>
            <w:vAlign w:val="bottom"/>
            <w:tcBorders>
              <w:bottom w:val="single" w:sz="8" w:color="CCEEFF"/>
            </w:tcBorders>
            <w:gridSpan w:val="2"/>
            <w:vMerge w:val="restart"/>
            <w:shd w:val="clear" w:color="auto" w:fill="CCEEFF"/>
          </w:tcPr>
          <w:p>
            <w:pPr>
              <w:spacing w:after="0"/>
              <w:rPr>
                <w:sz w:val="8"/>
                <w:szCs w:val="8"/>
                <w:color w:val="auto"/>
              </w:rPr>
            </w:pPr>
          </w:p>
        </w:tc>
        <w:tc>
          <w:tcPr>
            <w:tcW w:w="220" w:type="dxa"/>
            <w:vAlign w:val="bottom"/>
            <w:tcBorders>
              <w:bottom w:val="single" w:sz="8" w:color="CCEEFF"/>
            </w:tcBorders>
            <w:vMerge w:val="restart"/>
            <w:shd w:val="clear" w:color="auto" w:fill="CCEEFF"/>
          </w:tcPr>
          <w:p>
            <w:pPr>
              <w:spacing w:after="0"/>
              <w:rPr>
                <w:sz w:val="8"/>
                <w:szCs w:val="8"/>
                <w:color w:val="auto"/>
              </w:rPr>
            </w:pPr>
          </w:p>
        </w:tc>
        <w:tc>
          <w:tcPr>
            <w:tcW w:w="2060" w:type="dxa"/>
            <w:vAlign w:val="bottom"/>
            <w:tcBorders>
              <w:bottom w:val="single" w:sz="8" w:color="CCEEFF"/>
            </w:tcBorders>
            <w:gridSpan w:val="2"/>
            <w:vMerge w:val="restart"/>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Singapore, Singapore</w:t>
            </w:r>
          </w:p>
        </w:tc>
        <w:tc>
          <w:tcPr>
            <w:tcW w:w="1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00" w:type="dxa"/>
            <w:vAlign w:val="bottom"/>
            <w:tcBorders>
              <w:bottom w:val="single" w:sz="8" w:color="auto"/>
            </w:tcBorders>
            <w:gridSpan w:val="3"/>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right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Retail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6/9/2021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55,591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2,781,148</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83,306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0" w:type="dxa"/>
            <w:vAlign w:val="bottom"/>
          </w:tcPr>
          <w:p>
            <w:pPr>
              <w:spacing w:after="0"/>
              <w:rPr>
                <w:sz w:val="1"/>
                <w:szCs w:val="1"/>
                <w:color w:val="auto"/>
              </w:rPr>
            </w:pPr>
          </w:p>
        </w:tc>
      </w:tr>
      <w:tr>
        <w:trPr>
          <w:trHeight w:val="186"/>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6/9/2021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144,409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7,224,600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2,647,017</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9"/>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10,005,748</w:t>
            </w:r>
          </w:p>
        </w:tc>
        <w:tc>
          <w:tcPr>
            <w:tcW w:w="34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2,730,323</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1.73</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22"/>
        </w:trPr>
        <w:tc>
          <w:tcPr>
            <w:tcW w:w="2720" w:type="dxa"/>
            <w:vAlign w:val="bottom"/>
            <w:gridSpan w:val="29"/>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Xgroup Holdings Limited (d/b/a</w:t>
            </w:r>
          </w:p>
        </w:tc>
        <w:tc>
          <w:tcPr>
            <w:tcW w:w="1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Borders>
              <w:top w:val="single" w:sz="8" w:color="auto"/>
              <w:bottom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3"/>
              </w:rPr>
              <w:t>Xpoint)</w:t>
            </w:r>
          </w:p>
        </w:tc>
        <w:tc>
          <w:tcPr>
            <w:tcW w:w="340" w:type="dxa"/>
            <w:vAlign w:val="bottom"/>
            <w:tcBorders>
              <w:top w:val="single" w:sz="8" w:color="auto"/>
              <w:bottom w:val="single" w:sz="8" w:color="auto"/>
              <w:right w:val="single" w:sz="8" w:color="CCEEFF"/>
            </w:tcBorders>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94"/>
              </w:rPr>
              <w:t>(7)(12)</w:t>
            </w: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20" w:type="dxa"/>
            <w:vAlign w:val="bottom"/>
            <w:tcBorders>
              <w:top w:val="single" w:sz="8" w:color="CCEEFF"/>
              <w:bottom w:val="single" w:sz="8" w:color="CCEEFF"/>
            </w:tcBorders>
            <w:gridSpan w:val="2"/>
            <w:vMerge w:val="restart"/>
            <w:shd w:val="clear" w:color="auto" w:fill="CCEEFF"/>
          </w:tcPr>
          <w:p>
            <w:pPr>
              <w:spacing w:after="0"/>
              <w:rPr>
                <w:sz w:val="11"/>
                <w:szCs w:val="11"/>
                <w:color w:val="auto"/>
              </w:rPr>
            </w:pPr>
          </w:p>
        </w:tc>
        <w:tc>
          <w:tcPr>
            <w:tcW w:w="160" w:type="dxa"/>
            <w:vAlign w:val="bottom"/>
            <w:tcBorders>
              <w:top w:val="single" w:sz="8" w:color="CCEEFF"/>
              <w:bottom w:val="single" w:sz="8" w:color="CCEEFF"/>
            </w:tcBorders>
            <w:gridSpan w:val="2"/>
            <w:vMerge w:val="restart"/>
            <w:shd w:val="clear" w:color="auto" w:fill="CCEEFF"/>
          </w:tcPr>
          <w:p>
            <w:pPr>
              <w:spacing w:after="0"/>
              <w:rPr>
                <w:sz w:val="11"/>
                <w:szCs w:val="11"/>
                <w:color w:val="auto"/>
              </w:rPr>
            </w:pPr>
          </w:p>
        </w:tc>
        <w:tc>
          <w:tcPr>
            <w:tcW w:w="2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60" w:type="dxa"/>
            <w:vAlign w:val="bottom"/>
            <w:tcBorders>
              <w:top w:val="single" w:sz="8" w:color="CCEEFF"/>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Philadelphia, PA</w:t>
            </w: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480" w:type="dxa"/>
            <w:vAlign w:val="bottom"/>
            <w:tcBorders>
              <w:bottom w:val="single" w:sz="8" w:color="auto"/>
            </w:tcBorders>
            <w:gridSpan w:val="2"/>
            <w:vMerge w:val="continue"/>
            <w:shd w:val="clear" w:color="auto" w:fill="CCEEFF"/>
          </w:tcPr>
          <w:p>
            <w:pPr>
              <w:spacing w:after="0"/>
              <w:rPr>
                <w:sz w:val="4"/>
                <w:szCs w:val="4"/>
                <w:color w:val="auto"/>
              </w:rPr>
            </w:pPr>
          </w:p>
        </w:tc>
        <w:tc>
          <w:tcPr>
            <w:tcW w:w="180" w:type="dxa"/>
            <w:vAlign w:val="bottom"/>
            <w:tcBorders>
              <w:bottom w:val="single" w:sz="8" w:color="CCEEFF"/>
            </w:tcBorders>
            <w:gridSpan w:val="2"/>
            <w:shd w:val="clear" w:color="auto" w:fill="CCEEFF"/>
          </w:tcPr>
          <w:p>
            <w:pPr>
              <w:spacing w:after="0"/>
              <w:rPr>
                <w:sz w:val="4"/>
                <w:szCs w:val="4"/>
                <w:color w:val="auto"/>
              </w:rPr>
            </w:pPr>
          </w:p>
        </w:tc>
        <w:tc>
          <w:tcPr>
            <w:tcW w:w="160" w:type="dxa"/>
            <w:vAlign w:val="bottom"/>
            <w:tcBorders>
              <w:bottom w:val="single" w:sz="8" w:color="CCEEFF"/>
              <w:right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Preferred shares, Series A-1</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Geolocation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454</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136,114</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161,862</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0"/>
        </w:trPr>
        <w:tc>
          <w:tcPr>
            <w:tcW w:w="2720" w:type="dxa"/>
            <w:vAlign w:val="bottom"/>
            <w:gridSpan w:val="29"/>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Series A-1 Warrants, Strike Price $0.0001,</w:t>
            </w:r>
          </w:p>
        </w:tc>
        <w:tc>
          <w:tcPr>
            <w:tcW w:w="1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5/14/2044</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3,286</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985,180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1,171,540</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0" w:type="dxa"/>
            <w:vAlign w:val="bottom"/>
          </w:tcPr>
          <w:p>
            <w:pPr>
              <w:spacing w:after="0"/>
              <w:rPr>
                <w:sz w:val="1"/>
                <w:szCs w:val="1"/>
                <w:color w:val="auto"/>
              </w:rPr>
            </w:pPr>
          </w:p>
        </w:tc>
      </w:tr>
      <w:tr>
        <w:trPr>
          <w:trHeight w:val="160"/>
        </w:trPr>
        <w:tc>
          <w:tcPr>
            <w:tcW w:w="2720" w:type="dxa"/>
            <w:vAlign w:val="bottom"/>
            <w:gridSpan w:val="29"/>
          </w:tcPr>
          <w:p>
            <w:pPr>
              <w:spacing w:after="0" w:line="160" w:lineRule="exact"/>
              <w:rPr>
                <w:sz w:val="20"/>
                <w:szCs w:val="20"/>
                <w:color w:val="auto"/>
              </w:rPr>
            </w:pPr>
            <w:r>
              <w:rPr>
                <w:rFonts w:ascii="Times New Roman" w:cs="Times New Roman" w:eastAsia="Times New Roman" w:hAnsi="Times New Roman"/>
                <w:sz w:val="15"/>
                <w:szCs w:val="15"/>
                <w:color w:val="auto"/>
              </w:rPr>
              <w:t>Series A Warrants, Strike Price $0.0001,</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Expiration Date 5/14/2044</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873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261,735</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324,931</w:t>
            </w:r>
          </w:p>
        </w:tc>
        <w:tc>
          <w:tcPr>
            <w:tcW w:w="3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9"/>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1,383,029</w:t>
            </w:r>
          </w:p>
        </w:tc>
        <w:tc>
          <w:tcPr>
            <w:tcW w:w="3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1,658,333</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1.05</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22"/>
        </w:trPr>
        <w:tc>
          <w:tcPr>
            <w:tcW w:w="1620" w:type="dxa"/>
            <w:vAlign w:val="bottom"/>
            <w:tcBorders>
              <w:bottom w:val="single" w:sz="8" w:color="auto"/>
            </w:tcBorders>
            <w:gridSpan w:val="18"/>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PSQ Holdings, Inc. (d/b/a</w:t>
            </w:r>
          </w:p>
        </w:tc>
        <w:tc>
          <w:tcPr>
            <w:tcW w:w="1100" w:type="dxa"/>
            <w:vAlign w:val="bottom"/>
            <w:gridSpan w:val="11"/>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auto"/>
            </w:tcBorders>
            <w:gridSpan w:val="6"/>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5"/>
              </w:rPr>
              <w:t>PublicSquare)</w:t>
            </w:r>
          </w:p>
        </w:tc>
        <w:tc>
          <w:tcPr>
            <w:tcW w:w="1820" w:type="dxa"/>
            <w:vAlign w:val="bottom"/>
            <w:gridSpan w:val="23"/>
          </w:tcPr>
          <w:p>
            <w:pPr>
              <w:spacing w:after="0"/>
              <w:rPr>
                <w:sz w:val="14"/>
                <w:szCs w:val="14"/>
                <w:color w:val="auto"/>
              </w:rPr>
            </w:pPr>
          </w:p>
        </w:tc>
        <w:tc>
          <w:tcPr>
            <w:tcW w:w="2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5"/>
              </w:rPr>
              <w:t>West Palm Beach, FL</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9"/>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Common Warrants, Strike Price $11.50,</w:t>
            </w: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720" w:type="dxa"/>
            <w:vAlign w:val="bottom"/>
            <w:gridSpan w:val="29"/>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Expiration Date 7/19/2028</w:t>
            </w:r>
            <w:r>
              <w:rPr>
                <w:rFonts w:ascii="Times New Roman" w:cs="Times New Roman" w:eastAsia="Times New Roman" w:hAnsi="Times New Roman"/>
                <w:sz w:val="24"/>
                <w:szCs w:val="24"/>
                <w:color w:val="auto"/>
                <w:vertAlign w:val="superscript"/>
              </w:rPr>
              <w:t>(3)</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E-Commerce Marketplace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4/1/2021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1,796,037</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771,065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1,436,830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0" w:type="dxa"/>
            <w:vAlign w:val="bottom"/>
          </w:tcPr>
          <w:p>
            <w:pPr>
              <w:spacing w:after="0"/>
              <w:rPr>
                <w:sz w:val="1"/>
                <w:szCs w:val="1"/>
                <w:color w:val="auto"/>
              </w:rPr>
            </w:pPr>
          </w:p>
        </w:tc>
      </w:tr>
      <w:tr>
        <w:trPr>
          <w:trHeight w:val="142"/>
        </w:trPr>
        <w:tc>
          <w:tcPr>
            <w:tcW w:w="2100" w:type="dxa"/>
            <w:vAlign w:val="bottom"/>
            <w:tcBorders>
              <w:bottom w:val="single" w:sz="8" w:color="auto"/>
            </w:tcBorders>
            <w:gridSpan w:val="23"/>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Residential Homes for Rent, LLC</w:t>
            </w:r>
          </w:p>
        </w:tc>
        <w:tc>
          <w:tcPr>
            <w:tcW w:w="620" w:type="dxa"/>
            <w:vAlign w:val="bottom"/>
            <w:gridSpan w:val="6"/>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00" w:type="dxa"/>
            <w:vAlign w:val="bottom"/>
            <w:gridSpan w:val="1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(d/b/a Second Avenue)</w:t>
            </w:r>
          </w:p>
        </w:tc>
        <w:tc>
          <w:tcPr>
            <w:tcW w:w="200" w:type="dxa"/>
            <w:vAlign w:val="bottom"/>
            <w:tcBorders>
              <w:bottom w:val="single" w:sz="8" w:color="auto"/>
            </w:tcBorders>
            <w:gridSpan w:val="3"/>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9"/>
              </w:rPr>
              <w:t>(11)</w:t>
            </w:r>
          </w:p>
        </w:tc>
        <w:tc>
          <w:tcPr>
            <w:tcW w:w="30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gridSpan w:val="2"/>
            <w:vMerge w:val="restart"/>
          </w:tcPr>
          <w:p>
            <w:pPr>
              <w:spacing w:after="0"/>
              <w:rPr>
                <w:sz w:val="11"/>
                <w:szCs w:val="11"/>
                <w:color w:val="auto"/>
              </w:rPr>
            </w:pPr>
          </w:p>
        </w:tc>
        <w:tc>
          <w:tcPr>
            <w:tcW w:w="220" w:type="dxa"/>
            <w:vAlign w:val="bottom"/>
            <w:gridSpan w:val="2"/>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gridSpan w:val="14"/>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12/23/2020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150,000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1,431,967</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0" w:type="dxa"/>
            <w:vAlign w:val="bottom"/>
          </w:tcPr>
          <w:p>
            <w:pPr>
              <w:spacing w:after="0"/>
              <w:rPr>
                <w:sz w:val="1"/>
                <w:szCs w:val="1"/>
                <w:color w:val="auto"/>
              </w:rPr>
            </w:pPr>
          </w:p>
        </w:tc>
      </w:tr>
      <w:tr>
        <w:trPr>
          <w:trHeight w:val="120"/>
        </w:trPr>
        <w:tc>
          <w:tcPr>
            <w:tcW w:w="1080" w:type="dxa"/>
            <w:vAlign w:val="bottom"/>
            <w:gridSpan w:val="8"/>
            <w:vMerge w:val="restart"/>
          </w:tcPr>
          <w:p>
            <w:pPr>
              <w:spacing w:after="0"/>
              <w:rPr>
                <w:sz w:val="20"/>
                <w:szCs w:val="20"/>
                <w:color w:val="auto"/>
              </w:rPr>
            </w:pPr>
            <w:r>
              <w:rPr>
                <w:rFonts w:ascii="Times New Roman" w:cs="Times New Roman" w:eastAsia="Times New Roman" w:hAnsi="Times New Roman"/>
                <w:sz w:val="15"/>
                <w:szCs w:val="15"/>
                <w:b w:val="1"/>
                <w:bCs w:val="1"/>
                <w:color w:val="auto"/>
                <w:w w:val="94"/>
              </w:rPr>
              <w:t>Varo Money, Inc.</w:t>
            </w:r>
          </w:p>
        </w:tc>
        <w:tc>
          <w:tcPr>
            <w:tcW w:w="120" w:type="dxa"/>
            <w:vAlign w:val="bottom"/>
            <w:tcBorders>
              <w:bottom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40" w:type="dxa"/>
            <w:vAlign w:val="bottom"/>
            <w:gridSpan w:val="3"/>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40" w:type="dxa"/>
            <w:vAlign w:val="bottom"/>
            <w:gridSpan w:val="2"/>
            <w:vMerge w:val="restart"/>
          </w:tcPr>
          <w:p>
            <w:pPr>
              <w:spacing w:after="0"/>
              <w:rPr>
                <w:sz w:val="10"/>
                <w:szCs w:val="10"/>
                <w:color w:val="auto"/>
              </w:rPr>
            </w:pPr>
          </w:p>
        </w:tc>
        <w:tc>
          <w:tcPr>
            <w:tcW w:w="220" w:type="dxa"/>
            <w:vAlign w:val="bottom"/>
            <w:gridSpan w:val="2"/>
            <w:vMerge w:val="restart"/>
          </w:tcPr>
          <w:p>
            <w:pPr>
              <w:spacing w:after="0"/>
              <w:rPr>
                <w:sz w:val="10"/>
                <w:szCs w:val="10"/>
                <w:color w:val="auto"/>
              </w:rPr>
            </w:pPr>
          </w:p>
        </w:tc>
        <w:tc>
          <w:tcPr>
            <w:tcW w:w="160" w:type="dxa"/>
            <w:vAlign w:val="bottom"/>
            <w:gridSpan w:val="2"/>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80" w:type="dxa"/>
            <w:vAlign w:val="bottom"/>
            <w:tcBorders>
              <w:bottom w:val="single" w:sz="8" w:color="auto"/>
            </w:tcBorders>
            <w:gridSpan w:val="8"/>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5"/>
              </w:rPr>
              <w:t>Financial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8/11/2021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1,079,266</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10,005,548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1,347,058</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0" w:type="dxa"/>
            <w:vAlign w:val="bottom"/>
          </w:tcPr>
          <w:p>
            <w:pPr>
              <w:spacing w:after="0"/>
              <w:rPr>
                <w:sz w:val="1"/>
                <w:szCs w:val="1"/>
                <w:color w:val="auto"/>
              </w:rPr>
            </w:pPr>
          </w:p>
        </w:tc>
      </w:tr>
      <w:tr>
        <w:trPr>
          <w:trHeight w:val="148"/>
        </w:trPr>
        <w:tc>
          <w:tcPr>
            <w:tcW w:w="920" w:type="dxa"/>
            <w:vAlign w:val="bottom"/>
            <w:tcBorders>
              <w:bottom w:val="single" w:sz="8" w:color="auto"/>
            </w:tcBorders>
            <w:gridSpan w:val="7"/>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Skillsoft Corp.</w:t>
            </w:r>
          </w:p>
        </w:tc>
        <w:tc>
          <w:tcPr>
            <w:tcW w:w="1800" w:type="dxa"/>
            <w:vAlign w:val="bottom"/>
            <w:gridSpan w:val="22"/>
          </w:tcPr>
          <w:p>
            <w:pPr>
              <w:spacing w:after="0"/>
              <w:rPr>
                <w:sz w:val="12"/>
                <w:szCs w:val="12"/>
                <w:color w:val="auto"/>
              </w:rPr>
            </w:pPr>
          </w:p>
        </w:tc>
        <w:tc>
          <w:tcPr>
            <w:tcW w:w="2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5"/>
                <w:szCs w:val="15"/>
                <w:color w:val="auto"/>
                <w:w w:val="97"/>
              </w:rPr>
              <w:t>Nashua, NH</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720" w:type="dxa"/>
            <w:vAlign w:val="bottom"/>
            <w:gridSpan w:val="29"/>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6/8/2021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49,092</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9,818,428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1,176,244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gridSpan w:val="26"/>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Commercial Streaming Solutions Inc.</w:t>
            </w:r>
          </w:p>
        </w:tc>
        <w:tc>
          <w:tcPr>
            <w:tcW w:w="380" w:type="dxa"/>
            <w:vAlign w:val="bottom"/>
            <w:gridSpan w:val="3"/>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gridSpan w:val="10"/>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(d/b/a BettorView)</w:t>
            </w:r>
          </w:p>
        </w:tc>
        <w:tc>
          <w:tcPr>
            <w:tcW w:w="160" w:type="dxa"/>
            <w:vAlign w:val="bottom"/>
            <w:tcBorders>
              <w:bottom w:val="single" w:sz="8" w:color="auto"/>
            </w:tcBorders>
            <w:gridSpan w:val="3"/>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12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40" w:type="dxa"/>
            <w:vAlign w:val="bottom"/>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gridSpan w:val="2"/>
            <w:vMerge w:val="restart"/>
          </w:tcPr>
          <w:p>
            <w:pPr>
              <w:spacing w:after="0"/>
              <w:rPr>
                <w:sz w:val="11"/>
                <w:szCs w:val="11"/>
                <w:color w:val="auto"/>
              </w:rPr>
            </w:pPr>
          </w:p>
        </w:tc>
        <w:tc>
          <w:tcPr>
            <w:tcW w:w="380" w:type="dxa"/>
            <w:vAlign w:val="bottom"/>
            <w:gridSpan w:val="4"/>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5"/>
              </w:rPr>
              <w:t>Las Vegas, NV</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gridSpan w:val="10"/>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8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Interactive Media &amp;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3/26/2021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1,004,240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0" w:type="dxa"/>
            <w:vAlign w:val="bottom"/>
          </w:tcPr>
          <w:p>
            <w:pPr>
              <w:spacing w:after="0"/>
              <w:rPr>
                <w:sz w:val="1"/>
                <w:szCs w:val="1"/>
                <w:color w:val="auto"/>
              </w:rPr>
            </w:pPr>
          </w:p>
        </w:tc>
      </w:tr>
      <w:tr>
        <w:trPr>
          <w:trHeight w:val="148"/>
        </w:trPr>
        <w:tc>
          <w:tcPr>
            <w:tcW w:w="2720" w:type="dxa"/>
            <w:vAlign w:val="bottom"/>
            <w:gridSpan w:val="29"/>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900" w:type="dxa"/>
            <w:vAlign w:val="bottom"/>
            <w:tcBorders>
              <w:top w:val="single" w:sz="8" w:color="auto"/>
            </w:tcBorders>
            <w:gridSpan w:val="19"/>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820" w:type="dxa"/>
            <w:vAlign w:val="bottom"/>
            <w:gridSpan w:val="10"/>
            <w:shd w:val="clear" w:color="auto" w:fill="CCEEFF"/>
          </w:tcPr>
          <w:p>
            <w:pPr>
              <w:spacing w:after="0"/>
              <w:rPr>
                <w:sz w:val="18"/>
                <w:szCs w:val="18"/>
                <w:color w:val="auto"/>
              </w:rPr>
            </w:pP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312,500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2,580,750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962,341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auto"/>
            </w:tcBorders>
            <w:gridSpan w:val="9"/>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5"/>
              </w:rPr>
              <w:t>Forge Global, Inc.</w:t>
            </w:r>
          </w:p>
        </w:tc>
        <w:tc>
          <w:tcPr>
            <w:tcW w:w="1580" w:type="dxa"/>
            <w:vAlign w:val="bottom"/>
            <w:gridSpan w:val="20"/>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720" w:type="dxa"/>
            <w:vAlign w:val="bottom"/>
            <w:gridSpan w:val="29"/>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Online Marketplace Finance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7/20/2011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1,020,875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1,978,921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950,333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w:t>
            </w:r>
          </w:p>
        </w:tc>
        <w:tc>
          <w:tcPr>
            <w:tcW w:w="0" w:type="dxa"/>
            <w:vAlign w:val="bottom"/>
          </w:tcPr>
          <w:p>
            <w:pPr>
              <w:spacing w:after="0"/>
              <w:rPr>
                <w:sz w:val="1"/>
                <w:szCs w:val="1"/>
                <w:color w:val="auto"/>
              </w:rPr>
            </w:pPr>
          </w:p>
        </w:tc>
      </w:tr>
      <w:tr>
        <w:trPr>
          <w:trHeight w:val="142"/>
        </w:trPr>
        <w:tc>
          <w:tcPr>
            <w:tcW w:w="2720" w:type="dxa"/>
            <w:vAlign w:val="bottom"/>
            <w:gridSpan w:val="29"/>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Stake Trade, Inc. (d/b/a Prophet</w:t>
            </w: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auto"/>
              <w:bottom w:val="single" w:sz="8" w:color="auto"/>
            </w:tcBorders>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4"/>
              </w:rPr>
              <w:t>Exchange)</w:t>
            </w:r>
          </w:p>
        </w:tc>
        <w:tc>
          <w:tcPr>
            <w:tcW w:w="1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480" w:type="dxa"/>
            <w:vAlign w:val="bottom"/>
            <w:tcBorders>
              <w:top w:val="single" w:sz="8" w:color="auto"/>
              <w:bottom w:val="single" w:sz="8" w:color="auto"/>
            </w:tcBorders>
            <w:gridSpan w:val="7"/>
            <w:vMerge w:val="restart"/>
          </w:tcPr>
          <w:p>
            <w:pPr>
              <w:spacing w:after="0"/>
              <w:rPr>
                <w:sz w:val="11"/>
                <w:szCs w:val="11"/>
                <w:color w:val="auto"/>
              </w:rPr>
            </w:pPr>
          </w:p>
        </w:tc>
        <w:tc>
          <w:tcPr>
            <w:tcW w:w="140" w:type="dxa"/>
            <w:vAlign w:val="bottom"/>
            <w:tcBorders>
              <w:top w:val="single" w:sz="8" w:color="auto"/>
              <w:bottom w:val="single" w:sz="8" w:color="auto"/>
            </w:tcBorders>
            <w:gridSpan w:val="3"/>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480" w:type="dxa"/>
            <w:vAlign w:val="bottom"/>
            <w:tcBorders>
              <w:top w:val="single" w:sz="8" w:color="auto"/>
              <w:bottom w:val="single" w:sz="8" w:color="auto"/>
            </w:tcBorders>
            <w:gridSpan w:val="4"/>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gridSpan w:val="2"/>
            <w:vMerge w:val="restart"/>
          </w:tcPr>
          <w:p>
            <w:pPr>
              <w:spacing w:after="0"/>
              <w:rPr>
                <w:sz w:val="11"/>
                <w:szCs w:val="11"/>
                <w:color w:val="auto"/>
              </w:rPr>
            </w:pPr>
          </w:p>
        </w:tc>
        <w:tc>
          <w:tcPr>
            <w:tcW w:w="380" w:type="dxa"/>
            <w:vAlign w:val="bottom"/>
            <w:gridSpan w:val="4"/>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auto"/>
            </w:tcBorders>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gridSpan w:val="7"/>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8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Sports Betting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7/26/2023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1,002,153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862,362</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0" w:type="dxa"/>
            <w:vAlign w:val="bottom"/>
          </w:tcPr>
          <w:p>
            <w:pPr>
              <w:spacing w:after="0"/>
              <w:rPr>
                <w:sz w:val="1"/>
                <w:szCs w:val="1"/>
                <w:color w:val="auto"/>
              </w:rPr>
            </w:pPr>
          </w:p>
        </w:tc>
      </w:tr>
      <w:tr>
        <w:trPr>
          <w:trHeight w:val="120"/>
        </w:trPr>
        <w:tc>
          <w:tcPr>
            <w:tcW w:w="1300" w:type="dxa"/>
            <w:vAlign w:val="bottom"/>
            <w:gridSpan w:val="12"/>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EDGE Markets, Inc.</w:t>
            </w:r>
          </w:p>
        </w:tc>
        <w:tc>
          <w:tcPr>
            <w:tcW w:w="140" w:type="dxa"/>
            <w:vAlign w:val="bottom"/>
            <w:tcBorders>
              <w:bottom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(7)</w:t>
            </w:r>
          </w:p>
        </w:tc>
        <w:tc>
          <w:tcPr>
            <w:tcW w:w="20" w:type="dxa"/>
            <w:vAlign w:val="bottom"/>
            <w:vMerge w:val="restart"/>
          </w:tcPr>
          <w:p>
            <w:pPr>
              <w:spacing w:after="0"/>
              <w:rPr>
                <w:sz w:val="10"/>
                <w:szCs w:val="10"/>
                <w:color w:val="auto"/>
              </w:rPr>
            </w:pPr>
          </w:p>
        </w:tc>
        <w:tc>
          <w:tcPr>
            <w:tcW w:w="480" w:type="dxa"/>
            <w:vAlign w:val="bottom"/>
            <w:gridSpan w:val="4"/>
            <w:vMerge w:val="restart"/>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40" w:type="dxa"/>
            <w:vAlign w:val="bottom"/>
            <w:gridSpan w:val="2"/>
            <w:vMerge w:val="restart"/>
          </w:tcPr>
          <w:p>
            <w:pPr>
              <w:spacing w:after="0"/>
              <w:rPr>
                <w:sz w:val="10"/>
                <w:szCs w:val="10"/>
                <w:color w:val="auto"/>
              </w:rPr>
            </w:pPr>
          </w:p>
        </w:tc>
        <w:tc>
          <w:tcPr>
            <w:tcW w:w="380" w:type="dxa"/>
            <w:vAlign w:val="bottom"/>
            <w:gridSpan w:val="4"/>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6"/>
              </w:rPr>
              <w:t>San Diego, CA</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300" w:type="dxa"/>
            <w:vAlign w:val="bottom"/>
            <w:tcBorders>
              <w:bottom w:val="single" w:sz="8" w:color="auto"/>
            </w:tcBorders>
            <w:gridSpan w:val="12"/>
            <w:vMerge w:val="continue"/>
          </w:tcPr>
          <w:p>
            <w:pPr>
              <w:spacing w:after="0"/>
              <w:rPr>
                <w:sz w:val="3"/>
                <w:szCs w:val="3"/>
                <w:color w:val="auto"/>
              </w:rPr>
            </w:pPr>
          </w:p>
        </w:tc>
        <w:tc>
          <w:tcPr>
            <w:tcW w:w="140" w:type="dxa"/>
            <w:vAlign w:val="bottom"/>
            <w:gridSpan w:val="3"/>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4"/>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8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5"/>
              </w:rPr>
              <w:t>Gaming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5/18/2022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456,704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501,330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20"/>
        </w:trPr>
        <w:tc>
          <w:tcPr>
            <w:tcW w:w="1940" w:type="dxa"/>
            <w:vAlign w:val="bottom"/>
            <w:gridSpan w:val="20"/>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Rebric, Inc. (d/b/a Compliable)</w:t>
            </w:r>
          </w:p>
        </w:tc>
        <w:tc>
          <w:tcPr>
            <w:tcW w:w="14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(7)</w:t>
            </w:r>
          </w:p>
        </w:tc>
        <w:tc>
          <w:tcPr>
            <w:tcW w:w="40" w:type="dxa"/>
            <w:vAlign w:val="bottom"/>
            <w:gridSpan w:val="2"/>
            <w:vMerge w:val="restart"/>
          </w:tcPr>
          <w:p>
            <w:pPr>
              <w:spacing w:after="0"/>
              <w:rPr>
                <w:sz w:val="10"/>
                <w:szCs w:val="10"/>
                <w:color w:val="auto"/>
              </w:rPr>
            </w:pPr>
          </w:p>
        </w:tc>
        <w:tc>
          <w:tcPr>
            <w:tcW w:w="380" w:type="dxa"/>
            <w:vAlign w:val="bottom"/>
            <w:gridSpan w:val="4"/>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6"/>
              </w:rPr>
              <w:t>Denver, CO</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940" w:type="dxa"/>
            <w:vAlign w:val="bottom"/>
            <w:tcBorders>
              <w:bottom w:val="single" w:sz="8" w:color="auto"/>
            </w:tcBorders>
            <w:gridSpan w:val="20"/>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8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Gaming Licensing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10/12/2021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2,406,492</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1,002,755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157,658</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48"/>
        </w:trPr>
        <w:tc>
          <w:tcPr>
            <w:tcW w:w="1460" w:type="dxa"/>
            <w:vAlign w:val="bottom"/>
            <w:tcBorders>
              <w:bottom w:val="single" w:sz="8" w:color="auto"/>
            </w:tcBorders>
            <w:gridSpan w:val="16"/>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7"/>
              </w:rPr>
              <w:t>Kinetiq Holdings, LLC</w:t>
            </w:r>
          </w:p>
        </w:tc>
        <w:tc>
          <w:tcPr>
            <w:tcW w:w="1260" w:type="dxa"/>
            <w:vAlign w:val="bottom"/>
            <w:gridSpan w:val="13"/>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6"/>
              </w:rPr>
              <w:t>Philadelphia, PA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Social Data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3/30/2012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112,374</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auto"/>
            </w:tcBorders>
            <w:gridSpan w:val="24"/>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CTN Holdings, Inc. (d/b/a Catona</w:t>
            </w:r>
          </w:p>
        </w:tc>
        <w:tc>
          <w:tcPr>
            <w:tcW w:w="600" w:type="dxa"/>
            <w:vAlign w:val="bottom"/>
            <w:gridSpan w:val="5"/>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tcBorders>
              <w:bottom w:val="single" w:sz="8" w:color="auto"/>
            </w:tcBorders>
            <w:gridSpan w:val="28"/>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6"/>
              </w:rPr>
              <w:t>Climate, f/k/a Aspiration Partners, Inc.)</w:t>
            </w:r>
          </w:p>
        </w:tc>
        <w:tc>
          <w:tcPr>
            <w:tcW w:w="220" w:type="dxa"/>
            <w:vAlign w:val="bottom"/>
          </w:tcPr>
          <w:p>
            <w:pPr>
              <w:spacing w:after="0"/>
              <w:rPr>
                <w:sz w:val="14"/>
                <w:szCs w:val="14"/>
                <w:color w:val="auto"/>
              </w:rPr>
            </w:pPr>
          </w:p>
        </w:tc>
        <w:tc>
          <w:tcPr>
            <w:tcW w:w="20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color w:val="auto"/>
                <w:w w:val="95"/>
              </w:rPr>
              <w:t>Marina Del Rey, CA</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Carbon Credit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8/11/2015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540,270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1,001,815</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8/12/2019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24,912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281,190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9"/>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1,283,005</w:t>
            </w:r>
          </w:p>
        </w:tc>
        <w:tc>
          <w:tcPr>
            <w:tcW w:w="3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ectPr>
          <w:pgSz w:w="11900" w:h="16838" w:orient="portrait"/>
          <w:cols w:equalWidth="0" w:num="1">
            <w:col w:w="11280"/>
          </w:cols>
          <w:pgMar w:left="300" w:top="212" w:right="31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Date of</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w w:val="96"/>
              </w:rPr>
              <w:t>Initial</w:t>
            </w:r>
          </w:p>
        </w:tc>
        <w:tc>
          <w:tcPr>
            <w:tcW w:w="0" w:type="dxa"/>
            <w:vAlign w:val="bottom"/>
          </w:tcPr>
          <w:p>
            <w:pPr>
              <w:spacing w:after="0"/>
              <w:rPr>
                <w:sz w:val="1"/>
                <w:szCs w:val="1"/>
                <w:color w:val="auto"/>
              </w:rPr>
            </w:pPr>
          </w:p>
        </w:tc>
      </w:tr>
      <w:tr>
        <w:trPr>
          <w:trHeight w:val="218"/>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line="218" w:lineRule="exact"/>
              <w:rPr>
                <w:sz w:val="20"/>
                <w:szCs w:val="20"/>
                <w:color w:val="auto"/>
              </w:rPr>
            </w:pPr>
            <w:r>
              <w:rPr>
                <w:rFonts w:ascii="Times New Roman" w:cs="Times New Roman" w:eastAsia="Times New Roman" w:hAnsi="Times New Roman"/>
                <w:sz w:val="15"/>
                <w:szCs w:val="15"/>
                <w:b w:val="1"/>
                <w:bCs w:val="1"/>
                <w:color w:val="auto"/>
                <w:w w:val="89"/>
              </w:rPr>
              <w:t>Industry</w:t>
            </w:r>
            <w:r>
              <w:rPr>
                <w:rFonts w:ascii="Times New Roman" w:cs="Times New Roman" w:eastAsia="Times New Roman" w:hAnsi="Times New Roman"/>
                <w:sz w:val="24"/>
                <w:szCs w:val="24"/>
                <w:b w:val="1"/>
                <w:bCs w:val="1"/>
                <w:color w:val="auto"/>
                <w:w w:val="89"/>
                <w:vertAlign w:val="superscript"/>
              </w:rPr>
              <w:t>(15)</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0" w:type="dxa"/>
            <w:vAlign w:val="bottom"/>
          </w:tcPr>
          <w:p>
            <w:pPr>
              <w:spacing w:after="0"/>
              <w:rPr>
                <w:sz w:val="1"/>
                <w:szCs w:val="1"/>
                <w:color w:val="auto"/>
              </w:rPr>
            </w:pPr>
          </w:p>
        </w:tc>
      </w:tr>
      <w:tr>
        <w:trPr>
          <w:trHeight w:val="133"/>
        </w:trPr>
        <w:tc>
          <w:tcPr>
            <w:tcW w:w="980" w:type="dxa"/>
            <w:vAlign w:val="bottom"/>
            <w:tcBorders>
              <w:top w:val="single" w:sz="8" w:color="auto"/>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Fullbridge, Inc.</w:t>
            </w:r>
          </w:p>
        </w:tc>
        <w:tc>
          <w:tcPr>
            <w:tcW w:w="1520" w:type="dxa"/>
            <w:vAlign w:val="bottom"/>
            <w:tcBorders>
              <w:top w:val="single" w:sz="8" w:color="auto"/>
            </w:tcBorders>
            <w:gridSpan w:val="8"/>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5"/>
                <w:szCs w:val="15"/>
                <w:color w:val="auto"/>
                <w:w w:val="97"/>
              </w:rPr>
              <w:t>Cambridge, MA</w:t>
            </w:r>
          </w:p>
        </w:tc>
        <w:tc>
          <w:tcPr>
            <w:tcW w:w="2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Business Education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5/13/2012</w:t>
            </w:r>
          </w:p>
        </w:tc>
        <w:tc>
          <w:tcPr>
            <w:tcW w:w="0" w:type="dxa"/>
            <w:vAlign w:val="bottom"/>
          </w:tcPr>
          <w:p>
            <w:pPr>
              <w:spacing w:after="0"/>
              <w:rPr>
                <w:sz w:val="1"/>
                <w:szCs w:val="1"/>
                <w:color w:val="auto"/>
              </w:rPr>
            </w:pPr>
          </w:p>
        </w:tc>
      </w:tr>
      <w:tr>
        <w:trPr>
          <w:trHeight w:val="208"/>
        </w:trPr>
        <w:tc>
          <w:tcPr>
            <w:tcW w:w="2720" w:type="dxa"/>
            <w:vAlign w:val="bottom"/>
            <w:gridSpan w:val="11"/>
          </w:tcPr>
          <w:p>
            <w:pPr>
              <w:spacing w:after="0" w:line="207" w:lineRule="exact"/>
              <w:rPr>
                <w:sz w:val="20"/>
                <w:szCs w:val="20"/>
                <w:color w:val="auto"/>
              </w:rPr>
            </w:pPr>
            <w:r>
              <w:rPr>
                <w:rFonts w:ascii="Times New Roman" w:cs="Times New Roman" w:eastAsia="Times New Roman" w:hAnsi="Times New Roman"/>
                <w:sz w:val="15"/>
                <w:szCs w:val="15"/>
                <w:color w:val="auto"/>
              </w:rPr>
              <w:t>Promissory Note 1.47%, Due 11/9/2021</w:t>
            </w:r>
            <w:r>
              <w:rPr>
                <w:rFonts w:ascii="Times New Roman" w:cs="Times New Roman" w:eastAsia="Times New Roman" w:hAnsi="Times New Roman"/>
                <w:sz w:val="24"/>
                <w:szCs w:val="24"/>
                <w:color w:val="auto"/>
                <w:vertAlign w:val="superscript"/>
              </w:rPr>
              <w:t>(4)</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3/3/2016</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20" w:type="dxa"/>
            <w:vAlign w:val="bottom"/>
            <w:gridSpan w:val="11"/>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20" w:type="dxa"/>
            <w:vAlign w:val="bottom"/>
            <w:tcBorders>
              <w:bottom w:val="single" w:sz="8" w:color="auto"/>
            </w:tcBorders>
            <w:gridSpan w:val="9"/>
          </w:tcPr>
          <w:p>
            <w:pPr>
              <w:spacing w:after="0" w:line="159" w:lineRule="exact"/>
              <w:rPr>
                <w:sz w:val="20"/>
                <w:szCs w:val="20"/>
                <w:color w:val="auto"/>
              </w:rPr>
            </w:pPr>
            <w:r>
              <w:rPr>
                <w:rFonts w:ascii="Times New Roman" w:cs="Times New Roman" w:eastAsia="Times New Roman" w:hAnsi="Times New Roman"/>
                <w:sz w:val="15"/>
                <w:szCs w:val="15"/>
                <w:b w:val="1"/>
                <w:bCs w:val="1"/>
                <w:color w:val="auto"/>
                <w:w w:val="95"/>
              </w:rPr>
              <w:t>Treehouse Real Estate Investment</w:t>
            </w:r>
          </w:p>
        </w:tc>
        <w:tc>
          <w:tcPr>
            <w:tcW w:w="60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4"/>
              </w:rPr>
              <w:t>Trust, Inc.</w:t>
            </w:r>
          </w:p>
        </w:tc>
        <w:tc>
          <w:tcPr>
            <w:tcW w:w="2060" w:type="dxa"/>
            <w:vAlign w:val="bottom"/>
            <w:gridSpan w:val="10"/>
          </w:tcPr>
          <w:p>
            <w:pPr>
              <w:spacing w:after="0"/>
              <w:rPr>
                <w:sz w:val="13"/>
                <w:szCs w:val="13"/>
                <w:color w:val="auto"/>
              </w:rPr>
            </w:pPr>
          </w:p>
        </w:tc>
        <w:tc>
          <w:tcPr>
            <w:tcW w:w="2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0" w:type="dxa"/>
            <w:vAlign w:val="bottom"/>
          </w:tcPr>
          <w:p>
            <w:pPr>
              <w:spacing w:after="0"/>
              <w:rPr>
                <w:sz w:val="1"/>
                <w:szCs w:val="1"/>
                <w:color w:val="auto"/>
              </w:rPr>
            </w:pPr>
          </w:p>
        </w:tc>
      </w:tr>
      <w:tr>
        <w:trPr>
          <w:trHeight w:val="250"/>
        </w:trPr>
        <w:tc>
          <w:tcPr>
            <w:tcW w:w="2720" w:type="dxa"/>
            <w:vAlign w:val="bottom"/>
            <w:gridSpan w:val="11"/>
          </w:tcPr>
          <w:p>
            <w:pPr>
              <w:ind w:left="100"/>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NON-CONTROLLED/AFFILIATE</w:t>
            </w:r>
            <w:r>
              <w:rPr>
                <w:rFonts w:ascii="Times New Roman" w:cs="Times New Roman" w:eastAsia="Times New Roman" w:hAnsi="Times New Roman"/>
                <w:sz w:val="24"/>
                <w:szCs w:val="24"/>
                <w:b w:val="1"/>
                <w:bCs w:val="1"/>
                <w:color w:val="auto"/>
                <w:vertAlign w:val="superscript"/>
              </w:rPr>
              <w:t>(1)</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StormWind, LLC</w:t>
            </w:r>
          </w:p>
        </w:tc>
        <w:tc>
          <w:tcPr>
            <w:tcW w:w="20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89"/>
              </w:rPr>
              <w:t>(14)</w:t>
            </w:r>
          </w:p>
        </w:tc>
        <w:tc>
          <w:tcPr>
            <w:tcW w:w="4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760" w:type="dxa"/>
            <w:vAlign w:val="bottom"/>
            <w:gridSpan w:val="3"/>
            <w:vMerge w:val="restart"/>
          </w:tcPr>
          <w:p>
            <w:pPr>
              <w:spacing w:after="0"/>
              <w:rPr>
                <w:sz w:val="11"/>
                <w:szCs w:val="11"/>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6"/>
              </w:rPr>
              <w:t>Scottsdale, AZ</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120" w:type="dxa"/>
            <w:vAlign w:val="bottom"/>
            <w:tcBorders>
              <w:bottom w:val="single" w:sz="8" w:color="auto"/>
            </w:tcBorders>
            <w:gridSpan w:val="3"/>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Interactive Learning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11/26/2019</w:t>
            </w:r>
          </w:p>
        </w:tc>
        <w:tc>
          <w:tcPr>
            <w:tcW w:w="0" w:type="dxa"/>
            <w:vAlign w:val="bottom"/>
          </w:tcPr>
          <w:p>
            <w:pPr>
              <w:spacing w:after="0"/>
              <w:rPr>
                <w:sz w:val="1"/>
                <w:szCs w:val="1"/>
                <w:color w:val="auto"/>
              </w:rPr>
            </w:pPr>
          </w:p>
        </w:tc>
      </w:tr>
      <w:tr>
        <w:trPr>
          <w:trHeight w:val="175"/>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1/7/2014</w:t>
            </w:r>
          </w:p>
        </w:tc>
        <w:tc>
          <w:tcPr>
            <w:tcW w:w="0" w:type="dxa"/>
            <w:vAlign w:val="bottom"/>
          </w:tcPr>
          <w:p>
            <w:pPr>
              <w:spacing w:after="0"/>
              <w:rPr>
                <w:sz w:val="1"/>
                <w:szCs w:val="1"/>
                <w:color w:val="auto"/>
              </w:rPr>
            </w:pPr>
          </w:p>
        </w:tc>
      </w:tr>
      <w:tr>
        <w:trPr>
          <w:trHeight w:val="175"/>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12/16/2011</w:t>
            </w:r>
          </w:p>
        </w:tc>
        <w:tc>
          <w:tcPr>
            <w:tcW w:w="0" w:type="dxa"/>
            <w:vAlign w:val="bottom"/>
          </w:tcPr>
          <w:p>
            <w:pPr>
              <w:spacing w:after="0"/>
              <w:rPr>
                <w:sz w:val="1"/>
                <w:szCs w:val="1"/>
                <w:color w:val="auto"/>
              </w:rPr>
            </w:pPr>
          </w:p>
        </w:tc>
      </w:tr>
      <w:tr>
        <w:trPr>
          <w:trHeight w:val="186"/>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2/25/2014</w:t>
            </w:r>
          </w:p>
        </w:tc>
        <w:tc>
          <w:tcPr>
            <w:tcW w:w="0" w:type="dxa"/>
            <w:vAlign w:val="bottom"/>
          </w:tcPr>
          <w:p>
            <w:pPr>
              <w:spacing w:after="0"/>
              <w:rPr>
                <w:sz w:val="1"/>
                <w:szCs w:val="1"/>
                <w:color w:val="auto"/>
              </w:rPr>
            </w:pPr>
          </w:p>
        </w:tc>
      </w:tr>
      <w:tr>
        <w:trPr>
          <w:trHeight w:val="190"/>
        </w:trPr>
        <w:tc>
          <w:tcPr>
            <w:tcW w:w="2720" w:type="dxa"/>
            <w:vAlign w:val="bottom"/>
            <w:gridSpan w:val="11"/>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360" w:type="dxa"/>
            <w:vAlign w:val="bottom"/>
            <w:tcBorders>
              <w:bottom w:val="single" w:sz="8" w:color="auto"/>
            </w:tcBorders>
            <w:gridSpan w:val="6"/>
          </w:tcPr>
          <w:p>
            <w:pPr>
              <w:spacing w:after="0" w:line="164" w:lineRule="exact"/>
              <w:rPr>
                <w:sz w:val="20"/>
                <w:szCs w:val="20"/>
                <w:color w:val="auto"/>
              </w:rPr>
            </w:pPr>
            <w:r>
              <w:rPr>
                <w:rFonts w:ascii="Times New Roman" w:cs="Times New Roman" w:eastAsia="Times New Roman" w:hAnsi="Times New Roman"/>
                <w:sz w:val="15"/>
                <w:szCs w:val="15"/>
                <w:b w:val="1"/>
                <w:bCs w:val="1"/>
                <w:color w:val="auto"/>
                <w:w w:val="96"/>
              </w:rPr>
              <w:t>Maven Research, Inc.</w:t>
            </w:r>
          </w:p>
        </w:tc>
        <w:tc>
          <w:tcPr>
            <w:tcW w:w="1360" w:type="dxa"/>
            <w:vAlign w:val="bottom"/>
            <w:gridSpan w:val="5"/>
          </w:tcPr>
          <w:p>
            <w:pPr>
              <w:spacing w:after="0"/>
              <w:rPr>
                <w:sz w:val="14"/>
                <w:szCs w:val="14"/>
                <w:color w:val="auto"/>
              </w:rPr>
            </w:pPr>
          </w:p>
        </w:tc>
        <w:tc>
          <w:tcPr>
            <w:tcW w:w="20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Knowledge Networks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7/2/2012</w:t>
            </w:r>
          </w:p>
        </w:tc>
        <w:tc>
          <w:tcPr>
            <w:tcW w:w="0" w:type="dxa"/>
            <w:vAlign w:val="bottom"/>
          </w:tcPr>
          <w:p>
            <w:pPr>
              <w:spacing w:after="0"/>
              <w:rPr>
                <w:sz w:val="1"/>
                <w:szCs w:val="1"/>
                <w:color w:val="auto"/>
              </w:rPr>
            </w:pPr>
          </w:p>
        </w:tc>
      </w:tr>
      <w:tr>
        <w:trPr>
          <w:trHeight w:val="186"/>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2/28/2012</w:t>
            </w:r>
          </w:p>
        </w:tc>
        <w:tc>
          <w:tcPr>
            <w:tcW w:w="0" w:type="dxa"/>
            <w:vAlign w:val="bottom"/>
          </w:tcPr>
          <w:p>
            <w:pPr>
              <w:spacing w:after="0"/>
              <w:rPr>
                <w:sz w:val="1"/>
                <w:szCs w:val="1"/>
                <w:color w:val="auto"/>
              </w:rPr>
            </w:pPr>
          </w:p>
        </w:tc>
      </w:tr>
      <w:tr>
        <w:trPr>
          <w:trHeight w:val="190"/>
        </w:trPr>
        <w:tc>
          <w:tcPr>
            <w:tcW w:w="2720" w:type="dxa"/>
            <w:vAlign w:val="bottom"/>
            <w:gridSpan w:val="11"/>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140" w:type="dxa"/>
            <w:vAlign w:val="bottom"/>
            <w:tcBorders>
              <w:bottom w:val="single" w:sz="8" w:color="auto"/>
            </w:tcBorders>
            <w:gridSpan w:val="4"/>
          </w:tcPr>
          <w:p>
            <w:pPr>
              <w:spacing w:after="0" w:line="164" w:lineRule="exact"/>
              <w:rPr>
                <w:sz w:val="20"/>
                <w:szCs w:val="20"/>
                <w:color w:val="auto"/>
              </w:rPr>
            </w:pPr>
            <w:r>
              <w:rPr>
                <w:rFonts w:ascii="Times New Roman" w:cs="Times New Roman" w:eastAsia="Times New Roman" w:hAnsi="Times New Roman"/>
                <w:sz w:val="15"/>
                <w:szCs w:val="15"/>
                <w:b w:val="1"/>
                <w:bCs w:val="1"/>
                <w:color w:val="auto"/>
                <w:w w:val="98"/>
              </w:rPr>
              <w:t>Curious.com, Inc.</w:t>
            </w:r>
          </w:p>
        </w:tc>
        <w:tc>
          <w:tcPr>
            <w:tcW w:w="1580" w:type="dxa"/>
            <w:vAlign w:val="bottom"/>
            <w:gridSpan w:val="7"/>
          </w:tcPr>
          <w:p>
            <w:pPr>
              <w:spacing w:after="0"/>
              <w:rPr>
                <w:sz w:val="14"/>
                <w:szCs w:val="14"/>
                <w:color w:val="auto"/>
              </w:rPr>
            </w:pPr>
          </w:p>
        </w:tc>
        <w:tc>
          <w:tcPr>
            <w:tcW w:w="2060" w:type="dxa"/>
            <w:vAlign w:val="bottom"/>
            <w:gridSpan w:val="2"/>
          </w:tcPr>
          <w:p>
            <w:pPr>
              <w:jc w:val="center"/>
              <w:ind w:right="220"/>
              <w:spacing w:after="0" w:line="164" w:lineRule="exact"/>
              <w:rPr>
                <w:sz w:val="20"/>
                <w:szCs w:val="20"/>
                <w:color w:val="auto"/>
              </w:rPr>
            </w:pPr>
            <w:r>
              <w:rPr>
                <w:rFonts w:ascii="Times New Roman" w:cs="Times New Roman" w:eastAsia="Times New Roman" w:hAnsi="Times New Roman"/>
                <w:sz w:val="15"/>
                <w:szCs w:val="15"/>
                <w:color w:val="auto"/>
                <w:w w:val="97"/>
              </w:rPr>
              <w:t>Menlo Park, CA</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11/22/2013</w:t>
            </w:r>
          </w:p>
        </w:tc>
        <w:tc>
          <w:tcPr>
            <w:tcW w:w="0" w:type="dxa"/>
            <w:vAlign w:val="bottom"/>
          </w:tcPr>
          <w:p>
            <w:pPr>
              <w:spacing w:after="0"/>
              <w:rPr>
                <w:sz w:val="1"/>
                <w:szCs w:val="1"/>
                <w:color w:val="auto"/>
              </w:rPr>
            </w:pPr>
          </w:p>
        </w:tc>
      </w:tr>
      <w:tr>
        <w:trPr>
          <w:trHeight w:val="350"/>
        </w:trPr>
        <w:tc>
          <w:tcPr>
            <w:tcW w:w="2720" w:type="dxa"/>
            <w:vAlign w:val="bottom"/>
            <w:gridSpan w:val="11"/>
          </w:tcPr>
          <w:p>
            <w:pPr>
              <w:ind w:left="100"/>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4"/>
                <w:szCs w:val="24"/>
                <w:b w:val="1"/>
                <w:bCs w:val="1"/>
                <w:color w:val="auto"/>
                <w:vertAlign w:val="superscript"/>
              </w:rPr>
              <w:t>(2)</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0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Colombier Sponsor II LLC</w:t>
            </w:r>
          </w:p>
        </w:tc>
        <w:tc>
          <w:tcPr>
            <w:tcW w:w="2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w w:val="92"/>
              </w:rPr>
              <w:t>**(6)</w:t>
            </w:r>
          </w:p>
        </w:tc>
        <w:tc>
          <w:tcPr>
            <w:tcW w:w="760" w:type="dxa"/>
            <w:vAlign w:val="bottom"/>
            <w:gridSpan w:val="3"/>
            <w:vMerge w:val="restart"/>
          </w:tcPr>
          <w:p>
            <w:pPr>
              <w:spacing w:after="0"/>
              <w:rPr>
                <w:sz w:val="11"/>
                <w:szCs w:val="11"/>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6"/>
              </w:rPr>
              <w:t>Palm Beach, FL</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gridSpan w:val="7"/>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Special Purpose Acquisition</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11/20/2023</w:t>
            </w:r>
          </w:p>
        </w:tc>
        <w:tc>
          <w:tcPr>
            <w:tcW w:w="0" w:type="dxa"/>
            <w:vAlign w:val="bottom"/>
          </w:tcPr>
          <w:p>
            <w:pPr>
              <w:spacing w:after="0"/>
              <w:rPr>
                <w:sz w:val="1"/>
                <w:szCs w:val="1"/>
                <w:color w:val="auto"/>
              </w:rPr>
            </w:pPr>
          </w:p>
        </w:tc>
      </w:tr>
      <w:tr>
        <w:trPr>
          <w:trHeight w:val="190"/>
        </w:trPr>
        <w:tc>
          <w:tcPr>
            <w:tcW w:w="272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-3731260</wp:posOffset>
            </wp:positionV>
            <wp:extent cx="7158355" cy="118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1181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-3502660</wp:posOffset>
            </wp:positionV>
            <wp:extent cx="7158355" cy="2425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2425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-3141980</wp:posOffset>
            </wp:positionV>
            <wp:extent cx="7158355" cy="222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2222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-2788285</wp:posOffset>
            </wp:positionV>
            <wp:extent cx="7158355" cy="111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-2566035</wp:posOffset>
            </wp:positionV>
            <wp:extent cx="7158355" cy="111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-2323465</wp:posOffset>
            </wp:positionV>
            <wp:extent cx="7158355" cy="132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-2080260</wp:posOffset>
            </wp:positionV>
            <wp:extent cx="7158355" cy="111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-1858645</wp:posOffset>
            </wp:positionV>
            <wp:extent cx="7158355" cy="1181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1181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-1622425</wp:posOffset>
            </wp:positionV>
            <wp:extent cx="7158355" cy="118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1181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-1393825</wp:posOffset>
            </wp:positionV>
            <wp:extent cx="7158355" cy="118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1181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-1158240</wp:posOffset>
            </wp:positionV>
            <wp:extent cx="7158355" cy="118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1181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-929005</wp:posOffset>
            </wp:positionV>
            <wp:extent cx="7158355"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-707390</wp:posOffset>
            </wp:positionV>
            <wp:extent cx="7158355"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111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-464185</wp:posOffset>
            </wp:positionV>
            <wp:extent cx="7158355" cy="132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1320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58355" cy="118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118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12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4"/>
          </w:tcPr>
          <w:p>
            <w:pPr>
              <w:jc w:val="right"/>
              <w:ind w:right="328"/>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8"/>
        </w:trPr>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7"/>
              <w:spacing w:after="0" w:line="218" w:lineRule="exact"/>
              <w:rPr>
                <w:sz w:val="20"/>
                <w:szCs w:val="20"/>
                <w:color w:val="auto"/>
              </w:rPr>
            </w:pPr>
            <w:r>
              <w:rPr>
                <w:rFonts w:ascii="Times New Roman" w:cs="Times New Roman" w:eastAsia="Times New Roman" w:hAnsi="Times New Roman"/>
                <w:sz w:val="15"/>
                <w:szCs w:val="15"/>
                <w:b w:val="1"/>
                <w:bCs w:val="1"/>
                <w:color w:val="auto"/>
                <w:w w:val="91"/>
              </w:rPr>
              <w:t>Quantity</w:t>
            </w:r>
            <w:r>
              <w:rPr>
                <w:rFonts w:ascii="Times New Roman" w:cs="Times New Roman" w:eastAsia="Times New Roman" w:hAnsi="Times New Roman"/>
                <w:sz w:val="24"/>
                <w:szCs w:val="24"/>
                <w:b w:val="1"/>
                <w:bCs w:val="1"/>
                <w:color w:val="auto"/>
                <w:w w:val="91"/>
                <w:vertAlign w:val="superscript"/>
              </w:rPr>
              <w:t>(5)</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32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gridSpan w:val="2"/>
          </w:tcPr>
          <w:p>
            <w:pPr>
              <w:spacing w:after="0"/>
              <w:rPr>
                <w:sz w:val="18"/>
                <w:szCs w:val="18"/>
                <w:color w:val="auto"/>
              </w:rPr>
            </w:pPr>
          </w:p>
        </w:tc>
      </w:tr>
      <w:tr>
        <w:trPr>
          <w:trHeight w:val="34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517,917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6,150,506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82"/>
        </w:trPr>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2,270,458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2,270,858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8,421,364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r>
      <w:tr>
        <w:trPr>
          <w:trHeight w:val="537"/>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4,919,250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50"/>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234,601,314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198,511,915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125.98%</w:t>
            </w:r>
          </w:p>
        </w:tc>
      </w:tr>
      <w:tr>
        <w:trPr>
          <w:trHeight w:val="750"/>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329,337</w:t>
            </w:r>
          </w:p>
        </w:tc>
        <w:tc>
          <w:tcPr>
            <w:tcW w:w="3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257,267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501,626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0.32%</w:t>
            </w:r>
          </w:p>
        </w:tc>
      </w:tr>
      <w:tr>
        <w:trPr>
          <w:trHeight w:val="175"/>
        </w:trPr>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4,000,787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5,376,994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3.41%</w:t>
            </w:r>
          </w:p>
        </w:tc>
      </w:tr>
      <w:tr>
        <w:trPr>
          <w:trHeight w:val="175"/>
        </w:trPr>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2,019,687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3,233,922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2.05%</w:t>
            </w:r>
          </w:p>
        </w:tc>
      </w:tr>
      <w:tr>
        <w:trPr>
          <w:trHeight w:val="200"/>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156,285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0.10%</w:t>
            </w:r>
          </w:p>
        </w:tc>
      </w:tr>
      <w:tr>
        <w:trPr>
          <w:trHeight w:val="166"/>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6,387,741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9,268,827</w:t>
            </w:r>
          </w:p>
        </w:tc>
        <w:tc>
          <w:tcPr>
            <w:tcW w:w="320" w:type="dxa"/>
            <w:vAlign w:val="bottom"/>
          </w:tcPr>
          <w:p>
            <w:pPr>
              <w:spacing w:after="0"/>
              <w:rPr>
                <w:sz w:val="14"/>
                <w:szCs w:val="14"/>
                <w:color w:val="auto"/>
              </w:rPr>
            </w:pPr>
          </w:p>
        </w:tc>
        <w:tc>
          <w:tcPr>
            <w:tcW w:w="1040" w:type="dxa"/>
            <w:vAlign w:val="bottom"/>
            <w:tcBorders>
              <w:top w:val="single" w:sz="8" w:color="auto"/>
              <w:bottom w:val="single" w:sz="8" w:color="auto"/>
            </w:tcBorders>
            <w:gridSpan w:val="3"/>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5.88</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r>
      <w:tr>
        <w:trPr>
          <w:trHeight w:val="326"/>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318,979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2,000,447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1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49,505</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217,206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2,217,653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r>
      <w:tr>
        <w:trPr>
          <w:trHeight w:val="34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1,135,944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12,000,006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50"/>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20,605,400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9,268,827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5.88%</w:t>
            </w:r>
          </w:p>
        </w:tc>
      </w:tr>
      <w:tr>
        <w:trPr>
          <w:trHeight w:val="924"/>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34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1,103,719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1,101,695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0.70%</w:t>
            </w:r>
          </w:p>
        </w:tc>
      </w:tr>
      <w:tr>
        <w:trPr>
          <w:trHeight w:val="200"/>
        </w:trPr>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499,221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498,305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0.32%</w:t>
            </w:r>
          </w:p>
        </w:tc>
      </w:tr>
    </w:tbl>
    <w:p>
      <w:pPr>
        <w:spacing w:after="0" w:line="1" w:lineRule="exact"/>
        <w:rPr>
          <w:sz w:val="20"/>
          <w:szCs w:val="20"/>
          <w:color w:val="auto"/>
        </w:rPr>
      </w:pPr>
    </w:p>
    <w:p>
      <w:pPr>
        <w:sectPr>
          <w:pgSz w:w="11900" w:h="16838" w:orient="portrait"/>
          <w:cols w:equalWidth="0" w:num="2">
            <w:col w:w="5900" w:space="220"/>
            <w:col w:w="5160"/>
          </w:cols>
          <w:pgMar w:left="300" w:top="212"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820" w:type="dxa"/>
            <w:vAlign w:val="bottom"/>
            <w:tcBorders>
              <w:bottom w:val="single" w:sz="8" w:color="CCEEFF"/>
            </w:tcBorders>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46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1,602,940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1,600,000</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1.02</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r>
      <w:tr>
        <w:trPr>
          <w:trHeight w:val="166"/>
        </w:trPr>
        <w:tc>
          <w:tcPr>
            <w:tcW w:w="282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6"/>
        </w:trPr>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4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1,600,000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r>
      <w:tr>
        <w:trPr>
          <w:trHeight w:val="166"/>
        </w:trPr>
        <w:tc>
          <w:tcPr>
            <w:tcW w:w="282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197"/>
        </w:trPr>
        <w:tc>
          <w:tcPr>
            <w:tcW w:w="28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4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256,809,654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209,380,742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132.88%</w:t>
            </w:r>
          </w:p>
        </w:tc>
      </w:tr>
      <w:tr>
        <w:trPr>
          <w:trHeight w:val="20"/>
        </w:trPr>
        <w:tc>
          <w:tcPr>
            <w:tcW w:w="2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23"/>
        </w:trPr>
        <w:tc>
          <w:tcPr>
            <w:tcW w:w="2820" w:type="dxa"/>
            <w:vAlign w:val="bottom"/>
          </w:tcPr>
          <w:p>
            <w:pPr>
              <w:spacing w:after="0"/>
              <w:rPr>
                <w:sz w:val="24"/>
                <w:szCs w:val="24"/>
                <w:color w:val="auto"/>
              </w:rPr>
            </w:pPr>
          </w:p>
        </w:tc>
        <w:tc>
          <w:tcPr>
            <w:tcW w:w="4820" w:type="dxa"/>
            <w:vAlign w:val="bottom"/>
            <w:gridSpan w:val="2"/>
          </w:tcPr>
          <w:p>
            <w:pPr>
              <w:jc w:val="center"/>
              <w:ind w:left="747"/>
              <w:spacing w:after="0"/>
              <w:rPr>
                <w:sz w:val="20"/>
                <w:szCs w:val="20"/>
                <w:color w:val="auto"/>
              </w:rPr>
            </w:pPr>
            <w:r>
              <w:rPr>
                <w:rFonts w:ascii="Times New Roman" w:cs="Times New Roman" w:eastAsia="Times New Roman" w:hAnsi="Times New Roman"/>
                <w:sz w:val="15"/>
                <w:szCs w:val="15"/>
                <w:i w:val="1"/>
                <w:iCs w:val="1"/>
                <w:color w:val="auto"/>
                <w:w w:val="96"/>
              </w:rPr>
              <w:t>See accompanying notes to consolidated financial statements.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9"/>
        </w:trPr>
        <w:tc>
          <w:tcPr>
            <w:tcW w:w="28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1667"/>
              <w:spacing w:after="0"/>
              <w:rPr>
                <w:sz w:val="20"/>
                <w:szCs w:val="20"/>
                <w:color w:val="auto"/>
              </w:rPr>
            </w:pPr>
            <w:r>
              <w:rPr>
                <w:rFonts w:ascii="Times New Roman" w:cs="Times New Roman" w:eastAsia="Times New Roman" w:hAnsi="Times New Roman"/>
                <w:sz w:val="15"/>
                <w:szCs w:val="15"/>
                <w:color w:val="auto"/>
              </w:rPr>
              <w:t>76</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2" w:right="31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78943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51" w:lineRule="exact"/>
        <w:rPr>
          <w:sz w:val="20"/>
          <w:szCs w:val="20"/>
          <w:color w:val="auto"/>
        </w:rPr>
      </w:pPr>
    </w:p>
    <w:p>
      <w:pPr>
        <w:jc w:val="both"/>
        <w:ind w:left="260" w:hanging="253"/>
        <w:spacing w:after="0" w:line="265"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w:t>
      </w:r>
    </w:p>
    <w:p>
      <w:pPr>
        <w:ind w:left="260"/>
        <w:spacing w:after="0"/>
        <w:rPr>
          <w:sz w:val="20"/>
          <w:szCs w:val="20"/>
          <w:color w:val="auto"/>
        </w:rPr>
      </w:pPr>
      <w:r>
        <w:rPr>
          <w:rFonts w:ascii="Times New Roman" w:cs="Times New Roman" w:eastAsia="Times New Roman" w:hAnsi="Times New Roman"/>
          <w:sz w:val="15"/>
          <w:szCs w:val="15"/>
          <w:color w:val="auto"/>
        </w:rPr>
        <w:t>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2" w:lineRule="exact"/>
        <w:rPr>
          <w:sz w:val="20"/>
          <w:szCs w:val="20"/>
          <w:color w:val="auto"/>
        </w:rPr>
      </w:pPr>
    </w:p>
    <w:p>
      <w:pPr>
        <w:ind w:left="260" w:hanging="253"/>
        <w:spacing w:after="0" w:line="243" w:lineRule="auto"/>
        <w:tabs>
          <w:tab w:leader="none" w:pos="2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December 31, 2024, 39.56% of its total investments are non-qualifying assets, excluding cash and short-term US treasuries.</w:t>
      </w:r>
    </w:p>
    <w:p>
      <w:pPr>
        <w:ind w:left="260" w:hanging="253"/>
        <w:spacing w:after="0"/>
        <w:tabs>
          <w:tab w:leader="none" w:pos="2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62" w:lineRule="exact"/>
        <w:rPr>
          <w:sz w:val="20"/>
          <w:szCs w:val="20"/>
          <w:color w:val="auto"/>
        </w:rPr>
      </w:pPr>
    </w:p>
    <w:p>
      <w:pPr>
        <w:jc w:val="both"/>
        <w:ind w:left="260" w:hanging="253"/>
        <w:spacing w:after="0" w:line="281"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33" w:lineRule="exact"/>
        <w:rPr>
          <w:rFonts w:ascii="Times New Roman" w:cs="Times New Roman" w:eastAsia="Times New Roman" w:hAnsi="Times New Roman"/>
          <w:sz w:val="14"/>
          <w:szCs w:val="14"/>
          <w:color w:val="auto"/>
        </w:rPr>
      </w:pPr>
    </w:p>
    <w:p>
      <w:pPr>
        <w:jc w:val="both"/>
        <w:ind w:left="260" w:hanging="253"/>
        <w:spacing w:after="0" w:line="251"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investments noted had been placed on non-accrual status.</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respective number of shares, principal amount, fund commitment, or membership interest.</w:t>
      </w:r>
    </w:p>
    <w:p>
      <w:pPr>
        <w:spacing w:after="0" w:line="177" w:lineRule="exact"/>
        <w:rPr>
          <w:rFonts w:ascii="Times New Roman" w:cs="Times New Roman" w:eastAsia="Times New Roman" w:hAnsi="Times New Roman"/>
          <w:sz w:val="15"/>
          <w:szCs w:val="15"/>
          <w:color w:val="auto"/>
        </w:rPr>
      </w:pPr>
    </w:p>
    <w:p>
      <w:pPr>
        <w:ind w:left="260" w:hanging="253"/>
        <w:spacing w:after="0" w:line="267"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0" w:lineRule="exact"/>
        <w:rPr>
          <w:rFonts w:ascii="Times New Roman" w:cs="Times New Roman" w:eastAsia="Times New Roman" w:hAnsi="Times New Roman"/>
          <w:sz w:val="15"/>
          <w:szCs w:val="15"/>
          <w:color w:val="auto"/>
        </w:rPr>
      </w:pPr>
    </w:p>
    <w:p>
      <w:pPr>
        <w:ind w:left="260" w:hanging="253"/>
        <w:spacing w:after="0" w:line="267"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Sports”).</w:t>
      </w:r>
    </w:p>
    <w:p>
      <w:pPr>
        <w:spacing w:after="0" w:line="140" w:lineRule="exact"/>
        <w:rPr>
          <w:rFonts w:ascii="Times New Roman" w:cs="Times New Roman" w:eastAsia="Times New Roman" w:hAnsi="Times New Roman"/>
          <w:sz w:val="15"/>
          <w:szCs w:val="15"/>
          <w:color w:val="auto"/>
        </w:rPr>
      </w:pPr>
    </w:p>
    <w:p>
      <w:pPr>
        <w:jc w:val="both"/>
        <w:ind w:left="260" w:hanging="253"/>
        <w:spacing w:after="0" w:line="251"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 special purpose vehicle (“SPV”) for which the Class A Interest is solely invested in the Series C Preferred Shares of CoreWeave, Inc. SuRo Capital Corp. is invested in the Series C Preferred Shares of CoreWeave, Inc. through its investment in the Class A Interest of CW Opportunity 2 LP. The Series C Preferred Shares of CoreWeave, Inc. accrue a 10% per annum dividend, paid quarterly in cash or in-kind. CW Opportunity 2 LP does not charge a management fee but does charge an incentive fee of 20%, subject to an annual 15% IRR hurdle rate.</w:t>
      </w:r>
    </w:p>
    <w:p>
      <w:pPr>
        <w:spacing w:after="0" w:line="152" w:lineRule="exact"/>
        <w:rPr>
          <w:rFonts w:ascii="Times New Roman" w:cs="Times New Roman" w:eastAsia="Times New Roman" w:hAnsi="Times New Roman"/>
          <w:sz w:val="15"/>
          <w:szCs w:val="15"/>
          <w:color w:val="auto"/>
        </w:rPr>
      </w:pPr>
    </w:p>
    <w:p>
      <w:pPr>
        <w:jc w:val="both"/>
        <w:ind w:left="260" w:hanging="253"/>
        <w:spacing w:after="0" w:line="251"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 Corp.’s investment in the fund.</w:t>
      </w:r>
    </w:p>
    <w:p>
      <w:pPr>
        <w:spacing w:after="0" w:line="152" w:lineRule="exact"/>
        <w:rPr>
          <w:rFonts w:ascii="Times New Roman" w:cs="Times New Roman" w:eastAsia="Times New Roman" w:hAnsi="Times New Roman"/>
          <w:sz w:val="15"/>
          <w:szCs w:val="15"/>
          <w:color w:val="auto"/>
        </w:rPr>
      </w:pPr>
    </w:p>
    <w:p>
      <w:pPr>
        <w:ind w:left="260" w:hanging="253"/>
        <w:spacing w:after="0" w:line="267"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 True Global Ventures 4 Plus Pte Ltd charges a 1.8% management fee and a 22.5% incentive fee, subject to an annual 5% IRR hurdle rate.</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SuRo Capital Corp.’s investment in Residential Homes for Rent, LLC (d/b/a Second Avenue) is held through SuRo Capital Corp.’s wholly owned subsidiary, GSVC AV Holdings, Inc.</w:t>
      </w:r>
    </w:p>
    <w:p>
      <w:pPr>
        <w:spacing w:after="0" w:line="188" w:lineRule="exact"/>
        <w:rPr>
          <w:rFonts w:ascii="Times New Roman" w:cs="Times New Roman" w:eastAsia="Times New Roman" w:hAnsi="Times New Roman"/>
          <w:sz w:val="14"/>
          <w:szCs w:val="14"/>
          <w:color w:val="auto"/>
        </w:rPr>
      </w:pPr>
    </w:p>
    <w:p>
      <w:pPr>
        <w:ind w:left="260" w:hanging="253"/>
        <w:spacing w:after="0" w:line="267"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14, 2024, as part of Xgroup Holding Limited (d/b/a Xpoint)’s most recent financing round, SuRo Capital Corp.’s 6% Convertible Note due October 17, 2024 was converted into Series A-1 Shares, Series A Warrants, and Series A-1 Warrants.</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77" w:lineRule="exact"/>
        <w:rPr>
          <w:rFonts w:ascii="Times New Roman" w:cs="Times New Roman" w:eastAsia="Times New Roman" w:hAnsi="Times New Roman"/>
          <w:sz w:val="15"/>
          <w:szCs w:val="15"/>
          <w:color w:val="auto"/>
        </w:rPr>
      </w:pPr>
    </w:p>
    <w:p>
      <w:pPr>
        <w:jc w:val="both"/>
        <w:ind w:left="260" w:hanging="253"/>
        <w:spacing w:after="0" w:line="255"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SuRo Capital Corp. is invested in the Series B Preferred Shares of VAST Data, Ltd. through its investment in the Membership Interest of IH10, LLC. IH10, LLC does not charge a management or an incentive fee; however, SuRo Capital Corp. has prepaid operating expenses. Accordingly, these will adjust the total cost basis of SuRo Capital Corp.’s investment.</w:t>
      </w:r>
    </w:p>
    <w:p>
      <w:pPr>
        <w:spacing w:after="0" w:line="149" w:lineRule="exact"/>
        <w:rPr>
          <w:rFonts w:ascii="Times New Roman" w:cs="Times New Roman" w:eastAsia="Times New Roman" w:hAnsi="Times New Roman"/>
          <w:sz w:val="15"/>
          <w:szCs w:val="15"/>
          <w:color w:val="auto"/>
        </w:rPr>
      </w:pPr>
    </w:p>
    <w:p>
      <w:pPr>
        <w:ind w:left="260" w:hanging="253"/>
        <w:spacing w:after="0" w:line="267" w:lineRule="auto"/>
        <w:tabs>
          <w:tab w:leader="none" w:pos="2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SuRo Capital Corp.’s shares of ServiceTitan, Inc. were not registered and were therefore subject to certain restrictions on sale or transfer for which the Company has applied a discount to the closing public share price as of year-end. The Company anticipates the shares will be registered and freely tradable in June 2025.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2"/>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7"/>
          </w:tcPr>
          <w:p>
            <w:pPr>
              <w:jc w:val="center"/>
              <w:ind w:left="1027"/>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gridSpan w:val="7"/>
          </w:tcPr>
          <w:p>
            <w:pPr>
              <w:jc w:val="center"/>
              <w:ind w:left="1027"/>
              <w:spacing w:after="0"/>
              <w:rPr>
                <w:sz w:val="20"/>
                <w:szCs w:val="20"/>
                <w:color w:val="auto"/>
              </w:rPr>
            </w:pPr>
            <w:r>
              <w:rPr>
                <w:rFonts w:ascii="Times New Roman" w:cs="Times New Roman" w:eastAsia="Times New Roman" w:hAnsi="Times New Roman"/>
                <w:sz w:val="15"/>
                <w:szCs w:val="15"/>
                <w:b w:val="1"/>
                <w:bCs w:val="1"/>
                <w:color w:val="auto"/>
                <w:w w:val="96"/>
              </w:rPr>
              <w:t>CONSOLIDATED SCHEDULE OF INVESTMENTS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center"/>
              <w:ind w:left="127"/>
              <w:spacing w:after="0"/>
              <w:rPr>
                <w:sz w:val="20"/>
                <w:szCs w:val="20"/>
                <w:color w:val="auto"/>
              </w:rPr>
            </w:pPr>
            <w:r>
              <w:rPr>
                <w:rFonts w:ascii="Times New Roman" w:cs="Times New Roman" w:eastAsia="Times New Roman" w:hAnsi="Times New Roman"/>
                <w:sz w:val="15"/>
                <w:szCs w:val="15"/>
                <w:b w:val="1"/>
                <w:bCs w:val="1"/>
                <w:color w:val="auto"/>
                <w:w w:val="95"/>
              </w:rPr>
              <w:t>December 31, 2023</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160" w:type="dxa"/>
            <w:vAlign w:val="bottom"/>
          </w:tcPr>
          <w:p>
            <w:pPr>
              <w:spacing w:after="0"/>
              <w:rPr>
                <w:sz w:val="24"/>
                <w:szCs w:val="24"/>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191"/>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160" w:type="dxa"/>
            <w:vAlign w:val="bottom"/>
          </w:tcPr>
          <w:p>
            <w:pPr>
              <w:spacing w:after="0"/>
              <w:rPr>
                <w:sz w:val="16"/>
                <w:szCs w:val="16"/>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22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40" w:type="dxa"/>
            <w:vAlign w:val="bottom"/>
            <w:gridSpan w:val="2"/>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49"/>
        </w:trPr>
        <w:tc>
          <w:tcPr>
            <w:tcW w:w="2500" w:type="dxa"/>
            <w:vAlign w:val="bottom"/>
            <w:tcBorders>
              <w:top w:val="single" w:sz="8" w:color="auto"/>
            </w:tcBorders>
            <w:gridSpan w:val="22"/>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22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00" w:type="dxa"/>
            <w:vAlign w:val="bottom"/>
            <w:tcBorders>
              <w:bottom w:val="single" w:sz="8" w:color="auto"/>
            </w:tcBorders>
            <w:gridSpan w:val="20"/>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Learneo, Inc. (f/k/a Course Hero, Inc.)</w:t>
            </w:r>
          </w:p>
        </w:tc>
        <w:tc>
          <w:tcPr>
            <w:tcW w:w="320" w:type="dxa"/>
            <w:vAlign w:val="bottom"/>
            <w:gridSpan w:val="3"/>
          </w:tcPr>
          <w:p>
            <w:pPr>
              <w:spacing w:after="0"/>
              <w:rPr>
                <w:sz w:val="12"/>
                <w:szCs w:val="12"/>
                <w:color w:val="auto"/>
              </w:rPr>
            </w:pP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5"/>
              </w:rPr>
              <w:t>Redwood City, CA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9/18/2014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2,145,509</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45,982,580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22.61%</w:t>
            </w:r>
          </w:p>
        </w:tc>
        <w:tc>
          <w:tcPr>
            <w:tcW w:w="0" w:type="dxa"/>
            <w:vAlign w:val="bottom"/>
          </w:tcPr>
          <w:p>
            <w:pPr>
              <w:spacing w:after="0"/>
              <w:rPr>
                <w:sz w:val="1"/>
                <w:szCs w:val="1"/>
                <w:color w:val="auto"/>
              </w:rPr>
            </w:pPr>
          </w:p>
        </w:tc>
      </w:tr>
      <w:tr>
        <w:trPr>
          <w:trHeight w:val="186"/>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11/5/2021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275,659</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9,999,971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9,999,971</w:t>
            </w: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3"/>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14,999,972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55,982,551</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27.53</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39"/>
        </w:trPr>
        <w:tc>
          <w:tcPr>
            <w:tcW w:w="2720" w:type="dxa"/>
            <w:vAlign w:val="bottom"/>
            <w:gridSpan w:val="23"/>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ServiceTitan, Inc.</w:t>
            </w:r>
          </w:p>
        </w:tc>
        <w:tc>
          <w:tcPr>
            <w:tcW w:w="2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6"/>
              </w:rPr>
              <w:t>Glendale, CA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240"/>
              <w:spacing w:after="0" w:line="167" w:lineRule="exact"/>
              <w:rPr>
                <w:sz w:val="20"/>
                <w:szCs w:val="20"/>
                <w:color w:val="auto"/>
              </w:rPr>
            </w:pPr>
            <w:r>
              <w:rPr>
                <w:rFonts w:ascii="Times New Roman" w:cs="Times New Roman" w:eastAsia="Times New Roman" w:hAnsi="Times New Roman"/>
                <w:sz w:val="15"/>
                <w:szCs w:val="15"/>
                <w:color w:val="auto"/>
                <w:w w:val="97"/>
              </w:rPr>
              <w:t>Contractor Management</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Software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151,515</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10,008,233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11,960,975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gridSpan w:val="7"/>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Blink Health, Inc.</w:t>
            </w:r>
          </w:p>
        </w:tc>
        <w:tc>
          <w:tcPr>
            <w:tcW w:w="1600" w:type="dxa"/>
            <w:vAlign w:val="bottom"/>
            <w:gridSpan w:val="16"/>
          </w:tcPr>
          <w:p>
            <w:pPr>
              <w:spacing w:after="0"/>
              <w:rPr>
                <w:sz w:val="12"/>
                <w:szCs w:val="12"/>
                <w:color w:val="auto"/>
              </w:rPr>
            </w:pPr>
          </w:p>
        </w:tc>
        <w:tc>
          <w:tcPr>
            <w:tcW w:w="2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Pharmaceutical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238,095</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5,000,423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1,692,855</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0" w:type="dxa"/>
            <w:vAlign w:val="bottom"/>
          </w:tcPr>
          <w:p>
            <w:pPr>
              <w:spacing w:after="0"/>
              <w:rPr>
                <w:sz w:val="1"/>
                <w:szCs w:val="1"/>
                <w:color w:val="auto"/>
              </w:rPr>
            </w:pPr>
          </w:p>
        </w:tc>
      </w:tr>
      <w:tr>
        <w:trPr>
          <w:trHeight w:val="186"/>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10/27/2020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261,944</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10,003,917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9,999,975</w:t>
            </w: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3"/>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15,004,340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11,692,830</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5.75</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39"/>
        </w:trPr>
        <w:tc>
          <w:tcPr>
            <w:tcW w:w="1360" w:type="dxa"/>
            <w:vAlign w:val="bottom"/>
            <w:tcBorders>
              <w:bottom w:val="single" w:sz="8" w:color="auto"/>
            </w:tcBorders>
            <w:gridSpan w:val="11"/>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Locus Robotics Corp.</w:t>
            </w:r>
          </w:p>
        </w:tc>
        <w:tc>
          <w:tcPr>
            <w:tcW w:w="1360" w:type="dxa"/>
            <w:vAlign w:val="bottom"/>
            <w:gridSpan w:val="12"/>
          </w:tcPr>
          <w:p>
            <w:pPr>
              <w:spacing w:after="0"/>
              <w:rPr>
                <w:sz w:val="12"/>
                <w:szCs w:val="12"/>
                <w:color w:val="auto"/>
              </w:rPr>
            </w:pPr>
          </w:p>
        </w:tc>
        <w:tc>
          <w:tcPr>
            <w:tcW w:w="2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5"/>
              </w:rPr>
              <w:t>Wilmington, MA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Warehouse Automation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11/30/2022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232,568</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10,004,286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10,675,766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Whoop, Inc.</w:t>
            </w:r>
          </w:p>
        </w:tc>
        <w:tc>
          <w:tcPr>
            <w:tcW w:w="1940" w:type="dxa"/>
            <w:vAlign w:val="bottom"/>
            <w:gridSpan w:val="20"/>
          </w:tcPr>
          <w:p>
            <w:pPr>
              <w:spacing w:after="0"/>
              <w:rPr>
                <w:sz w:val="12"/>
                <w:szCs w:val="12"/>
                <w:color w:val="auto"/>
              </w:rPr>
            </w:pPr>
          </w:p>
        </w:tc>
        <w:tc>
          <w:tcPr>
            <w:tcW w:w="2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5"/>
                <w:szCs w:val="15"/>
                <w:color w:val="auto"/>
                <w:w w:val="97"/>
              </w:rPr>
              <w:t>Boston, MA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Fitness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6/30/2022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13,293,450</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10,011,460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9,612,887</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0" w:type="dxa"/>
            <w:vAlign w:val="bottom"/>
          </w:tcPr>
          <w:p>
            <w:pPr>
              <w:spacing w:after="0"/>
              <w:rPr>
                <w:sz w:val="1"/>
                <w:szCs w:val="1"/>
                <w:color w:val="auto"/>
              </w:rPr>
            </w:pPr>
          </w:p>
        </w:tc>
      </w:tr>
      <w:tr>
        <w:trPr>
          <w:trHeight w:val="142"/>
        </w:trPr>
        <w:tc>
          <w:tcPr>
            <w:tcW w:w="2720" w:type="dxa"/>
            <w:vAlign w:val="bottom"/>
            <w:gridSpan w:val="23"/>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Shogun Enterprises, Inc. (d/b/a Hearth)</w:t>
            </w: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7"/>
              </w:rPr>
              <w:t>Austin, TX</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(13)</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Home Improvement Finance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436,844</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3,501,657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3,132,942</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2/26/2021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301,750</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3,501,661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3,132,946</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75"/>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5/2/2022</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56,936</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530,822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475,152</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0" w:type="dxa"/>
            <w:vAlign w:val="bottom"/>
          </w:tcPr>
          <w:p>
            <w:pPr>
              <w:spacing w:after="0"/>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48,267</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366,606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342,517</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60"/>
        </w:trPr>
        <w:tc>
          <w:tcPr>
            <w:tcW w:w="2720" w:type="dxa"/>
            <w:vAlign w:val="bottom"/>
            <w:gridSpan w:val="23"/>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1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Expiration Date 7/12/2026</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7/12/2023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86,076</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140,060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3"/>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8,040,806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7,083,557</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3.48</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33"/>
        </w:trPr>
        <w:tc>
          <w:tcPr>
            <w:tcW w:w="2720" w:type="dxa"/>
            <w:vAlign w:val="bottom"/>
            <w:gridSpan w:val="23"/>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FourKites, Inc.</w:t>
            </w:r>
          </w:p>
        </w:tc>
        <w:tc>
          <w:tcPr>
            <w:tcW w:w="206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Supply Chain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7/7/2023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1,398,024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8,530,389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6,926,176</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20"/>
        </w:trPr>
        <w:tc>
          <w:tcPr>
            <w:tcW w:w="1680" w:type="dxa"/>
            <w:vAlign w:val="bottom"/>
            <w:tcBorders>
              <w:bottom w:val="single" w:sz="8" w:color="CCEEFF"/>
            </w:tcBorders>
            <w:gridSpan w:val="14"/>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4"/>
              </w:rPr>
              <w:t>Orchard Technologies, Inc.</w:t>
            </w:r>
          </w:p>
        </w:tc>
        <w:tc>
          <w:tcPr>
            <w:tcW w:w="2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w:t>
            </w:r>
          </w:p>
        </w:tc>
        <w:tc>
          <w:tcPr>
            <w:tcW w:w="200" w:type="dxa"/>
            <w:vAlign w:val="bottom"/>
            <w:tcBorders>
              <w:bottom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vMerge w:val="restart"/>
            <w:shd w:val="clear" w:color="auto" w:fill="CCEEFF"/>
          </w:tcPr>
          <w:p>
            <w:pPr>
              <w:spacing w:after="0"/>
              <w:rPr>
                <w:sz w:val="10"/>
                <w:szCs w:val="10"/>
                <w:color w:val="auto"/>
              </w:rPr>
            </w:pPr>
          </w:p>
        </w:tc>
        <w:tc>
          <w:tcPr>
            <w:tcW w:w="340" w:type="dxa"/>
            <w:vAlign w:val="bottom"/>
            <w:tcBorders>
              <w:bottom w:val="single" w:sz="8" w:color="CCEEFF"/>
            </w:tcBorders>
            <w:gridSpan w:val="4"/>
            <w:vMerge w:val="restart"/>
            <w:shd w:val="clear" w:color="auto" w:fill="CCEEFF"/>
          </w:tcPr>
          <w:p>
            <w:pPr>
              <w:spacing w:after="0"/>
              <w:rPr>
                <w:sz w:val="10"/>
                <w:szCs w:val="10"/>
                <w:color w:val="auto"/>
              </w:rPr>
            </w:pPr>
          </w:p>
        </w:tc>
        <w:tc>
          <w:tcPr>
            <w:tcW w:w="206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680" w:type="dxa"/>
            <w:vAlign w:val="bottom"/>
            <w:tcBorders>
              <w:bottom w:val="single" w:sz="8" w:color="auto"/>
            </w:tcBorders>
            <w:gridSpan w:val="14"/>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340" w:type="dxa"/>
            <w:vAlign w:val="bottom"/>
            <w:tcBorders>
              <w:bottom w:val="single" w:sz="8" w:color="CCEEFF"/>
            </w:tcBorders>
            <w:gridSpan w:val="4"/>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Real Estate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558,053</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Preferred shares, Series 2</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58,771</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587,951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Senior Preferred shares, Series 1 7%</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441,228</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4,418,406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4,854,086</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186"/>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8/9/2021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558,053</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3,751,518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3"/>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12,509,393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4,854,086</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2.39</w:t>
            </w:r>
          </w:p>
        </w:tc>
        <w:tc>
          <w:tcPr>
            <w:tcW w:w="14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00"/>
        </w:trPr>
        <w:tc>
          <w:tcPr>
            <w:tcW w:w="2260" w:type="dxa"/>
            <w:vAlign w:val="bottom"/>
            <w:tcBorders>
              <w:bottom w:val="single" w:sz="8" w:color="CCEEFF"/>
            </w:tcBorders>
            <w:gridSpan w:val="17"/>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5"/>
              </w:rPr>
              <w:t>True Global Ventures 4 Plus Pte Ltd</w:t>
            </w:r>
          </w:p>
        </w:tc>
        <w:tc>
          <w:tcPr>
            <w:tcW w:w="120" w:type="dxa"/>
            <w:vAlign w:val="bottom"/>
            <w:tcBorders>
              <w:bottom w:val="single" w:sz="8" w:color="auto"/>
            </w:tcBorders>
            <w:gridSpan w:val="2"/>
            <w:shd w:val="clear" w:color="auto" w:fill="CCEEFF"/>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Borders>
              <w:bottom w:val="single" w:sz="8" w:color="CCEEFF"/>
            </w:tcBorders>
            <w:gridSpan w:val="4"/>
            <w:vMerge w:val="restart"/>
            <w:shd w:val="clear" w:color="auto" w:fill="CCEEFF"/>
          </w:tcPr>
          <w:p>
            <w:pPr>
              <w:spacing w:after="0"/>
              <w:rPr>
                <w:sz w:val="8"/>
                <w:szCs w:val="8"/>
                <w:color w:val="auto"/>
              </w:rPr>
            </w:pPr>
          </w:p>
        </w:tc>
        <w:tc>
          <w:tcPr>
            <w:tcW w:w="2060" w:type="dxa"/>
            <w:vAlign w:val="bottom"/>
            <w:tcBorders>
              <w:bottom w:val="single" w:sz="8" w:color="CCEEFF"/>
            </w:tcBorders>
            <w:gridSpan w:val="2"/>
            <w:vMerge w:val="restart"/>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Singapore, Singapore</w:t>
            </w:r>
          </w:p>
        </w:tc>
        <w:tc>
          <w:tcPr>
            <w:tcW w:w="1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260" w:type="dxa"/>
            <w:vAlign w:val="bottom"/>
            <w:tcBorders>
              <w:bottom w:val="single" w:sz="8" w:color="auto"/>
            </w:tcBorders>
            <w:gridSpan w:val="17"/>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gridSpan w:val="4"/>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720" w:type="dxa"/>
            <w:vAlign w:val="bottom"/>
            <w:gridSpan w:val="23"/>
          </w:tcPr>
          <w:p>
            <w:pPr>
              <w:spacing w:after="0" w:line="207" w:lineRule="exact"/>
              <w:rPr>
                <w:sz w:val="20"/>
                <w:szCs w:val="20"/>
                <w:color w:val="auto"/>
              </w:rPr>
            </w:pPr>
            <w:r>
              <w:rPr>
                <w:rFonts w:ascii="Times New Roman" w:cs="Times New Roman" w:eastAsia="Times New Roman" w:hAnsi="Times New Roman"/>
                <w:sz w:val="15"/>
                <w:szCs w:val="15"/>
                <w:color w:val="auto"/>
              </w:rPr>
              <w:t>Limited Partner Fund Investment</w:t>
            </w:r>
            <w:r>
              <w:rPr>
                <w:rFonts w:ascii="Times New Roman" w:cs="Times New Roman" w:eastAsia="Times New Roman" w:hAnsi="Times New Roman"/>
                <w:sz w:val="24"/>
                <w:szCs w:val="24"/>
                <w:color w:val="auto"/>
                <w:vertAlign w:val="superscript"/>
              </w:rPr>
              <w:t>(8)</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Venture Investment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8/27/2021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960,778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4,054,309</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Neutron Holdings, Inc. (d/b/a/ Lime)</w:t>
            </w:r>
          </w:p>
        </w:tc>
        <w:tc>
          <w:tcPr>
            <w:tcW w:w="440" w:type="dxa"/>
            <w:vAlign w:val="bottom"/>
            <w:tcBorders>
              <w:bottom w:val="single" w:sz="8" w:color="CCEEFF"/>
            </w:tcBorders>
            <w:gridSpan w:val="5"/>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Junior Preferred shares, Series 1-D</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Micromobility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1/25/2019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41,237,113</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10,007,322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3,485,014</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162"/>
        </w:trPr>
        <w:tc>
          <w:tcPr>
            <w:tcW w:w="272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Junior Preferred Convertible Note 4%</w:t>
            </w: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720" w:type="dxa"/>
            <w:vAlign w:val="bottom"/>
            <w:gridSpan w:val="23"/>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Due 5/11/2027</w:t>
            </w:r>
            <w:r>
              <w:rPr>
                <w:rFonts w:ascii="Times New Roman" w:cs="Times New Roman" w:eastAsia="Times New Roman" w:hAnsi="Times New Roman"/>
                <w:sz w:val="24"/>
                <w:szCs w:val="24"/>
                <w:color w:val="auto"/>
                <w:vertAlign w:val="superscript"/>
              </w:rPr>
              <w:t>***</w:t>
            </w: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5/11/2020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506,339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60"/>
        </w:trPr>
        <w:tc>
          <w:tcPr>
            <w:tcW w:w="2720" w:type="dxa"/>
            <w:vAlign w:val="bottom"/>
            <w:gridSpan w:val="23"/>
          </w:tcPr>
          <w:p>
            <w:pPr>
              <w:ind w:left="20"/>
              <w:spacing w:after="0" w:line="160" w:lineRule="exact"/>
              <w:rPr>
                <w:sz w:val="20"/>
                <w:szCs w:val="20"/>
                <w:color w:val="auto"/>
              </w:rPr>
            </w:pPr>
            <w:r>
              <w:rPr>
                <w:rFonts w:ascii="Times New Roman" w:cs="Times New Roman" w:eastAsia="Times New Roman" w:hAnsi="Times New Roman"/>
                <w:sz w:val="15"/>
                <w:szCs w:val="15"/>
                <w:color w:val="auto"/>
              </w:rPr>
              <w:t>Common Warrants, Strike Price $0.01,</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23"/>
          </w:tcPr>
          <w:p>
            <w:pPr>
              <w:ind w:left="20"/>
              <w:spacing w:after="0"/>
              <w:rPr>
                <w:sz w:val="20"/>
                <w:szCs w:val="20"/>
                <w:color w:val="auto"/>
              </w:rPr>
            </w:pPr>
            <w:r>
              <w:rPr>
                <w:rFonts w:ascii="Times New Roman" w:cs="Times New Roman" w:eastAsia="Times New Roman" w:hAnsi="Times New Roman"/>
                <w:sz w:val="15"/>
                <w:szCs w:val="15"/>
                <w:color w:val="auto"/>
              </w:rPr>
              <w:t>Expiration Date 5/11/2027</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5/11/2020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2,032,967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3"/>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10,513,661</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3,991,353</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1.96</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00"/>
        </w:trPr>
        <w:tc>
          <w:tcPr>
            <w:tcW w:w="1140" w:type="dxa"/>
            <w:vAlign w:val="bottom"/>
            <w:gridSpan w:val="8"/>
            <w:vMerge w:val="restart"/>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5"/>
              </w:rPr>
              <w:t>Forge Global, Inc.</w:t>
            </w:r>
          </w:p>
        </w:tc>
        <w:tc>
          <w:tcPr>
            <w:tcW w:w="120" w:type="dxa"/>
            <w:vAlign w:val="bottom"/>
            <w:tcBorders>
              <w:bottom w:val="single" w:sz="8" w:color="auto"/>
            </w:tcBorders>
            <w:gridSpan w:val="2"/>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gridSpan w:val="2"/>
            <w:vMerge w:val="restart"/>
          </w:tcPr>
          <w:p>
            <w:pPr>
              <w:spacing w:after="0"/>
              <w:rPr>
                <w:sz w:val="8"/>
                <w:szCs w:val="8"/>
                <w:color w:val="auto"/>
              </w:rPr>
            </w:pPr>
          </w:p>
        </w:tc>
        <w:tc>
          <w:tcPr>
            <w:tcW w:w="700" w:type="dxa"/>
            <w:vAlign w:val="bottom"/>
            <w:gridSpan w:val="4"/>
            <w:vMerge w:val="restart"/>
          </w:tcPr>
          <w:p>
            <w:pPr>
              <w:spacing w:after="0"/>
              <w:rPr>
                <w:sz w:val="8"/>
                <w:szCs w:val="8"/>
                <w:color w:val="auto"/>
              </w:rPr>
            </w:pPr>
          </w:p>
        </w:tc>
        <w:tc>
          <w:tcPr>
            <w:tcW w:w="620" w:type="dxa"/>
            <w:vAlign w:val="bottom"/>
            <w:gridSpan w:val="7"/>
            <w:vMerge w:val="restart"/>
          </w:tcPr>
          <w:p>
            <w:pPr>
              <w:spacing w:after="0"/>
              <w:rPr>
                <w:sz w:val="8"/>
                <w:szCs w:val="8"/>
                <w:color w:val="auto"/>
              </w:rPr>
            </w:pPr>
          </w:p>
        </w:tc>
        <w:tc>
          <w:tcPr>
            <w:tcW w:w="206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gridSpan w:val="8"/>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620" w:type="dxa"/>
            <w:vAlign w:val="bottom"/>
            <w:gridSpan w:val="7"/>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720" w:type="dxa"/>
            <w:vAlign w:val="bottom"/>
            <w:gridSpan w:val="23"/>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Online Marketplace Finance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7/20/2011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1,145,875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2,093,988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3,930,351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42"/>
        </w:trPr>
        <w:tc>
          <w:tcPr>
            <w:tcW w:w="2720" w:type="dxa"/>
            <w:vAlign w:val="bottom"/>
            <w:gridSpan w:val="23"/>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PayJoy, Inc.</w:t>
            </w:r>
          </w:p>
        </w:tc>
        <w:tc>
          <w:tcPr>
            <w:tcW w:w="2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5"/>
              </w:rPr>
              <w:t>Mobile Access Technology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7/23/2021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244,117</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2,501,570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2,500,002</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86"/>
        </w:trPr>
        <w:tc>
          <w:tcPr>
            <w:tcW w:w="272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5/25/2023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501,470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3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3"/>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3,003,040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3,000,002</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1.48</w:t>
            </w:r>
          </w:p>
        </w:tc>
        <w:tc>
          <w:tcPr>
            <w:tcW w:w="14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22"/>
        </w:trPr>
        <w:tc>
          <w:tcPr>
            <w:tcW w:w="2100" w:type="dxa"/>
            <w:vAlign w:val="bottom"/>
            <w:tcBorders>
              <w:bottom w:val="single" w:sz="8" w:color="auto"/>
            </w:tcBorders>
            <w:gridSpan w:val="16"/>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Residential Homes for Rent, LLC</w:t>
            </w:r>
          </w:p>
        </w:tc>
        <w:tc>
          <w:tcPr>
            <w:tcW w:w="620" w:type="dxa"/>
            <w:vAlign w:val="bottom"/>
            <w:gridSpan w:val="7"/>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gridSpan w:val="12"/>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5"/>
              </w:rPr>
              <w:t>(d/b/a Second Avenue)</w:t>
            </w:r>
          </w:p>
        </w:tc>
        <w:tc>
          <w:tcPr>
            <w:tcW w:w="1320" w:type="dxa"/>
            <w:vAlign w:val="bottom"/>
            <w:gridSpan w:val="11"/>
          </w:tcPr>
          <w:p>
            <w:pPr>
              <w:spacing w:after="0"/>
              <w:rPr>
                <w:sz w:val="14"/>
                <w:szCs w:val="14"/>
                <w:color w:val="auto"/>
              </w:rPr>
            </w:pPr>
          </w:p>
        </w:tc>
        <w:tc>
          <w:tcPr>
            <w:tcW w:w="2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gridSpan w:val="23"/>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Preferred shares, Series A</w:t>
            </w:r>
            <w:r>
              <w:rPr>
                <w:rFonts w:ascii="Times New Roman" w:cs="Times New Roman" w:eastAsia="Times New Roman" w:hAnsi="Times New Roman"/>
                <w:sz w:val="24"/>
                <w:szCs w:val="24"/>
                <w:color w:val="auto"/>
                <w:vertAlign w:val="superscript"/>
              </w:rPr>
              <w:t>(6)</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Real Estate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12/23/2020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150,000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2,452,792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120"/>
        </w:trPr>
        <w:tc>
          <w:tcPr>
            <w:tcW w:w="108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b w:val="1"/>
                <w:bCs w:val="1"/>
                <w:color w:val="auto"/>
                <w:w w:val="94"/>
              </w:rPr>
              <w:t>Varo Money, Inc.</w:t>
            </w:r>
          </w:p>
        </w:tc>
        <w:tc>
          <w:tcPr>
            <w:tcW w:w="120" w:type="dxa"/>
            <w:vAlign w:val="bottom"/>
            <w:tcBorders>
              <w:bottom w:val="single" w:sz="8" w:color="auto"/>
            </w:tcBorders>
            <w:gridSpan w:val="4"/>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520" w:type="dxa"/>
            <w:vAlign w:val="bottom"/>
            <w:gridSpan w:val="14"/>
            <w:vMerge w:val="restart"/>
          </w:tcPr>
          <w:p>
            <w:pPr>
              <w:spacing w:after="0"/>
              <w:rPr>
                <w:sz w:val="10"/>
                <w:szCs w:val="10"/>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80" w:type="dxa"/>
            <w:vAlign w:val="bottom"/>
            <w:tcBorders>
              <w:bottom w:val="single" w:sz="8" w:color="auto"/>
            </w:tcBorders>
            <w:gridSpan w:val="5"/>
            <w:vMerge w:val="continue"/>
          </w:tcPr>
          <w:p>
            <w:pPr>
              <w:spacing w:after="0"/>
              <w:rPr>
                <w:sz w:val="3"/>
                <w:szCs w:val="3"/>
                <w:color w:val="auto"/>
              </w:rPr>
            </w:pPr>
          </w:p>
        </w:tc>
        <w:tc>
          <w:tcPr>
            <w:tcW w:w="120" w:type="dxa"/>
            <w:vAlign w:val="bottom"/>
            <w:gridSpan w:val="4"/>
          </w:tcPr>
          <w:p>
            <w:pPr>
              <w:spacing w:after="0"/>
              <w:rPr>
                <w:sz w:val="3"/>
                <w:szCs w:val="3"/>
                <w:color w:val="auto"/>
              </w:rPr>
            </w:pPr>
          </w:p>
        </w:tc>
        <w:tc>
          <w:tcPr>
            <w:tcW w:w="1520" w:type="dxa"/>
            <w:vAlign w:val="bottom"/>
            <w:gridSpan w:val="14"/>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5"/>
              </w:rPr>
              <w:t>Financial Services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8/11/2021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1,079,266</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10,005,548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2,316,590</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191"/>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60" w:type="dxa"/>
            <w:vAlign w:val="bottom"/>
            <w:gridSpan w:val="2"/>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46"/>
        </w:trPr>
        <w:tc>
          <w:tcPr>
            <w:tcW w:w="2500" w:type="dxa"/>
            <w:vAlign w:val="bottom"/>
            <w:tcBorders>
              <w:top w:val="single" w:sz="8" w:color="auto"/>
            </w:tcBorders>
            <w:gridSpan w:val="24"/>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22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5"/>
                <w:szCs w:val="15"/>
                <w:color w:val="auto"/>
                <w:w w:val="97"/>
              </w:rPr>
              <w:t>Chicago, IL</w:t>
            </w:r>
          </w:p>
        </w:tc>
        <w:tc>
          <w:tcPr>
            <w:tcW w:w="2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0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820" w:type="dxa"/>
            <w:vAlign w:val="bottom"/>
            <w:tcBorders>
              <w:top w:val="single" w:sz="8" w:color="CCEEFF"/>
            </w:tcBorders>
            <w:gridSpan w:val="8"/>
          </w:tcPr>
          <w:p>
            <w:pPr>
              <w:spacing w:after="0"/>
              <w:rPr>
                <w:sz w:val="15"/>
                <w:szCs w:val="15"/>
                <w:color w:val="auto"/>
              </w:rPr>
            </w:pPr>
          </w:p>
        </w:tc>
        <w:tc>
          <w:tcPr>
            <w:tcW w:w="206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312,500</w:t>
            </w: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2,580,750</w:t>
            </w: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1,418,723</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42"/>
        </w:trPr>
        <w:tc>
          <w:tcPr>
            <w:tcW w:w="2720" w:type="dxa"/>
            <w:vAlign w:val="bottom"/>
            <w:gridSpan w:val="25"/>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Xgroup Holdings Limited (d/b/a</w:t>
            </w: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Xpoint)**</w:t>
            </w:r>
          </w:p>
        </w:tc>
        <w:tc>
          <w:tcPr>
            <w:tcW w:w="100" w:type="dxa"/>
            <w:vAlign w:val="bottom"/>
            <w:tcBorders>
              <w:top w:val="single" w:sz="8" w:color="auto"/>
              <w:bottom w:val="single" w:sz="8" w:color="auto"/>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100" w:type="dxa"/>
            <w:vAlign w:val="bottom"/>
            <w:tcBorders>
              <w:top w:val="single" w:sz="8" w:color="auto"/>
              <w:left w:val="single" w:sz="8" w:color="CCEEFF"/>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380" w:type="dxa"/>
            <w:vAlign w:val="bottom"/>
            <w:tcBorders>
              <w:top w:val="single" w:sz="8" w:color="CCEEFF"/>
              <w:bottom w:val="single" w:sz="8" w:color="CCEEFF"/>
            </w:tcBorders>
            <w:gridSpan w:val="2"/>
            <w:vMerge w:val="restart"/>
            <w:shd w:val="clear" w:color="auto" w:fill="CCEEFF"/>
          </w:tcPr>
          <w:p>
            <w:pPr>
              <w:spacing w:after="0"/>
              <w:rPr>
                <w:sz w:val="11"/>
                <w:szCs w:val="11"/>
                <w:color w:val="auto"/>
              </w:rPr>
            </w:pPr>
          </w:p>
        </w:tc>
        <w:tc>
          <w:tcPr>
            <w:tcW w:w="2060" w:type="dxa"/>
            <w:vAlign w:val="bottom"/>
            <w:tcBorders>
              <w:top w:val="single" w:sz="8" w:color="CCEEFF"/>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Philadelphia, PA</w:t>
            </w: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40" w:type="dxa"/>
            <w:vAlign w:val="bottom"/>
            <w:tcBorders>
              <w:bottom w:val="single" w:sz="8" w:color="auto"/>
            </w:tcBorders>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right w:val="single" w:sz="8" w:color="CCEEFF"/>
            </w:tcBorders>
            <w:shd w:val="clear" w:color="auto" w:fill="CCEEFF"/>
          </w:tcPr>
          <w:p>
            <w:pPr>
              <w:spacing w:after="0"/>
              <w:rPr>
                <w:sz w:val="4"/>
                <w:szCs w:val="4"/>
                <w:color w:val="auto"/>
              </w:rPr>
            </w:pPr>
          </w:p>
        </w:tc>
        <w:tc>
          <w:tcPr>
            <w:tcW w:w="100" w:type="dxa"/>
            <w:vAlign w:val="bottom"/>
            <w:tcBorders>
              <w:left w:val="single" w:sz="8" w:color="CCEEFF"/>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gridSpan w:val="2"/>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720" w:type="dxa"/>
            <w:vAlign w:val="bottom"/>
            <w:gridSpan w:val="25"/>
          </w:tcPr>
          <w:p>
            <w:pPr>
              <w:spacing w:after="0" w:line="207" w:lineRule="exact"/>
              <w:rPr>
                <w:sz w:val="20"/>
                <w:szCs w:val="20"/>
                <w:color w:val="auto"/>
              </w:rPr>
            </w:pPr>
            <w:r>
              <w:rPr>
                <w:rFonts w:ascii="Times New Roman" w:cs="Times New Roman" w:eastAsia="Times New Roman" w:hAnsi="Times New Roman"/>
                <w:sz w:val="15"/>
                <w:szCs w:val="15"/>
                <w:color w:val="auto"/>
              </w:rPr>
              <w:t>Convertible Note 6%, Due 10/17/2024</w:t>
            </w:r>
            <w:r>
              <w:rPr>
                <w:rFonts w:ascii="Times New Roman" w:cs="Times New Roman" w:eastAsia="Times New Roman" w:hAnsi="Times New Roman"/>
                <w:sz w:val="24"/>
                <w:szCs w:val="24"/>
                <w:color w:val="auto"/>
                <w:vertAlign w:val="superscript"/>
              </w:rPr>
              <w:t>(4)</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6"/>
              </w:rPr>
              <w:t>Geolocation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1,338,976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1,325,000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gridSpan w:val="23"/>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6"/>
              </w:rPr>
              <w:t>Commercial Streaming Solutions Inc.</w:t>
            </w:r>
          </w:p>
        </w:tc>
        <w:tc>
          <w:tcPr>
            <w:tcW w:w="380" w:type="dxa"/>
            <w:vAlign w:val="bottom"/>
            <w:tcBorders>
              <w:bottom w:val="single" w:sz="8" w:color="CCEEFF"/>
            </w:tcBorders>
            <w:gridSpan w:val="2"/>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CCEEFF"/>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(d/b/a BettorView)</w:t>
            </w:r>
          </w:p>
        </w:tc>
        <w:tc>
          <w:tcPr>
            <w:tcW w:w="16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600" w:type="dxa"/>
            <w:vAlign w:val="bottom"/>
            <w:tcBorders>
              <w:bottom w:val="single" w:sz="8" w:color="CCEEFF"/>
            </w:tcBorders>
            <w:gridSpan w:val="3"/>
            <w:vMerge w:val="restart"/>
            <w:shd w:val="clear" w:color="auto" w:fill="CCEEFF"/>
          </w:tcPr>
          <w:p>
            <w:pPr>
              <w:spacing w:after="0"/>
              <w:rPr>
                <w:sz w:val="11"/>
                <w:szCs w:val="11"/>
                <w:color w:val="auto"/>
              </w:rPr>
            </w:pPr>
          </w:p>
        </w:tc>
        <w:tc>
          <w:tcPr>
            <w:tcW w:w="206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Las Vegas, NV</w:t>
            </w:r>
          </w:p>
        </w:tc>
        <w:tc>
          <w:tcPr>
            <w:tcW w:w="1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160" w:type="dxa"/>
            <w:vAlign w:val="bottom"/>
            <w:tcBorders>
              <w:bottom w:val="single" w:sz="8" w:color="auto"/>
            </w:tcBorders>
            <w:gridSpan w:val="7"/>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Interactive Media &amp; Services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3/26/2021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1,004,240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0" w:type="dxa"/>
            <w:vAlign w:val="bottom"/>
          </w:tcPr>
          <w:p>
            <w:pPr>
              <w:spacing w:after="0"/>
              <w:rPr>
                <w:sz w:val="1"/>
                <w:szCs w:val="1"/>
                <w:color w:val="auto"/>
              </w:rPr>
            </w:pPr>
          </w:p>
        </w:tc>
      </w:tr>
      <w:tr>
        <w:trPr>
          <w:trHeight w:val="142"/>
        </w:trPr>
        <w:tc>
          <w:tcPr>
            <w:tcW w:w="2720" w:type="dxa"/>
            <w:vAlign w:val="bottom"/>
            <w:gridSpan w:val="25"/>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Stake Trade, Inc. (d/b/a Prophet</w:t>
            </w: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auto"/>
              <w:bottom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4"/>
              </w:rPr>
              <w:t>Exchange)</w:t>
            </w:r>
          </w:p>
        </w:tc>
        <w:tc>
          <w:tcPr>
            <w:tcW w:w="80" w:type="dxa"/>
            <w:vAlign w:val="bottom"/>
            <w:tcBorders>
              <w:top w:val="single" w:sz="8" w:color="auto"/>
              <w:bottom w:val="single" w:sz="8" w:color="auto"/>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100" w:type="dxa"/>
            <w:vAlign w:val="bottom"/>
            <w:tcBorders>
              <w:top w:val="single" w:sz="8" w:color="auto"/>
              <w:left w:val="single" w:sz="8" w:color="CCEEFF"/>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40" w:type="dxa"/>
            <w:vAlign w:val="bottom"/>
            <w:tcBorders>
              <w:top w:val="single" w:sz="8" w:color="auto"/>
              <w:bottom w:val="single" w:sz="8" w:color="auto"/>
            </w:tcBorders>
            <w:gridSpan w:val="2"/>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2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6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8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20" w:type="dxa"/>
            <w:vAlign w:val="bottom"/>
            <w:tcBorders>
              <w:top w:val="single" w:sz="8" w:color="CCEEFF"/>
              <w:bottom w:val="single" w:sz="8" w:color="CCEEFF"/>
            </w:tcBorders>
            <w:vMerge w:val="restart"/>
            <w:shd w:val="clear" w:color="auto" w:fill="CCEEFF"/>
          </w:tcPr>
          <w:p>
            <w:pPr>
              <w:spacing w:after="0"/>
              <w:rPr>
                <w:sz w:val="11"/>
                <w:szCs w:val="11"/>
                <w:color w:val="auto"/>
              </w:rPr>
            </w:pPr>
          </w:p>
        </w:tc>
        <w:tc>
          <w:tcPr>
            <w:tcW w:w="600" w:type="dxa"/>
            <w:vAlign w:val="bottom"/>
            <w:tcBorders>
              <w:top w:val="single" w:sz="8" w:color="CCEEFF"/>
              <w:bottom w:val="single" w:sz="8" w:color="CCEEFF"/>
            </w:tcBorders>
            <w:gridSpan w:val="3"/>
            <w:vMerge w:val="restart"/>
            <w:shd w:val="clear" w:color="auto" w:fill="CCEEFF"/>
          </w:tcPr>
          <w:p>
            <w:pPr>
              <w:spacing w:after="0"/>
              <w:rPr>
                <w:sz w:val="11"/>
                <w:szCs w:val="11"/>
                <w:color w:val="auto"/>
              </w:rPr>
            </w:pPr>
          </w:p>
        </w:tc>
        <w:tc>
          <w:tcPr>
            <w:tcW w:w="206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auto"/>
            </w:tcBorders>
            <w:gridSpan w:val="2"/>
            <w:vMerge w:val="continue"/>
            <w:shd w:val="clear" w:color="auto" w:fill="CCEEFF"/>
          </w:tcPr>
          <w:p>
            <w:pPr>
              <w:spacing w:after="0"/>
              <w:rPr>
                <w:sz w:val="4"/>
                <w:szCs w:val="4"/>
                <w:color w:val="auto"/>
              </w:rPr>
            </w:pPr>
          </w:p>
        </w:tc>
        <w:tc>
          <w:tcPr>
            <w:tcW w:w="80" w:type="dxa"/>
            <w:vAlign w:val="bottom"/>
            <w:tcBorders>
              <w:bottom w:val="single" w:sz="8" w:color="CCEEFF"/>
              <w:right w:val="single" w:sz="8" w:color="CCEEFF"/>
            </w:tcBorders>
            <w:shd w:val="clear" w:color="auto" w:fill="CCEEFF"/>
          </w:tcPr>
          <w:p>
            <w:pPr>
              <w:spacing w:after="0"/>
              <w:rPr>
                <w:sz w:val="4"/>
                <w:szCs w:val="4"/>
                <w:color w:val="auto"/>
              </w:rPr>
            </w:pPr>
          </w:p>
        </w:tc>
        <w:tc>
          <w:tcPr>
            <w:tcW w:w="100" w:type="dxa"/>
            <w:vAlign w:val="bottom"/>
            <w:tcBorders>
              <w:left w:val="single" w:sz="8" w:color="CCEEFF"/>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Sports Betting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7/26/2023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1,002,153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0" w:type="dxa"/>
            <w:vAlign w:val="bottom"/>
          </w:tcPr>
          <w:p>
            <w:pPr>
              <w:spacing w:after="0"/>
              <w:rPr>
                <w:sz w:val="1"/>
                <w:szCs w:val="1"/>
                <w:color w:val="auto"/>
              </w:rPr>
            </w:pPr>
          </w:p>
        </w:tc>
      </w:tr>
      <w:tr>
        <w:trPr>
          <w:trHeight w:val="120"/>
        </w:trPr>
        <w:tc>
          <w:tcPr>
            <w:tcW w:w="134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AltC Sponsor LLC**</w:t>
            </w:r>
          </w:p>
        </w:tc>
        <w:tc>
          <w:tcPr>
            <w:tcW w:w="400" w:type="dxa"/>
            <w:vAlign w:val="bottom"/>
            <w:tcBorders>
              <w:bottom w:val="single" w:sz="8" w:color="auto"/>
            </w:tcBorders>
            <w:gridSpan w:val="5"/>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(10)(14)</w:t>
            </w:r>
          </w:p>
        </w:tc>
        <w:tc>
          <w:tcPr>
            <w:tcW w:w="14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14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206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340" w:type="dxa"/>
            <w:vAlign w:val="bottom"/>
            <w:tcBorders>
              <w:bottom w:val="single" w:sz="8" w:color="auto"/>
            </w:tcBorders>
            <w:gridSpan w:val="10"/>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gridSpan w:val="2"/>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5"/>
                <w:szCs w:val="15"/>
                <w:color w:val="auto"/>
                <w:w w:val="97"/>
              </w:rPr>
              <w:t>Special Purpose Acquisition</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shares, Class B</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7/21/2021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214,400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224,753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759,076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0" w:type="dxa"/>
            <w:vAlign w:val="bottom"/>
          </w:tcPr>
          <w:p>
            <w:pPr>
              <w:spacing w:after="0"/>
              <w:rPr>
                <w:sz w:val="1"/>
                <w:szCs w:val="1"/>
                <w:color w:val="auto"/>
              </w:rPr>
            </w:pPr>
          </w:p>
        </w:tc>
      </w:tr>
      <w:tr>
        <w:trPr>
          <w:trHeight w:val="186"/>
        </w:trPr>
        <w:tc>
          <w:tcPr>
            <w:tcW w:w="27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7/21/2021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24,900</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26,102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176,315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5"/>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250,855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935,391</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0.46</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6"/>
        </w:trPr>
        <w:tc>
          <w:tcPr>
            <w:tcW w:w="1060" w:type="dxa"/>
            <w:vAlign w:val="bottom"/>
            <w:tcBorders>
              <w:bottom w:val="single" w:sz="8" w:color="auto"/>
            </w:tcBorders>
            <w:gridSpan w:val="6"/>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5"/>
              </w:rPr>
              <w:t>Skillsoft Corp.**</w:t>
            </w:r>
          </w:p>
        </w:tc>
        <w:tc>
          <w:tcPr>
            <w:tcW w:w="1660" w:type="dxa"/>
            <w:vAlign w:val="bottom"/>
            <w:tcBorders>
              <w:bottom w:val="single" w:sz="8" w:color="CCEEFF"/>
            </w:tcBorders>
            <w:gridSpan w:val="19"/>
            <w:shd w:val="clear" w:color="auto" w:fill="CCEEFF"/>
          </w:tcPr>
          <w:p>
            <w:pPr>
              <w:spacing w:after="0"/>
              <w:rPr>
                <w:sz w:val="12"/>
                <w:szCs w:val="12"/>
                <w:color w:val="auto"/>
              </w:rPr>
            </w:pPr>
          </w:p>
        </w:tc>
        <w:tc>
          <w:tcPr>
            <w:tcW w:w="2060" w:type="dxa"/>
            <w:vAlign w:val="bottom"/>
            <w:tcBorders>
              <w:bottom w:val="single" w:sz="8" w:color="CCEEFF"/>
            </w:tcBorders>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7"/>
              </w:rPr>
              <w:t>Nashua, NH</w:t>
            </w: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720" w:type="dxa"/>
            <w:vAlign w:val="bottom"/>
            <w:gridSpan w:val="25"/>
          </w:tcPr>
          <w:p>
            <w:pPr>
              <w:spacing w:after="0" w:line="207"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4"/>
                <w:szCs w:val="24"/>
                <w:color w:val="auto"/>
                <w:vertAlign w:val="superscript"/>
              </w:rPr>
              <w:t>(3)</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6/8/2021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49,092</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9,818,428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863,037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0" w:type="dxa"/>
            <w:vAlign w:val="bottom"/>
          </w:tcPr>
          <w:p>
            <w:pPr>
              <w:spacing w:after="0"/>
              <w:rPr>
                <w:sz w:val="1"/>
                <w:szCs w:val="1"/>
                <w:color w:val="auto"/>
              </w:rPr>
            </w:pPr>
          </w:p>
        </w:tc>
      </w:tr>
      <w:tr>
        <w:trPr>
          <w:trHeight w:val="120"/>
        </w:trPr>
        <w:tc>
          <w:tcPr>
            <w:tcW w:w="1940" w:type="dxa"/>
            <w:vAlign w:val="bottom"/>
            <w:tcBorders>
              <w:bottom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Rebric, Inc. (d/b/a Compliable)</w:t>
            </w:r>
          </w:p>
        </w:tc>
        <w:tc>
          <w:tcPr>
            <w:tcW w:w="140" w:type="dxa"/>
            <w:vAlign w:val="bottom"/>
            <w:tcBorders>
              <w:bottom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(7)</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206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Denver, CO</w:t>
            </w:r>
          </w:p>
        </w:tc>
        <w:tc>
          <w:tcPr>
            <w:tcW w:w="1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940" w:type="dxa"/>
            <w:vAlign w:val="bottom"/>
            <w:tcBorders>
              <w:bottom w:val="single" w:sz="8" w:color="auto"/>
            </w:tcBorders>
            <w:gridSpan w:val="18"/>
            <w:vMerge w:val="continue"/>
            <w:shd w:val="clear" w:color="auto" w:fill="CCEEFF"/>
          </w:tcPr>
          <w:p>
            <w:pPr>
              <w:spacing w:after="0"/>
              <w:rPr>
                <w:sz w:val="4"/>
                <w:szCs w:val="4"/>
                <w:color w:val="auto"/>
              </w:rPr>
            </w:pPr>
          </w:p>
        </w:tc>
        <w:tc>
          <w:tcPr>
            <w:tcW w:w="14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Gaming Licensing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10/12/2021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2,406,492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1,002,755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799,323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0.39%</w:t>
            </w:r>
          </w:p>
        </w:tc>
        <w:tc>
          <w:tcPr>
            <w:tcW w:w="0" w:type="dxa"/>
            <w:vAlign w:val="bottom"/>
          </w:tcPr>
          <w:p>
            <w:pPr>
              <w:spacing w:after="0"/>
              <w:rPr>
                <w:sz w:val="1"/>
                <w:szCs w:val="1"/>
                <w:color w:val="auto"/>
              </w:rPr>
            </w:pPr>
          </w:p>
        </w:tc>
      </w:tr>
      <w:tr>
        <w:trPr>
          <w:trHeight w:val="120"/>
        </w:trPr>
        <w:tc>
          <w:tcPr>
            <w:tcW w:w="1300" w:type="dxa"/>
            <w:vAlign w:val="bottom"/>
            <w:tcBorders>
              <w:bottom w:val="single" w:sz="8" w:color="CCEEFF"/>
            </w:tcBorders>
            <w:gridSpan w:val="8"/>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6"/>
              </w:rPr>
              <w:t>EDGE Markets, Inc.</w:t>
            </w:r>
          </w:p>
        </w:tc>
        <w:tc>
          <w:tcPr>
            <w:tcW w:w="140" w:type="dxa"/>
            <w:vAlign w:val="bottom"/>
            <w:tcBorders>
              <w:bottom w:val="single" w:sz="8" w:color="auto"/>
            </w:tcBorders>
            <w:gridSpan w:val="3"/>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(7)</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vMerge w:val="restart"/>
            <w:shd w:val="clear" w:color="auto" w:fill="CCEEFF"/>
          </w:tcPr>
          <w:p>
            <w:pPr>
              <w:spacing w:after="0"/>
              <w:rPr>
                <w:sz w:val="10"/>
                <w:szCs w:val="10"/>
                <w:color w:val="auto"/>
              </w:rPr>
            </w:pPr>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0" w:type="dxa"/>
            <w:vAlign w:val="bottom"/>
            <w:tcBorders>
              <w:bottom w:val="single" w:sz="8" w:color="CCEEFF"/>
            </w:tcBorders>
            <w:gridSpan w:val="4"/>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206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San Diego, CA</w:t>
            </w:r>
          </w:p>
        </w:tc>
        <w:tc>
          <w:tcPr>
            <w:tcW w:w="1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300" w:type="dxa"/>
            <w:vAlign w:val="bottom"/>
            <w:tcBorders>
              <w:bottom w:val="single" w:sz="8" w:color="auto"/>
            </w:tcBorders>
            <w:gridSpan w:val="8"/>
            <w:vMerge w:val="continue"/>
            <w:shd w:val="clear" w:color="auto" w:fill="CCEEFF"/>
          </w:tcPr>
          <w:p>
            <w:pPr>
              <w:spacing w:after="0"/>
              <w:rPr>
                <w:sz w:val="4"/>
                <w:szCs w:val="4"/>
                <w:color w:val="auto"/>
              </w:rPr>
            </w:pPr>
          </w:p>
        </w:tc>
        <w:tc>
          <w:tcPr>
            <w:tcW w:w="140" w:type="dxa"/>
            <w:vAlign w:val="bottom"/>
            <w:tcBorders>
              <w:bottom w:val="single" w:sz="8" w:color="CCEEFF"/>
            </w:tcBorders>
            <w:gridSpan w:val="3"/>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2"/>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Gaming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5/18/2022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456,704</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501,330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20"/>
        </w:trPr>
        <w:tc>
          <w:tcPr>
            <w:tcW w:w="1880" w:type="dxa"/>
            <w:vAlign w:val="bottom"/>
            <w:tcBorders>
              <w:bottom w:val="single" w:sz="8" w:color="CCEEFF"/>
            </w:tcBorders>
            <w:gridSpan w:val="16"/>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Churchill Sponsor VII LLC**</w:t>
            </w:r>
          </w:p>
        </w:tc>
        <w:tc>
          <w:tcPr>
            <w:tcW w:w="220" w:type="dxa"/>
            <w:vAlign w:val="bottom"/>
            <w:tcBorders>
              <w:bottom w:val="single" w:sz="8" w:color="auto"/>
            </w:tcBorders>
            <w:gridSpan w:val="5"/>
            <w:shd w:val="clear" w:color="auto" w:fill="CCEEFF"/>
          </w:tcPr>
          <w:p>
            <w:pPr>
              <w:jc w:val="right"/>
              <w:ind w:right="20"/>
              <w:spacing w:after="0" w:line="101" w:lineRule="exact"/>
              <w:rPr>
                <w:sz w:val="20"/>
                <w:szCs w:val="20"/>
                <w:color w:val="auto"/>
              </w:rPr>
            </w:pPr>
            <w:r>
              <w:rPr>
                <w:rFonts w:ascii="Times New Roman" w:cs="Times New Roman" w:eastAsia="Times New Roman" w:hAnsi="Times New Roman"/>
                <w:sz w:val="11"/>
                <w:szCs w:val="11"/>
                <w:b w:val="1"/>
                <w:bCs w:val="1"/>
                <w:color w:val="auto"/>
                <w:w w:val="97"/>
              </w:rPr>
              <w:t>(10)</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206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gridSpan w:val="16"/>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gridSpan w:val="4"/>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5"/>
                <w:szCs w:val="15"/>
                <w:color w:val="auto"/>
                <w:w w:val="97"/>
              </w:rPr>
              <w:t>Special Purpose Acquisition</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 units</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2/25/2021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292,100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205,820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344,097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86"/>
        </w:trPr>
        <w:tc>
          <w:tcPr>
            <w:tcW w:w="27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units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2/25/2021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277,000</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94,180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18,929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5"/>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300,000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363,026</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0.18</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6"/>
        </w:trPr>
        <w:tc>
          <w:tcPr>
            <w:tcW w:w="2720" w:type="dxa"/>
            <w:vAlign w:val="bottom"/>
            <w:gridSpan w:val="25"/>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Nextdoor Holdings, Inc.**</w:t>
            </w:r>
          </w:p>
        </w:tc>
        <w:tc>
          <w:tcPr>
            <w:tcW w:w="206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640" w:type="dxa"/>
            <w:vAlign w:val="bottom"/>
            <w:tcBorders>
              <w:top w:val="single" w:sz="8" w:color="auto"/>
            </w:tcBorders>
            <w:gridSpan w:val="14"/>
          </w:tcPr>
          <w:p>
            <w:pPr>
              <w:spacing w:after="0" w:line="207" w:lineRule="exact"/>
              <w:rPr>
                <w:sz w:val="20"/>
                <w:szCs w:val="20"/>
                <w:color w:val="auto"/>
              </w:rPr>
            </w:pPr>
            <w:r>
              <w:rPr>
                <w:rFonts w:ascii="Times New Roman" w:cs="Times New Roman" w:eastAsia="Times New Roman" w:hAnsi="Times New Roman"/>
                <w:sz w:val="15"/>
                <w:szCs w:val="15"/>
                <w:color w:val="auto"/>
                <w:w w:val="95"/>
              </w:rPr>
              <w:t>Common shares, Class B</w:t>
            </w:r>
            <w:r>
              <w:rPr>
                <w:rFonts w:ascii="Times New Roman" w:cs="Times New Roman" w:eastAsia="Times New Roman" w:hAnsi="Times New Roman"/>
                <w:sz w:val="24"/>
                <w:szCs w:val="24"/>
                <w:color w:val="auto"/>
                <w:w w:val="95"/>
                <w:vertAlign w:val="superscript"/>
              </w:rPr>
              <w:t>(3)</w:t>
            </w:r>
          </w:p>
        </w:tc>
        <w:tc>
          <w:tcPr>
            <w:tcW w:w="1080" w:type="dxa"/>
            <w:vAlign w:val="bottom"/>
            <w:tcBorders>
              <w:top w:val="single" w:sz="8" w:color="CCEEFF"/>
            </w:tcBorders>
            <w:gridSpan w:val="11"/>
          </w:tcPr>
          <w:p>
            <w:pPr>
              <w:spacing w:after="0"/>
              <w:rPr>
                <w:sz w:val="18"/>
                <w:szCs w:val="18"/>
                <w:color w:val="auto"/>
              </w:rPr>
            </w:pPr>
          </w:p>
        </w:tc>
        <w:tc>
          <w:tcPr>
            <w:tcW w:w="206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Social Networking</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8"/>
              </w:rPr>
              <w:t>9/27/2018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112,420</w:t>
            </w: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626,470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212,474</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42"/>
        </w:trPr>
        <w:tc>
          <w:tcPr>
            <w:tcW w:w="2720" w:type="dxa"/>
            <w:vAlign w:val="bottom"/>
            <w:gridSpan w:val="25"/>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YouBet Technology, Inc. (d/b/a</w:t>
            </w:r>
          </w:p>
        </w:tc>
        <w:tc>
          <w:tcPr>
            <w:tcW w:w="1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40" w:type="dxa"/>
            <w:vAlign w:val="bottom"/>
            <w:tcBorders>
              <w:top w:val="single" w:sz="8" w:color="auto"/>
              <w:bottom w:val="single" w:sz="8" w:color="auto"/>
              <w:righ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8"/>
              </w:rPr>
              <w:t>FanPower)</w:t>
            </w:r>
          </w:p>
        </w:tc>
        <w:tc>
          <w:tcPr>
            <w:tcW w:w="1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75"/>
              </w:rPr>
              <w:t>(7)</w:t>
            </w:r>
          </w:p>
        </w:tc>
        <w:tc>
          <w:tcPr>
            <w:tcW w:w="14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480" w:type="dxa"/>
            <w:vAlign w:val="bottom"/>
            <w:tcBorders>
              <w:top w:val="single" w:sz="8" w:color="auto"/>
              <w:bottom w:val="single" w:sz="8" w:color="auto"/>
            </w:tcBorders>
            <w:gridSpan w:val="7"/>
            <w:vMerge w:val="restart"/>
            <w:shd w:val="clear" w:color="auto" w:fill="CCEEFF"/>
          </w:tcPr>
          <w:p>
            <w:pPr>
              <w:spacing w:after="0"/>
              <w:rPr>
                <w:sz w:val="11"/>
                <w:szCs w:val="11"/>
                <w:color w:val="auto"/>
              </w:rPr>
            </w:pPr>
          </w:p>
        </w:tc>
        <w:tc>
          <w:tcPr>
            <w:tcW w:w="10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340" w:type="dxa"/>
            <w:vAlign w:val="bottom"/>
            <w:tcBorders>
              <w:top w:val="single" w:sz="8" w:color="auto"/>
              <w:bottom w:val="single" w:sz="8" w:color="auto"/>
            </w:tcBorders>
            <w:gridSpan w:val="4"/>
            <w:vMerge w:val="restart"/>
            <w:shd w:val="clear" w:color="auto" w:fill="CCEEFF"/>
          </w:tcPr>
          <w:p>
            <w:pPr>
              <w:spacing w:after="0"/>
              <w:rPr>
                <w:sz w:val="11"/>
                <w:szCs w:val="11"/>
                <w:color w:val="auto"/>
              </w:rPr>
            </w:pPr>
          </w:p>
        </w:tc>
        <w:tc>
          <w:tcPr>
            <w:tcW w:w="220" w:type="dxa"/>
            <w:vAlign w:val="bottom"/>
            <w:tcBorders>
              <w:top w:val="single" w:sz="8" w:color="CCEEFF"/>
              <w:bottom w:val="single" w:sz="8" w:color="CCEEFF"/>
            </w:tcBorders>
            <w:gridSpan w:val="5"/>
            <w:vMerge w:val="restart"/>
            <w:shd w:val="clear" w:color="auto" w:fill="CCEEFF"/>
          </w:tcPr>
          <w:p>
            <w:pPr>
              <w:spacing w:after="0"/>
              <w:rPr>
                <w:sz w:val="11"/>
                <w:szCs w:val="11"/>
                <w:color w:val="auto"/>
              </w:rPr>
            </w:pPr>
          </w:p>
        </w:tc>
        <w:tc>
          <w:tcPr>
            <w:tcW w:w="600" w:type="dxa"/>
            <w:vAlign w:val="bottom"/>
            <w:tcBorders>
              <w:top w:val="single" w:sz="8" w:color="CCEEFF"/>
              <w:bottom w:val="single" w:sz="8" w:color="CCEEFF"/>
            </w:tcBorders>
            <w:gridSpan w:val="3"/>
            <w:vMerge w:val="restart"/>
            <w:shd w:val="clear" w:color="auto" w:fill="CCEEFF"/>
          </w:tcPr>
          <w:p>
            <w:pPr>
              <w:spacing w:after="0"/>
              <w:rPr>
                <w:sz w:val="11"/>
                <w:szCs w:val="11"/>
                <w:color w:val="auto"/>
              </w:rPr>
            </w:pPr>
          </w:p>
        </w:tc>
        <w:tc>
          <w:tcPr>
            <w:tcW w:w="206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New York, NY</w:t>
            </w: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740" w:type="dxa"/>
            <w:vAlign w:val="bottom"/>
            <w:tcBorders>
              <w:bottom w:val="single" w:sz="8" w:color="auto"/>
              <w:right w:val="single" w:sz="8" w:color="CCEEFF"/>
            </w:tcBorders>
            <w:gridSpan w:val="3"/>
            <w:vMerge w:val="continue"/>
            <w:shd w:val="clear" w:color="auto" w:fill="CCEEFF"/>
          </w:tcPr>
          <w:p>
            <w:pPr>
              <w:spacing w:after="0"/>
              <w:rPr>
                <w:sz w:val="4"/>
                <w:szCs w:val="4"/>
                <w:color w:val="auto"/>
              </w:rPr>
            </w:pPr>
          </w:p>
        </w:tc>
        <w:tc>
          <w:tcPr>
            <w:tcW w:w="100" w:type="dxa"/>
            <w:vAlign w:val="bottom"/>
            <w:tcBorders>
              <w:left w:val="single" w:sz="8" w:color="CCEEFF"/>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80" w:type="dxa"/>
            <w:vAlign w:val="bottom"/>
            <w:tcBorders>
              <w:bottom w:val="single" w:sz="8" w:color="CCEEFF"/>
            </w:tcBorders>
            <w:gridSpan w:val="7"/>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340" w:type="dxa"/>
            <w:vAlign w:val="bottom"/>
            <w:tcBorders>
              <w:bottom w:val="single" w:sz="8" w:color="CCEEFF"/>
            </w:tcBorders>
            <w:gridSpan w:val="4"/>
            <w:vMerge w:val="continue"/>
            <w:shd w:val="clear" w:color="auto" w:fill="CCEEFF"/>
          </w:tcPr>
          <w:p>
            <w:pPr>
              <w:spacing w:after="0"/>
              <w:rPr>
                <w:sz w:val="4"/>
                <w:szCs w:val="4"/>
                <w:color w:val="auto"/>
              </w:rPr>
            </w:pPr>
          </w:p>
        </w:tc>
        <w:tc>
          <w:tcPr>
            <w:tcW w:w="220" w:type="dxa"/>
            <w:vAlign w:val="bottom"/>
            <w:tcBorders>
              <w:bottom w:val="single" w:sz="8" w:color="CCEEFF"/>
            </w:tcBorders>
            <w:gridSpan w:val="5"/>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2060" w:type="dxa"/>
            <w:vAlign w:val="bottom"/>
            <w:tcBorders>
              <w:bottom w:val="single" w:sz="8" w:color="CCEEFF"/>
            </w:tcBorders>
            <w:gridSpan w:val="2"/>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Preferred shares, Series Seed-2</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Digital Media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8/26/2021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578,029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752,943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187,500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155"/>
        </w:trPr>
        <w:tc>
          <w:tcPr>
            <w:tcW w:w="1460" w:type="dxa"/>
            <w:vAlign w:val="bottom"/>
            <w:tcBorders>
              <w:bottom w:val="single" w:sz="8" w:color="auto"/>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7"/>
              </w:rPr>
              <w:t>Kinetiq Holdings, LLC</w:t>
            </w:r>
          </w:p>
        </w:tc>
        <w:tc>
          <w:tcPr>
            <w:tcW w:w="1260" w:type="dxa"/>
            <w:vAlign w:val="bottom"/>
            <w:tcBorders>
              <w:bottom w:val="single" w:sz="8" w:color="CCEEFF"/>
            </w:tcBorders>
            <w:gridSpan w:val="13"/>
            <w:shd w:val="clear" w:color="auto" w:fill="CCEEFF"/>
          </w:tcPr>
          <w:p>
            <w:pPr>
              <w:spacing w:after="0"/>
              <w:rPr>
                <w:sz w:val="13"/>
                <w:szCs w:val="13"/>
                <w:color w:val="auto"/>
              </w:rPr>
            </w:pPr>
          </w:p>
        </w:tc>
        <w:tc>
          <w:tcPr>
            <w:tcW w:w="2060" w:type="dxa"/>
            <w:vAlign w:val="bottom"/>
            <w:tcBorders>
              <w:bottom w:val="single" w:sz="8" w:color="CCEEFF"/>
            </w:tcBorders>
            <w:gridSpan w:val="2"/>
            <w:shd w:val="clear" w:color="auto" w:fill="CCEEFF"/>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6"/>
              </w:rPr>
              <w:t>Philadelphia, PA</w:t>
            </w: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Social Data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3/30/2012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112,374</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28,836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42"/>
        </w:trPr>
        <w:tc>
          <w:tcPr>
            <w:tcW w:w="2720" w:type="dxa"/>
            <w:vAlign w:val="bottom"/>
            <w:gridSpan w:val="25"/>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Trax Ltd.**</w:t>
            </w:r>
          </w:p>
        </w:tc>
        <w:tc>
          <w:tcPr>
            <w:tcW w:w="2060" w:type="dxa"/>
            <w:vAlign w:val="bottom"/>
            <w:gridSpan w:val="2"/>
            <w:shd w:val="clear" w:color="auto" w:fill="CCEEFF"/>
          </w:tcPr>
          <w:p>
            <w:pPr>
              <w:jc w:val="center"/>
              <w:ind w:right="240"/>
              <w:spacing w:after="0" w:line="142" w:lineRule="exact"/>
              <w:rPr>
                <w:sz w:val="20"/>
                <w:szCs w:val="20"/>
                <w:color w:val="auto"/>
              </w:rPr>
            </w:pPr>
            <w:r>
              <w:rPr>
                <w:rFonts w:ascii="Times New Roman" w:cs="Times New Roman" w:eastAsia="Times New Roman" w:hAnsi="Times New Roman"/>
                <w:sz w:val="15"/>
                <w:szCs w:val="15"/>
                <w:color w:val="auto"/>
                <w:w w:val="97"/>
              </w:rPr>
              <w:t>Singapore, Singapore</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Retail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55,591</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2,781,148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7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6/9/2021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144,409</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7,224,600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5"/>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10,005,748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6"/>
        </w:trPr>
        <w:tc>
          <w:tcPr>
            <w:tcW w:w="2720" w:type="dxa"/>
            <w:vAlign w:val="bottom"/>
            <w:gridSpan w:val="25"/>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Aspiration Partners, Inc.</w:t>
            </w:r>
          </w:p>
        </w:tc>
        <w:tc>
          <w:tcPr>
            <w:tcW w:w="206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5"/>
              </w:rPr>
              <w:t>Marina Del Rey, CA</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5"/>
                <w:szCs w:val="15"/>
                <w:color w:val="auto"/>
                <w:w w:val="98"/>
              </w:rPr>
              <w:t>Preferred shares, Series A</w:t>
            </w:r>
          </w:p>
        </w:tc>
        <w:tc>
          <w:tcPr>
            <w:tcW w:w="1160" w:type="dxa"/>
            <w:vAlign w:val="bottom"/>
            <w:tcBorders>
              <w:top w:val="single" w:sz="8" w:color="CCEEFF"/>
            </w:tcBorders>
            <w:gridSpan w:val="12"/>
          </w:tcPr>
          <w:p>
            <w:pPr>
              <w:spacing w:after="0"/>
              <w:rPr>
                <w:sz w:val="15"/>
                <w:szCs w:val="15"/>
                <w:color w:val="auto"/>
              </w:rPr>
            </w:pPr>
          </w:p>
        </w:tc>
        <w:tc>
          <w:tcPr>
            <w:tcW w:w="206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Financial Services</w:t>
            </w: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8"/>
              </w:rPr>
              <w:t>8/11/2015</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540,270</w:t>
            </w: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1,001,815</w:t>
            </w: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7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8/12/2019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24,912</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281,190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5"/>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1,283,005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6"/>
        </w:trPr>
        <w:tc>
          <w:tcPr>
            <w:tcW w:w="980" w:type="dxa"/>
            <w:vAlign w:val="bottom"/>
            <w:tcBorders>
              <w:bottom w:val="single" w:sz="8" w:color="auto"/>
            </w:tcBorders>
            <w:gridSpan w:val="5"/>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Fullbridge, Inc.</w:t>
            </w:r>
          </w:p>
        </w:tc>
        <w:tc>
          <w:tcPr>
            <w:tcW w:w="1740" w:type="dxa"/>
            <w:vAlign w:val="bottom"/>
            <w:tcBorders>
              <w:bottom w:val="single" w:sz="8" w:color="CCEEFF"/>
            </w:tcBorders>
            <w:gridSpan w:val="20"/>
            <w:shd w:val="clear" w:color="auto" w:fill="CCEEFF"/>
          </w:tcPr>
          <w:p>
            <w:pPr>
              <w:spacing w:after="0"/>
              <w:rPr>
                <w:sz w:val="12"/>
                <w:szCs w:val="12"/>
                <w:color w:val="auto"/>
              </w:rPr>
            </w:pPr>
          </w:p>
        </w:tc>
        <w:tc>
          <w:tcPr>
            <w:tcW w:w="2060" w:type="dxa"/>
            <w:vAlign w:val="bottom"/>
            <w:tcBorders>
              <w:bottom w:val="single" w:sz="8" w:color="CCEEFF"/>
            </w:tcBorders>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7"/>
              </w:rPr>
              <w:t>Cambridge, MA</w:t>
            </w: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Business Education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5/13/2012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517,917</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6,150,506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2720" w:type="dxa"/>
            <w:vAlign w:val="bottom"/>
            <w:gridSpan w:val="25"/>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22"/>
                <w:szCs w:val="22"/>
                <w:color w:val="auto"/>
                <w:vertAlign w:val="superscript"/>
              </w:rPr>
              <w:t>(4)</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3/3/2016</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2,270,458</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2,270,858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20" w:type="dxa"/>
            <w:vAlign w:val="bottom"/>
            <w:tcBorders>
              <w:bottom w:val="single" w:sz="8" w:color="CCEEFF"/>
            </w:tcBorders>
            <w:gridSpan w:val="25"/>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8,421,364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2"/>
        </w:trPr>
        <w:tc>
          <w:tcPr>
            <w:tcW w:w="2120" w:type="dxa"/>
            <w:vAlign w:val="bottom"/>
            <w:tcBorders>
              <w:bottom w:val="single" w:sz="8" w:color="auto"/>
            </w:tcBorders>
            <w:gridSpan w:val="2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Treehouse Real Estate Investment</w:t>
            </w:r>
          </w:p>
        </w:tc>
        <w:tc>
          <w:tcPr>
            <w:tcW w:w="600" w:type="dxa"/>
            <w:vAlign w:val="bottom"/>
            <w:tcBorders>
              <w:bottom w:val="single" w:sz="8" w:color="CCEEFF"/>
            </w:tcBorders>
            <w:gridSpan w:val="3"/>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6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4"/>
              </w:rPr>
              <w:t>Trust, Inc.</w:t>
            </w:r>
          </w:p>
        </w:tc>
        <w:tc>
          <w:tcPr>
            <w:tcW w:w="2060" w:type="dxa"/>
            <w:vAlign w:val="bottom"/>
            <w:tcBorders>
              <w:bottom w:val="single" w:sz="8" w:color="CCEEFF"/>
            </w:tcBorders>
            <w:gridSpan w:val="23"/>
            <w:shd w:val="clear" w:color="auto" w:fill="CCEEFF"/>
          </w:tcPr>
          <w:p>
            <w:pPr>
              <w:spacing w:after="0"/>
              <w:rPr>
                <w:sz w:val="14"/>
                <w:szCs w:val="14"/>
                <w:color w:val="auto"/>
              </w:rPr>
            </w:pPr>
          </w:p>
        </w:tc>
        <w:tc>
          <w:tcPr>
            <w:tcW w:w="2060" w:type="dxa"/>
            <w:vAlign w:val="bottom"/>
            <w:tcBorders>
              <w:bottom w:val="single" w:sz="8" w:color="CCEEFF"/>
            </w:tcBorders>
            <w:gridSpan w:val="2"/>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w w:val="97"/>
              </w:rPr>
              <w:t>Chicago, IL</w:t>
            </w: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gridSpan w:val="25"/>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Cannabis REIT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312,500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4,919,250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20" w:type="dxa"/>
            <w:vAlign w:val="bottom"/>
            <w:gridSpan w:val="25"/>
          </w:tcPr>
          <w:p>
            <w:pPr>
              <w:ind w:left="100"/>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160,994,161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147,167,535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72.37%</w:t>
            </w:r>
          </w:p>
        </w:tc>
        <w:tc>
          <w:tcPr>
            <w:tcW w:w="0" w:type="dxa"/>
            <w:vAlign w:val="bottom"/>
          </w:tcPr>
          <w:p>
            <w:pPr>
              <w:spacing w:after="0"/>
              <w:rPr>
                <w:sz w:val="1"/>
                <w:szCs w:val="1"/>
                <w:color w:val="auto"/>
              </w:rPr>
            </w:pPr>
          </w:p>
        </w:tc>
      </w:tr>
      <w:tr>
        <w:trPr>
          <w:trHeight w:val="333"/>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8"/>
          </w:tcPr>
          <w:p>
            <w:pPr>
              <w:jc w:val="center"/>
              <w:ind w:left="847"/>
              <w:spacing w:after="0"/>
              <w:rPr>
                <w:sz w:val="20"/>
                <w:szCs w:val="20"/>
                <w:color w:val="auto"/>
              </w:rPr>
            </w:pPr>
            <w:r>
              <w:rPr>
                <w:rFonts w:ascii="Times New Roman" w:cs="Times New Roman" w:eastAsia="Times New Roman" w:hAnsi="Times New Roman"/>
                <w:sz w:val="15"/>
                <w:szCs w:val="15"/>
                <w:i w:val="1"/>
                <w:iCs w:val="1"/>
                <w:color w:val="auto"/>
                <w:w w:val="96"/>
              </w:rPr>
              <w:t>See accompanying notes to consolidated financial statements.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79</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Headquarters/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Date of Initial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191"/>
        </w:trPr>
        <w:tc>
          <w:tcPr>
            <w:tcW w:w="2720" w:type="dxa"/>
            <w:vAlign w:val="bottom"/>
            <w:gridSpan w:val="10"/>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Industry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Investment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160" w:type="dxa"/>
            <w:vAlign w:val="bottom"/>
            <w:gridSpan w:val="2"/>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98"/>
        </w:trPr>
        <w:tc>
          <w:tcPr>
            <w:tcW w:w="2500" w:type="dxa"/>
            <w:vAlign w:val="bottom"/>
            <w:tcBorders>
              <w:top w:val="single" w:sz="8" w:color="auto"/>
            </w:tcBorders>
            <w:gridSpan w:val="9"/>
            <w:shd w:val="clear" w:color="auto" w:fill="CCEEFF"/>
          </w:tcPr>
          <w:p>
            <w:pPr>
              <w:spacing w:after="0" w:line="199"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23"/>
                <w:szCs w:val="23"/>
                <w:b w:val="1"/>
                <w:bCs w:val="1"/>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StormWind, LLC</w:t>
            </w:r>
          </w:p>
        </w:tc>
        <w:tc>
          <w:tcPr>
            <w:tcW w:w="14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680" w:type="dxa"/>
            <w:vAlign w:val="bottom"/>
            <w:vMerge w:val="restart"/>
          </w:tcPr>
          <w:p>
            <w:pPr>
              <w:spacing w:after="0"/>
              <w:rPr>
                <w:sz w:val="10"/>
                <w:szCs w:val="10"/>
                <w:color w:val="auto"/>
              </w:rPr>
            </w:pPr>
          </w:p>
        </w:tc>
        <w:tc>
          <w:tcPr>
            <w:tcW w:w="440" w:type="dxa"/>
            <w:vAlign w:val="bottom"/>
            <w:gridSpan w:val="2"/>
            <w:vMerge w:val="restart"/>
          </w:tcPr>
          <w:p>
            <w:pPr>
              <w:spacing w:after="0"/>
              <w:rPr>
                <w:sz w:val="10"/>
                <w:szCs w:val="10"/>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6"/>
              </w:rPr>
              <w:t>Scottsdale, AZ</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Interactive Learning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11/26/2019</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329,337</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257,267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653,975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5"/>
        </w:trPr>
        <w:tc>
          <w:tcPr>
            <w:tcW w:w="272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1/7/2014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4,000,787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6,804,933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0" w:type="dxa"/>
            <w:vAlign w:val="bottom"/>
          </w:tcPr>
          <w:p>
            <w:pPr>
              <w:spacing w:after="0"/>
              <w:rPr>
                <w:sz w:val="1"/>
                <w:szCs w:val="1"/>
                <w:color w:val="auto"/>
              </w:rPr>
            </w:pPr>
          </w:p>
        </w:tc>
      </w:tr>
      <w:tr>
        <w:trPr>
          <w:trHeight w:val="175"/>
        </w:trPr>
        <w:tc>
          <w:tcPr>
            <w:tcW w:w="2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12/16/2011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2,019,687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4,751,064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86"/>
        </w:trPr>
        <w:tc>
          <w:tcPr>
            <w:tcW w:w="272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2/25/2014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110,000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325,903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10"/>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6,387,741</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12,535,875</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6.16</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2"/>
        </w:trPr>
        <w:tc>
          <w:tcPr>
            <w:tcW w:w="1600" w:type="dxa"/>
            <w:vAlign w:val="bottom"/>
            <w:tcBorders>
              <w:bottom w:val="single" w:sz="8" w:color="auto"/>
            </w:tcBorders>
            <w:gridSpan w:val="7"/>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PSQ Holdings, Inc. (d/b/a</w:t>
            </w:r>
          </w:p>
        </w:tc>
        <w:tc>
          <w:tcPr>
            <w:tcW w:w="1120" w:type="dxa"/>
            <w:vAlign w:val="bottom"/>
            <w:gridSpan w:val="3"/>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PublicSquare)**</w:t>
            </w:r>
          </w:p>
        </w:tc>
        <w:tc>
          <w:tcPr>
            <w:tcW w:w="340" w:type="dxa"/>
            <w:vAlign w:val="bottom"/>
            <w:tcBorders>
              <w:bottom w:val="single" w:sz="8" w:color="auto"/>
            </w:tcBorders>
            <w:gridSpan w:val="5"/>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94"/>
              </w:rPr>
              <w:t>(3)(15)</w:t>
            </w:r>
          </w:p>
        </w:tc>
        <w:tc>
          <w:tcPr>
            <w:tcW w:w="900" w:type="dxa"/>
            <w:vAlign w:val="bottom"/>
            <w:gridSpan w:val="2"/>
            <w:vMerge w:val="restart"/>
          </w:tcPr>
          <w:p>
            <w:pPr>
              <w:spacing w:after="0"/>
              <w:rPr>
                <w:sz w:val="11"/>
                <w:szCs w:val="11"/>
                <w:color w:val="auto"/>
              </w:rPr>
            </w:pPr>
          </w:p>
        </w:tc>
        <w:tc>
          <w:tcPr>
            <w:tcW w:w="440" w:type="dxa"/>
            <w:vAlign w:val="bottom"/>
            <w:gridSpan w:val="2"/>
            <w:vMerge w:val="restart"/>
          </w:tcPr>
          <w:p>
            <w:pPr>
              <w:spacing w:after="0"/>
              <w:rPr>
                <w:sz w:val="11"/>
                <w:szCs w:val="11"/>
                <w:color w:val="auto"/>
              </w:rPr>
            </w:pPr>
          </w:p>
        </w:tc>
        <w:tc>
          <w:tcPr>
            <w:tcW w:w="2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5"/>
              </w:rPr>
              <w:t>West Palm Beach, FL</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040" w:type="dxa"/>
            <w:vAlign w:val="bottom"/>
            <w:tcBorders>
              <w:bottom w:val="single" w:sz="8" w:color="auto"/>
            </w:tcBorders>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E-Commerce Marketplace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4/1/2021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1,976,032</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1,556,587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8,542,386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60"/>
        </w:trPr>
        <w:tc>
          <w:tcPr>
            <w:tcW w:w="2720" w:type="dxa"/>
            <w:vAlign w:val="bottom"/>
            <w:gridSpan w:val="10"/>
          </w:tcPr>
          <w:p>
            <w:pPr>
              <w:spacing w:after="0" w:line="160" w:lineRule="exact"/>
              <w:rPr>
                <w:sz w:val="20"/>
                <w:szCs w:val="20"/>
                <w:color w:val="auto"/>
              </w:rPr>
            </w:pPr>
            <w:r>
              <w:rPr>
                <w:rFonts w:ascii="Times New Roman" w:cs="Times New Roman" w:eastAsia="Times New Roman" w:hAnsi="Times New Roman"/>
                <w:sz w:val="15"/>
                <w:szCs w:val="15"/>
                <w:color w:val="auto"/>
              </w:rPr>
              <w:t>Warrants, Strike Price $11.50, Expiration</w:t>
            </w: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72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Date 7/19/2028</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4/1/2021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2,396,037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1,028,653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1,964,750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0.97%</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10"/>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2,585,240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10,507,136</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5.17</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gridSpan w:val="8"/>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5"/>
              </w:rPr>
              <w:t>OneValley, Inc. (f/k/a NestGSV, Inc.)</w:t>
            </w:r>
          </w:p>
        </w:tc>
        <w:tc>
          <w:tcPr>
            <w:tcW w:w="440" w:type="dxa"/>
            <w:vAlign w:val="bottom"/>
            <w:gridSpan w:val="2"/>
          </w:tcPr>
          <w:p>
            <w:pPr>
              <w:spacing w:after="0"/>
              <w:rPr>
                <w:sz w:val="12"/>
                <w:szCs w:val="12"/>
                <w:color w:val="auto"/>
              </w:rPr>
            </w:pPr>
          </w:p>
        </w:tc>
        <w:tc>
          <w:tcPr>
            <w:tcW w:w="20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color w:val="auto"/>
                <w:w w:val="96"/>
              </w:rPr>
              <w:t>San Mateo, CA</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20" w:type="dxa"/>
            <w:vAlign w:val="bottom"/>
            <w:gridSpan w:val="10"/>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Derivative Security, Expiration Date</w:t>
            </w:r>
          </w:p>
        </w:tc>
        <w:tc>
          <w:tcPr>
            <w:tcW w:w="1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4"/>
                <w:szCs w:val="24"/>
                <w:color w:val="auto"/>
                <w:vertAlign w:val="superscript"/>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7"/>
              </w:rPr>
              <w:t>Global Innovation Platform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8/23/2019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8,555,124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620,927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62"/>
        </w:trPr>
        <w:tc>
          <w:tcPr>
            <w:tcW w:w="2720" w:type="dxa"/>
            <w:vAlign w:val="bottom"/>
            <w:gridSpan w:val="10"/>
          </w:tcPr>
          <w:p>
            <w:pPr>
              <w:spacing w:after="0" w:line="162" w:lineRule="exact"/>
              <w:rPr>
                <w:sz w:val="20"/>
                <w:szCs w:val="20"/>
                <w:color w:val="auto"/>
              </w:rPr>
            </w:pPr>
            <w:r>
              <w:rPr>
                <w:rFonts w:ascii="Times New Roman" w:cs="Times New Roman" w:eastAsia="Times New Roman" w:hAnsi="Times New Roman"/>
                <w:sz w:val="15"/>
                <w:szCs w:val="15"/>
                <w:color w:val="auto"/>
              </w:rPr>
              <w:t>Convertible Promissory Note 8% Due</w:t>
            </w: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line="232"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4"/>
                <w:szCs w:val="24"/>
                <w:color w:val="auto"/>
                <w:vertAlign w:val="superscript"/>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2/17/2016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1,010,198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1,030,176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1,267,395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10"/>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9,585,300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1,888,322</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0.93</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1360" w:type="dxa"/>
            <w:vAlign w:val="bottom"/>
            <w:tcBorders>
              <w:bottom w:val="single" w:sz="8" w:color="auto"/>
            </w:tcBorders>
            <w:gridSpan w:val="5"/>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Maven Research, Inc.</w:t>
            </w:r>
          </w:p>
        </w:tc>
        <w:tc>
          <w:tcPr>
            <w:tcW w:w="1360" w:type="dxa"/>
            <w:vAlign w:val="bottom"/>
            <w:gridSpan w:val="5"/>
          </w:tcPr>
          <w:p>
            <w:pPr>
              <w:spacing w:after="0"/>
              <w:rPr>
                <w:sz w:val="12"/>
                <w:szCs w:val="12"/>
                <w:color w:val="auto"/>
              </w:rPr>
            </w:pPr>
          </w:p>
        </w:tc>
        <w:tc>
          <w:tcPr>
            <w:tcW w:w="20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0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Knowledge Networks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7/2/2012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318,979</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2,000,447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72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2/28/2012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49,505</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217,206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10"/>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18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2,217,653</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1140" w:type="dxa"/>
            <w:vAlign w:val="bottom"/>
            <w:tcBorders>
              <w:bottom w:val="single" w:sz="8" w:color="auto"/>
            </w:tcBorders>
            <w:gridSpan w:val="3"/>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8"/>
              </w:rPr>
              <w:t>Curious.com, Inc.</w:t>
            </w:r>
          </w:p>
        </w:tc>
        <w:tc>
          <w:tcPr>
            <w:tcW w:w="1580" w:type="dxa"/>
            <w:vAlign w:val="bottom"/>
            <w:gridSpan w:val="7"/>
          </w:tcPr>
          <w:p>
            <w:pPr>
              <w:spacing w:after="0"/>
              <w:rPr>
                <w:sz w:val="12"/>
                <w:szCs w:val="12"/>
                <w:color w:val="auto"/>
              </w:rPr>
            </w:pPr>
          </w:p>
        </w:tc>
        <w:tc>
          <w:tcPr>
            <w:tcW w:w="2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5"/>
                <w:szCs w:val="15"/>
                <w:color w:val="auto"/>
                <w:w w:val="97"/>
              </w:rPr>
              <w:t>Menlo Park, CA</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0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Online Education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11/22/2013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1,135,944</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12,000,006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4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2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32,775,940</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24,931,333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12.26%</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640" w:type="dxa"/>
            <w:vAlign w:val="bottom"/>
            <w:gridSpan w:val="7"/>
            <w:shd w:val="clear" w:color="auto" w:fill="CCEEFF"/>
          </w:tcPr>
          <w:p>
            <w:pPr>
              <w:spacing w:after="0" w:line="207" w:lineRule="exact"/>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4"/>
                <w:szCs w:val="24"/>
                <w:b w:val="1"/>
                <w:bCs w:val="1"/>
                <w:color w:val="auto"/>
                <w:vertAlign w:val="superscript"/>
              </w:rPr>
              <w:t>(2)</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40" w:type="dxa"/>
            <w:vAlign w:val="bottom"/>
            <w:gridSpan w:val="7"/>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Architect Capital PayJoy SPV, LLC**</w:t>
            </w:r>
          </w:p>
        </w:tc>
        <w:tc>
          <w:tcPr>
            <w:tcW w:w="2100" w:type="dxa"/>
            <w:vAlign w:val="bottom"/>
          </w:tcPr>
          <w:p>
            <w:pPr>
              <w:jc w:val="center"/>
              <w:ind w:right="47"/>
              <w:spacing w:after="0" w:line="142" w:lineRule="exact"/>
              <w:rPr>
                <w:sz w:val="20"/>
                <w:szCs w:val="20"/>
                <w:color w:val="auto"/>
              </w:rPr>
            </w:pPr>
            <w:r>
              <w:rPr>
                <w:rFonts w:ascii="Times New Roman" w:cs="Times New Roman" w:eastAsia="Times New Roman" w:hAnsi="Times New Roman"/>
                <w:sz w:val="15"/>
                <w:szCs w:val="15"/>
                <w:color w:val="auto"/>
                <w:w w:val="97"/>
              </w:rPr>
              <w:t>San Francisco, CA</w:t>
            </w: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in Lending SPV***</w:t>
            </w:r>
          </w:p>
        </w:tc>
        <w:tc>
          <w:tcPr>
            <w:tcW w:w="2100" w:type="dxa"/>
            <w:vAlign w:val="bottom"/>
            <w:shd w:val="clear" w:color="auto" w:fill="CCEEFF"/>
          </w:tcPr>
          <w:p>
            <w:pPr>
              <w:jc w:val="center"/>
              <w:ind w:right="27"/>
              <w:spacing w:after="0"/>
              <w:rPr>
                <w:sz w:val="20"/>
                <w:szCs w:val="20"/>
                <w:color w:val="auto"/>
              </w:rPr>
            </w:pPr>
            <w:r>
              <w:rPr>
                <w:rFonts w:ascii="Times New Roman" w:cs="Times New Roman" w:eastAsia="Times New Roman" w:hAnsi="Times New Roman"/>
                <w:sz w:val="15"/>
                <w:szCs w:val="15"/>
                <w:color w:val="auto"/>
                <w:w w:val="96"/>
              </w:rPr>
              <w:t>Mobile Finance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3/24/2021</w:t>
            </w:r>
          </w:p>
        </w:tc>
        <w:tc>
          <w:tcPr>
            <w:tcW w:w="4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10,000,000</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10,006,745</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20"/>
        </w:trPr>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Colombier Sponsor II LLC**</w:t>
            </w:r>
          </w:p>
        </w:tc>
        <w:tc>
          <w:tcPr>
            <w:tcW w:w="2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7"/>
              </w:rPr>
              <w:t>(10)</w:t>
            </w:r>
          </w:p>
        </w:tc>
        <w:tc>
          <w:tcPr>
            <w:tcW w:w="420" w:type="dxa"/>
            <w:vAlign w:val="bottom"/>
            <w:gridSpan w:val="2"/>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2100" w:type="dxa"/>
            <w:vAlign w:val="bottom"/>
            <w:vMerge w:val="restart"/>
          </w:tcPr>
          <w:p>
            <w:pPr>
              <w:jc w:val="center"/>
              <w:ind w:right="47"/>
              <w:spacing w:after="0"/>
              <w:rPr>
                <w:sz w:val="20"/>
                <w:szCs w:val="20"/>
                <w:color w:val="auto"/>
              </w:rPr>
            </w:pPr>
            <w:r>
              <w:rPr>
                <w:rFonts w:ascii="Times New Roman" w:cs="Times New Roman" w:eastAsia="Times New Roman" w:hAnsi="Times New Roman"/>
                <w:sz w:val="15"/>
                <w:szCs w:val="15"/>
                <w:color w:val="auto"/>
                <w:w w:val="96"/>
              </w:rPr>
              <w:t>Palm Beach, FL</w:t>
            </w: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840" w:type="dxa"/>
            <w:vAlign w:val="bottom"/>
            <w:tcBorders>
              <w:bottom w:val="single" w:sz="8" w:color="auto"/>
            </w:tcBorders>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00" w:type="dxa"/>
            <w:vAlign w:val="bottom"/>
            <w:shd w:val="clear" w:color="auto" w:fill="CCEEFF"/>
          </w:tcPr>
          <w:p>
            <w:pPr>
              <w:jc w:val="center"/>
              <w:ind w:right="47"/>
              <w:spacing w:after="0" w:line="167" w:lineRule="exact"/>
              <w:rPr>
                <w:sz w:val="20"/>
                <w:szCs w:val="20"/>
                <w:color w:val="auto"/>
              </w:rPr>
            </w:pPr>
            <w:r>
              <w:rPr>
                <w:rFonts w:ascii="Times New Roman" w:cs="Times New Roman" w:eastAsia="Times New Roman" w:hAnsi="Times New Roman"/>
                <w:sz w:val="15"/>
                <w:szCs w:val="15"/>
                <w:color w:val="auto"/>
                <w:w w:val="97"/>
              </w:rPr>
              <w:t>Special Purpose Acquisition</w:t>
            </w: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2100" w:type="dxa"/>
            <w:vAlign w:val="bottom"/>
            <w:shd w:val="clear" w:color="auto" w:fill="CCEEFF"/>
          </w:tcPr>
          <w:p>
            <w:pPr>
              <w:jc w:val="center"/>
              <w:ind w:right="27"/>
              <w:spacing w:after="0"/>
              <w:rPr>
                <w:sz w:val="20"/>
                <w:szCs w:val="20"/>
                <w:color w:val="auto"/>
              </w:rPr>
            </w:pPr>
            <w:r>
              <w:rPr>
                <w:rFonts w:ascii="Times New Roman" w:cs="Times New Roman" w:eastAsia="Times New Roman" w:hAnsi="Times New Roman"/>
                <w:sz w:val="15"/>
                <w:szCs w:val="15"/>
                <w:color w:val="auto"/>
                <w:w w:val="95"/>
              </w:rPr>
              <w:t>Company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11/20/2023</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1,040,000</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842,289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1,101,695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186"/>
        </w:trPr>
        <w:tc>
          <w:tcPr>
            <w:tcW w:w="26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2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1,600,000</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760,651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498,305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66"/>
        </w:trPr>
        <w:tc>
          <w:tcPr>
            <w:tcW w:w="2640" w:type="dxa"/>
            <w:vAlign w:val="bottom"/>
            <w:tcBorders>
              <w:top w:val="single" w:sz="8" w:color="CCEEFF"/>
            </w:tcBorders>
            <w:gridSpan w:val="7"/>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2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1,602,940</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1,600,000</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0.79</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2"/>
        </w:trPr>
        <w:tc>
          <w:tcPr>
            <w:tcW w:w="2460" w:type="dxa"/>
            <w:vAlign w:val="bottom"/>
            <w:tcBorders>
              <w:bottom w:val="single" w:sz="8" w:color="auto"/>
            </w:tcBorders>
            <w:gridSpan w:val="6"/>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SPBRX, INC. (f/k/a GSV Sustainability</w:t>
            </w:r>
          </w:p>
        </w:tc>
        <w:tc>
          <w:tcPr>
            <w:tcW w:w="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40" w:type="dxa"/>
            <w:vAlign w:val="bottom"/>
            <w:gridSpan w:val="7"/>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Partners, Inc.)</w:t>
            </w:r>
          </w:p>
        </w:tc>
        <w:tc>
          <w:tcPr>
            <w:tcW w:w="2100" w:type="dxa"/>
            <w:vAlign w:val="bottom"/>
          </w:tcPr>
          <w:p>
            <w:pPr>
              <w:jc w:val="center"/>
              <w:ind w:right="47"/>
              <w:spacing w:after="0" w:line="155" w:lineRule="exact"/>
              <w:rPr>
                <w:sz w:val="20"/>
                <w:szCs w:val="20"/>
                <w:color w:val="auto"/>
              </w:rPr>
            </w:pPr>
            <w:r>
              <w:rPr>
                <w:rFonts w:ascii="Times New Roman" w:cs="Times New Roman" w:eastAsia="Times New Roman" w:hAnsi="Times New Roman"/>
                <w:sz w:val="15"/>
                <w:szCs w:val="15"/>
                <w:color w:val="auto"/>
                <w:w w:val="97"/>
              </w:rPr>
              <w:t>Cupertino, CA</w:t>
            </w: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Class A</w:t>
            </w:r>
          </w:p>
        </w:tc>
        <w:tc>
          <w:tcPr>
            <w:tcW w:w="2100" w:type="dxa"/>
            <w:vAlign w:val="bottom"/>
            <w:shd w:val="clear" w:color="auto" w:fill="CCEEFF"/>
          </w:tcPr>
          <w:p>
            <w:pPr>
              <w:jc w:val="center"/>
              <w:ind w:right="47"/>
              <w:spacing w:after="0"/>
              <w:rPr>
                <w:sz w:val="20"/>
                <w:szCs w:val="20"/>
                <w:color w:val="auto"/>
              </w:rPr>
            </w:pPr>
            <w:r>
              <w:rPr>
                <w:rFonts w:ascii="Times New Roman" w:cs="Times New Roman" w:eastAsia="Times New Roman" w:hAnsi="Times New Roman"/>
                <w:sz w:val="15"/>
                <w:szCs w:val="15"/>
                <w:color w:val="auto"/>
                <w:w w:val="95"/>
              </w:rPr>
              <w:t>Clean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4/15/2014</w:t>
            </w: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14,300,000</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7,151,412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382,381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86"/>
        </w:trPr>
        <w:tc>
          <w:tcPr>
            <w:tcW w:w="26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4/15/2014</w:t>
            </w:r>
          </w:p>
        </w:tc>
        <w:tc>
          <w:tcPr>
            <w:tcW w:w="420" w:type="dxa"/>
            <w:vAlign w:val="bottom"/>
          </w:tcPr>
          <w:p>
            <w:pPr>
              <w:spacing w:after="0"/>
              <w:rPr>
                <w:sz w:val="16"/>
                <w:szCs w:val="16"/>
                <w:color w:val="auto"/>
              </w:rPr>
            </w:pPr>
          </w:p>
        </w:tc>
        <w:tc>
          <w:tcPr>
            <w:tcW w:w="11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100,000</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640" w:type="dxa"/>
            <w:vAlign w:val="bottom"/>
            <w:tcBorders>
              <w:top w:val="single" w:sz="8" w:color="CCEEFF"/>
            </w:tcBorders>
            <w:gridSpan w:val="7"/>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2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7,161,412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382,381</w:t>
            </w: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0.19</w:t>
            </w:r>
          </w:p>
        </w:tc>
        <w:tc>
          <w:tcPr>
            <w:tcW w:w="16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6"/>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4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2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18,771,097</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11,982,381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5.89%</w:t>
            </w:r>
          </w:p>
        </w:tc>
        <w:tc>
          <w:tcPr>
            <w:tcW w:w="0" w:type="dxa"/>
            <w:vAlign w:val="bottom"/>
          </w:tcPr>
          <w:p>
            <w:pPr>
              <w:spacing w:after="0"/>
              <w:rPr>
                <w:sz w:val="1"/>
                <w:szCs w:val="1"/>
                <w:color w:val="auto"/>
              </w:rPr>
            </w:pPr>
          </w:p>
        </w:tc>
      </w:tr>
      <w:tr>
        <w:trPr>
          <w:trHeight w:val="166"/>
        </w:trPr>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gridSpan w:val="7"/>
            <w:shd w:val="clear" w:color="auto" w:fill="CCEEFF"/>
          </w:tcPr>
          <w:p>
            <w:pPr>
              <w:ind w:left="100"/>
              <w:spacing w:after="0" w:line="166" w:lineRule="exact"/>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2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212,541,198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184,081,249</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90.52%</w:t>
            </w:r>
          </w:p>
        </w:tc>
        <w:tc>
          <w:tcPr>
            <w:tcW w:w="0" w:type="dxa"/>
            <w:vAlign w:val="bottom"/>
          </w:tcPr>
          <w:p>
            <w:pPr>
              <w:spacing w:after="0"/>
              <w:rPr>
                <w:sz w:val="1"/>
                <w:szCs w:val="1"/>
                <w:color w:val="auto"/>
              </w:rPr>
            </w:pPr>
          </w:p>
        </w:tc>
      </w:tr>
      <w:tr>
        <w:trPr>
          <w:trHeight w:val="186"/>
        </w:trPr>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900" w:type="dxa"/>
            <w:vAlign w:val="bottom"/>
            <w:tcBorders>
              <w:bottom w:val="single" w:sz="8" w:color="CCEEFF"/>
              <w:right w:val="single" w:sz="8" w:color="CCEEFF"/>
            </w:tcBorders>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5"/>
              </w:rPr>
              <w:t>U.S. Treasury</w:t>
            </w:r>
          </w:p>
        </w:tc>
        <w:tc>
          <w:tcPr>
            <w:tcW w:w="100" w:type="dxa"/>
            <w:vAlign w:val="bottom"/>
            <w:tcBorders>
              <w:bottom w:val="single" w:sz="8" w:color="auto"/>
            </w:tcBorders>
            <w:shd w:val="clear" w:color="auto" w:fill="CCEEFF"/>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w w:val="75"/>
              </w:rPr>
              <w:t>(3)</w:t>
            </w:r>
          </w:p>
        </w:tc>
        <w:tc>
          <w:tcPr>
            <w:tcW w:w="1640" w:type="dxa"/>
            <w:vAlign w:val="bottom"/>
            <w:tcBorders>
              <w:bottom w:val="single" w:sz="8" w:color="CCEEFF"/>
            </w:tcBorders>
            <w:gridSpan w:val="5"/>
            <w:vMerge w:val="restart"/>
            <w:shd w:val="clear" w:color="auto" w:fill="CCEEFF"/>
          </w:tcPr>
          <w:p>
            <w:pPr>
              <w:spacing w:after="0"/>
              <w:rPr>
                <w:sz w:val="8"/>
                <w:szCs w:val="8"/>
                <w:color w:val="auto"/>
              </w:rPr>
            </w:pPr>
          </w:p>
        </w:tc>
        <w:tc>
          <w:tcPr>
            <w:tcW w:w="210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00" w:type="dxa"/>
            <w:vAlign w:val="bottom"/>
            <w:tcBorders>
              <w:bottom w:val="single" w:sz="8" w:color="auto"/>
              <w:right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40" w:type="dxa"/>
            <w:vAlign w:val="bottom"/>
            <w:tcBorders>
              <w:bottom w:val="single" w:sz="8" w:color="CCEEFF"/>
            </w:tcBorders>
            <w:gridSpan w:val="5"/>
            <w:vMerge w:val="continue"/>
            <w:shd w:val="clear" w:color="auto" w:fill="CCEEFF"/>
          </w:tcPr>
          <w:p>
            <w:pPr>
              <w:spacing w:after="0"/>
              <w:rPr>
                <w:sz w:val="4"/>
                <w:szCs w:val="4"/>
                <w:color w:val="auto"/>
              </w:rPr>
            </w:pPr>
          </w:p>
        </w:tc>
        <w:tc>
          <w:tcPr>
            <w:tcW w:w="210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U.S. Treasury bill, 0%, due 3/28/2024***</w:t>
            </w:r>
          </w:p>
        </w:tc>
        <w:tc>
          <w:tcPr>
            <w:tcW w:w="2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12/29/2023</w:t>
            </w:r>
          </w:p>
        </w:tc>
        <w:tc>
          <w:tcPr>
            <w:tcW w:w="4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35,000,000</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34,547,625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34,559,949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0" w:type="dxa"/>
            <w:vAlign w:val="bottom"/>
          </w:tcPr>
          <w:p>
            <w:pPr>
              <w:spacing w:after="0"/>
              <w:rPr>
                <w:sz w:val="1"/>
                <w:szCs w:val="1"/>
                <w:color w:val="auto"/>
              </w:rPr>
            </w:pPr>
          </w:p>
        </w:tc>
      </w:tr>
      <w:tr>
        <w:trPr>
          <w:trHeight w:val="186"/>
        </w:trPr>
        <w:tc>
          <w:tcPr>
            <w:tcW w:w="26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bill, 0%, due 6/27/2024***</w:t>
            </w:r>
          </w:p>
        </w:tc>
        <w:tc>
          <w:tcPr>
            <w:tcW w:w="21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12/29/2023</w:t>
            </w:r>
          </w:p>
        </w:tc>
        <w:tc>
          <w:tcPr>
            <w:tcW w:w="4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30,000,000</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29,245,079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29,250,906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0" w:type="dxa"/>
            <w:vAlign w:val="bottom"/>
          </w:tcPr>
          <w:p>
            <w:pPr>
              <w:spacing w:after="0"/>
              <w:rPr>
                <w:sz w:val="1"/>
                <w:szCs w:val="1"/>
                <w:color w:val="auto"/>
              </w:rPr>
            </w:pPr>
          </w:p>
        </w:tc>
      </w:tr>
      <w:tr>
        <w:trPr>
          <w:trHeight w:val="166"/>
        </w:trPr>
        <w:tc>
          <w:tcPr>
            <w:tcW w:w="2640" w:type="dxa"/>
            <w:vAlign w:val="bottom"/>
            <w:tcBorders>
              <w:bottom w:val="single" w:sz="8" w:color="CCEEFF"/>
            </w:tcBorders>
            <w:gridSpan w:val="7"/>
          </w:tcPr>
          <w:p>
            <w:pPr>
              <w:ind w:left="100"/>
              <w:spacing w:after="0" w:line="166" w:lineRule="exact"/>
              <w:rPr>
                <w:sz w:val="20"/>
                <w:szCs w:val="20"/>
                <w:color w:val="auto"/>
              </w:rPr>
            </w:pPr>
            <w:r>
              <w:rPr>
                <w:rFonts w:ascii="Times New Roman" w:cs="Times New Roman" w:eastAsia="Times New Roman" w:hAnsi="Times New Roman"/>
                <w:sz w:val="15"/>
                <w:szCs w:val="15"/>
                <w:color w:val="auto"/>
              </w:rPr>
              <w:t>Total</w:t>
            </w:r>
          </w:p>
        </w:tc>
        <w:tc>
          <w:tcPr>
            <w:tcW w:w="21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63,792,704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63,810,855</w:t>
            </w:r>
          </w:p>
        </w:tc>
        <w:tc>
          <w:tcPr>
            <w:tcW w:w="32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31.38</w:t>
            </w:r>
          </w:p>
        </w:tc>
        <w:tc>
          <w:tcPr>
            <w:tcW w:w="160" w:type="dxa"/>
            <w:vAlign w:val="bottom"/>
            <w:tcBorders>
              <w:bottom w:val="single" w:sz="8" w:color="CCEEFF"/>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6"/>
        </w:trPr>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4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2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276,333,902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247,892,104</w:t>
            </w:r>
          </w:p>
        </w:tc>
        <w:tc>
          <w:tcPr>
            <w:tcW w:w="3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121.90</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gridSpan w:val="4"/>
            <w:vMerge w:val="restart"/>
          </w:tcPr>
          <w:p>
            <w:pPr>
              <w:jc w:val="center"/>
              <w:ind w:left="1107"/>
              <w:spacing w:after="0"/>
              <w:rPr>
                <w:sz w:val="20"/>
                <w:szCs w:val="20"/>
                <w:color w:val="auto"/>
              </w:rPr>
            </w:pPr>
            <w:r>
              <w:rPr>
                <w:rFonts w:ascii="Times New Roman" w:cs="Times New Roman" w:eastAsia="Times New Roman" w:hAnsi="Times New Roman"/>
                <w:sz w:val="15"/>
                <w:szCs w:val="15"/>
                <w:i w:val="1"/>
                <w:iCs w:val="1"/>
                <w:color w:val="auto"/>
                <w:w w:val="96"/>
              </w:rPr>
              <w:t>See accompanying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80</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7894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251" w:lineRule="exact"/>
        <w:rPr>
          <w:sz w:val="20"/>
          <w:szCs w:val="20"/>
          <w:color w:val="auto"/>
        </w:rPr>
      </w:pPr>
    </w:p>
    <w:p>
      <w:pPr>
        <w:jc w:val="both"/>
        <w:ind w:left="260" w:hanging="253"/>
        <w:spacing w:after="0" w:line="26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w:t>
      </w:r>
    </w:p>
    <w:p>
      <w:pPr>
        <w:spacing w:after="0" w:line="2" w:lineRule="exact"/>
        <w:rPr>
          <w:sz w:val="20"/>
          <w:szCs w:val="20"/>
          <w:color w:val="auto"/>
        </w:rPr>
      </w:pPr>
    </w:p>
    <w:p>
      <w:pPr>
        <w:jc w:val="both"/>
        <w:ind w:left="260"/>
        <w:spacing w:after="0" w:line="243" w:lineRule="auto"/>
        <w:rPr>
          <w:sz w:val="20"/>
          <w:szCs w:val="20"/>
          <w:color w:val="auto"/>
        </w:rPr>
      </w:pPr>
      <w:r>
        <w:rPr>
          <w:rFonts w:ascii="Times New Roman" w:cs="Times New Roman" w:eastAsia="Times New Roman" w:hAnsi="Times New Roman"/>
          <w:sz w:val="15"/>
          <w:szCs w:val="15"/>
          <w:color w:val="auto"/>
        </w:rPr>
        <w:t>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ind w:left="260" w:hanging="253"/>
        <w:spacing w:after="0" w:line="243" w:lineRule="auto"/>
        <w:tabs>
          <w:tab w:leader="none" w:pos="2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December 31, 2023, 14.03% of its total investments are non-qualifying assets.</w:t>
      </w:r>
    </w:p>
    <w:p>
      <w:pPr>
        <w:ind w:left="260" w:hanging="253"/>
        <w:spacing w:after="0"/>
        <w:tabs>
          <w:tab w:leader="none" w:pos="2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62" w:lineRule="exact"/>
        <w:rPr>
          <w:sz w:val="20"/>
          <w:szCs w:val="20"/>
          <w:color w:val="auto"/>
        </w:rPr>
      </w:pPr>
    </w:p>
    <w:p>
      <w:pPr>
        <w:jc w:val="both"/>
        <w:ind w:left="400" w:hanging="393"/>
        <w:spacing w:after="0" w:line="251"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securities with the right to elect directors) of such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jc w:val="both"/>
        <w:ind w:left="400" w:hanging="393"/>
        <w:spacing w:after="0" w:line="251"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2" w:lineRule="exact"/>
        <w:rPr>
          <w:rFonts w:ascii="Times New Roman" w:cs="Times New Roman" w:eastAsia="Times New Roman" w:hAnsi="Times New Roman"/>
          <w:sz w:val="15"/>
          <w:szCs w:val="15"/>
          <w:color w:val="auto"/>
        </w:rPr>
      </w:pPr>
    </w:p>
    <w:p>
      <w:pPr>
        <w:ind w:left="400" w:hanging="393"/>
        <w:spacing w:after="0"/>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77" w:lineRule="exact"/>
        <w:rPr>
          <w:rFonts w:ascii="Times New Roman" w:cs="Times New Roman" w:eastAsia="Times New Roman" w:hAnsi="Times New Roman"/>
          <w:sz w:val="15"/>
          <w:szCs w:val="15"/>
          <w:color w:val="auto"/>
        </w:rPr>
      </w:pPr>
    </w:p>
    <w:p>
      <w:pPr>
        <w:ind w:left="400" w:hanging="393"/>
        <w:spacing w:after="0"/>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investments noted had been placed on non-accrual status.</w:t>
      </w:r>
    </w:p>
    <w:p>
      <w:pPr>
        <w:spacing w:after="0" w:line="177" w:lineRule="exact"/>
        <w:rPr>
          <w:rFonts w:ascii="Times New Roman" w:cs="Times New Roman" w:eastAsia="Times New Roman" w:hAnsi="Times New Roman"/>
          <w:sz w:val="15"/>
          <w:szCs w:val="15"/>
          <w:color w:val="auto"/>
        </w:rPr>
      </w:pPr>
    </w:p>
    <w:p>
      <w:pPr>
        <w:ind w:left="400" w:hanging="393"/>
        <w:spacing w:after="0"/>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77" w:lineRule="exact"/>
        <w:rPr>
          <w:rFonts w:ascii="Times New Roman" w:cs="Times New Roman" w:eastAsia="Times New Roman" w:hAnsi="Times New Roman"/>
          <w:sz w:val="15"/>
          <w:szCs w:val="15"/>
          <w:color w:val="auto"/>
        </w:rPr>
      </w:pPr>
    </w:p>
    <w:p>
      <w:pPr>
        <w:ind w:left="400" w:hanging="393"/>
        <w:spacing w:after="0" w:line="267"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 in preferred shares of Residential Homes for Rent, LLC (d/b/a Second Avenue) are held through SuRo Capital Corp.’s wholly owned subsidiary, GSVC AV Holdings, Inc.</w:t>
      </w:r>
    </w:p>
    <w:p>
      <w:pPr>
        <w:spacing w:after="0" w:line="140" w:lineRule="exact"/>
        <w:rPr>
          <w:rFonts w:ascii="Times New Roman" w:cs="Times New Roman" w:eastAsia="Times New Roman" w:hAnsi="Times New Roman"/>
          <w:sz w:val="15"/>
          <w:szCs w:val="15"/>
          <w:color w:val="auto"/>
        </w:rPr>
      </w:pPr>
    </w:p>
    <w:p>
      <w:pPr>
        <w:jc w:val="both"/>
        <w:ind w:left="400" w:hanging="393"/>
        <w:spacing w:after="0" w:line="255"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49" w:lineRule="exact"/>
        <w:rPr>
          <w:rFonts w:ascii="Times New Roman" w:cs="Times New Roman" w:eastAsia="Times New Roman" w:hAnsi="Times New Roman"/>
          <w:sz w:val="15"/>
          <w:szCs w:val="15"/>
          <w:color w:val="auto"/>
        </w:rPr>
      </w:pPr>
    </w:p>
    <w:p>
      <w:pPr>
        <w:jc w:val="both"/>
        <w:ind w:left="400" w:hanging="393"/>
        <w:spacing w:after="0" w:line="255"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49" w:lineRule="exact"/>
        <w:rPr>
          <w:rFonts w:ascii="Times New Roman" w:cs="Times New Roman" w:eastAsia="Times New Roman" w:hAnsi="Times New Roman"/>
          <w:sz w:val="15"/>
          <w:szCs w:val="15"/>
          <w:color w:val="auto"/>
        </w:rPr>
      </w:pPr>
    </w:p>
    <w:p>
      <w:pPr>
        <w:jc w:val="both"/>
        <w:ind w:left="400" w:hanging="393"/>
        <w:spacing w:after="0" w:line="255"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9" w:lineRule="exact"/>
        <w:rPr>
          <w:rFonts w:ascii="Times New Roman" w:cs="Times New Roman" w:eastAsia="Times New Roman" w:hAnsi="Times New Roman"/>
          <w:sz w:val="15"/>
          <w:szCs w:val="15"/>
          <w:color w:val="auto"/>
        </w:rPr>
      </w:pPr>
    </w:p>
    <w:p>
      <w:pPr>
        <w:ind w:left="400" w:hanging="393"/>
        <w:spacing w:after="0" w:line="267"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0" w:lineRule="exact"/>
        <w:rPr>
          <w:rFonts w:ascii="Times New Roman" w:cs="Times New Roman" w:eastAsia="Times New Roman" w:hAnsi="Times New Roman"/>
          <w:sz w:val="15"/>
          <w:szCs w:val="15"/>
          <w:color w:val="auto"/>
        </w:rPr>
      </w:pPr>
    </w:p>
    <w:p>
      <w:pPr>
        <w:ind w:left="400" w:hanging="393"/>
        <w:spacing w:after="0"/>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77" w:lineRule="exact"/>
        <w:rPr>
          <w:rFonts w:ascii="Times New Roman" w:cs="Times New Roman" w:eastAsia="Times New Roman" w:hAnsi="Times New Roman"/>
          <w:sz w:val="15"/>
          <w:szCs w:val="15"/>
          <w:color w:val="auto"/>
        </w:rPr>
      </w:pPr>
    </w:p>
    <w:p>
      <w:pPr>
        <w:jc w:val="both"/>
        <w:ind w:left="400" w:hanging="393"/>
        <w:spacing w:after="0" w:line="255"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49" w:lineRule="exact"/>
        <w:rPr>
          <w:rFonts w:ascii="Times New Roman" w:cs="Times New Roman" w:eastAsia="Times New Roman" w:hAnsi="Times New Roman"/>
          <w:sz w:val="15"/>
          <w:szCs w:val="15"/>
          <w:color w:val="auto"/>
        </w:rPr>
      </w:pPr>
    </w:p>
    <w:p>
      <w:pPr>
        <w:ind w:left="400" w:hanging="393"/>
        <w:spacing w:after="0" w:line="267"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40" w:lineRule="exact"/>
        <w:rPr>
          <w:rFonts w:ascii="Times New Roman" w:cs="Times New Roman" w:eastAsia="Times New Roman" w:hAnsi="Times New Roman"/>
          <w:sz w:val="15"/>
          <w:szCs w:val="15"/>
          <w:color w:val="auto"/>
        </w:rPr>
      </w:pPr>
    </w:p>
    <w:p>
      <w:pPr>
        <w:ind w:left="400" w:hanging="393"/>
        <w:spacing w:after="0" w:line="267"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40" w:lineRule="exact"/>
        <w:rPr>
          <w:rFonts w:ascii="Times New Roman" w:cs="Times New Roman" w:eastAsia="Times New Roman" w:hAnsi="Times New Roman"/>
          <w:sz w:val="15"/>
          <w:szCs w:val="15"/>
          <w:color w:val="auto"/>
        </w:rPr>
      </w:pPr>
    </w:p>
    <w:p>
      <w:pPr>
        <w:jc w:val="both"/>
        <w:ind w:left="400" w:hanging="393"/>
        <w:spacing w:after="0" w:line="251" w:lineRule="auto"/>
        <w:tabs>
          <w:tab w:leader="none" w:pos="4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1—NATURE OF OPERATIONS</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table below displays the Company’s subsidiaries as of December 31, 2024,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5"/>
          <w:szCs w:val="15"/>
          <w:i w:val="1"/>
          <w:iCs w:val="1"/>
          <w:color w:val="auto"/>
        </w:rPr>
        <w:t>Basis of Consolidation</w:t>
      </w:r>
      <w:r>
        <w:rPr>
          <w:rFonts w:ascii="Times New Roman" w:cs="Times New Roman" w:eastAsia="Times New Roman" w:hAnsi="Times New Roman"/>
          <w:sz w:val="15"/>
          <w:szCs w:val="15"/>
          <w:color w:val="auto"/>
        </w:rPr>
        <w:t>” below for further detail.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Jurisdiction of</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Formation</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Percentage</w:t>
            </w:r>
          </w:p>
        </w:tc>
      </w:tr>
      <w:tr>
        <w:trPr>
          <w:trHeight w:val="19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4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Incorporation</w:t>
            </w:r>
          </w:p>
        </w:tc>
        <w:tc>
          <w:tcPr>
            <w:tcW w:w="2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2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6"/>
                <w:szCs w:val="16"/>
                <w:color w:val="auto"/>
              </w:rPr>
            </w:pPr>
          </w:p>
        </w:tc>
      </w:tr>
      <w:tr>
        <w:trPr>
          <w:trHeight w:val="166"/>
        </w:trPr>
        <w:tc>
          <w:tcPr>
            <w:tcW w:w="36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GCL</w:t>
            </w:r>
          </w:p>
        </w:tc>
        <w:tc>
          <w:tcPr>
            <w:tcW w:w="24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Delaware</w:t>
            </w:r>
          </w:p>
        </w:tc>
        <w:tc>
          <w:tcPr>
            <w:tcW w:w="2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April 13, 2012</w:t>
            </w:r>
          </w:p>
        </w:tc>
        <w:tc>
          <w:tcPr>
            <w:tcW w:w="2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100%</w:t>
            </w:r>
          </w:p>
        </w:tc>
      </w:tr>
      <w:tr>
        <w:trPr>
          <w:trHeight w:val="175"/>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SuRo Capital Sports, LLC (“SuRo Sports”)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March 19, 2021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58"/>
        </w:trPr>
        <w:tc>
          <w:tcPr>
            <w:tcW w:w="38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Subsidiaries below are referred to collectively as the</w:t>
            </w:r>
          </w:p>
        </w:tc>
        <w:tc>
          <w:tcPr>
            <w:tcW w:w="2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1"/>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“Taxable Subsidiaries”</w:t>
            </w: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5"/>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AE Holdings, Inc. (“GAE”)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28, 2012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AV Holdings, Inc. (“GAV”)</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28, 2012</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5"/>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SW Holdings, Inc. (“GSW”)</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November 28, 2012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SVDS Holdings, Inc. (“SVDS”)</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Delaware</w:t>
            </w:r>
          </w:p>
        </w:tc>
        <w:tc>
          <w:tcPr>
            <w:tcW w:w="2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August 13, 2013</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bl>
    <w:p>
      <w:pPr>
        <w:spacing w:after="0" w:line="160"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special purpose vehicles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2—SIGNIFICANT ACCOUNTING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5"/>
          <w:szCs w:val="15"/>
          <w:i w:val="1"/>
          <w:iCs w:val="1"/>
          <w:color w:val="auto"/>
        </w:rPr>
        <w:t>Financial Services—Investment Companies</w:t>
      </w:r>
      <w:r>
        <w:rPr>
          <w:rFonts w:ascii="Times New Roman" w:cs="Times New Roman" w:eastAsia="Times New Roman" w:hAnsi="Times New Roman"/>
          <w:sz w:val="15"/>
          <w:szCs w:val="15"/>
          <w:color w:val="auto"/>
        </w:rPr>
        <w:t>. In the opinion of management, all adjustments, all of which were of a normal recurring nature, were considered necessary for the fair presentation of consolidated financial statements for the period have been included.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Consolidation</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GCL, and SuRo Sports, its wholly owned subsidiaries. All intercompany balances and transactions have been eliminated in consolidation. The Company operates as a single operating segment.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SuRo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Consolidated Statement of Operations along with significant expenses. The measure of segment assets is reported on the Consolidated Balance Sheets as total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Uncertainties and Risk Factors</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 is subject to a number of risks and uncertainties in the nature of its operations, as well as vulnerability due to certain concentrations. Refer to “Risk Factors” in Part II,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Investments at Fair Value</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—Valuations based on unadjusted quoted prices for identical assets or liabilities in an active market that the Company has the ability to access at the measurement date.</w:t>
      </w:r>
    </w:p>
    <w:p>
      <w:pPr>
        <w:spacing w:after="0" w:line="177" w:lineRule="exact"/>
        <w:rPr>
          <w:sz w:val="20"/>
          <w:szCs w:val="20"/>
          <w:color w:val="auto"/>
        </w:rPr>
      </w:pPr>
    </w:p>
    <w:p>
      <w:pPr>
        <w:jc w:val="both"/>
        <w:ind w:firstLine="262"/>
        <w:spacing w:after="0" w:line="269" w:lineRule="auto"/>
        <w:rPr>
          <w:sz w:val="20"/>
          <w:szCs w:val="20"/>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—Valuations based on observable inputs other than Level 1 prices, such as quoted prices for similar assets or liabilities; quoted prices in markets that are not active; or other inputs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are observable or can be corroborated by observable market data at the measurement date for substantially the full term of the assets or liabilities.</w:t>
      </w:r>
    </w:p>
    <w:p>
      <w:pPr>
        <w:spacing w:after="0" w:line="138"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—Valuations based on unobservable inputs that reflect management’s best estimate of what market participants would use in pricing the asset or liability at the measurement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(as defined below),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49" w:lineRule="exact"/>
        <w:rPr>
          <w:sz w:val="20"/>
          <w:szCs w:val="20"/>
          <w:color w:val="auto"/>
        </w:rPr>
      </w:pPr>
    </w:p>
    <w:p>
      <w:pPr>
        <w:ind w:left="540" w:hanging="270"/>
        <w:spacing w:after="0" w:line="267" w:lineRule="auto"/>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quarterly valuation process begins with each portfolio company or investment being initially valued by the internal investment professionals responsible for the portfolio investment;</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 estimates are then documented and discussed with senior management;</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40" w:lineRule="exact"/>
        <w:rPr>
          <w:rFonts w:ascii="Times New Roman" w:cs="Times New Roman" w:eastAsia="Times New Roman" w:hAnsi="Times New Roman"/>
          <w:sz w:val="15"/>
          <w:szCs w:val="15"/>
          <w:color w:val="auto"/>
        </w:rPr>
      </w:pPr>
    </w:p>
    <w:p>
      <w:pPr>
        <w:ind w:left="540" w:hanging="234"/>
        <w:spacing w:after="0" w:line="267" w:lineRule="auto"/>
        <w:tabs>
          <w:tab w:leader="none" w:pos="54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41" w:lineRule="exact"/>
        <w:rPr>
          <w:sz w:val="20"/>
          <w:szCs w:val="20"/>
          <w:color w:val="auto"/>
        </w:rPr>
      </w:pPr>
    </w:p>
    <w:p>
      <w:pPr>
        <w:ind w:left="540" w:hanging="270"/>
        <w:spacing w:after="0" w:line="267" w:lineRule="auto"/>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Board of Directors then discusses the valuations recommended by the Valuation Committee and determines in good faith the fair value of each investment in the portfolio.</w:t>
      </w:r>
    </w:p>
    <w:p>
      <w:pPr>
        <w:spacing w:after="0" w:line="14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54"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34"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 See “Recently Issued or Adopted Accounting Standards” for more information.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56"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Investments</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Options</w:t>
      </w:r>
    </w:p>
    <w:p>
      <w:pPr>
        <w:spacing w:after="0" w:line="18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SPVs and Investment Funds</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At various times, the Company may utilize SPVs and similar investment fund structures in the investment process. The Company advances money to these SPVs or investment funds that are formed for the specific purpose of investing in securities of a single private issuer. Generally speaking, these entities have the following characteristics: (1) the underlying investment in the securities of the single private issuer is the sole activity of the SPV or investment fund; (2) the Company’s underlying ownership of the single private issuer is proportionate to the Company’s contributions made to the SPV or investment fund; and (3) the Company will receive its proportionate share of the cash proceeds as the single private issuer is monetized and distributed. The Consolidated Schedule of Investments presents the value of the Company’s investment in the SPV or investment fund. These SPV and fund investments are valued at estimated fair value as determined in good faith by the Company’s Board of Directors. The SPVs may incur a tax liability associated with distributions made by underlying portfolio investments. If an SPV or investment fund charges fees or expenses, those fees may impact the fair value of the Company’s investment.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valuing the Company’s investments in venture investment funds (“Venture Investment Funds”), the Company may apply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Purpose Acquisition Companies</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The Company’s SPAC investments are valued at estimated fair value as determined in good faith by the Company’s Board of Directors.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Company Investment Classification</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2024 and December 31, 2023 for details regarding the nature and composition of the Company’s investment portfolio.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Levelling Policy</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Transactions</w:t>
      </w:r>
    </w:p>
    <w:p>
      <w:pPr>
        <w:spacing w:after="0" w:line="177"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5"/>
          <w:szCs w:val="15"/>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of Other Financial Instruments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carrying amounts of the Company’s other, non-investment financial instruments, consisting of cash, receivables, accounts payable, and accrued expenses, approximate fair value due to their short-term nature.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Escrow Proceeds Receivable</w:t>
      </w:r>
    </w:p>
    <w:p>
      <w:pPr>
        <w:spacing w:after="0" w:line="181"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Consolidated Statements of Operations for the period in which they occurred and are adjusted as needed. Any remaining escrow proceeds balances from these transactions reasonably expected to be received are reflected on the Consolidated Statement of Assets and Liabilities as escrow proceeds receivable. Escrow proceeds receivable resulting from contingent consideration are to be recognized when the amount of the contingent consideration becomes realized or realizable. As of December 31, 2024 and December 31, 2023, the Company had $45,298 and $309,293, respectively, in escrow proceeds receivable.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Financing Costs</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54"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December 31, 2024 and December 31, 2023, the Company had deferred financing costs of $526,261 and $594,726, respectively, on the Consolidated Statement of Assets and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2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66"/>
        </w:trPr>
        <w:tc>
          <w:tcPr>
            <w:tcW w:w="70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Deferred debt issuance costs</w:t>
            </w:r>
          </w:p>
        </w:tc>
        <w:tc>
          <w:tcPr>
            <w:tcW w:w="240" w:type="dxa"/>
            <w:vAlign w:val="bottom"/>
            <w:tcBorders>
              <w:top w:val="single" w:sz="8" w:color="auto"/>
            </w:tcBorders>
            <w:shd w:val="clear" w:color="auto" w:fill="CCEEFF"/>
          </w:tcPr>
          <w:p>
            <w:pPr>
              <w:jc w:val="right"/>
              <w:ind w:right="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1,417,155</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1,254,793</w:t>
            </w: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526,261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594,726</w:t>
            </w:r>
          </w:p>
        </w:tc>
      </w:tr>
      <w:tr>
        <w:trPr>
          <w:trHeight w:val="177"/>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1,943,416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1,849,519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 to “Note 10 — Debt Capital Activities” for further detail regarding the Company’s deferred debt issuance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&amp; Related Deposits</w:t>
      </w:r>
    </w:p>
    <w:p>
      <w:pPr>
        <w:spacing w:after="0" w:line="179" w:lineRule="exact"/>
        <w:rPr>
          <w:sz w:val="20"/>
          <w:szCs w:val="20"/>
          <w:color w:val="auto"/>
        </w:rPr>
      </w:pPr>
    </w:p>
    <w:p>
      <w:pPr>
        <w:jc w:val="both"/>
        <w:ind w:firstLine="328"/>
        <w:spacing w:after="0" w:line="248" w:lineRule="auto"/>
        <w:rPr>
          <w:sz w:val="20"/>
          <w:szCs w:val="20"/>
          <w:color w:val="auto"/>
        </w:rPr>
      </w:pPr>
      <w:r>
        <w:rPr>
          <w:rFonts w:ascii="Times New Roman" w:cs="Times New Roman" w:eastAsia="Times New Roman" w:hAnsi="Times New Roman"/>
          <w:sz w:val="15"/>
          <w:szCs w:val="15"/>
          <w:color w:val="auto"/>
        </w:rPr>
        <w:t xml:space="preserve">The Company accounts for its operating leases as prescribed by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September 1, 2024, the Company extended the previous operating lease for office space for an additional term of three years and three months, expiring March 31, 2028.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5"/>
          <w:szCs w:val="15"/>
          <w:i w:val="1"/>
          <w:iCs w:val="1"/>
          <w:color w:val="auto"/>
        </w:rPr>
        <w:t>Operating Leases and Related Deposits</w:t>
      </w:r>
      <w:r>
        <w:rPr>
          <w:rFonts w:ascii="Times New Roman" w:cs="Times New Roman" w:eastAsia="Times New Roman" w:hAnsi="Times New Roman"/>
          <w:sz w:val="15"/>
          <w:szCs w:val="15"/>
          <w:color w:val="auto"/>
        </w:rPr>
        <w:t>” for further detail.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79" w:lineRule="exact"/>
        <w:rPr>
          <w:sz w:val="20"/>
          <w:szCs w:val="20"/>
          <w:color w:val="auto"/>
        </w:rPr>
      </w:pPr>
    </w:p>
    <w:p>
      <w:pPr>
        <w:jc w:val="both"/>
        <w:ind w:firstLine="328"/>
        <w:spacing w:after="0" w:line="252" w:lineRule="auto"/>
        <w:rPr>
          <w:sz w:val="20"/>
          <w:szCs w:val="20"/>
          <w:color w:val="auto"/>
        </w:rPr>
      </w:pPr>
      <w:r>
        <w:rPr>
          <w:rFonts w:ascii="Times New Roman" w:cs="Times New Roman" w:eastAsia="Times New Roman" w:hAnsi="Times New Roman"/>
          <w:sz w:val="15"/>
          <w:szCs w:val="15"/>
          <w:color w:val="auto"/>
        </w:rPr>
        <w:t xml:space="preserve">Using the fair value recognition provisions as prescribed by ASC 718, </w:t>
      </w:r>
      <w:r>
        <w:rPr>
          <w:rFonts w:ascii="Times New Roman" w:cs="Times New Roman" w:eastAsia="Times New Roman" w:hAnsi="Times New Roman"/>
          <w:sz w:val="15"/>
          <w:szCs w:val="15"/>
          <w:i w:val="1"/>
          <w:iCs w:val="1"/>
          <w:color w:val="auto"/>
        </w:rPr>
        <w:t>Stock Compensation</w:t>
      </w:r>
      <w:r>
        <w:rPr>
          <w:rFonts w:ascii="Times New Roman" w:cs="Times New Roman" w:eastAsia="Times New Roman" w:hAnsi="Times New Roman"/>
          <w:sz w:val="15"/>
          <w:szCs w:val="15"/>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Transaction Costs and Escrow Deposits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2024 and December 31, 2023, the Company had no escrow deposits.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Unrealized Appreciation or Depreciation of Investments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Unrealized appreciation or depreciation is calculated as the difference between the fair value of the investment and the cost basis of such investment.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Federal and State Income Taxes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5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Consolidated Financial Statements.</w:t>
      </w:r>
    </w:p>
    <w:p>
      <w:pPr>
        <w:spacing w:after="0" w:line="158" w:lineRule="exact"/>
        <w:rPr>
          <w:sz w:val="20"/>
          <w:szCs w:val="20"/>
          <w:color w:val="auto"/>
        </w:rPr>
      </w:pPr>
    </w:p>
    <w:p>
      <w:pPr>
        <w:jc w:val="both"/>
        <w:ind w:firstLine="262"/>
        <w:spacing w:after="0" w:line="245" w:lineRule="auto"/>
        <w:rPr>
          <w:sz w:val="20"/>
          <w:szCs w:val="20"/>
          <w:color w:val="auto"/>
        </w:rPr>
      </w:pPr>
      <w:r>
        <w:rPr>
          <w:rFonts w:ascii="Times New Roman" w:cs="Times New Roman" w:eastAsia="Times New Roman" w:hAnsi="Times New Roman"/>
          <w:sz w:val="15"/>
          <w:szCs w:val="15"/>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 Share Information</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5"/>
          <w:szCs w:val="15"/>
          <w:i w:val="1"/>
          <w:iCs w:val="1"/>
          <w:color w:val="auto"/>
        </w:rPr>
        <w:t>, Earnings Per Share</w:t>
      </w:r>
      <w:r>
        <w:rPr>
          <w:rFonts w:ascii="Times New Roman" w:cs="Times New Roman" w:eastAsia="Times New Roman" w:hAnsi="Times New Roman"/>
          <w:sz w:val="15"/>
          <w:szCs w:val="15"/>
          <w:color w:val="auto"/>
        </w:rPr>
        <w:t xml:space="preserve"> (“ASC 260”), to determine the number of potentially dilutive shares outstanding. Refer to “Note 6—Net Increase in Net Assets Resulting from Operations per Common Share—Basic and Diluted” for further detail.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Recently Issued or Adopted Accounting Standards</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June 2022, the FASB issued ASU No. 2022-03, “Fair Value Measurements (Topic 820): Fair Value Measurement of Equity Securities Subject to Contractual Sale Restrictions.” This change prospectively prohibits entities from taking into account certain contractual restrictions on the sale of equity securities when estimating fair value and introduces required disclosures for such transactions. The standard is effective for annual periods beginning after December 15, 2023, and applied prospectively. The Company adopted the requirements of ASU 2022-03 during the period ended March 31, 2024.</w:t>
      </w:r>
    </w:p>
    <w:p>
      <w:pPr>
        <w:spacing w:after="0" w:line="15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In November 2023, the FASB issued ASU 2023-07, “Segment Reporting (Topic 280): Improvements to Reportable Segment Disclosures (“ASU 2023- 07”),” which enhances disclosure requirements about significant segment expenses that are regularly provided to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 adopted the requirements of ASU 2023-07 during the year ended December 31, 2024, but does not expect a material impact on its consolidated financial statements.</w:t>
      </w:r>
    </w:p>
    <w:p>
      <w:pPr>
        <w:spacing w:after="0" w:line="156"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December 2023, the FASB issued ASU 2023-09, “Improvements to Income Tax Disclosures.” The amendments in this update require more disaggregated information on income taxes paid. The standard is effective for annual periods beginning after December 15, 2024. Early adoption is permitted; however, the Company has not elected to adopt this provision as of the date of the consolidated financial statements. The Company is still assessing the impact of the new guidance. However, it does not expect ASU 2023-09 to have a material impact on the Company’s future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 March 2024, the FASB issued ASU 2024-01, “Compensation - 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effective for public entities for fiscal years beginning after December 15, 2024, and interim periods in fiscal years beginning after December 15, 2024. Early adoption is permitted; however, the Company has not elected to adopt this provision as of the date of the consolidated financial statements. The Company is currently evaluating the impact of the new guidance. However, it does not expect ASU 2024-01 to have a material impact on the Company’s future financial statements.</w:t>
      </w:r>
    </w:p>
    <w:p>
      <w:pPr>
        <w:spacing w:after="0" w:line="154" w:lineRule="exact"/>
        <w:rPr>
          <w:sz w:val="20"/>
          <w:szCs w:val="20"/>
          <w:color w:val="auto"/>
        </w:rPr>
      </w:pPr>
    </w:p>
    <w:p>
      <w:pPr>
        <w:jc w:val="both"/>
        <w:ind w:firstLine="262"/>
        <w:spacing w:after="0" w:line="27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financial statements.</w:t>
      </w:r>
    </w:p>
    <w:p>
      <w:pPr>
        <w:spacing w:after="0" w:line="13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is still assessing the impact of the new guidance.</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3—RELATED-PARTY ARRANGEMENTS</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52"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On August 18, 2024, Churchill Capital Corp. VII announced that it would not consummate an initial business combination within the time period required by its Amended and Restated Certificate of Incorporation, as amended, and the Company realized a loss on the entirety of its Churchill Sponsor VII LLC common share units and warrant units in the amount of $300,000.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December 31, 2024, the fair value of the Company’s remote-affiliate investment in Skillsoft was $1,176,244.</w:t>
      </w:r>
    </w:p>
    <w:p>
      <w:pPr>
        <w:spacing w:after="0" w:line="154"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Company’s initial investment in Shogun Enterprises, Inc. (d/b/a Hearth)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As of December 31, 2024, the fair value of the Company’s remote-affiliate investment in Shogun Enterprises, Inc. (d/b/a Hearth) was $5,374,819.</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On June 28, 2024, the Company redeemed the entirety of its Membership Interest in Architect Capital PayJoy SPV, LLC.</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(d/b/a PublicSquare). As of December 31, 2024, the fair value of the Company’s investment in PSQ Holdings, Inc. (d/b/a PublicSquare) was $1,436,830.</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controlled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November 15, 2024, the Company had sold its investment in Oklo,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4—INVESTMENTS AT FAIR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Portfolio Composition</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December 31, 2024, the Company had 60 positions in 37 portfolio companies. As of December 31, 2023, the Company had 63 positions in 38 portfolio companies.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tables summarize the composition of the Company’s investment portfolio by security type at cost and fair value as of December 31, 2024 and December 31,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9"/>
        </w:trPr>
        <w:tc>
          <w:tcPr>
            <w:tcW w:w="3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gridSpan w:val="2"/>
          </w:tcPr>
          <w:p>
            <w:pPr>
              <w:spacing w:after="0"/>
              <w:rPr>
                <w:sz w:val="12"/>
                <w:szCs w:val="12"/>
                <w:color w:val="auto"/>
              </w:rPr>
            </w:pPr>
          </w:p>
        </w:tc>
      </w:tr>
      <w:tr>
        <w:trPr>
          <w:trHeight w:val="175"/>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of</w:t>
            </w:r>
          </w:p>
        </w:tc>
      </w:tr>
      <w:tr>
        <w:trPr>
          <w:trHeight w:val="191"/>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Cost</w:t>
            </w:r>
          </w:p>
        </w:tc>
        <w:tc>
          <w:tcPr>
            <w:tcW w:w="32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0" w:type="dxa"/>
            <w:vAlign w:val="bottom"/>
            <w:gridSpan w:val="2"/>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120" w:type="dxa"/>
            <w:vAlign w:val="bottom"/>
          </w:tcPr>
          <w:p>
            <w:pPr>
              <w:spacing w:after="0"/>
              <w:rPr>
                <w:sz w:val="16"/>
                <w:szCs w:val="16"/>
                <w:color w:val="auto"/>
              </w:rPr>
            </w:pPr>
          </w:p>
        </w:tc>
        <w:tc>
          <w:tcPr>
            <w:tcW w:w="84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Cost</w:t>
            </w:r>
          </w:p>
        </w:tc>
        <w:tc>
          <w:tcPr>
            <w:tcW w:w="32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Net Assets</w:t>
            </w:r>
          </w:p>
        </w:tc>
      </w:tr>
      <w:tr>
        <w:trPr>
          <w:trHeight w:val="166"/>
        </w:trPr>
        <w:tc>
          <w:tcPr>
            <w:tcW w:w="37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8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08"/>
        </w:trPr>
        <w:tc>
          <w:tcPr>
            <w:tcW w:w="3700" w:type="dxa"/>
            <w:vAlign w:val="bottom"/>
          </w:tcPr>
          <w:p>
            <w:pPr>
              <w:ind w:left="100"/>
              <w:spacing w:after="0" w:line="207"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$ 159,592,108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$ 151,003,991</w:t>
            </w:r>
          </w:p>
        </w:tc>
        <w:tc>
          <w:tcPr>
            <w:tcW w:w="340" w:type="dxa"/>
            <w:vAlign w:val="bottom"/>
          </w:tcPr>
          <w:p>
            <w:pPr>
              <w:spacing w:after="0"/>
              <w:rPr>
                <w:sz w:val="18"/>
                <w:szCs w:val="18"/>
                <w:color w:val="auto"/>
              </w:rPr>
            </w:pPr>
          </w:p>
        </w:tc>
        <w:tc>
          <w:tcPr>
            <w:tcW w:w="10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95.8%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$ 107,209,010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$ 122,744,564</w:t>
            </w: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60.4%</w:t>
            </w:r>
          </w:p>
        </w:tc>
      </w:tr>
      <w:tr>
        <w:trPr>
          <w:trHeight w:val="208"/>
        </w:trPr>
        <w:tc>
          <w:tcPr>
            <w:tcW w:w="370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67,469,643</w:t>
            </w:r>
          </w:p>
        </w:tc>
        <w:tc>
          <w:tcPr>
            <w:tcW w:w="1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35,922,154</w:t>
            </w:r>
          </w:p>
        </w:tc>
        <w:tc>
          <w:tcPr>
            <w:tcW w:w="10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73,003,835</w:t>
            </w:r>
          </w:p>
        </w:tc>
        <w:tc>
          <w:tcPr>
            <w:tcW w:w="1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39,086,792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r>
      <w:tr>
        <w:trPr>
          <w:trHeight w:val="175"/>
        </w:trPr>
        <w:tc>
          <w:tcPr>
            <w:tcW w:w="37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Debt Investments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2,777,197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40" w:type="dxa"/>
            <w:vAlign w:val="bottom"/>
          </w:tcPr>
          <w:p>
            <w:pPr>
              <w:spacing w:after="0"/>
              <w:rPr>
                <w:sz w:val="15"/>
                <w:szCs w:val="15"/>
                <w:color w:val="auto"/>
              </w:rPr>
            </w:pPr>
          </w:p>
        </w:tc>
        <w:tc>
          <w:tcPr>
            <w:tcW w:w="10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5,146,349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18"/>
        </w:trPr>
        <w:tc>
          <w:tcPr>
            <w:tcW w:w="3700" w:type="dxa"/>
            <w:vAlign w:val="bottom"/>
            <w:shd w:val="clear" w:color="auto" w:fill="CCEEFF"/>
          </w:tcPr>
          <w:p>
            <w:pPr>
              <w:ind w:left="100"/>
              <w:spacing w:after="0" w:line="218"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4,394,059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12,057,878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66"/>
        </w:trPr>
        <w:tc>
          <w:tcPr>
            <w:tcW w:w="3700" w:type="dxa"/>
            <w:vAlign w:val="bottom"/>
            <w:tcBorders>
              <w:bottom w:val="single" w:sz="8" w:color="CCEEFF"/>
            </w:tcBorders>
          </w:tcPr>
          <w:p>
            <w:pPr>
              <w:ind w:left="140"/>
              <w:spacing w:after="0" w:line="166" w:lineRule="exact"/>
              <w:rPr>
                <w:sz w:val="20"/>
                <w:szCs w:val="20"/>
                <w:color w:val="auto"/>
              </w:rPr>
            </w:pPr>
            <w:r>
              <w:rPr>
                <w:rFonts w:ascii="Times New Roman" w:cs="Times New Roman" w:eastAsia="Times New Roman" w:hAnsi="Times New Roman"/>
                <w:sz w:val="15"/>
                <w:szCs w:val="15"/>
                <w:b w:val="1"/>
                <w:bCs w:val="1"/>
                <w:color w:val="auto"/>
              </w:rPr>
              <w:t>Total Private Portfolio Companies</w:t>
            </w:r>
          </w:p>
        </w:tc>
        <w:tc>
          <w:tcPr>
            <w:tcW w:w="8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234,233,007</w:t>
            </w:r>
          </w:p>
        </w:tc>
        <w:tc>
          <w:tcPr>
            <w:tcW w:w="3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191,789,622</w:t>
            </w:r>
          </w:p>
        </w:tc>
        <w:tc>
          <w:tcPr>
            <w:tcW w:w="3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121.7</w:t>
            </w:r>
          </w:p>
        </w:tc>
        <w:tc>
          <w:tcPr>
            <w:tcW w:w="240" w:type="dxa"/>
            <w:vAlign w:val="bottom"/>
            <w:tcBorders>
              <w:bottom w:val="single" w:sz="8" w:color="CCEEFF"/>
            </w:tcBorders>
          </w:tcPr>
          <w:p>
            <w:pPr>
              <w:jc w:val="right"/>
              <w:ind w:right="4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197,417,072</w:t>
            </w:r>
          </w:p>
        </w:tc>
        <w:tc>
          <w:tcPr>
            <w:tcW w:w="3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168,568,251</w:t>
            </w:r>
          </w:p>
        </w:tc>
        <w:tc>
          <w:tcPr>
            <w:tcW w:w="3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82.9</w:t>
            </w:r>
          </w:p>
        </w:tc>
        <w:tc>
          <w:tcPr>
            <w:tcW w:w="140" w:type="dxa"/>
            <w:vAlign w:val="bottom"/>
            <w:tcBorders>
              <w:bottom w:val="single" w:sz="8" w:color="CCEE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r>
      <w:tr>
        <w:trPr>
          <w:trHeight w:val="166"/>
        </w:trPr>
        <w:tc>
          <w:tcPr>
            <w:tcW w:w="37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5"/>
        </w:trPr>
        <w:tc>
          <w:tcPr>
            <w:tcW w:w="37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Common Stock</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21,805,582</w:t>
            </w: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16,154,290</w:t>
            </w:r>
          </w:p>
        </w:tc>
        <w:tc>
          <w:tcPr>
            <w:tcW w:w="10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10.3%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14,095,473</w:t>
            </w: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13,548,248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86"/>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Options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771,065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1,436,830</w:t>
            </w:r>
          </w:p>
        </w:tc>
        <w:tc>
          <w:tcPr>
            <w:tcW w:w="3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1,028,653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66"/>
        </w:trPr>
        <w:tc>
          <w:tcPr>
            <w:tcW w:w="3700" w:type="dxa"/>
            <w:vAlign w:val="bottom"/>
            <w:tcBorders>
              <w:bottom w:val="single" w:sz="8" w:color="CCEEFF"/>
            </w:tcBorders>
          </w:tcPr>
          <w:p>
            <w:pPr>
              <w:ind w:left="140"/>
              <w:spacing w:after="0" w:line="166" w:lineRule="exact"/>
              <w:rPr>
                <w:sz w:val="20"/>
                <w:szCs w:val="20"/>
                <w:color w:val="auto"/>
              </w:rPr>
            </w:pPr>
            <w:r>
              <w:rPr>
                <w:rFonts w:ascii="Times New Roman" w:cs="Times New Roman" w:eastAsia="Times New Roman" w:hAnsi="Times New Roman"/>
                <w:sz w:val="15"/>
                <w:szCs w:val="15"/>
                <w:b w:val="1"/>
                <w:bCs w:val="1"/>
                <w:color w:val="auto"/>
              </w:rPr>
              <w:t>Total Publicly Traded Portfolio Companies</w:t>
            </w:r>
          </w:p>
        </w:tc>
        <w:tc>
          <w:tcPr>
            <w:tcW w:w="8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22,576,647</w:t>
            </w:r>
          </w:p>
        </w:tc>
        <w:tc>
          <w:tcPr>
            <w:tcW w:w="3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17,591,120</w:t>
            </w:r>
          </w:p>
        </w:tc>
        <w:tc>
          <w:tcPr>
            <w:tcW w:w="3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11.2</w:t>
            </w:r>
          </w:p>
        </w:tc>
        <w:tc>
          <w:tcPr>
            <w:tcW w:w="240" w:type="dxa"/>
            <w:vAlign w:val="bottom"/>
            <w:tcBorders>
              <w:bottom w:val="single" w:sz="8" w:color="CCEEFF"/>
            </w:tcBorders>
          </w:tcPr>
          <w:p>
            <w:pPr>
              <w:jc w:val="right"/>
              <w:ind w:right="4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15,124,126</w:t>
            </w:r>
          </w:p>
        </w:tc>
        <w:tc>
          <w:tcPr>
            <w:tcW w:w="3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15,512,998</w:t>
            </w:r>
          </w:p>
        </w:tc>
        <w:tc>
          <w:tcPr>
            <w:tcW w:w="3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7.7</w:t>
            </w:r>
          </w:p>
        </w:tc>
        <w:tc>
          <w:tcPr>
            <w:tcW w:w="140" w:type="dxa"/>
            <w:vAlign w:val="bottom"/>
            <w:tcBorders>
              <w:bottom w:val="single" w:sz="8" w:color="CCEE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r>
      <w:tr>
        <w:trPr>
          <w:trHeight w:val="166"/>
        </w:trPr>
        <w:tc>
          <w:tcPr>
            <w:tcW w:w="37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8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256,809,654</w:t>
            </w:r>
          </w:p>
        </w:tc>
        <w:tc>
          <w:tcPr>
            <w:tcW w:w="3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209,380,742</w:t>
            </w:r>
          </w:p>
        </w:tc>
        <w:tc>
          <w:tcPr>
            <w:tcW w:w="3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132.9</w:t>
            </w:r>
          </w:p>
        </w:tc>
        <w:tc>
          <w:tcPr>
            <w:tcW w:w="240" w:type="dxa"/>
            <w:vAlign w:val="bottom"/>
            <w:shd w:val="clear" w:color="auto" w:fill="CCEEFF"/>
          </w:tcPr>
          <w:p>
            <w:pPr>
              <w:jc w:val="right"/>
              <w:ind w:right="4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212,541,198</w:t>
            </w:r>
          </w:p>
        </w:tc>
        <w:tc>
          <w:tcPr>
            <w:tcW w:w="3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184,081,249</w:t>
            </w:r>
          </w:p>
        </w:tc>
        <w:tc>
          <w:tcPr>
            <w:tcW w:w="3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90.6</w:t>
            </w:r>
          </w:p>
        </w:tc>
        <w:tc>
          <w:tcPr>
            <w:tcW w:w="14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w:t>
            </w:r>
          </w:p>
        </w:tc>
      </w:tr>
      <w:tr>
        <w:trPr>
          <w:trHeight w:val="166"/>
        </w:trPr>
        <w:tc>
          <w:tcPr>
            <w:tcW w:w="370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Non-Portfolio Investments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U.S. Treasury Bills</w:t>
            </w: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63,792,704</w:t>
            </w:r>
          </w:p>
        </w:tc>
        <w:tc>
          <w:tcPr>
            <w:tcW w:w="1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63,810,855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r>
      <w:tr>
        <w:trPr>
          <w:trHeight w:val="177"/>
        </w:trPr>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8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$ 256,809,654</w:t>
            </w:r>
          </w:p>
        </w:tc>
        <w:tc>
          <w:tcPr>
            <w:tcW w:w="3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$ 209,380,742</w:t>
            </w:r>
          </w:p>
        </w:tc>
        <w:tc>
          <w:tcPr>
            <w:tcW w:w="3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240" w:type="dxa"/>
            <w:vAlign w:val="bottom"/>
          </w:tcPr>
          <w:p>
            <w:pPr>
              <w:jc w:val="right"/>
              <w:ind w:right="4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$ 276,333,902</w:t>
            </w:r>
          </w:p>
        </w:tc>
        <w:tc>
          <w:tcPr>
            <w:tcW w:w="3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$ 247,892,104</w:t>
            </w:r>
          </w:p>
        </w:tc>
        <w:tc>
          <w:tcPr>
            <w:tcW w:w="3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1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5"/>
                <w:szCs w:val="15"/>
                <w:color w:val="auto"/>
                <w:w w:val="95"/>
              </w:rPr>
              <w:t>%</w:t>
            </w:r>
          </w:p>
        </w:tc>
      </w:tr>
      <w:tr>
        <w:trPr>
          <w:trHeight w:val="20"/>
        </w:trPr>
        <w:tc>
          <w:tcPr>
            <w:tcW w:w="3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50" w:lineRule="auto"/>
        <w:tabs>
          <w:tab w:leader="none" w:pos="2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260" w:hanging="253"/>
        <w:spacing w:after="0"/>
        <w:tabs>
          <w:tab w:leader="none" w:pos="2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62" w:lineRule="exact"/>
        <w:rPr>
          <w:rFonts w:ascii="Times New Roman" w:cs="Times New Roman" w:eastAsia="Times New Roman" w:hAnsi="Times New Roman"/>
          <w:sz w:val="15"/>
          <w:szCs w:val="15"/>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geographic and industrial compositions of the Company’s portfolio at fair value as of December 31, 2024 and December 31, 2023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5"/>
                <w:szCs w:val="15"/>
                <w:b w:val="1"/>
                <w:bCs w:val="1"/>
                <w:color w:val="auto"/>
                <w:w w:val="97"/>
              </w:rPr>
              <w:t>As of December 31, 2024</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w w:val="97"/>
              </w:rPr>
              <w:t>As of December 31, 2023</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100" w:type="dxa"/>
            <w:vAlign w:val="bottom"/>
            <w:gridSpan w:val="2"/>
          </w:tcPr>
          <w:p>
            <w:pPr>
              <w:jc w:val="center"/>
              <w:ind w:right="307"/>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80" w:type="dxa"/>
            <w:vAlign w:val="bottom"/>
            <w:gridSpan w:val="2"/>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28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1100" w:type="dxa"/>
            <w:vAlign w:val="bottom"/>
            <w:gridSpan w:val="2"/>
          </w:tcPr>
          <w:p>
            <w:pPr>
              <w:jc w:val="center"/>
              <w:ind w:right="307"/>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880" w:type="dxa"/>
            <w:vAlign w:val="bottom"/>
            <w:gridSpan w:val="2"/>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0" w:type="dxa"/>
            <w:vAlign w:val="bottom"/>
          </w:tcPr>
          <w:p>
            <w:pPr>
              <w:spacing w:after="0"/>
              <w:rPr>
                <w:sz w:val="1"/>
                <w:szCs w:val="1"/>
                <w:color w:val="auto"/>
              </w:rPr>
            </w:pPr>
          </w:p>
        </w:tc>
      </w:tr>
      <w:tr>
        <w:trPr>
          <w:trHeight w:val="166"/>
        </w:trPr>
        <w:tc>
          <w:tcPr>
            <w:tcW w:w="384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Geographic Region</w:t>
            </w: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Northeast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72,100,161</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34.4%</w:t>
            </w:r>
          </w:p>
        </w:tc>
        <w:tc>
          <w:tcPr>
            <w:tcW w:w="2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45.8%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41,538,359</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22.6%</w:t>
            </w:r>
          </w:p>
        </w:tc>
        <w:tc>
          <w:tcPr>
            <w:tcW w:w="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61,124,969</w:t>
            </w:r>
          </w:p>
        </w:tc>
        <w:tc>
          <w:tcPr>
            <w:tcW w:w="14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29.2%</w:t>
            </w:r>
          </w:p>
        </w:tc>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98"/>
              </w:rPr>
              <w:t>108,500,197</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58.9%</w:t>
            </w: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37,261,207</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17.8%</w:t>
            </w:r>
          </w:p>
        </w:tc>
        <w:tc>
          <w:tcPr>
            <w:tcW w:w="2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17,881,248</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9.7%</w:t>
            </w:r>
          </w:p>
        </w:tc>
        <w:tc>
          <w:tcPr>
            <w:tcW w:w="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Southeast</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20,675,077</w:t>
            </w:r>
          </w:p>
        </w:tc>
        <w:tc>
          <w:tcPr>
            <w:tcW w:w="14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9.9%</w:t>
            </w:r>
          </w:p>
        </w:tc>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12,107,136</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6.6%</w:t>
            </w: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18,219,328</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8.7%</w:t>
            </w:r>
          </w:p>
        </w:tc>
        <w:tc>
          <w:tcPr>
            <w:tcW w:w="20" w:type="dxa"/>
            <w:vAlign w:val="bottom"/>
          </w:tcPr>
          <w:p>
            <w:pPr>
              <w:spacing w:after="0"/>
              <w:rPr>
                <w:sz w:val="16"/>
                <w:szCs w:val="16"/>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4,054,309</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7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209,380,742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340" w:type="dxa"/>
            <w:vAlign w:val="bottom"/>
            <w:tcBorders>
              <w:top w:val="single" w:sz="8" w:color="CCEEFF"/>
              <w:bottom w:val="single" w:sz="8" w:color="CCEEFF"/>
            </w:tcBorders>
            <w:shd w:val="clear" w:color="auto" w:fill="CCEEFF"/>
          </w:tcPr>
          <w:p>
            <w:pPr>
              <w:jc w:val="right"/>
              <w:ind w:right="14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184,081,249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5"/>
                <w:szCs w:val="15"/>
                <w:b w:val="1"/>
                <w:bCs w:val="1"/>
                <w:color w:val="auto"/>
                <w:w w:val="97"/>
              </w:rPr>
              <w:t>As of December 31, 2024</w:t>
            </w:r>
          </w:p>
        </w:tc>
        <w:tc>
          <w:tcPr>
            <w:tcW w:w="7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w w:val="97"/>
              </w:rPr>
              <w:t>As of December 31, 2023</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5"/>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100" w:type="dxa"/>
            <w:vAlign w:val="bottom"/>
            <w:gridSpan w:val="2"/>
          </w:tcPr>
          <w:p>
            <w:pPr>
              <w:jc w:val="center"/>
              <w:ind w:right="307"/>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880" w:type="dxa"/>
            <w:vAlign w:val="bottom"/>
            <w:gridSpan w:val="2"/>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28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1100" w:type="dxa"/>
            <w:vAlign w:val="bottom"/>
            <w:gridSpan w:val="2"/>
          </w:tcPr>
          <w:p>
            <w:pPr>
              <w:jc w:val="center"/>
              <w:ind w:right="307"/>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880" w:type="dxa"/>
            <w:vAlign w:val="bottom"/>
            <w:gridSpan w:val="2"/>
          </w:tcPr>
          <w:p>
            <w:pPr>
              <w:jc w:val="center"/>
              <w:ind w:right="87"/>
              <w:spacing w:after="0"/>
              <w:rPr>
                <w:sz w:val="20"/>
                <w:szCs w:val="20"/>
                <w:color w:val="auto"/>
              </w:rPr>
            </w:pPr>
            <w:r>
              <w:rPr>
                <w:rFonts w:ascii="Times New Roman" w:cs="Times New Roman" w:eastAsia="Times New Roman" w:hAnsi="Times New Roman"/>
                <w:sz w:val="15"/>
                <w:szCs w:val="15"/>
                <w:b w:val="1"/>
                <w:bCs w:val="1"/>
                <w:color w:val="auto"/>
                <w:w w:val="96"/>
              </w:rPr>
              <w:t>Net Assets</w:t>
            </w:r>
          </w:p>
        </w:tc>
        <w:tc>
          <w:tcPr>
            <w:tcW w:w="0" w:type="dxa"/>
            <w:vAlign w:val="bottom"/>
          </w:tcPr>
          <w:p>
            <w:pPr>
              <w:spacing w:after="0"/>
              <w:rPr>
                <w:sz w:val="1"/>
                <w:szCs w:val="1"/>
                <w:color w:val="auto"/>
              </w:rPr>
            </w:pPr>
          </w:p>
        </w:tc>
      </w:tr>
      <w:tr>
        <w:trPr>
          <w:trHeight w:val="166"/>
        </w:trPr>
        <w:tc>
          <w:tcPr>
            <w:tcW w:w="384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Industry</w:t>
            </w: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Artificial Intelligence Infrastructure &amp; Applications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58,072,060</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27.7%</w:t>
            </w:r>
          </w:p>
        </w:tc>
        <w:tc>
          <w:tcPr>
            <w:tcW w:w="2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36.9%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Software-as-a-Service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49,225,370</w:t>
            </w:r>
          </w:p>
        </w:tc>
        <w:tc>
          <w:tcPr>
            <w:tcW w:w="14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23.5%</w:t>
            </w:r>
          </w:p>
        </w:tc>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32,654,520</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17.7%</w:t>
            </w: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Consumer Goods &amp; Services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30,351,636</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14.5%</w:t>
            </w:r>
          </w:p>
        </w:tc>
        <w:tc>
          <w:tcPr>
            <w:tcW w:w="2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24,323,850</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13.2%</w:t>
            </w:r>
          </w:p>
        </w:tc>
        <w:tc>
          <w:tcPr>
            <w:tcW w:w="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Education Technology</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27,327,100</w:t>
            </w:r>
          </w:p>
        </w:tc>
        <w:tc>
          <w:tcPr>
            <w:tcW w:w="14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13.1%</w:t>
            </w:r>
          </w:p>
        </w:tc>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69,381,463</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37.7%</w:t>
            </w: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Logistics &amp; Supply Chain</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23,033,237</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11.0%</w:t>
            </w:r>
          </w:p>
        </w:tc>
        <w:tc>
          <w:tcPr>
            <w:tcW w:w="20" w:type="dxa"/>
            <w:vAlign w:val="bottom"/>
          </w:tcPr>
          <w:p>
            <w:pPr>
              <w:spacing w:after="0"/>
              <w:rPr>
                <w:sz w:val="15"/>
                <w:szCs w:val="15"/>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17,984,323</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9.8%</w:t>
            </w:r>
          </w:p>
        </w:tc>
        <w:tc>
          <w:tcPr>
            <w:tcW w:w="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Technology &amp; Services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17,192,986</w:t>
            </w:r>
          </w:p>
        </w:tc>
        <w:tc>
          <w:tcPr>
            <w:tcW w:w="14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8.2%</w:t>
            </w:r>
          </w:p>
        </w:tc>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34,925,270</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19.0%</w:t>
            </w:r>
          </w:p>
        </w:tc>
        <w:tc>
          <w:tcPr>
            <w:tcW w:w="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SuRo Sports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4,178,353</w:t>
            </w:r>
          </w:p>
        </w:tc>
        <w:tc>
          <w:tcPr>
            <w:tcW w:w="1420" w:type="dxa"/>
            <w:vAlign w:val="bottom"/>
            <w:gridSpan w:val="3"/>
          </w:tcPr>
          <w:p>
            <w:pPr>
              <w:jc w:val="right"/>
              <w:ind w:right="167"/>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6"/>
                <w:szCs w:val="16"/>
                <w:color w:val="auto"/>
              </w:rPr>
            </w:pPr>
          </w:p>
        </w:tc>
        <w:tc>
          <w:tcPr>
            <w:tcW w:w="110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4,811,823</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7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209,380,742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340" w:type="dxa"/>
            <w:vAlign w:val="bottom"/>
            <w:tcBorders>
              <w:top w:val="single" w:sz="8" w:color="CCEEFF"/>
              <w:bottom w:val="single" w:sz="8" w:color="CCEEFF"/>
            </w:tcBorders>
            <w:shd w:val="clear" w:color="auto" w:fill="CCEEFF"/>
          </w:tcPr>
          <w:p>
            <w:pPr>
              <w:jc w:val="right"/>
              <w:ind w:right="14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184,081,249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Borders>
              <w:top w:val="single" w:sz="8" w:color="CCEEFF"/>
              <w:bottom w:val="single" w:sz="8" w:color="CCEEFF"/>
            </w:tcBorders>
            <w:shd w:val="clear" w:color="auto" w:fill="CCEEFF"/>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93</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details the composition of the Company’s industrial themes presented in the preceding tables:</w:t>
      </w:r>
    </w:p>
    <w:p>
      <w:pPr>
        <w:sectPr>
          <w:pgSz w:w="11900" w:h="16838" w:orient="portrait"/>
          <w:cols w:equalWidth="0" w:num="1">
            <w:col w:w="10159"/>
          </w:cols>
          <w:pgMar w:left="300" w:top="212" w:right="1440"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 Theme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Artificial Intelligence Infrastructure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&amp; Applications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Consumer Goods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251079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0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Education Technology</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251079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10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Logistics &amp; Supply Chain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251079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10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SuRo Sports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12065</wp:posOffset>
            </wp:positionV>
            <wp:extent cx="7158355" cy="339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339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AI Application Fund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Infrastructure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Infrastructure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50850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0850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E-Commerce Marketplace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Fitness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Lifestyle Beverage Brand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Micromobility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1270</wp:posOffset>
            </wp:positionV>
            <wp:extent cx="7158355" cy="339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339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Business Education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Interactive Learning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5085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0850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Cannabis REIT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Carbon Credit Services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Services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Mobile Access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Mobile Finance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Marketplace Finance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Real Estate Platform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Special Purpose Acquisition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1270</wp:posOffset>
            </wp:positionV>
            <wp:extent cx="7158355" cy="339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339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Clean Technology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Supply Chain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5085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0850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Contractor Management Software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Global Innovation Platform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Home Improvement Finance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Knowledge Networks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Pharmaceutical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Productivity Software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Retail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1270</wp:posOffset>
            </wp:positionV>
            <wp:extent cx="7158355" cy="673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673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Digital Media Technology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Gaming Licensing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Gaming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Geolocation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Interactive Media &amp; Services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Sports Betting</w:t>
      </w:r>
    </w:p>
    <w:p>
      <w:pPr>
        <w:spacing w:after="0" w:line="1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10795</wp:posOffset>
            </wp:positionV>
            <wp:extent cx="715835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2">
            <w:col w:w="3460" w:space="720"/>
            <w:col w:w="5979"/>
          </w:cols>
          <w:pgMar w:left="300" w:top="212" w:right="1440"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Valuation Inputs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fair values of the Company’s investments disaggregated into the three levels of the fair value hierarchy based upon the lowest level of significant input used in the valuation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31,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Quoted Prices 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5"/>
                <w:szCs w:val="15"/>
                <w:b w:val="1"/>
                <w:bCs w:val="1"/>
                <w:color w:val="auto"/>
                <w:w w:val="97"/>
              </w:rPr>
              <w:t>Significant Other</w:t>
            </w:r>
          </w:p>
        </w:tc>
        <w:tc>
          <w:tcPr>
            <w:tcW w:w="18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5"/>
                <w:szCs w:val="15"/>
                <w:b w:val="1"/>
                <w:bCs w:val="1"/>
                <w:color w:val="auto"/>
                <w:w w:val="98"/>
              </w:rPr>
              <w:t>Significant</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Active Markets for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1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Unobservable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Identical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8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8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5"/>
              </w:rPr>
              <w:t>(Level 3)</w:t>
            </w:r>
          </w:p>
        </w:tc>
        <w:tc>
          <w:tcPr>
            <w:tcW w:w="32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430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151,003,991</w:t>
            </w:r>
          </w:p>
        </w:tc>
        <w:tc>
          <w:tcPr>
            <w:tcW w:w="80" w:type="dxa"/>
            <w:vAlign w:val="bottom"/>
            <w:shd w:val="clear" w:color="auto" w:fill="CCEEFF"/>
          </w:tcPr>
          <w:p>
            <w:pPr>
              <w:spacing w:after="0"/>
              <w:rPr>
                <w:sz w:val="18"/>
                <w:szCs w:val="18"/>
                <w:color w:val="auto"/>
              </w:rPr>
            </w:pPr>
          </w:p>
        </w:tc>
      </w:tr>
      <w:tr>
        <w:trPr>
          <w:trHeight w:val="208"/>
        </w:trPr>
        <w:tc>
          <w:tcPr>
            <w:tcW w:w="430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35,922,154</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35,922,154</w:t>
            </w:r>
          </w:p>
        </w:tc>
        <w:tc>
          <w:tcPr>
            <w:tcW w:w="80" w:type="dxa"/>
            <w:vAlign w:val="bottom"/>
          </w:tcPr>
          <w:p>
            <w:pPr>
              <w:spacing w:after="0"/>
              <w:rPr>
                <w:sz w:val="18"/>
                <w:szCs w:val="18"/>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506,339</w:t>
            </w:r>
          </w:p>
        </w:tc>
        <w:tc>
          <w:tcPr>
            <w:tcW w:w="80" w:type="dxa"/>
            <w:vAlign w:val="bottom"/>
            <w:shd w:val="clear" w:color="auto" w:fill="CCEEFF"/>
          </w:tcPr>
          <w:p>
            <w:pPr>
              <w:spacing w:after="0"/>
              <w:rPr>
                <w:sz w:val="15"/>
                <w:szCs w:val="15"/>
                <w:color w:val="auto"/>
              </w:rPr>
            </w:pPr>
          </w:p>
        </w:tc>
      </w:tr>
      <w:tr>
        <w:trPr>
          <w:trHeight w:val="218"/>
        </w:trPr>
        <w:tc>
          <w:tcPr>
            <w:tcW w:w="4300" w:type="dxa"/>
            <w:vAlign w:val="bottom"/>
          </w:tcPr>
          <w:p>
            <w:pPr>
              <w:ind w:left="160"/>
              <w:spacing w:after="0" w:line="218"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4,357,138</w:t>
            </w:r>
          </w:p>
        </w:tc>
        <w:tc>
          <w:tcPr>
            <w:tcW w:w="80" w:type="dxa"/>
            <w:vAlign w:val="bottom"/>
          </w:tcPr>
          <w:p>
            <w:pPr>
              <w:spacing w:after="0"/>
              <w:rPr>
                <w:sz w:val="18"/>
                <w:szCs w:val="18"/>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191,789,622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6"/>
        </w:trPr>
        <w:tc>
          <w:tcPr>
            <w:tcW w:w="430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2,126,577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14,027,713</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16,154,290</w:t>
            </w:r>
          </w:p>
        </w:tc>
        <w:tc>
          <w:tcPr>
            <w:tcW w:w="80" w:type="dxa"/>
            <w:vAlign w:val="bottom"/>
            <w:shd w:val="clear" w:color="auto" w:fill="CCEEFF"/>
          </w:tcPr>
          <w:p>
            <w:pPr>
              <w:spacing w:after="0"/>
              <w:rPr>
                <w:sz w:val="15"/>
                <w:szCs w:val="15"/>
                <w:color w:val="auto"/>
              </w:rPr>
            </w:pPr>
          </w:p>
        </w:tc>
      </w:tr>
      <w:tr>
        <w:trPr>
          <w:trHeight w:val="186"/>
        </w:trPr>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1,436,830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1,436,830</w:t>
            </w:r>
          </w:p>
        </w:tc>
        <w:tc>
          <w:tcPr>
            <w:tcW w:w="80" w:type="dxa"/>
            <w:vAlign w:val="bottom"/>
          </w:tcPr>
          <w:p>
            <w:pPr>
              <w:spacing w:after="0"/>
              <w:rPr>
                <w:sz w:val="16"/>
                <w:szCs w:val="16"/>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3,563,407</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14,027,713</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17,591,120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7"/>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3,563,407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14,027,713</w:t>
            </w:r>
          </w:p>
        </w:tc>
        <w:tc>
          <w:tcPr>
            <w:tcW w:w="34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191,789,622</w:t>
            </w:r>
          </w:p>
        </w:tc>
        <w:tc>
          <w:tcPr>
            <w:tcW w:w="3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209,380,742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50" w:lineRule="auto"/>
        <w:tabs>
          <w:tab w:leader="none" w:pos="26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260" w:hanging="253"/>
        <w:spacing w:after="0"/>
        <w:tabs>
          <w:tab w:leader="none" w:pos="26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Quoted Prices 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5"/>
                <w:szCs w:val="15"/>
                <w:b w:val="1"/>
                <w:bCs w:val="1"/>
                <w:color w:val="auto"/>
                <w:w w:val="97"/>
              </w:rPr>
              <w:t>Significant Other</w:t>
            </w:r>
          </w:p>
        </w:tc>
        <w:tc>
          <w:tcPr>
            <w:tcW w:w="18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5"/>
                <w:szCs w:val="15"/>
                <w:b w:val="1"/>
                <w:bCs w:val="1"/>
                <w:color w:val="auto"/>
                <w:w w:val="98"/>
              </w:rPr>
              <w:t>Significant</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Active Markets for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1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7"/>
              </w:rPr>
              <w:t>Unobservable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Identical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8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8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5"/>
              </w:rPr>
              <w:t>(Level 3)</w:t>
            </w:r>
          </w:p>
        </w:tc>
        <w:tc>
          <w:tcPr>
            <w:tcW w:w="3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122,744,564</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122,744,564</w:t>
            </w:r>
          </w:p>
        </w:tc>
      </w:tr>
      <w:tr>
        <w:trPr>
          <w:trHeight w:val="208"/>
        </w:trPr>
        <w:tc>
          <w:tcPr>
            <w:tcW w:w="430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39,086,792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39,086,792</w:t>
            </w: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Debt Investments</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3,098,734</w:t>
            </w:r>
          </w:p>
        </w:tc>
      </w:tr>
      <w:tr>
        <w:trPr>
          <w:trHeight w:val="218"/>
        </w:trPr>
        <w:tc>
          <w:tcPr>
            <w:tcW w:w="4300" w:type="dxa"/>
            <w:vAlign w:val="bottom"/>
          </w:tcPr>
          <w:p>
            <w:pPr>
              <w:ind w:left="160"/>
              <w:spacing w:after="0" w:line="218" w:lineRule="exact"/>
              <w:rPr>
                <w:sz w:val="20"/>
                <w:szCs w:val="20"/>
                <w:color w:val="auto"/>
              </w:rPr>
            </w:pPr>
            <w:r>
              <w:rPr>
                <w:rFonts w:ascii="Times New Roman" w:cs="Times New Roman" w:eastAsia="Times New Roman" w:hAnsi="Times New Roman"/>
                <w:sz w:val="15"/>
                <w:szCs w:val="15"/>
                <w:color w:val="auto"/>
              </w:rPr>
              <w:t>Options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3,638,161</w:t>
            </w: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168,568,251</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168,568,251</w:t>
            </w:r>
          </w:p>
        </w:tc>
        <w:tc>
          <w:tcPr>
            <w:tcW w:w="100" w:type="dxa"/>
            <w:vAlign w:val="bottom"/>
            <w:tcBorders>
              <w:top w:val="single" w:sz="8" w:color="CCEEFF"/>
            </w:tcBorders>
            <w:shd w:val="clear" w:color="auto" w:fill="CCEEFF"/>
          </w:tcPr>
          <w:p>
            <w:pPr>
              <w:spacing w:after="0"/>
              <w:rPr>
                <w:sz w:val="14"/>
                <w:szCs w:val="14"/>
                <w:color w:val="auto"/>
              </w:rPr>
            </w:pPr>
          </w:p>
        </w:tc>
      </w:tr>
      <w:tr>
        <w:trPr>
          <w:trHeight w:val="166"/>
        </w:trPr>
        <w:tc>
          <w:tcPr>
            <w:tcW w:w="430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5,005,862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8,542,386</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13,548,248</w:t>
            </w:r>
          </w:p>
        </w:tc>
      </w:tr>
      <w:tr>
        <w:trPr>
          <w:trHeight w:val="186"/>
        </w:trPr>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1,964,750</w:t>
            </w: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6,970,612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15,512,998</w:t>
            </w:r>
          </w:p>
        </w:tc>
        <w:tc>
          <w:tcPr>
            <w:tcW w:w="100" w:type="dxa"/>
            <w:vAlign w:val="bottom"/>
            <w:tcBorders>
              <w:top w:val="single" w:sz="8" w:color="CCEEFF"/>
            </w:tcBorders>
            <w:shd w:val="clear" w:color="auto" w:fill="CCEEFF"/>
          </w:tcPr>
          <w:p>
            <w:pPr>
              <w:spacing w:after="0"/>
              <w:rPr>
                <w:sz w:val="14"/>
                <w:szCs w:val="14"/>
                <w:color w:val="auto"/>
              </w:rPr>
            </w:pPr>
          </w:p>
        </w:tc>
      </w:tr>
      <w:tr>
        <w:trPr>
          <w:trHeight w:val="166"/>
        </w:trPr>
        <w:tc>
          <w:tcPr>
            <w:tcW w:w="4300" w:type="dxa"/>
            <w:vAlign w:val="bottom"/>
            <w:tcBorders>
              <w:bottom w:val="single" w:sz="8" w:color="CCEEFF"/>
            </w:tcBorders>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6,970,612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168,568,251</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184,081,249</w:t>
            </w:r>
          </w:p>
        </w:tc>
        <w:tc>
          <w:tcPr>
            <w:tcW w:w="100" w:type="dxa"/>
            <w:vAlign w:val="bottom"/>
            <w:tcBorders>
              <w:bottom w:val="single" w:sz="8" w:color="CCEEFF"/>
            </w:tcBorders>
          </w:tcPr>
          <w:p>
            <w:pPr>
              <w:spacing w:after="0"/>
              <w:rPr>
                <w:sz w:val="14"/>
                <w:szCs w:val="14"/>
                <w:color w:val="auto"/>
              </w:rPr>
            </w:pPr>
          </w:p>
        </w:tc>
      </w:tr>
      <w:tr>
        <w:trPr>
          <w:trHeight w:val="166"/>
        </w:trPr>
        <w:tc>
          <w:tcPr>
            <w:tcW w:w="43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Non-Portfolio Investments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U.S. Treasury bills</w:t>
            </w: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63,810,855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63,810,855</w:t>
            </w:r>
          </w:p>
        </w:tc>
      </w:tr>
      <w:tr>
        <w:trPr>
          <w:trHeight w:val="177"/>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70,781,467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247,892,104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73" w:lineRule="exact"/>
        <w:rPr>
          <w:sz w:val="20"/>
          <w:szCs w:val="20"/>
          <w:color w:val="auto"/>
        </w:rPr>
      </w:pPr>
    </w:p>
    <w:p>
      <w:pPr>
        <w:ind w:left="260" w:hanging="253"/>
        <w:spacing w:after="0"/>
        <w:tabs>
          <w:tab w:leader="none" w:pos="2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Unobservable Inputs for Level 3 Assets and Liabilities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 xml:space="preserve">In accordance with FASB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the tables below provide quantitative information about the fair value measurements of the Company’s Level 3 assets as of December 31, 2024 and December 31, 2023.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December 31, 2024 and December 31, 2023. Significant changes in the inputs in isolation would result in a significant change in the fair value measurement, depending on the input and the materiality of the investment. Refer to “Note 2—Significant Accounting Policies— </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34"/>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Valuation Approach/</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7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5"/>
                <w:szCs w:val="15"/>
                <w:b w:val="1"/>
                <w:bCs w:val="1"/>
                <w:color w:val="auto"/>
                <w:w w:val="90"/>
              </w:rPr>
              <w:t>Technique</w:t>
            </w:r>
            <w:r>
              <w:rPr>
                <w:rFonts w:ascii="Times New Roman" w:cs="Times New Roman" w:eastAsia="Times New Roman" w:hAnsi="Times New Roman"/>
                <w:sz w:val="24"/>
                <w:szCs w:val="24"/>
                <w:b w:val="1"/>
                <w:bCs w:val="1"/>
                <w:color w:val="auto"/>
                <w:w w:val="90"/>
                <w:vertAlign w:val="superscript"/>
              </w:rPr>
              <w:t>(1)</w:t>
            </w:r>
          </w:p>
        </w:tc>
        <w:tc>
          <w:tcPr>
            <w:tcW w:w="2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15"/>
                <w:szCs w:val="15"/>
                <w:b w:val="1"/>
                <w:bCs w:val="1"/>
                <w:color w:val="auto"/>
                <w:w w:val="94"/>
              </w:rPr>
              <w:t>Unobservable Inputs</w:t>
            </w:r>
            <w:r>
              <w:rPr>
                <w:rFonts w:ascii="Times New Roman" w:cs="Times New Roman" w:eastAsia="Times New Roman" w:hAnsi="Times New Roman"/>
                <w:sz w:val="24"/>
                <w:szCs w:val="24"/>
                <w:b w:val="1"/>
                <w:bCs w:val="1"/>
                <w:color w:val="auto"/>
                <w:w w:val="94"/>
                <w:vertAlign w:val="superscript"/>
              </w:rPr>
              <w:t>(2)</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ind w:left="60"/>
              <w:spacing w:after="0" w:line="222" w:lineRule="exact"/>
              <w:rPr>
                <w:sz w:val="20"/>
                <w:szCs w:val="20"/>
                <w:color w:val="auto"/>
              </w:rPr>
            </w:pPr>
            <w:r>
              <w:rPr>
                <w:rFonts w:ascii="Times New Roman" w:cs="Times New Roman" w:eastAsia="Times New Roman" w:hAnsi="Times New Roman"/>
                <w:sz w:val="15"/>
                <w:szCs w:val="15"/>
                <w:b w:val="1"/>
                <w:bCs w:val="1"/>
                <w:color w:val="auto"/>
                <w:w w:val="94"/>
              </w:rPr>
              <w:t>Range (Weighted Average)</w:t>
            </w:r>
            <w:r>
              <w:rPr>
                <w:rFonts w:ascii="Times New Roman" w:cs="Times New Roman" w:eastAsia="Times New Roman" w:hAnsi="Times New Roman"/>
                <w:sz w:val="24"/>
                <w:szCs w:val="24"/>
                <w:b w:val="1"/>
                <w:bCs w:val="1"/>
                <w:color w:val="auto"/>
                <w:w w:val="94"/>
                <w:vertAlign w:val="superscript"/>
              </w:rPr>
              <w:t>(3)</w:t>
            </w:r>
          </w:p>
        </w:tc>
        <w:tc>
          <w:tcPr>
            <w:tcW w:w="140" w:type="dxa"/>
            <w:vAlign w:val="bottom"/>
            <w:tcBorders>
              <w:bottom w:val="single" w:sz="8" w:color="CCEEFF"/>
            </w:tcBorders>
          </w:tcPr>
          <w:p>
            <w:pPr>
              <w:spacing w:after="0"/>
              <w:rPr>
                <w:sz w:val="19"/>
                <w:szCs w:val="19"/>
                <w:color w:val="auto"/>
              </w:rPr>
            </w:pPr>
          </w:p>
        </w:tc>
      </w:tr>
      <w:tr>
        <w:trPr>
          <w:trHeight w:val="198"/>
        </w:trPr>
        <w:tc>
          <w:tcPr>
            <w:tcW w:w="27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Preferred stock in private companies</w:t>
            </w:r>
            <w:r>
              <w:rPr>
                <w:rFonts w:ascii="Times New Roman" w:cs="Times New Roman" w:eastAsia="Times New Roman" w:hAnsi="Times New Roman"/>
                <w:sz w:val="23"/>
                <w:szCs w:val="23"/>
                <w:color w:val="auto"/>
                <w:vertAlign w:val="superscript"/>
              </w:rPr>
              <w:t>(6)</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0.67x - 5.96x (1.82x)</w:t>
            </w:r>
          </w:p>
        </w:tc>
      </w:tr>
      <w:tr>
        <w:trPr>
          <w:trHeight w:val="208"/>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Precedent Transactions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 - 100% (55%)</w:t>
            </w:r>
          </w:p>
        </w:tc>
      </w:tr>
      <w:tr>
        <w:trPr>
          <w:trHeight w:val="175"/>
        </w:trPr>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1.76x - 2.95x</w:t>
            </w:r>
          </w:p>
        </w:tc>
      </w:tr>
      <w:tr>
        <w:trPr>
          <w:trHeight w:val="175"/>
        </w:trPr>
        <w:tc>
          <w:tcPr>
            <w:tcW w:w="2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5"/>
              </w:rPr>
              <w:t>Dissolution Risk</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75% - 100% (87.5%)</w:t>
            </w:r>
          </w:p>
        </w:tc>
      </w:tr>
      <w:tr>
        <w:trPr>
          <w:trHeight w:val="195"/>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Common stock in private companies</w:t>
            </w:r>
            <w:r>
              <w:rPr>
                <w:rFonts w:ascii="Times New Roman" w:cs="Times New Roman" w:eastAsia="Times New Roman" w:hAnsi="Times New Roman"/>
                <w:sz w:val="22"/>
                <w:szCs w:val="22"/>
                <w:color w:val="auto"/>
                <w:vertAlign w:val="superscript"/>
              </w:rPr>
              <w:t>(7)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35,922,154</w:t>
            </w:r>
          </w:p>
        </w:tc>
        <w:tc>
          <w:tcPr>
            <w:tcW w:w="3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0.77x - 8.81x (7.59x)</w:t>
            </w:r>
          </w:p>
        </w:tc>
      </w:tr>
      <w:tr>
        <w:trPr>
          <w:trHeight w:val="208"/>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Precedent Transactions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6"/>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4"/>
                <w:szCs w:val="14"/>
                <w:color w:val="auto"/>
                <w:w w:val="99"/>
              </w:rPr>
              <w:t>AFFO</w:t>
            </w:r>
            <w:r>
              <w:rPr>
                <w:rFonts w:ascii="Times New Roman" w:cs="Times New Roman" w:eastAsia="Times New Roman" w:hAnsi="Times New Roman"/>
                <w:sz w:val="23"/>
                <w:szCs w:val="23"/>
                <w:color w:val="auto"/>
                <w:w w:val="99"/>
                <w:vertAlign w:val="superscript"/>
              </w:rPr>
              <w:t>(4)</w:t>
            </w:r>
            <w:r>
              <w:rPr>
                <w:rFonts w:ascii="Times New Roman" w:cs="Times New Roman" w:eastAsia="Times New Roman" w:hAnsi="Times New Roman"/>
                <w:sz w:val="14"/>
                <w:szCs w:val="14"/>
                <w:color w:val="auto"/>
                <w:w w:val="99"/>
              </w:rPr>
              <w:t xml:space="preserve"> Multiples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7.88x</w:t>
            </w:r>
          </w:p>
        </w:tc>
      </w:tr>
      <w:tr>
        <w:trPr>
          <w:trHeight w:val="189"/>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Dissolution Risk</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 investments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0.90x - 1.31x (1.22x)</w:t>
            </w:r>
          </w:p>
        </w:tc>
      </w:tr>
      <w:tr>
        <w:trPr>
          <w:trHeight w:val="193"/>
        </w:trPr>
        <w:tc>
          <w:tcPr>
            <w:tcW w:w="2720" w:type="dxa"/>
            <w:vAlign w:val="bottom"/>
          </w:tcPr>
          <w:p>
            <w:pPr>
              <w:spacing w:after="0" w:line="192" w:lineRule="exact"/>
              <w:rPr>
                <w:sz w:val="20"/>
                <w:szCs w:val="20"/>
                <w:color w:val="auto"/>
              </w:rPr>
            </w:pPr>
            <w:r>
              <w:rPr>
                <w:rFonts w:ascii="Times New Roman" w:cs="Times New Roman" w:eastAsia="Times New Roman" w:hAnsi="Times New Roman"/>
                <w:sz w:val="14"/>
                <w:szCs w:val="14"/>
                <w:color w:val="auto"/>
              </w:rPr>
              <w:t>Options</w:t>
            </w:r>
            <w:r>
              <w:rPr>
                <w:rFonts w:ascii="Times New Roman" w:cs="Times New Roman" w:eastAsia="Times New Roman" w:hAnsi="Times New Roman"/>
                <w:sz w:val="22"/>
                <w:szCs w:val="22"/>
                <w:color w:val="auto"/>
                <w:vertAlign w:val="superscript"/>
              </w:rPr>
              <w:t>(8)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Option Pricing Model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Term to Expiration (Years)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1.5 - 19.38</w:t>
            </w:r>
          </w:p>
        </w:tc>
      </w:tr>
      <w:tr>
        <w:trPr>
          <w:trHeight w:val="175"/>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Precedent Transaction</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0"/>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3"/>
              </w:rPr>
              <w:t>Volatility</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 - 67%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17894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540" w:hanging="533"/>
        <w:spacing w:after="0" w:line="249" w:lineRule="auto"/>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left="540" w:hanging="533"/>
        <w:spacing w:after="0" w:line="245" w:lineRule="auto"/>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5"/>
          <w:szCs w:val="15"/>
          <w:i w:val="1"/>
          <w:iCs w:val="1"/>
          <w:color w:val="auto"/>
        </w:rPr>
        <w:t>Investments at Fair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Value</w:t>
      </w:r>
      <w:r>
        <w:rPr>
          <w:rFonts w:ascii="Times New Roman" w:cs="Times New Roman" w:eastAsia="Times New Roman" w:hAnsi="Times New Roman"/>
          <w:sz w:val="15"/>
          <w:szCs w:val="15"/>
          <w:color w:val="auto"/>
        </w:rPr>
        <w:t>” for more detail.</w:t>
      </w:r>
    </w:p>
    <w:p>
      <w:pPr>
        <w:spacing w:after="0" w:line="3"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2"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2"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2" w:lineRule="exact"/>
        <w:rPr>
          <w:rFonts w:ascii="Times New Roman" w:cs="Times New Roman" w:eastAsia="Times New Roman" w:hAnsi="Times New Roman"/>
          <w:sz w:val="15"/>
          <w:szCs w:val="15"/>
          <w:color w:val="auto"/>
        </w:rPr>
      </w:pPr>
    </w:p>
    <w:p>
      <w:pPr>
        <w:jc w:val="both"/>
        <w:ind w:left="540" w:hanging="533"/>
        <w:spacing w:after="0" w:line="243" w:lineRule="auto"/>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540" w:hanging="533"/>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2"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34"/>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Valuation Approach/</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320" w:type="dxa"/>
            <w:vAlign w:val="bottom"/>
          </w:tcPr>
          <w:p>
            <w:pPr>
              <w:spacing w:after="0"/>
              <w:rPr>
                <w:sz w:val="19"/>
                <w:szCs w:val="19"/>
                <w:color w:val="auto"/>
              </w:rPr>
            </w:pPr>
          </w:p>
        </w:tc>
        <w:tc>
          <w:tcPr>
            <w:tcW w:w="2020" w:type="dxa"/>
            <w:vAlign w:val="bottom"/>
            <w:gridSpan w:val="2"/>
          </w:tcPr>
          <w:p>
            <w:pPr>
              <w:jc w:val="center"/>
              <w:ind w:right="240"/>
              <w:spacing w:after="0" w:line="222" w:lineRule="exact"/>
              <w:rPr>
                <w:sz w:val="20"/>
                <w:szCs w:val="20"/>
                <w:color w:val="auto"/>
              </w:rPr>
            </w:pPr>
            <w:r>
              <w:rPr>
                <w:rFonts w:ascii="Times New Roman" w:cs="Times New Roman" w:eastAsia="Times New Roman" w:hAnsi="Times New Roman"/>
                <w:sz w:val="15"/>
                <w:szCs w:val="15"/>
                <w:b w:val="1"/>
                <w:bCs w:val="1"/>
                <w:color w:val="auto"/>
                <w:w w:val="90"/>
              </w:rPr>
              <w:t>Technique</w:t>
            </w:r>
            <w:r>
              <w:rPr>
                <w:rFonts w:ascii="Times New Roman" w:cs="Times New Roman" w:eastAsia="Times New Roman" w:hAnsi="Times New Roman"/>
                <w:sz w:val="24"/>
                <w:szCs w:val="24"/>
                <w:b w:val="1"/>
                <w:bCs w:val="1"/>
                <w:color w:val="auto"/>
                <w:w w:val="90"/>
                <w:vertAlign w:val="superscript"/>
              </w:rPr>
              <w:t>(1)</w:t>
            </w:r>
          </w:p>
        </w:tc>
        <w:tc>
          <w:tcPr>
            <w:tcW w:w="2020" w:type="dxa"/>
            <w:vAlign w:val="bottom"/>
            <w:gridSpan w:val="2"/>
          </w:tcPr>
          <w:p>
            <w:pPr>
              <w:jc w:val="center"/>
              <w:ind w:right="220"/>
              <w:spacing w:after="0" w:line="222" w:lineRule="exact"/>
              <w:rPr>
                <w:sz w:val="20"/>
                <w:szCs w:val="20"/>
                <w:color w:val="auto"/>
              </w:rPr>
            </w:pPr>
            <w:r>
              <w:rPr>
                <w:rFonts w:ascii="Times New Roman" w:cs="Times New Roman" w:eastAsia="Times New Roman" w:hAnsi="Times New Roman"/>
                <w:sz w:val="15"/>
                <w:szCs w:val="15"/>
                <w:b w:val="1"/>
                <w:bCs w:val="1"/>
                <w:color w:val="auto"/>
                <w:w w:val="94"/>
              </w:rPr>
              <w:t>Unobservable Inputs</w:t>
            </w:r>
            <w:r>
              <w:rPr>
                <w:rFonts w:ascii="Times New Roman" w:cs="Times New Roman" w:eastAsia="Times New Roman" w:hAnsi="Times New Roman"/>
                <w:sz w:val="24"/>
                <w:szCs w:val="24"/>
                <w:b w:val="1"/>
                <w:bCs w:val="1"/>
                <w:color w:val="auto"/>
                <w:w w:val="94"/>
                <w:vertAlign w:val="superscript"/>
              </w:rPr>
              <w:t>(2)</w:t>
            </w:r>
          </w:p>
        </w:tc>
        <w:tc>
          <w:tcPr>
            <w:tcW w:w="2040" w:type="dxa"/>
            <w:vAlign w:val="bottom"/>
            <w:gridSpan w:val="2"/>
          </w:tcPr>
          <w:p>
            <w:pPr>
              <w:jc w:val="right"/>
              <w:ind w:right="180"/>
              <w:spacing w:after="0" w:line="222" w:lineRule="exact"/>
              <w:rPr>
                <w:sz w:val="20"/>
                <w:szCs w:val="20"/>
                <w:color w:val="auto"/>
              </w:rPr>
            </w:pPr>
            <w:r>
              <w:rPr>
                <w:rFonts w:ascii="Times New Roman" w:cs="Times New Roman" w:eastAsia="Times New Roman" w:hAnsi="Times New Roman"/>
                <w:sz w:val="15"/>
                <w:szCs w:val="15"/>
                <w:b w:val="1"/>
                <w:bCs w:val="1"/>
                <w:color w:val="auto"/>
                <w:w w:val="95"/>
              </w:rPr>
              <w:t>Range (Weighted Average)</w:t>
            </w:r>
            <w:r>
              <w:rPr>
                <w:rFonts w:ascii="Times New Roman" w:cs="Times New Roman" w:eastAsia="Times New Roman" w:hAnsi="Times New Roman"/>
                <w:sz w:val="24"/>
                <w:szCs w:val="24"/>
                <w:b w:val="1"/>
                <w:bCs w:val="1"/>
                <w:color w:val="auto"/>
                <w:w w:val="95"/>
                <w:vertAlign w:val="superscript"/>
              </w:rPr>
              <w:t>(3)</w:t>
            </w:r>
          </w:p>
        </w:tc>
      </w:tr>
      <w:tr>
        <w:trPr>
          <w:trHeight w:val="166"/>
        </w:trPr>
        <w:tc>
          <w:tcPr>
            <w:tcW w:w="272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Preferred stock in private companies</w:t>
            </w: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122,744,564</w:t>
            </w: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Market Approach</w:t>
            </w: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8"/>
              </w:rPr>
              <w:t>Revenue Multiples</w:t>
            </w:r>
          </w:p>
        </w:tc>
        <w:tc>
          <w:tcPr>
            <w:tcW w:w="2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0.15x - 11.41x (2.73x)</w:t>
            </w:r>
          </w:p>
        </w:tc>
        <w:tc>
          <w:tcPr>
            <w:tcW w:w="140" w:type="dxa"/>
            <w:vAlign w:val="bottom"/>
            <w:tcBorders>
              <w:top w:val="single" w:sz="8" w:color="CCEEFF"/>
            </w:tcBorders>
            <w:shd w:val="clear" w:color="auto" w:fill="CCEEFF"/>
          </w:tcPr>
          <w:p>
            <w:pPr>
              <w:spacing w:after="0"/>
              <w:rPr>
                <w:sz w:val="14"/>
                <w:szCs w:val="14"/>
                <w:color w:val="auto"/>
              </w:rPr>
            </w:pPr>
          </w:p>
        </w:tc>
      </w:tr>
      <w:tr>
        <w:trPr>
          <w:trHeight w:val="208"/>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Discount Rate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5"/>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Common stock in private companies</w:t>
            </w:r>
            <w:r>
              <w:rPr>
                <w:rFonts w:ascii="Times New Roman" w:cs="Times New Roman" w:eastAsia="Times New Roman" w:hAnsi="Times New Roman"/>
                <w:sz w:val="22"/>
                <w:szCs w:val="22"/>
                <w:color w:val="auto"/>
                <w:vertAlign w:val="superscript"/>
              </w:rPr>
              <w:t>(6)</w:t>
            </w:r>
          </w:p>
        </w:tc>
        <w:tc>
          <w:tcPr>
            <w:tcW w:w="58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39,086,792</w:t>
            </w:r>
          </w:p>
        </w:tc>
        <w:tc>
          <w:tcPr>
            <w:tcW w:w="3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0.15x - 11.13x (9.29x)</w:t>
            </w:r>
          </w:p>
        </w:tc>
      </w:tr>
      <w:tr>
        <w:trPr>
          <w:trHeight w:val="208"/>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DLOM</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15.0% - 25.0% (18.5%)</w:t>
            </w:r>
          </w:p>
        </w:tc>
      </w:tr>
      <w:tr>
        <w:trPr>
          <w:trHeight w:val="206"/>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4"/>
                <w:szCs w:val="14"/>
                <w:color w:val="auto"/>
                <w:w w:val="98"/>
              </w:rPr>
              <w:t>AFFO</w:t>
            </w:r>
            <w:r>
              <w:rPr>
                <w:rFonts w:ascii="Times New Roman" w:cs="Times New Roman" w:eastAsia="Times New Roman" w:hAnsi="Times New Roman"/>
                <w:sz w:val="23"/>
                <w:szCs w:val="23"/>
                <w:color w:val="auto"/>
                <w:w w:val="98"/>
                <w:vertAlign w:val="superscript"/>
              </w:rPr>
              <w:t>(4)</w:t>
            </w:r>
            <w:r>
              <w:rPr>
                <w:rFonts w:ascii="Times New Roman" w:cs="Times New Roman" w:eastAsia="Times New Roman" w:hAnsi="Times New Roman"/>
                <w:sz w:val="14"/>
                <w:szCs w:val="14"/>
                <w:color w:val="auto"/>
                <w:w w:val="98"/>
              </w:rPr>
              <w:t xml:space="preserve"> Multiple</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10.79x</w:t>
            </w:r>
          </w:p>
        </w:tc>
      </w:tr>
      <w:tr>
        <w:trPr>
          <w:trHeight w:val="189"/>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Discount Rate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17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 investments</w:t>
            </w:r>
          </w:p>
        </w:tc>
        <w:tc>
          <w:tcPr>
            <w:tcW w:w="58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Market Approach</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Revenue Multiples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1.21x - 1.66x (1.56x)</w:t>
            </w:r>
          </w:p>
        </w:tc>
      </w:tr>
      <w:tr>
        <w:trPr>
          <w:trHeight w:val="208"/>
        </w:trPr>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20"/>
              <w:spacing w:after="0" w:line="207" w:lineRule="exact"/>
              <w:rPr>
                <w:sz w:val="20"/>
                <w:szCs w:val="20"/>
                <w:color w:val="auto"/>
              </w:rPr>
            </w:pPr>
            <w:r>
              <w:rPr>
                <w:rFonts w:ascii="Times New Roman" w:cs="Times New Roman" w:eastAsia="Times New Roman" w:hAnsi="Times New Roman"/>
                <w:sz w:val="15"/>
                <w:szCs w:val="15"/>
                <w:color w:val="auto"/>
                <w:w w:val="92"/>
              </w:rPr>
              <w:t>PWERM</w:t>
            </w:r>
            <w:r>
              <w:rPr>
                <w:rFonts w:ascii="Times New Roman" w:cs="Times New Roman" w:eastAsia="Times New Roman" w:hAnsi="Times New Roman"/>
                <w:sz w:val="24"/>
                <w:szCs w:val="24"/>
                <w:color w:val="auto"/>
                <w:w w:val="92"/>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DLOM</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193"/>
        </w:trPr>
        <w:tc>
          <w:tcPr>
            <w:tcW w:w="2720" w:type="dxa"/>
            <w:vAlign w:val="bottom"/>
          </w:tcPr>
          <w:p>
            <w:pPr>
              <w:spacing w:after="0" w:line="192" w:lineRule="exact"/>
              <w:rPr>
                <w:sz w:val="20"/>
                <w:szCs w:val="20"/>
                <w:color w:val="auto"/>
              </w:rPr>
            </w:pPr>
            <w:r>
              <w:rPr>
                <w:rFonts w:ascii="Times New Roman" w:cs="Times New Roman" w:eastAsia="Times New Roman" w:hAnsi="Times New Roman"/>
                <w:sz w:val="14"/>
                <w:szCs w:val="14"/>
                <w:color w:val="auto"/>
              </w:rPr>
              <w:t>Options</w:t>
            </w:r>
            <w:r>
              <w:rPr>
                <w:rFonts w:ascii="Times New Roman" w:cs="Times New Roman" w:eastAsia="Times New Roman" w:hAnsi="Times New Roman"/>
                <w:sz w:val="22"/>
                <w:szCs w:val="22"/>
                <w:color w:val="auto"/>
                <w:vertAlign w:val="superscript"/>
              </w:rPr>
              <w:t>(7)</w:t>
            </w:r>
          </w:p>
        </w:tc>
        <w:tc>
          <w:tcPr>
            <w:tcW w:w="58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220"/>
              <w:spacing w:after="0" w:line="192" w:lineRule="exact"/>
              <w:rPr>
                <w:sz w:val="20"/>
                <w:szCs w:val="20"/>
                <w:color w:val="auto"/>
              </w:rPr>
            </w:pPr>
            <w:r>
              <w:rPr>
                <w:rFonts w:ascii="Times New Roman" w:cs="Times New Roman" w:eastAsia="Times New Roman" w:hAnsi="Times New Roman"/>
                <w:sz w:val="14"/>
                <w:szCs w:val="14"/>
                <w:color w:val="auto"/>
                <w:w w:val="99"/>
              </w:rPr>
              <w:t>PWERM</w:t>
            </w:r>
            <w:r>
              <w:rPr>
                <w:rFonts w:ascii="Times New Roman" w:cs="Times New Roman" w:eastAsia="Times New Roman" w:hAnsi="Times New Roman"/>
                <w:sz w:val="22"/>
                <w:szCs w:val="22"/>
                <w:color w:val="auto"/>
                <w:w w:val="99"/>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5"/>
              </w:rPr>
              <w:t>Term to Expiration (Years)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0.65 - 5.63 (0.79)</w:t>
            </w:r>
          </w:p>
        </w:tc>
      </w:tr>
      <w:tr>
        <w:trPr>
          <w:trHeight w:val="175"/>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3"/>
              </w:rPr>
              <w:t>Volatility</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5"/>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Discount Rate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190"/>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DLOM</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 - 18% (16.0%)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17894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540" w:hanging="533"/>
        <w:spacing w:after="0" w:line="249" w:lineRule="auto"/>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3" w:lineRule="exact"/>
        <w:rPr>
          <w:rFonts w:ascii="Times New Roman" w:cs="Times New Roman" w:eastAsia="Times New Roman" w:hAnsi="Times New Roman"/>
          <w:sz w:val="15"/>
          <w:szCs w:val="15"/>
          <w:color w:val="auto"/>
        </w:rPr>
      </w:pPr>
    </w:p>
    <w:p>
      <w:pPr>
        <w:jc w:val="both"/>
        <w:ind w:left="540" w:hanging="533"/>
        <w:spacing w:after="0" w:line="266" w:lineRule="auto"/>
        <w:tabs>
          <w:tab w:leader="none" w:pos="5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145" w:lineRule="exact"/>
        <w:rPr>
          <w:rFonts w:ascii="Times New Roman" w:cs="Times New Roman" w:eastAsia="Times New Roman" w:hAnsi="Times New Roman"/>
          <w:sz w:val="14"/>
          <w:szCs w:val="14"/>
          <w:color w:val="auto"/>
        </w:rPr>
      </w:pPr>
    </w:p>
    <w:p>
      <w:pPr>
        <w:ind w:left="540" w:hanging="533"/>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177"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177"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177"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77"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year ended December 31, 2024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5"/>
                <w:szCs w:val="15"/>
                <w:b w:val="1"/>
                <w:bCs w:val="1"/>
                <w:color w:val="auto"/>
              </w:rPr>
              <w:t>Preferred</w:t>
            </w:r>
          </w:p>
        </w:tc>
        <w:tc>
          <w:tcPr>
            <w:tcW w:w="180" w:type="dxa"/>
            <w:vAlign w:val="bottom"/>
          </w:tcPr>
          <w:p>
            <w:pPr>
              <w:spacing w:after="0"/>
              <w:rPr>
                <w:sz w:val="13"/>
                <w:szCs w:val="13"/>
                <w:color w:val="auto"/>
              </w:rPr>
            </w:pPr>
          </w:p>
        </w:tc>
        <w:tc>
          <w:tcPr>
            <w:tcW w:w="130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3"/>
                <w:szCs w:val="13"/>
                <w:color w:val="auto"/>
              </w:rPr>
            </w:pPr>
          </w:p>
        </w:tc>
        <w:tc>
          <w:tcPr>
            <w:tcW w:w="118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5"/>
                <w:szCs w:val="15"/>
                <w:b w:val="1"/>
                <w:bCs w:val="1"/>
                <w:color w:val="auto"/>
              </w:rPr>
              <w:t>Debt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w w:val="97"/>
              </w:rPr>
              <w:t>Options</w:t>
            </w:r>
            <w:r>
              <w:rPr>
                <w:rFonts w:ascii="Times New Roman" w:cs="Times New Roman" w:eastAsia="Times New Roman" w:hAnsi="Times New Roman"/>
                <w:sz w:val="24"/>
                <w:szCs w:val="24"/>
                <w:b w:val="1"/>
                <w:bCs w:val="1"/>
                <w:color w:val="auto"/>
                <w:w w:val="97"/>
                <w:vertAlign w:val="superscript"/>
              </w:rPr>
              <w:t>(3)</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line="218"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18"/>
                <w:szCs w:val="18"/>
                <w:color w:val="auto"/>
              </w:rPr>
            </w:pPr>
          </w:p>
        </w:tc>
        <w:tc>
          <w:tcPr>
            <w:tcW w:w="1300" w:type="dxa"/>
            <w:vAlign w:val="bottom"/>
            <w:gridSpan w:val="2"/>
          </w:tcPr>
          <w:p>
            <w:pPr>
              <w:jc w:val="right"/>
              <w:ind w:right="680"/>
              <w:spacing w:after="0" w:line="218"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(2)</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6"/>
        </w:trPr>
        <w:tc>
          <w:tcPr>
            <w:tcW w:w="42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122,744,564</w:t>
            </w:r>
          </w:p>
        </w:tc>
        <w:tc>
          <w:tcPr>
            <w:tcW w:w="36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39,086,792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3,098,734</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4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168,568,251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(12,896,367)</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(12,896,367)</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6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60,155,557</w:t>
            </w: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15,061,793</w:t>
            </w: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13,230</w:t>
            </w: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75,230,580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Sales/Redemptions of investments</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(374,950)</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(10,375,762)</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(1,414,278)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(1,585,722)</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(13,750,712)</w:t>
            </w:r>
          </w:p>
        </w:tc>
        <w:tc>
          <w:tcPr>
            <w:tcW w:w="0" w:type="dxa"/>
            <w:vAlign w:val="bottom"/>
          </w:tcPr>
          <w:p>
            <w:pPr>
              <w:spacing w:after="0"/>
              <w:rPr>
                <w:sz w:val="1"/>
                <w:szCs w:val="1"/>
                <w:color w:val="auto"/>
              </w:rPr>
            </w:pPr>
          </w:p>
        </w:tc>
      </w:tr>
      <w:tr>
        <w:trPr>
          <w:trHeight w:val="208"/>
        </w:trPr>
        <w:tc>
          <w:tcPr>
            <w:tcW w:w="420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4"/>
                <w:szCs w:val="24"/>
                <w:color w:val="auto"/>
                <w:vertAlign w:val="superscript"/>
              </w:rPr>
              <w:t>(4)</w:t>
            </w:r>
          </w:p>
        </w:tc>
        <w:tc>
          <w:tcPr>
            <w:tcW w:w="16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136,114</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(1,338,976)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1,246,916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44,054</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gains/(losses)</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(7,533,623)</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(222,565)</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384,102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(7,076,812)</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(14,448,898)</w:t>
            </w:r>
          </w:p>
        </w:tc>
        <w:tc>
          <w:tcPr>
            <w:tcW w:w="0" w:type="dxa"/>
            <w:vAlign w:val="bottom"/>
          </w:tcPr>
          <w:p>
            <w:pPr>
              <w:spacing w:after="0"/>
              <w:rPr>
                <w:sz w:val="1"/>
                <w:szCs w:val="1"/>
                <w:color w:val="auto"/>
              </w:rPr>
            </w:pPr>
          </w:p>
        </w:tc>
      </w:tr>
      <w:tr>
        <w:trPr>
          <w:trHeight w:val="160"/>
        </w:trPr>
        <w:tc>
          <w:tcPr>
            <w:tcW w:w="420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Net change in unrealized appreciation/(depreciation) included in</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earnings</w:t>
            </w:r>
          </w:p>
        </w:tc>
        <w:tc>
          <w:tcPr>
            <w:tcW w:w="16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(24,123,671)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5,268,263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(223,243)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8,121,365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(10,957,286)</w:t>
            </w:r>
          </w:p>
        </w:tc>
        <w:tc>
          <w:tcPr>
            <w:tcW w:w="0" w:type="dxa"/>
            <w:vAlign w:val="bottom"/>
          </w:tcPr>
          <w:p>
            <w:pPr>
              <w:spacing w:after="0"/>
              <w:rPr>
                <w:sz w:val="1"/>
                <w:szCs w:val="1"/>
                <w:color w:val="auto"/>
              </w:rPr>
            </w:pPr>
          </w:p>
        </w:tc>
      </w:tr>
      <w:tr>
        <w:trPr>
          <w:trHeight w:val="177"/>
        </w:trPr>
        <w:tc>
          <w:tcPr>
            <w:tcW w:w="42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Fair Value as of December 31, 2024</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151,003,991</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35,922,154</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4,357,138</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191,789,622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151" w:lineRule="exact"/>
              <w:rPr>
                <w:sz w:val="20"/>
                <w:szCs w:val="20"/>
                <w:color w:val="auto"/>
              </w:rPr>
            </w:pPr>
            <w:r>
              <w:rPr>
                <w:rFonts w:ascii="Times New Roman" w:cs="Times New Roman" w:eastAsia="Times New Roman" w:hAnsi="Times New Roman"/>
                <w:sz w:val="15"/>
                <w:szCs w:val="15"/>
                <w:color w:val="auto"/>
              </w:rPr>
              <w:t>Net change in unrealized appreciation/ (depreciation) of Level 3</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investments still held as of December 31, 2024</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(32,741,143)</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5,418,630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111,916</w:t>
            </w: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(27,210,597)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50" w:lineRule="auto"/>
        <w:tabs>
          <w:tab w:leader="none" w:pos="2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ind w:left="260" w:hanging="253"/>
        <w:spacing w:after="0"/>
        <w:tabs>
          <w:tab w:leader="none" w:pos="2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also includes the Company’s Limited Partner Fund Investment in True Global Ventures 4 Plus Pte Ltd.</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2024, the Company’s portfolio investments had the following corporate actions which are reflected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Conversion from</w:t>
            </w: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Conversion to</w:t>
            </w:r>
          </w:p>
        </w:tc>
      </w:tr>
      <w:tr>
        <w:trPr>
          <w:trHeight w:val="151"/>
        </w:trPr>
        <w:tc>
          <w:tcPr>
            <w:tcW w:w="3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60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7"/>
              </w:rPr>
              <w:t>Common shares, Class A</w:t>
            </w:r>
          </w:p>
        </w:tc>
        <w:tc>
          <w:tcPr>
            <w:tcW w:w="220" w:type="dxa"/>
            <w:vAlign w:val="bottom"/>
            <w:tcBorders>
              <w:top w:val="single" w:sz="8" w:color="CCEEFF"/>
            </w:tcBorders>
            <w:shd w:val="clear" w:color="auto" w:fill="CCEEFF"/>
          </w:tcPr>
          <w:p>
            <w:pPr>
              <w:spacing w:after="0"/>
              <w:rPr>
                <w:sz w:val="13"/>
                <w:szCs w:val="13"/>
                <w:color w:val="auto"/>
              </w:rPr>
            </w:pPr>
          </w:p>
        </w:tc>
        <w:tc>
          <w:tcPr>
            <w:tcW w:w="3600" w:type="dxa"/>
            <w:vAlign w:val="bottom"/>
            <w:tcBorders>
              <w:top w:val="single" w:sz="8" w:color="auto"/>
            </w:tcBorders>
            <w:shd w:val="clear" w:color="auto" w:fill="CCEEFF"/>
          </w:tcPr>
          <w:p>
            <w:pPr>
              <w:spacing w:after="0"/>
              <w:rPr>
                <w:sz w:val="13"/>
                <w:szCs w:val="13"/>
                <w:color w:val="auto"/>
              </w:rPr>
            </w:pPr>
          </w:p>
        </w:tc>
      </w:tr>
      <w:tr>
        <w:trPr>
          <w:trHeight w:val="189"/>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AltC Sponsor LLC</w:t>
            </w: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Common shares, Class B</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Oklo, Inc. - Common shares, Class A (Level 2)</w:t>
            </w:r>
          </w:p>
        </w:tc>
      </w:tr>
      <w:tr>
        <w:trPr>
          <w:trHeight w:val="160"/>
        </w:trPr>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w w:val="97"/>
              </w:rPr>
              <w:t>Preferred shares, Series A-1</w:t>
            </w:r>
          </w:p>
        </w:tc>
      </w:tr>
      <w:tr>
        <w:trPr>
          <w:trHeight w:val="175"/>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Warrants, Series A-1</w:t>
            </w:r>
          </w:p>
        </w:tc>
      </w:tr>
      <w:tr>
        <w:trPr>
          <w:trHeight w:val="189"/>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Xgroup Holdings Limited (d/b/a Xpoint)</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Convertible Note 6%, Due 10/17/2024</w:t>
            </w: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Warrants, Series A</w:t>
            </w:r>
          </w:p>
        </w:tc>
      </w:tr>
      <w:tr>
        <w:trPr>
          <w:trHeight w:val="17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Common shares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Common shares (Level 2)</w:t>
            </w:r>
          </w:p>
        </w:tc>
      </w:tr>
      <w:tr>
        <w:trPr>
          <w:trHeight w:val="3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98</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2"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year ended December 31, 2023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5"/>
                <w:szCs w:val="15"/>
                <w:b w:val="1"/>
                <w:bCs w:val="1"/>
                <w:color w:val="auto"/>
              </w:rPr>
              <w:t>Preferred</w:t>
            </w:r>
          </w:p>
        </w:tc>
        <w:tc>
          <w:tcPr>
            <w:tcW w:w="180" w:type="dxa"/>
            <w:vAlign w:val="bottom"/>
          </w:tcPr>
          <w:p>
            <w:pPr>
              <w:spacing w:after="0"/>
              <w:rPr>
                <w:sz w:val="13"/>
                <w:szCs w:val="13"/>
                <w:color w:val="auto"/>
              </w:rPr>
            </w:pPr>
          </w:p>
        </w:tc>
        <w:tc>
          <w:tcPr>
            <w:tcW w:w="130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3"/>
                <w:szCs w:val="13"/>
                <w:color w:val="auto"/>
              </w:rPr>
            </w:pPr>
          </w:p>
        </w:tc>
        <w:tc>
          <w:tcPr>
            <w:tcW w:w="118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5"/>
                <w:szCs w:val="15"/>
                <w:b w:val="1"/>
                <w:bCs w:val="1"/>
                <w:color w:val="auto"/>
              </w:rPr>
              <w:t>Debt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w w:val="97"/>
              </w:rPr>
              <w:t>Options</w:t>
            </w:r>
            <w:r>
              <w:rPr>
                <w:rFonts w:ascii="Times New Roman" w:cs="Times New Roman" w:eastAsia="Times New Roman" w:hAnsi="Times New Roman"/>
                <w:sz w:val="24"/>
                <w:szCs w:val="24"/>
                <w:b w:val="1"/>
                <w:bCs w:val="1"/>
                <w:color w:val="auto"/>
                <w:w w:val="97"/>
                <w:vertAlign w:val="superscript"/>
              </w:rPr>
              <w:t>(2)</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8"/>
                <w:szCs w:val="18"/>
                <w:color w:val="auto"/>
              </w:rPr>
            </w:pPr>
          </w:p>
        </w:tc>
        <w:tc>
          <w:tcPr>
            <w:tcW w:w="1300" w:type="dxa"/>
            <w:vAlign w:val="bottom"/>
            <w:gridSpan w:val="2"/>
          </w:tcPr>
          <w:p>
            <w:pPr>
              <w:jc w:val="right"/>
              <w:ind w:right="680"/>
              <w:spacing w:after="0" w:line="218"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6"/>
        </w:trPr>
        <w:tc>
          <w:tcPr>
            <w:tcW w:w="42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2022</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117,214,465</w:t>
            </w:r>
          </w:p>
        </w:tc>
        <w:tc>
          <w:tcPr>
            <w:tcW w:w="36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18,692,931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4,488,200</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3,469,497</w:t>
            </w:r>
          </w:p>
        </w:tc>
        <w:tc>
          <w:tcPr>
            <w:tcW w:w="34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143,865,093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(1,554,355)</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(1,157,487)</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(2,711,842)</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2,510,363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19,380,910</w:t>
            </w: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329,883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2,264,274</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24,485,430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Sales/Maturity of investments</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(369,222)</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(1,000,000)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(5,080)</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(1,374,302)</w:t>
            </w:r>
          </w:p>
        </w:tc>
        <w:tc>
          <w:tcPr>
            <w:tcW w:w="0" w:type="dxa"/>
            <w:vAlign w:val="bottom"/>
          </w:tcPr>
          <w:p>
            <w:pPr>
              <w:spacing w:after="0"/>
              <w:rPr>
                <w:sz w:val="1"/>
                <w:szCs w:val="1"/>
                <w:color w:val="auto"/>
              </w:rPr>
            </w:pPr>
          </w:p>
        </w:tc>
      </w:tr>
      <w:tr>
        <w:trPr>
          <w:trHeight w:val="208"/>
        </w:trPr>
        <w:tc>
          <w:tcPr>
            <w:tcW w:w="420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(2,859,095)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3,751,518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(361,603)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30,820</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gains/(losses)</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(10,914,376)</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1,195,703</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(96,350)</w:t>
            </w:r>
          </w:p>
        </w:tc>
        <w:tc>
          <w:tcPr>
            <w:tcW w:w="2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(9,815,023)</w:t>
            </w:r>
          </w:p>
        </w:tc>
        <w:tc>
          <w:tcPr>
            <w:tcW w:w="0" w:type="dxa"/>
            <w:vAlign w:val="bottom"/>
          </w:tcPr>
          <w:p>
            <w:pPr>
              <w:spacing w:after="0"/>
              <w:rPr>
                <w:sz w:val="1"/>
                <w:szCs w:val="1"/>
                <w:color w:val="auto"/>
              </w:rPr>
            </w:pPr>
          </w:p>
        </w:tc>
      </w:tr>
      <w:tr>
        <w:trPr>
          <w:trHeight w:val="160"/>
        </w:trPr>
        <w:tc>
          <w:tcPr>
            <w:tcW w:w="420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Net change in unrealized appreciation/(depreciation) included in</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earnings</w:t>
            </w:r>
          </w:p>
        </w:tc>
        <w:tc>
          <w:tcPr>
            <w:tcW w:w="160" w:type="dxa"/>
            <w:vAlign w:val="bottom"/>
          </w:tcPr>
          <w:p>
            <w:pPr>
              <w:spacing w:after="0"/>
              <w:rPr>
                <w:sz w:val="17"/>
                <w:szCs w:val="17"/>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16,793,207</w:t>
            </w:r>
          </w:p>
        </w:tc>
        <w:tc>
          <w:tcPr>
            <w:tcW w:w="18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(2,010,693)</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(219,349)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(475,090)</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14,088,075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Fair Value as of December 31, 2023</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122,744,564</w:t>
            </w: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39,086,792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151" w:lineRule="exact"/>
              <w:rPr>
                <w:sz w:val="20"/>
                <w:szCs w:val="20"/>
                <w:color w:val="auto"/>
              </w:rPr>
            </w:pPr>
            <w:r>
              <w:rPr>
                <w:rFonts w:ascii="Times New Roman" w:cs="Times New Roman" w:eastAsia="Times New Roman" w:hAnsi="Times New Roman"/>
                <w:sz w:val="15"/>
                <w:szCs w:val="15"/>
                <w:color w:val="auto"/>
              </w:rPr>
              <w:t>Net change in unrealized appreciation/ (depreciation) of Level 3</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investments still held as of December 31, 2023</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5,878,830</w:t>
            </w:r>
          </w:p>
        </w:tc>
        <w:tc>
          <w:tcPr>
            <w:tcW w:w="360" w:type="dxa"/>
            <w:vAlign w:val="bottom"/>
          </w:tcPr>
          <w:p>
            <w:pPr>
              <w:spacing w:after="0"/>
              <w:rPr>
                <w:sz w:val="18"/>
                <w:szCs w:val="18"/>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(2,010,694)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(219,349)</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(512,480)</w:t>
            </w: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3,136,307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ind w:left="260" w:hanging="253"/>
        <w:spacing w:after="0"/>
        <w:tabs>
          <w:tab w:leader="none" w:pos="2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also includes the Company’s investments in the SAFEs of PayJoy, Inc. and Commercial Streaming Solutions Inc. (d/b/a BettorView).</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2023, the Company’s portfolio investments had the following corporate actions which are reflected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Conversion from</w:t>
            </w:r>
          </w:p>
        </w:tc>
        <w:tc>
          <w:tcPr>
            <w:tcW w:w="22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Conversion to</w:t>
            </w:r>
          </w:p>
        </w:tc>
        <w:tc>
          <w:tcPr>
            <w:tcW w:w="0" w:type="dxa"/>
            <w:vAlign w:val="bottom"/>
          </w:tcPr>
          <w:p>
            <w:pPr>
              <w:spacing w:after="0"/>
              <w:rPr>
                <w:sz w:val="1"/>
                <w:szCs w:val="1"/>
                <w:color w:val="auto"/>
              </w:rPr>
            </w:pPr>
          </w:p>
        </w:tc>
      </w:tr>
      <w:tr>
        <w:trPr>
          <w:trHeight w:val="151"/>
        </w:trPr>
        <w:tc>
          <w:tcPr>
            <w:tcW w:w="3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7"/>
              </w:rPr>
              <w:t>Preferred shares, Series D</w:t>
            </w:r>
          </w:p>
        </w:tc>
        <w:tc>
          <w:tcPr>
            <w:tcW w:w="360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6"/>
              </w:rPr>
              <w:t>Senior Preferred shares, Series 1</w:t>
            </w:r>
          </w:p>
        </w:tc>
        <w:tc>
          <w:tcPr>
            <w:tcW w:w="0" w:type="dxa"/>
            <w:vAlign w:val="bottom"/>
          </w:tcPr>
          <w:p>
            <w:pPr>
              <w:spacing w:after="0"/>
              <w:rPr>
                <w:sz w:val="1"/>
                <w:szCs w:val="1"/>
                <w:color w:val="auto"/>
              </w:rPr>
            </w:pPr>
          </w:p>
        </w:tc>
      </w:tr>
      <w:tr>
        <w:trPr>
          <w:trHeight w:val="87"/>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3820" w:type="dxa"/>
            <w:vAlign w:val="bottom"/>
            <w:gridSpan w:val="2"/>
            <w:vMerge w:val="continue"/>
            <w:shd w:val="clear" w:color="auto" w:fill="CCEEFF"/>
          </w:tcPr>
          <w:p>
            <w:pPr>
              <w:spacing w:after="0"/>
              <w:rPr>
                <w:sz w:val="7"/>
                <w:szCs w:val="7"/>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Senior Preferred shares, Series 2</w:t>
            </w:r>
          </w:p>
        </w:tc>
        <w:tc>
          <w:tcPr>
            <w:tcW w:w="0" w:type="dxa"/>
            <w:vAlign w:val="bottom"/>
          </w:tcPr>
          <w:p>
            <w:pPr>
              <w:spacing w:after="0"/>
              <w:rPr>
                <w:sz w:val="1"/>
                <w:szCs w:val="1"/>
                <w:color w:val="auto"/>
              </w:rPr>
            </w:pPr>
          </w:p>
        </w:tc>
      </w:tr>
      <w:tr>
        <w:trPr>
          <w:trHeight w:val="87"/>
        </w:trPr>
        <w:tc>
          <w:tcPr>
            <w:tcW w:w="3860" w:type="dxa"/>
            <w:vAlign w:val="bottom"/>
            <w:gridSpan w:val="2"/>
            <w:vMerge w:val="continue"/>
            <w:shd w:val="clear" w:color="auto" w:fill="CCEEFF"/>
          </w:tcPr>
          <w:p>
            <w:pPr>
              <w:spacing w:after="0"/>
              <w:rPr>
                <w:sz w:val="7"/>
                <w:szCs w:val="7"/>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Simple Agreement for Future Equity</w:t>
            </w:r>
          </w:p>
        </w:tc>
        <w:tc>
          <w:tcPr>
            <w:tcW w:w="3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continue"/>
            <w:shd w:val="clear" w:color="auto" w:fill="CCEEFF"/>
          </w:tcPr>
          <w:p>
            <w:pPr>
              <w:spacing w:after="0"/>
              <w:rPr>
                <w:sz w:val="8"/>
                <w:szCs w:val="8"/>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Common Shares, Class A</w:t>
            </w:r>
          </w:p>
        </w:tc>
        <w:tc>
          <w:tcPr>
            <w:tcW w:w="0" w:type="dxa"/>
            <w:vAlign w:val="bottom"/>
          </w:tcPr>
          <w:p>
            <w:pPr>
              <w:spacing w:after="0"/>
              <w:rPr>
                <w:sz w:val="1"/>
                <w:szCs w:val="1"/>
                <w:color w:val="auto"/>
              </w:rPr>
            </w:pPr>
          </w:p>
        </w:tc>
      </w:tr>
      <w:tr>
        <w:trPr>
          <w:trHeight w:val="87"/>
        </w:trPr>
        <w:tc>
          <w:tcPr>
            <w:tcW w:w="3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Convertible Note 0.5%</w:t>
            </w: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Preferred Shares, Series B-3</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Class B Units</w:t>
            </w:r>
          </w:p>
        </w:tc>
        <w:tc>
          <w:tcPr>
            <w:tcW w:w="36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auto"/>
                <w:w w:val="97"/>
              </w:rPr>
              <w:t>PSQ Holdings, Inc. (d/b/a PublicSquare) - Common shares,</w:t>
            </w:r>
          </w:p>
        </w:tc>
        <w:tc>
          <w:tcPr>
            <w:tcW w:w="0" w:type="dxa"/>
            <w:vAlign w:val="bottom"/>
          </w:tcPr>
          <w:p>
            <w:pPr>
              <w:spacing w:after="0"/>
              <w:rPr>
                <w:sz w:val="1"/>
                <w:szCs w:val="1"/>
                <w:color w:val="auto"/>
              </w:rPr>
            </w:pPr>
          </w:p>
        </w:tc>
      </w:tr>
      <w:tr>
        <w:trPr>
          <w:trHeight w:val="87"/>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Colombier Sponsor LLC</w:t>
            </w:r>
          </w:p>
        </w:tc>
        <w:tc>
          <w:tcPr>
            <w:tcW w:w="3820" w:type="dxa"/>
            <w:vAlign w:val="bottom"/>
            <w:gridSpan w:val="2"/>
            <w:vMerge w:val="continue"/>
            <w:shd w:val="clear" w:color="auto" w:fill="CCEEFF"/>
          </w:tcPr>
          <w:p>
            <w:pPr>
              <w:spacing w:after="0"/>
              <w:rPr>
                <w:sz w:val="7"/>
                <w:szCs w:val="7"/>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Class A (Level 2)</w:t>
            </w:r>
          </w:p>
        </w:tc>
        <w:tc>
          <w:tcPr>
            <w:tcW w:w="0" w:type="dxa"/>
            <w:vAlign w:val="bottom"/>
          </w:tcPr>
          <w:p>
            <w:pPr>
              <w:spacing w:after="0"/>
              <w:rPr>
                <w:sz w:val="1"/>
                <w:szCs w:val="1"/>
                <w:color w:val="auto"/>
              </w:rPr>
            </w:pPr>
          </w:p>
        </w:tc>
      </w:tr>
      <w:tr>
        <w:trPr>
          <w:trHeight w:val="87"/>
        </w:trPr>
        <w:tc>
          <w:tcPr>
            <w:tcW w:w="3860" w:type="dxa"/>
            <w:vAlign w:val="bottom"/>
            <w:gridSpan w:val="2"/>
            <w:vMerge w:val="continue"/>
            <w:shd w:val="clear" w:color="auto" w:fill="CCEEFF"/>
          </w:tcPr>
          <w:p>
            <w:pPr>
              <w:spacing w:after="0"/>
              <w:rPr>
                <w:sz w:val="7"/>
                <w:szCs w:val="7"/>
                <w:color w:val="auto"/>
              </w:rPr>
            </w:pPr>
          </w:p>
        </w:tc>
        <w:tc>
          <w:tcPr>
            <w:tcW w:w="38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6"/>
              </w:rPr>
              <w:t>Class W Units</w:t>
            </w:r>
          </w:p>
        </w:tc>
        <w:tc>
          <w:tcPr>
            <w:tcW w:w="3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continue"/>
            <w:shd w:val="clear" w:color="auto" w:fill="CCEEFF"/>
          </w:tcPr>
          <w:p>
            <w:pPr>
              <w:spacing w:after="0"/>
              <w:rPr>
                <w:sz w:val="8"/>
                <w:szCs w:val="8"/>
                <w:color w:val="auto"/>
              </w:rPr>
            </w:pPr>
          </w:p>
        </w:tc>
        <w:tc>
          <w:tcPr>
            <w:tcW w:w="3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PSQ Holdings, Inc. (d/b/a PublicSquare) Warrants (Level 1)</w:t>
            </w:r>
          </w:p>
        </w:tc>
        <w:tc>
          <w:tcPr>
            <w:tcW w:w="0" w:type="dxa"/>
            <w:vAlign w:val="bottom"/>
          </w:tcPr>
          <w:p>
            <w:pPr>
              <w:spacing w:after="0"/>
              <w:rPr>
                <w:sz w:val="1"/>
                <w:szCs w:val="1"/>
                <w:color w:val="auto"/>
              </w:rPr>
            </w:pPr>
          </w:p>
        </w:tc>
      </w:tr>
      <w:tr>
        <w:trPr>
          <w:trHeight w:val="87"/>
        </w:trPr>
        <w:tc>
          <w:tcPr>
            <w:tcW w:w="3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AltC Sponsor LLC</w:t>
            </w:r>
          </w:p>
        </w:tc>
        <w:tc>
          <w:tcPr>
            <w:tcW w:w="3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w w:val="98"/>
              </w:rPr>
              <w:t>Share units</w:t>
            </w:r>
          </w:p>
        </w:tc>
        <w:tc>
          <w:tcPr>
            <w:tcW w:w="360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w w:val="97"/>
              </w:rPr>
              <w:t>Common shares, Class A</w:t>
            </w:r>
          </w:p>
        </w:tc>
        <w:tc>
          <w:tcPr>
            <w:tcW w:w="0" w:type="dxa"/>
            <w:vAlign w:val="bottom"/>
          </w:tcPr>
          <w:p>
            <w:pPr>
              <w:spacing w:after="0"/>
              <w:rPr>
                <w:sz w:val="1"/>
                <w:szCs w:val="1"/>
                <w:color w:val="auto"/>
              </w:rPr>
            </w:pPr>
          </w:p>
        </w:tc>
      </w:tr>
      <w:tr>
        <w:trPr>
          <w:trHeight w:val="102"/>
        </w:trPr>
        <w:tc>
          <w:tcPr>
            <w:tcW w:w="3860" w:type="dxa"/>
            <w:vAlign w:val="bottom"/>
            <w:gridSpan w:val="2"/>
            <w:vMerge w:val="continue"/>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Common shares, Class B</w:t>
            </w:r>
          </w:p>
        </w:tc>
        <w:tc>
          <w:tcPr>
            <w:tcW w:w="0" w:type="dxa"/>
            <w:vAlign w:val="bottom"/>
          </w:tcPr>
          <w:p>
            <w:pPr>
              <w:spacing w:after="0"/>
              <w:rPr>
                <w:sz w:val="1"/>
                <w:szCs w:val="1"/>
                <w:color w:val="auto"/>
              </w:rPr>
            </w:pPr>
          </w:p>
        </w:tc>
      </w:tr>
      <w:tr>
        <w:trPr>
          <w:trHeight w:val="87"/>
        </w:trPr>
        <w:tc>
          <w:tcPr>
            <w:tcW w:w="3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99</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-1240790</wp:posOffset>
            </wp:positionV>
            <wp:extent cx="1384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8430" cy="698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-1240790</wp:posOffset>
            </wp:positionV>
            <wp:extent cx="14541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Transactions during the year ended December 31, 2024 involving the Company’s controlled investments and non-controlled/affiliate investments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Purchases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Transfer</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0"/>
              </w:rPr>
              <w:t>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5"/>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22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5"/>
              </w:rPr>
              <w:t>December</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In/</w:t>
            </w:r>
          </w:p>
        </w:tc>
        <w:tc>
          <w:tcPr>
            <w:tcW w:w="8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1"/>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13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Principal/Quantity</w:t>
            </w:r>
          </w:p>
        </w:tc>
        <w:tc>
          <w:tcPr>
            <w:tcW w:w="7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 Income</w:t>
            </w:r>
          </w:p>
        </w:tc>
        <w:tc>
          <w:tcPr>
            <w:tcW w:w="80" w:type="dxa"/>
            <w:vAlign w:val="bottom"/>
          </w:tcPr>
          <w:p>
            <w:pPr>
              <w:spacing w:after="0"/>
              <w:rPr>
                <w:sz w:val="16"/>
                <w:szCs w:val="16"/>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5"/>
              </w:rPr>
              <w:t>31, 2023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(Out)</w:t>
            </w:r>
          </w:p>
        </w:tc>
        <w:tc>
          <w:tcPr>
            <w:tcW w:w="14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1"/>
              </w:rPr>
              <w:t>Fees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Sales/Redemptions</w:t>
            </w:r>
          </w:p>
        </w:tc>
        <w:tc>
          <w:tcPr>
            <w:tcW w:w="9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80" w:type="dxa"/>
            <w:vAlign w:val="bottom"/>
          </w:tcPr>
          <w:p>
            <w:pPr>
              <w:spacing w:after="0"/>
              <w:rPr>
                <w:sz w:val="16"/>
                <w:szCs w:val="16"/>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5"/>
              </w:rPr>
              <w:t>31, 2024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3"/>
        </w:trPr>
        <w:tc>
          <w:tcPr>
            <w:tcW w:w="1920" w:type="dxa"/>
            <w:vAlign w:val="bottom"/>
            <w:tcBorders>
              <w:top w:val="single" w:sz="8" w:color="auto"/>
            </w:tcBorders>
            <w:gridSpan w:val="6"/>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CONTROLLED</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85"/>
              </w:rPr>
              <w:t>(2)</w:t>
            </w:r>
          </w:p>
        </w:tc>
        <w:tc>
          <w:tcPr>
            <w:tcW w:w="58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INVESTMENTS*</w:t>
            </w: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gridSpan w:val="2"/>
            <w:vMerge w:val="restart"/>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1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980" w:type="dxa"/>
            <w:vAlign w:val="bottom"/>
            <w:gridSpan w:val="7"/>
            <w:shd w:val="clear" w:color="auto" w:fill="CCEEFF"/>
          </w:tcPr>
          <w:p>
            <w:pPr>
              <w:ind w:left="160"/>
              <w:spacing w:after="0" w:line="159"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Colombier Sponsor II</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LLC**–Class W Units</w:t>
            </w:r>
          </w:p>
        </w:tc>
        <w:tc>
          <w:tcPr>
            <w:tcW w:w="2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1,600,000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498,305</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498,305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498,305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498,305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5"/>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SPBRX, INC. (f/k/a GSV</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Sustainability Partners,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Inc.)–Preferred shares,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Class A</w:t>
            </w:r>
          </w:p>
        </w:tc>
        <w:tc>
          <w:tcPr>
            <w:tcW w:w="2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382,381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4,218</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(374,950)</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(6,780,680)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6,769,031</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382,381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4,218</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(374,950)</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(6,780,680)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6,769,031</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SPBRX, INC. (f/k/a GSV</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Sustainability Partners,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Inc.)–Common shares</w:t>
            </w:r>
          </w:p>
        </w:tc>
        <w:tc>
          <w:tcPr>
            <w:tcW w:w="2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Mobile Finance Technology</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Architect Capital PayJoy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SPV, LLC**–Membership</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gridSpan w:val="8"/>
          </w:tcPr>
          <w:p>
            <w:pPr>
              <w:ind w:left="300"/>
              <w:spacing w:after="0"/>
              <w:rPr>
                <w:sz w:val="20"/>
                <w:szCs w:val="20"/>
                <w:color w:val="auto"/>
              </w:rPr>
            </w:pPr>
            <w:r>
              <w:rPr>
                <w:rFonts w:ascii="Times New Roman" w:cs="Times New Roman" w:eastAsia="Times New Roman" w:hAnsi="Times New Roman"/>
                <w:sz w:val="15"/>
                <w:szCs w:val="15"/>
                <w:color w:val="auto"/>
              </w:rPr>
              <w:t>Interest in Lending SPV***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955,628</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4"/>
              </w:rPr>
              <w:t>10,000,000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(10,000,000)</w:t>
            </w: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(6,745)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6,745</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1980" w:type="dxa"/>
            <w:vAlign w:val="bottom"/>
            <w:gridSpan w:val="7"/>
            <w:shd w:val="clear" w:color="auto" w:fill="CCEEFF"/>
          </w:tcPr>
          <w:p>
            <w:pPr>
              <w:ind w:left="160"/>
              <w:spacing w:after="0" w:line="159"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Colombier Sponsor II</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LLC**–Class B Units</w:t>
            </w:r>
          </w:p>
        </w:tc>
        <w:tc>
          <w:tcPr>
            <w:tcW w:w="2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1,040,000</w:t>
            </w:r>
          </w:p>
        </w:tc>
        <w:tc>
          <w:tcPr>
            <w:tcW w:w="6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1,101,695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6"/>
              </w:rPr>
              <w:t>1,101,695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86"/>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955,628</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11,101,695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(10,000,000)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(16,745)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16,745</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6"/>
              </w:rPr>
              <w:t>1,101,695</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40"/>
        </w:trPr>
        <w:tc>
          <w:tcPr>
            <w:tcW w:w="1980" w:type="dxa"/>
            <w:vAlign w:val="bottom"/>
            <w:gridSpan w:val="7"/>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TOTAL CONTROLLED</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980" w:type="dxa"/>
            <w:vAlign w:val="bottom"/>
            <w:gridSpan w:val="7"/>
          </w:tcPr>
          <w:p>
            <w:pPr>
              <w:spacing w:after="0" w:line="222"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4"/>
                <w:szCs w:val="24"/>
                <w:b w:val="1"/>
                <w:bCs w:val="1"/>
                <w:color w:val="auto"/>
                <w:vertAlign w:val="superscript"/>
              </w:rPr>
              <w:t>(2)</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955,628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4"/>
              </w:rPr>
              <w:t>11,982,381</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4,218</w:t>
            </w:r>
          </w:p>
        </w:tc>
        <w:tc>
          <w:tcPr>
            <w:tcW w:w="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(10,374,950)</w:t>
            </w: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(6,797,425)</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6,785,776</w:t>
            </w: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6"/>
              </w:rPr>
              <w:t>1,600,000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c>
          <w:tcPr>
            <w:tcW w:w="0" w:type="dxa"/>
            <w:vAlign w:val="bottom"/>
          </w:tcPr>
          <w:p>
            <w:pPr>
              <w:spacing w:after="0"/>
              <w:rPr>
                <w:sz w:val="1"/>
                <w:szCs w:val="1"/>
                <w:color w:val="auto"/>
              </w:rPr>
            </w:pPr>
          </w:p>
        </w:tc>
      </w:tr>
      <w:tr>
        <w:trPr>
          <w:trHeight w:val="142"/>
        </w:trPr>
        <w:tc>
          <w:tcPr>
            <w:tcW w:w="3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93"/>
              </w:rPr>
              <w:t>NON-</w:t>
            </w:r>
          </w:p>
        </w:tc>
        <w:tc>
          <w:tcPr>
            <w:tcW w:w="1600" w:type="dxa"/>
            <w:vAlign w:val="bottom"/>
            <w:tcBorders>
              <w:bottom w:val="single" w:sz="8" w:color="CCEEFF"/>
            </w:tcBorders>
            <w:gridSpan w:val="6"/>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8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CONTROLLED/AFFILIATE</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INVESTMENTS*</w:t>
            </w:r>
          </w:p>
        </w:tc>
        <w:tc>
          <w:tcPr>
            <w:tcW w:w="14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(1)</w:t>
            </w:r>
          </w:p>
        </w:tc>
        <w:tc>
          <w:tcPr>
            <w:tcW w:w="580" w:type="dxa"/>
            <w:vAlign w:val="bottom"/>
            <w:tcBorders>
              <w:top w:val="single" w:sz="8" w:color="auto"/>
              <w:bottom w:val="single" w:sz="8" w:color="auto"/>
            </w:tcBorders>
            <w:vMerge w:val="restart"/>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vMerge w:val="restart"/>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1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Debt Investments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80" w:type="dxa"/>
            <w:vAlign w:val="bottom"/>
            <w:gridSpan w:val="7"/>
          </w:tcPr>
          <w:p>
            <w:pPr>
              <w:ind w:left="300"/>
              <w:spacing w:after="0" w:line="160" w:lineRule="exact"/>
              <w:rPr>
                <w:sz w:val="20"/>
                <w:szCs w:val="20"/>
                <w:color w:val="auto"/>
              </w:rPr>
            </w:pPr>
            <w:r>
              <w:rPr>
                <w:rFonts w:ascii="Times New Roman" w:cs="Times New Roman" w:eastAsia="Times New Roman" w:hAnsi="Times New Roman"/>
                <w:sz w:val="15"/>
                <w:szCs w:val="15"/>
                <w:color w:val="auto"/>
              </w:rPr>
              <w:t>OneValley, Inc. (f/k/a</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NestGSV, Inc.) –</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Convertible Promissory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Note 8%, Due 8/23/2024</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1,267,395</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(1,414,278)</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384,102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(237,219)</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Investments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1,267,395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(1,414,278)</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384,102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(237,219)</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71"/>
        </w:trPr>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14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gridSpan w:val="11"/>
          </w:tcPr>
          <w:p>
            <w:pPr>
              <w:jc w:val="center"/>
              <w:ind w:right="227"/>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gridSpan w:val="14"/>
          </w:tcPr>
          <w:p>
            <w:pPr>
              <w:jc w:val="center"/>
              <w:ind w:left="67"/>
              <w:spacing w:after="0"/>
              <w:rPr>
                <w:sz w:val="20"/>
                <w:szCs w:val="20"/>
                <w:color w:val="auto"/>
              </w:rPr>
            </w:pPr>
            <w:r>
              <w:rPr>
                <w:rFonts w:ascii="Times New Roman" w:cs="Times New Roman" w:eastAsia="Times New Roman" w:hAnsi="Times New Roman"/>
                <w:sz w:val="15"/>
                <w:szCs w:val="15"/>
                <w:b w:val="1"/>
                <w:bCs w:val="1"/>
                <w:color w:val="auto"/>
                <w:w w:val="96"/>
              </w:rPr>
              <w:t>NOTES TO CONSOLIDATED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5"/>
          </w:tcPr>
          <w:p>
            <w:pPr>
              <w:jc w:val="center"/>
              <w:ind w:left="7"/>
              <w:spacing w:after="0"/>
              <w:rPr>
                <w:sz w:val="20"/>
                <w:szCs w:val="20"/>
                <w:color w:val="auto"/>
              </w:rPr>
            </w:pPr>
            <w:r>
              <w:rPr>
                <w:rFonts w:ascii="Times New Roman" w:cs="Times New Roman" w:eastAsia="Times New Roman" w:hAnsi="Times New Roman"/>
                <w:sz w:val="15"/>
                <w:szCs w:val="15"/>
                <w:b w:val="1"/>
                <w:bCs w:val="1"/>
                <w:color w:val="auto"/>
                <w:w w:val="95"/>
              </w:rPr>
              <w:t>December 31, 2024</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Interest,</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Purchases,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Fees, or</w:t>
            </w:r>
          </w:p>
        </w:tc>
        <w:tc>
          <w:tcPr>
            <w:tcW w:w="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Capitalized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6"/>
              </w:rPr>
              <w:t>Dividends</w:t>
            </w:r>
          </w:p>
        </w:tc>
        <w:tc>
          <w:tcPr>
            <w:tcW w:w="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Fees,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3"/>
              </w:rPr>
              <w:t>Percentage</w:t>
            </w:r>
          </w:p>
        </w:tc>
        <w:tc>
          <w:tcPr>
            <w:tcW w:w="0" w:type="dxa"/>
            <w:vAlign w:val="bottom"/>
          </w:tcPr>
          <w:p>
            <w:pPr>
              <w:spacing w:after="0"/>
              <w:rPr>
                <w:sz w:val="1"/>
                <w:szCs w:val="1"/>
                <w:color w:val="auto"/>
              </w:rPr>
            </w:pPr>
          </w:p>
        </w:tc>
      </w:tr>
      <w:tr>
        <w:trPr>
          <w:trHeight w:val="175"/>
        </w:trPr>
        <w:tc>
          <w:tcPr>
            <w:tcW w:w="1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Credited</w:t>
            </w:r>
          </w:p>
        </w:tc>
        <w:tc>
          <w:tcPr>
            <w:tcW w:w="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Transfer In/</w:t>
            </w:r>
          </w:p>
        </w:tc>
        <w:tc>
          <w:tcPr>
            <w:tcW w:w="100" w:type="dxa"/>
            <w:vAlign w:val="bottom"/>
          </w:tcPr>
          <w:p>
            <w:pPr>
              <w:spacing w:after="0"/>
              <w:rPr>
                <w:sz w:val="15"/>
                <w:szCs w:val="15"/>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Interest and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Unrealized</w:t>
            </w:r>
          </w:p>
        </w:tc>
        <w:tc>
          <w:tcPr>
            <w:tcW w:w="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1"/>
        </w:trPr>
        <w:tc>
          <w:tcPr>
            <w:tcW w:w="1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Principal/Quantity</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7"/>
              </w:rPr>
              <w:t>in Income</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(Out)</w:t>
            </w:r>
          </w:p>
        </w:tc>
        <w:tc>
          <w:tcPr>
            <w:tcW w:w="100" w:type="dxa"/>
            <w:vAlign w:val="bottom"/>
          </w:tcPr>
          <w:p>
            <w:pPr>
              <w:spacing w:after="0"/>
              <w:rPr>
                <w:sz w:val="16"/>
                <w:szCs w:val="16"/>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Amortization</w:t>
            </w:r>
          </w:p>
        </w:tc>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5"/>
              </w:rPr>
              <w:t>Sales/Redemptions</w:t>
            </w:r>
          </w:p>
        </w:tc>
        <w:tc>
          <w:tcPr>
            <w:tcW w:w="100" w:type="dxa"/>
            <w:vAlign w:val="bottom"/>
          </w:tcPr>
          <w:p>
            <w:pPr>
              <w:spacing w:after="0"/>
              <w:rPr>
                <w:sz w:val="16"/>
                <w:szCs w:val="16"/>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w w:val="94"/>
              </w:rPr>
              <w:t>Gains/(Losses)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8"/>
              </w:rPr>
              <w:t>Gains/(Losses)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31, 2024</w:t>
            </w:r>
          </w:p>
        </w:tc>
        <w:tc>
          <w:tcPr>
            <w:tcW w:w="80" w:type="dxa"/>
            <w:vAlign w:val="bottom"/>
          </w:tcPr>
          <w:p>
            <w:pPr>
              <w:spacing w:after="0"/>
              <w:rPr>
                <w:sz w:val="16"/>
                <w:szCs w:val="16"/>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66"/>
        </w:trPr>
        <w:tc>
          <w:tcPr>
            <w:tcW w:w="1880" w:type="dxa"/>
            <w:vAlign w:val="bottom"/>
            <w:tcBorders>
              <w:top w:val="single" w:sz="8" w:color="auto"/>
            </w:tcBorders>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20" w:type="dxa"/>
            <w:vAlign w:val="bottom"/>
            <w:gridSpan w:val="3"/>
          </w:tcPr>
          <w:p>
            <w:pPr>
              <w:ind w:left="300"/>
              <w:spacing w:after="0" w:line="160" w:lineRule="exact"/>
              <w:rPr>
                <w:sz w:val="20"/>
                <w:szCs w:val="20"/>
                <w:color w:val="auto"/>
              </w:rPr>
            </w:pPr>
            <w:r>
              <w:rPr>
                <w:rFonts w:ascii="Times New Roman" w:cs="Times New Roman" w:eastAsia="Times New Roman" w:hAnsi="Times New Roman"/>
                <w:sz w:val="15"/>
                <w:szCs w:val="15"/>
                <w:color w:val="auto"/>
              </w:rPr>
              <w:t>Maven Research, Inc.–</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318,979</w:t>
            </w:r>
          </w:p>
        </w:tc>
        <w:tc>
          <w:tcPr>
            <w:tcW w:w="280" w:type="dxa"/>
            <w:vAlign w:val="bottom"/>
          </w:tcPr>
          <w:p>
            <w:pPr>
              <w:spacing w:after="0"/>
              <w:rPr>
                <w:sz w:val="16"/>
                <w:szCs w:val="16"/>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192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Maven Research, Inc.–</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9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20" w:type="dxa"/>
            <w:vAlign w:val="bottom"/>
            <w:gridSpan w:val="3"/>
          </w:tcPr>
          <w:p>
            <w:pPr>
              <w:jc w:val="right"/>
              <w:ind w:right="20"/>
              <w:spacing w:after="0" w:line="16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920" w:type="dxa"/>
            <w:vAlign w:val="bottom"/>
            <w:gridSpan w:val="3"/>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Preferred shares, Series 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329,337</w:t>
            </w:r>
          </w:p>
        </w:tc>
        <w:tc>
          <w:tcPr>
            <w:tcW w:w="280" w:type="dxa"/>
            <w:vAlign w:val="bottom"/>
          </w:tcPr>
          <w:p>
            <w:pPr>
              <w:spacing w:after="0"/>
              <w:rPr>
                <w:sz w:val="16"/>
                <w:szCs w:val="16"/>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653,975</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(152,349)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501,626</w:t>
            </w:r>
          </w:p>
        </w:tc>
        <w:tc>
          <w:tcPr>
            <w:tcW w:w="8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93"/>
        </w:trPr>
        <w:tc>
          <w:tcPr>
            <w:tcW w:w="1920" w:type="dxa"/>
            <w:vAlign w:val="bottom"/>
            <w:gridSpan w:val="3"/>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2,779,134</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6,804,933</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(1,427,939)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5,376,994</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93"/>
        </w:trPr>
        <w:tc>
          <w:tcPr>
            <w:tcW w:w="1920" w:type="dxa"/>
            <w:vAlign w:val="bottom"/>
            <w:gridSpan w:val="3"/>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3,279,629</w:t>
            </w:r>
          </w:p>
        </w:tc>
        <w:tc>
          <w:tcPr>
            <w:tcW w:w="280" w:type="dxa"/>
            <w:vAlign w:val="bottom"/>
          </w:tcPr>
          <w:p>
            <w:pPr>
              <w:spacing w:after="0"/>
              <w:rPr>
                <w:sz w:val="16"/>
                <w:szCs w:val="16"/>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4,751,064</w:t>
            </w: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(1,517,142)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3,233,922</w:t>
            </w:r>
          </w:p>
        </w:tc>
        <w:tc>
          <w:tcPr>
            <w:tcW w:w="8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193"/>
        </w:trPr>
        <w:tc>
          <w:tcPr>
            <w:tcW w:w="1920" w:type="dxa"/>
            <w:vAlign w:val="bottom"/>
            <w:gridSpan w:val="3"/>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325,903</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(169,618)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156,285</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20"/>
        </w:trPr>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9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12,535,875</w:t>
            </w: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(3,267,048)</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9,268,827</w:t>
            </w:r>
          </w:p>
        </w:tc>
        <w:tc>
          <w:tcPr>
            <w:tcW w:w="80" w:type="dxa"/>
            <w:vAlign w:val="bottom"/>
          </w:tcPr>
          <w:p>
            <w:pPr>
              <w:spacing w:after="0"/>
              <w:rPr>
                <w:sz w:val="14"/>
                <w:szCs w:val="14"/>
                <w:color w:val="auto"/>
              </w:rPr>
            </w:pPr>
          </w:p>
        </w:tc>
        <w:tc>
          <w:tcPr>
            <w:tcW w:w="820" w:type="dxa"/>
            <w:vAlign w:val="bottom"/>
            <w:gridSpan w:val="3"/>
          </w:tcPr>
          <w:p>
            <w:pPr>
              <w:jc w:val="right"/>
              <w:ind w:right="20"/>
              <w:spacing w:after="0" w:line="166" w:lineRule="exact"/>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75"/>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12,535,875</w:t>
            </w: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(3,267,048)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9,268,827</w:t>
            </w:r>
          </w:p>
        </w:tc>
        <w:tc>
          <w:tcPr>
            <w:tcW w:w="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86"/>
        </w:trPr>
        <w:tc>
          <w:tcPr>
            <w:tcW w:w="1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2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gridSpan w:val="3"/>
          </w:tcPr>
          <w:p>
            <w:pPr>
              <w:ind w:left="300"/>
              <w:spacing w:after="0" w:line="160" w:lineRule="exact"/>
              <w:rPr>
                <w:sz w:val="20"/>
                <w:szCs w:val="20"/>
                <w:color w:val="auto"/>
              </w:rPr>
            </w:pPr>
            <w:r>
              <w:rPr>
                <w:rFonts w:ascii="Times New Roman" w:cs="Times New Roman" w:eastAsia="Times New Roman" w:hAnsi="Times New Roman"/>
                <w:sz w:val="15"/>
                <w:szCs w:val="15"/>
                <w:color w:val="auto"/>
              </w:rPr>
              <w:t>OneValley, Inc. (f/k/a</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w w:val="97"/>
              </w:rPr>
              <w:t>NestGSV, Inc.)–Derivative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Security, Expiration Date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80" w:type="dxa"/>
            <w:vAlign w:val="bottom"/>
          </w:tcPr>
          <w:p>
            <w:pPr>
              <w:ind w:left="300"/>
              <w:spacing w:after="0" w:line="232"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4"/>
                <w:szCs w:val="24"/>
                <w:color w:val="auto"/>
                <w:vertAlign w:val="superscript"/>
              </w:rPr>
              <w:t>(6)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620,927</w:t>
            </w: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(1,585,722)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(6,982,628)</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7,934,193</w:t>
            </w:r>
          </w:p>
        </w:tc>
        <w:tc>
          <w:tcPr>
            <w:tcW w:w="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8"/>
        </w:trPr>
        <w:tc>
          <w:tcPr>
            <w:tcW w:w="1920" w:type="dxa"/>
            <w:vAlign w:val="bottom"/>
            <w:tcBorders>
              <w:top w:val="single" w:sz="8" w:color="CCEEFF"/>
            </w:tcBorders>
            <w:gridSpan w:val="3"/>
            <w:shd w:val="clear" w:color="auto" w:fill="CCEEFF"/>
          </w:tcPr>
          <w:p>
            <w:pPr>
              <w:ind w:left="160"/>
              <w:spacing w:after="0" w:line="138" w:lineRule="exact"/>
              <w:rPr>
                <w:sz w:val="20"/>
                <w:szCs w:val="20"/>
                <w:color w:val="auto"/>
              </w:rPr>
            </w:pPr>
            <w:r>
              <w:rPr>
                <w:rFonts w:ascii="Times New Roman" w:cs="Times New Roman" w:eastAsia="Times New Roman" w:hAnsi="Times New Roman"/>
                <w:sz w:val="15"/>
                <w:szCs w:val="15"/>
                <w:i w:val="1"/>
                <w:iCs w:val="1"/>
                <w:color w:val="auto"/>
              </w:rPr>
              <w:t>Total Global Innovation</w:t>
            </w: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620,927</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(1,585,722)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(6,982,628)</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7,934,193</w:t>
            </w: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gridSpan w:val="3"/>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PSQ Holdings, Inc. (d/b/a</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20" w:type="dxa"/>
            <w:vAlign w:val="bottom"/>
            <w:gridSpan w:val="3"/>
            <w:shd w:val="clear" w:color="auto" w:fill="CCEEFF"/>
          </w:tcPr>
          <w:p>
            <w:pPr>
              <w:ind w:left="300"/>
              <w:spacing w:after="0" w:line="205"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(3)(4)</w:t>
            </w:r>
            <w:r>
              <w:rPr>
                <w:rFonts w:ascii="Times New Roman" w:cs="Times New Roman" w:eastAsia="Times New Roman" w:hAnsi="Times New Roman"/>
                <w:sz w:val="14"/>
                <w:szCs w:val="14"/>
                <w:color w:val="auto"/>
              </w:rPr>
              <w:t xml:space="preserve"> –</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Warrants</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1,796,037</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1,964,750</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2,585,677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(1,585,722)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(6,982,628)</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7,934,193</w:t>
            </w:r>
          </w:p>
        </w:tc>
        <w:tc>
          <w:tcPr>
            <w:tcW w:w="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920" w:type="dxa"/>
            <w:vAlign w:val="bottom"/>
            <w:tcBorders>
              <w:top w:val="single" w:sz="8" w:color="CCEEFF"/>
            </w:tcBorders>
            <w:gridSpan w:val="3"/>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1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2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5"/>
                <w:szCs w:val="15"/>
                <w:i w:val="1"/>
                <w:iCs w:val="1"/>
                <w:color w:val="auto"/>
              </w:rPr>
              <w:t>Online Education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Curious.com, Inc.–</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shares</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1,135,944</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gridSpan w:val="3"/>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PSQ Holdings, Inc. (d/b/a</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20" w:type="dxa"/>
            <w:vAlign w:val="bottom"/>
            <w:gridSpan w:val="3"/>
            <w:shd w:val="clear" w:color="auto" w:fill="CCEEFF"/>
          </w:tcPr>
          <w:p>
            <w:pPr>
              <w:ind w:left="300"/>
              <w:spacing w:after="0" w:line="205"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(3)(4)</w:t>
            </w:r>
            <w:r>
              <w:rPr>
                <w:rFonts w:ascii="Times New Roman" w:cs="Times New Roman" w:eastAsia="Times New Roman" w:hAnsi="Times New Roman"/>
                <w:sz w:val="14"/>
                <w:szCs w:val="14"/>
                <w:color w:val="auto"/>
              </w:rPr>
              <w:t xml:space="preserve"> –</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shares, Class A</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8,542,386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1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8,542,386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8"/>
        </w:trPr>
        <w:tc>
          <w:tcPr>
            <w:tcW w:w="1920" w:type="dxa"/>
            <w:vAlign w:val="bottom"/>
            <w:tcBorders>
              <w:top w:val="single" w:sz="8" w:color="CCEEFF"/>
            </w:tcBorders>
            <w:gridSpan w:val="3"/>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TOTAL NON-</w:t>
            </w: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8"/>
              </w:rPr>
              <w:t>CONTROLLED/AFFILIATE</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20" w:type="dxa"/>
            <w:vAlign w:val="bottom"/>
            <w:gridSpan w:val="3"/>
            <w:shd w:val="clear" w:color="auto" w:fill="CCEEFF"/>
          </w:tcPr>
          <w:p>
            <w:pPr>
              <w:spacing w:after="0" w:line="179"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w w:val="98"/>
              </w:rPr>
              <w:t>$</w:t>
            </w:r>
            <w:r>
              <w:rPr>
                <w:rFonts w:ascii="Times New Roman" w:cs="Times New Roman" w:eastAsia="Times New Roman" w:hAnsi="Times New Roman"/>
                <w:sz w:val="15"/>
                <w:szCs w:val="15"/>
                <w:b w:val="1"/>
                <w:bCs w:val="1"/>
                <w:color w:val="auto"/>
                <w:w w:val="98"/>
              </w:rPr>
              <w:t>24,931,333</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99"/>
              </w:rPr>
              <w:t>$</w:t>
            </w:r>
            <w:r>
              <w:rPr>
                <w:rFonts w:ascii="Times New Roman" w:cs="Times New Roman" w:eastAsia="Times New Roman" w:hAnsi="Times New Roman"/>
                <w:sz w:val="15"/>
                <w:szCs w:val="15"/>
                <w:b w:val="1"/>
                <w:bCs w:val="1"/>
                <w:color w:val="auto"/>
                <w:w w:val="99"/>
              </w:rPr>
              <w:t>(10,507,136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13,230</w:t>
            </w:r>
          </w:p>
        </w:tc>
        <w:tc>
          <w:tcPr>
            <w:tcW w:w="3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(3,000,000</w:t>
            </w:r>
          </w:p>
        </w:tc>
        <w:tc>
          <w:tcPr>
            <w:tcW w:w="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(6,598,526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4,429,926</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9,268,827</w:t>
            </w:r>
          </w:p>
        </w:tc>
        <w:tc>
          <w:tcPr>
            <w:tcW w:w="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14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400" w:type="dxa"/>
            <w:vAlign w:val="bottom"/>
            <w:gridSpan w:val="2"/>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gridSpan w:val="2"/>
            <w:shd w:val="clear" w:color="auto" w:fill="CCEEFF"/>
          </w:tcPr>
          <w:p>
            <w:pPr>
              <w:jc w:val="right"/>
              <w:ind w:right="60"/>
              <w:spacing w:after="0" w:line="66" w:lineRule="exact"/>
              <w:rPr>
                <w:sz w:val="20"/>
                <w:szCs w:val="20"/>
                <w:color w:val="auto"/>
              </w:rPr>
            </w:pPr>
            <w:r>
              <w:rPr>
                <w:rFonts w:ascii="Times New Roman" w:cs="Times New Roman" w:eastAsia="Times New Roman" w:hAnsi="Times New Roman"/>
                <w:sz w:val="7"/>
                <w:szCs w:val="7"/>
                <w:b w:val="1"/>
                <w:bCs w:val="1"/>
                <w:color w:val="auto"/>
              </w:rPr>
              <w:t>5.88</w:t>
            </w: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ind w:right="567"/>
              <w:spacing w:after="0"/>
              <w:rPr>
                <w:sz w:val="20"/>
                <w:szCs w:val="20"/>
                <w:color w:val="auto"/>
              </w:rPr>
            </w:pPr>
            <w:r>
              <w:rPr>
                <w:rFonts w:ascii="Times New Roman" w:cs="Times New Roman" w:eastAsia="Times New Roman" w:hAnsi="Times New Roman"/>
                <w:sz w:val="15"/>
                <w:szCs w:val="15"/>
                <w:color w:val="auto"/>
                <w:w w:val="97"/>
              </w:rPr>
              <w:t>101</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96"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17894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4" w:lineRule="exact"/>
        <w:rPr>
          <w:sz w:val="20"/>
          <w:szCs w:val="20"/>
          <w:color w:val="auto"/>
        </w:rPr>
      </w:pPr>
    </w:p>
    <w:p>
      <w:pPr>
        <w:jc w:val="both"/>
        <w:ind w:left="260" w:hanging="253"/>
        <w:spacing w:after="0" w:line="271"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260" w:hanging="253"/>
        <w:spacing w:after="0" w:line="267" w:lineRule="auto"/>
        <w:tabs>
          <w:tab w:leader="none" w:pos="2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December 31, 2024, 39.56% of its total investments are non-qualifying assets, excluding cash and short-term US treasuries.</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77" w:lineRule="exact"/>
        <w:rPr>
          <w:sz w:val="20"/>
          <w:szCs w:val="20"/>
          <w:color w:val="auto"/>
        </w:rPr>
      </w:pPr>
    </w:p>
    <w:p>
      <w:pPr>
        <w:jc w:val="both"/>
        <w:ind w:left="260" w:hanging="253"/>
        <w:spacing w:after="0" w:line="255" w:lineRule="auto"/>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9" w:lineRule="exact"/>
        <w:rPr>
          <w:rFonts w:ascii="Times New Roman" w:cs="Times New Roman" w:eastAsia="Times New Roman" w:hAnsi="Times New Roman"/>
          <w:sz w:val="15"/>
          <w:szCs w:val="15"/>
          <w:color w:val="auto"/>
        </w:rPr>
      </w:pPr>
    </w:p>
    <w:p>
      <w:pPr>
        <w:jc w:val="both"/>
        <w:ind w:left="260" w:hanging="253"/>
        <w:spacing w:after="0" w:line="255" w:lineRule="auto"/>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9"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77" w:lineRule="exact"/>
        <w:rPr>
          <w:rFonts w:ascii="Times New Roman" w:cs="Times New Roman" w:eastAsia="Times New Roman" w:hAnsi="Times New Roman"/>
          <w:sz w:val="15"/>
          <w:szCs w:val="15"/>
          <w:color w:val="auto"/>
        </w:rPr>
      </w:pPr>
    </w:p>
    <w:p>
      <w:pPr>
        <w:jc w:val="both"/>
        <w:ind w:left="260" w:hanging="253"/>
        <w:spacing w:after="0" w:line="251" w:lineRule="auto"/>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ownership percentage in PSQ Holdings, Inc. (d/b/a PublicSquare) decreased to below 5% and as such, PSQ Holdings, Inc. (d/b/a PublicSquare) was no longer classified as an “affiliate investment” as of September 30, 2024. As such, the Company has reflected a “transfer out” of the “Non-Controlled/Affiliate Investment” category above as of September 30, 2024 to indicate that the investment in PSQ Holdings, Inc. (d/b/a PublicSquare), while still held as of December 31, 2024, does not meet the criteria of an affiliate investment as defined in the 1940 Act.</w:t>
      </w:r>
    </w:p>
    <w:p>
      <w:pPr>
        <w:spacing w:after="0" w:line="15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Transactions during the year ended December 31, 2023 involving the Company’s controlled investments and non-controlled/affiliate investments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Interest,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Purchases,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Fees, or</w:t>
            </w:r>
          </w:p>
        </w:tc>
        <w:tc>
          <w:tcPr>
            <w:tcW w:w="8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Capitalized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Dividends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3"/>
              </w:rPr>
              <w:t>Fees,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5"/>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80" w:type="dxa"/>
            <w:vAlign w:val="bottom"/>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60" w:type="dxa"/>
            <w:vAlign w:val="bottom"/>
          </w:tcPr>
          <w:p>
            <w:pPr>
              <w:spacing w:after="0"/>
              <w:rPr>
                <w:sz w:val="15"/>
                <w:szCs w:val="15"/>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Credited</w:t>
            </w:r>
          </w:p>
        </w:tc>
        <w:tc>
          <w:tcPr>
            <w:tcW w:w="8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December</w:t>
            </w:r>
          </w:p>
        </w:tc>
        <w:tc>
          <w:tcPr>
            <w:tcW w:w="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Interest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1"/>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Quantity</w:t>
            </w:r>
          </w:p>
        </w:tc>
        <w:tc>
          <w:tcPr>
            <w:tcW w:w="60" w:type="dxa"/>
            <w:vAlign w:val="bottom"/>
          </w:tcPr>
          <w:p>
            <w:pPr>
              <w:spacing w:after="0"/>
              <w:rPr>
                <w:sz w:val="16"/>
                <w:szCs w:val="16"/>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in Income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5"/>
              </w:rPr>
              <w:t>31, 2022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4"/>
              </w:rPr>
              <w:t>In/ (Out)</w:t>
            </w: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Amortization</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Sales</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80" w:type="dxa"/>
            <w:vAlign w:val="bottom"/>
          </w:tcPr>
          <w:p>
            <w:pPr>
              <w:spacing w:after="0"/>
              <w:rPr>
                <w:sz w:val="16"/>
                <w:szCs w:val="16"/>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8"/>
              </w:rPr>
              <w:t>31, 2023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11"/>
        </w:trPr>
        <w:tc>
          <w:tcPr>
            <w:tcW w:w="2220" w:type="dxa"/>
            <w:vAlign w:val="bottom"/>
            <w:tcBorders>
              <w:top w:val="single" w:sz="8" w:color="auto"/>
              <w:bottom w:val="single" w:sz="8" w:color="auto"/>
            </w:tcBorders>
            <w:vMerge w:val="restart"/>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w w:val="96"/>
              </w:rPr>
              <w:t>CONTROLLED INVESTMENTS*</w:t>
            </w:r>
          </w:p>
        </w:tc>
        <w:tc>
          <w:tcPr>
            <w:tcW w:w="1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3"/>
              </w:rPr>
              <w:t>(2)</w:t>
            </w:r>
          </w:p>
        </w:tc>
        <w:tc>
          <w:tcPr>
            <w:tcW w:w="120" w:type="dxa"/>
            <w:vAlign w:val="bottom"/>
            <w:tcBorders>
              <w:top w:val="single" w:sz="8" w:color="auto"/>
              <w:bottom w:val="single" w:sz="8" w:color="auto"/>
            </w:tcBorders>
            <w:vMerge w:val="restart"/>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82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22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w w:val="99"/>
              </w:rPr>
              <w:t>Special Purpose Acquisition Company</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3"/>
          </w:tcPr>
          <w:p>
            <w:pPr>
              <w:ind w:left="300"/>
              <w:spacing w:after="0" w:line="160" w:lineRule="exact"/>
              <w:rPr>
                <w:sz w:val="20"/>
                <w:szCs w:val="20"/>
                <w:color w:val="auto"/>
              </w:rPr>
            </w:pPr>
            <w:r>
              <w:rPr>
                <w:rFonts w:ascii="Times New Roman" w:cs="Times New Roman" w:eastAsia="Times New Roman" w:hAnsi="Times New Roman"/>
                <w:sz w:val="15"/>
                <w:szCs w:val="15"/>
                <w:color w:val="auto"/>
                <w:w w:val="99"/>
              </w:rPr>
              <w:t>Colombier Sponsor II LLC**–Class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W Units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760,651</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(262,347)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498,305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Colombier Sponsor LLC**</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4"/>
                <w:szCs w:val="14"/>
                <w:color w:val="auto"/>
              </w:rPr>
              <w:t xml:space="preserve"> –Class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 Units</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1,157,487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7"/>
              </w:rPr>
              <w:t>(1,159,150)</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1,157,487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7"/>
              </w:rPr>
              <w:t>(1,159,150)</w:t>
            </w: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760,651</w:t>
            </w:r>
          </w:p>
        </w:tc>
        <w:tc>
          <w:tcPr>
            <w:tcW w:w="14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(260,684)</w:t>
            </w: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498,304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SPBRX, INC. (f/k/a GSV</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Sustainability Partners, Inc.)–</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Class A</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14,300,000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984,028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(601,647)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382,381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75"/>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984,028</w:t>
            </w: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(601,647)</w:t>
            </w: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382,381</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SPBRX, INC. (f/k/a GSV</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Sustainability Partners, Inc.)–</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shares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Mobile Finance Technology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Architect Capital PayJoy SPV,</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LLC**–Membership Interest in</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Lending SPV***</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$10,000,000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6"/>
              </w:rPr>
              <w:t>1,331,258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4"/>
              </w:rPr>
              <w:t>10,000,000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7"/>
              </w:rPr>
              <w:t>10,000,000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75"/>
        </w:trPr>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w w:val="99"/>
              </w:rPr>
              <w:t>Special Purpose Acquisition Company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80" w:type="dxa"/>
            <w:vAlign w:val="bottom"/>
            <w:gridSpan w:val="3"/>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w w:val="99"/>
              </w:rPr>
              <w:t>Colombier Sponsor II LLC**–Class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 Units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842,289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259,406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193"/>
        </w:trPr>
        <w:tc>
          <w:tcPr>
            <w:tcW w:w="2480" w:type="dxa"/>
            <w:vAlign w:val="bottom"/>
            <w:gridSpan w:val="3"/>
          </w:tcPr>
          <w:p>
            <w:pPr>
              <w:ind w:left="300"/>
              <w:spacing w:after="0" w:line="192" w:lineRule="exact"/>
              <w:rPr>
                <w:sz w:val="20"/>
                <w:szCs w:val="20"/>
                <w:color w:val="auto"/>
              </w:rPr>
            </w:pPr>
            <w:r>
              <w:rPr>
                <w:rFonts w:ascii="Times New Roman" w:cs="Times New Roman" w:eastAsia="Times New Roman" w:hAnsi="Times New Roman"/>
                <w:sz w:val="14"/>
                <w:szCs w:val="14"/>
                <w:color w:val="auto"/>
              </w:rPr>
              <w:t>Colombier Sponsor LLC**</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4"/>
                <w:szCs w:val="14"/>
                <w:color w:val="auto"/>
              </w:rPr>
              <w:t xml:space="preserve"> –Class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B Units</w:t>
            </w: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1,554,355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7"/>
              </w:rPr>
              <w:t>(1,556,587)</w:t>
            </w:r>
          </w:p>
        </w:tc>
        <w:tc>
          <w:tcPr>
            <w:tcW w:w="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6"/>
              </w:rPr>
              <w:t>1,331,258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4"/>
              </w:rPr>
              <w:t>11,554,355</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7"/>
              </w:rPr>
              <w:t>(1,556,587)</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842,289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261,638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7"/>
              </w:rPr>
              <w:t>11,101,695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5.46%</w:t>
            </w:r>
          </w:p>
        </w:tc>
        <w:tc>
          <w:tcPr>
            <w:tcW w:w="0" w:type="dxa"/>
            <w:vAlign w:val="bottom"/>
          </w:tcPr>
          <w:p>
            <w:pPr>
              <w:spacing w:after="0"/>
              <w:rPr>
                <w:sz w:val="1"/>
                <w:szCs w:val="1"/>
                <w:color w:val="auto"/>
              </w:rPr>
            </w:pPr>
          </w:p>
        </w:tc>
      </w:tr>
      <w:tr>
        <w:trPr>
          <w:trHeight w:val="140"/>
        </w:trPr>
        <w:tc>
          <w:tcPr>
            <w:tcW w:w="2480" w:type="dxa"/>
            <w:vAlign w:val="bottom"/>
            <w:gridSpan w:val="3"/>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TOTAL CONTROLLED</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4"/>
                <w:szCs w:val="24"/>
                <w:b w:val="1"/>
                <w:bCs w:val="1"/>
                <w:color w:val="auto"/>
                <w:vertAlign w:val="superscript"/>
              </w:rPr>
              <w:t>(2)</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6"/>
              </w:rPr>
              <w:t>1,831,258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4"/>
              </w:rPr>
              <w:t>13,695,870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7"/>
              </w:rPr>
              <w:t>(2,715,737)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(600,693)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7"/>
              </w:rPr>
              <w:t>11,982,380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5.89%</w:t>
            </w:r>
          </w:p>
        </w:tc>
        <w:tc>
          <w:tcPr>
            <w:tcW w:w="0" w:type="dxa"/>
            <w:vAlign w:val="bottom"/>
          </w:tcPr>
          <w:p>
            <w:pPr>
              <w:spacing w:after="0"/>
              <w:rPr>
                <w:sz w:val="1"/>
                <w:szCs w:val="1"/>
                <w:color w:val="auto"/>
              </w:rPr>
            </w:pPr>
          </w:p>
        </w:tc>
      </w:tr>
      <w:tr>
        <w:trPr>
          <w:trHeight w:val="272"/>
        </w:trPr>
        <w:tc>
          <w:tcPr>
            <w:tcW w:w="2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gridSpan w:val="6"/>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14"/>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6"/>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NOTES TO CONSOLIDATED FINANCIAL STATEMENTS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10"/>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December 31, 2024</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Purchases,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Capitalized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3"/>
              </w:rPr>
              <w:t>Dividends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Transfer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Fees,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5"/>
        </w:trPr>
        <w:tc>
          <w:tcPr>
            <w:tcW w:w="282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Principal/</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In/</w:t>
            </w:r>
          </w:p>
        </w:tc>
        <w:tc>
          <w:tcPr>
            <w:tcW w:w="6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Interest and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8"/>
              </w:rPr>
              <w:t>Realized</w:t>
            </w:r>
          </w:p>
        </w:tc>
        <w:tc>
          <w:tcPr>
            <w:tcW w:w="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1"/>
        </w:trPr>
        <w:tc>
          <w:tcPr>
            <w:tcW w:w="282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Quantity</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4"/>
              </w:rPr>
              <w:t>in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(Out)</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8"/>
              </w:rPr>
              <w:t>Sales</w:t>
            </w:r>
          </w:p>
        </w:tc>
        <w:tc>
          <w:tcPr>
            <w:tcW w:w="8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3"/>
        </w:trPr>
        <w:tc>
          <w:tcPr>
            <w:tcW w:w="2240" w:type="dxa"/>
            <w:vAlign w:val="bottom"/>
            <w:tcBorders>
              <w:top w:val="single" w:sz="8" w:color="auto"/>
              <w:bottom w:val="single" w:sz="8" w:color="auto"/>
            </w:tcBorders>
            <w:gridSpan w:val="4"/>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w w:val="96"/>
              </w:rPr>
              <w:t>NON-CONTROLLED/AFFILIATE</w:t>
            </w: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INVESTMENTS*</w:t>
            </w:r>
          </w:p>
        </w:tc>
        <w:tc>
          <w:tcPr>
            <w:tcW w:w="1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w w:val="85"/>
              </w:rPr>
              <w:t>(1)</w:t>
            </w:r>
          </w:p>
        </w:tc>
        <w:tc>
          <w:tcPr>
            <w:tcW w:w="1540" w:type="dxa"/>
            <w:vAlign w:val="bottom"/>
            <w:tcBorders>
              <w:bottom w:val="single" w:sz="8" w:color="CCEEFF"/>
            </w:tcBorders>
            <w:gridSpan w:val="4"/>
            <w:vMerge w:val="restart"/>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114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540" w:type="dxa"/>
            <w:vAlign w:val="bottom"/>
            <w:tcBorders>
              <w:bottom w:val="single" w:sz="8" w:color="CCEEFF"/>
            </w:tcBorders>
            <w:gridSpan w:val="4"/>
            <w:vMerge w:val="continue"/>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2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Debt Investments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gridSpan w:val="6"/>
          </w:tcPr>
          <w:p>
            <w:pPr>
              <w:ind w:left="300"/>
              <w:spacing w:after="0" w:line="160" w:lineRule="exact"/>
              <w:rPr>
                <w:sz w:val="20"/>
                <w:szCs w:val="20"/>
                <w:color w:val="auto"/>
              </w:rPr>
            </w:pPr>
            <w:r>
              <w:rPr>
                <w:rFonts w:ascii="Times New Roman" w:cs="Times New Roman" w:eastAsia="Times New Roman" w:hAnsi="Times New Roman"/>
                <w:sz w:val="15"/>
                <w:szCs w:val="15"/>
                <w:color w:val="auto"/>
              </w:rPr>
              <w:t>OneValley, Inc. (f/k/a NestGSV, Inc.) –</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Convertible Promissory Note 8%, Due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140" w:type="dxa"/>
            <w:vAlign w:val="bottom"/>
          </w:tcPr>
          <w:p>
            <w:pPr>
              <w:ind w:left="300"/>
              <w:spacing w:after="0" w:line="220"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$ 1,010,198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2"/>
              </w:rPr>
              <w:t>$ 1,988,200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(720,805)</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8"/>
              </w:rPr>
              <w:t>$  1,267,395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Investments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1,988,200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(720,805)</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1,267,395</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75"/>
        </w:trPr>
        <w:tc>
          <w:tcPr>
            <w:tcW w:w="282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20" w:type="dxa"/>
            <w:vAlign w:val="bottom"/>
            <w:gridSpan w:val="6"/>
          </w:tcPr>
          <w:p>
            <w:pPr>
              <w:ind w:left="300"/>
              <w:spacing w:after="0" w:line="160" w:lineRule="exact"/>
              <w:rPr>
                <w:sz w:val="20"/>
                <w:szCs w:val="20"/>
                <w:color w:val="auto"/>
              </w:rPr>
            </w:pPr>
            <w:r>
              <w:rPr>
                <w:rFonts w:ascii="Times New Roman" w:cs="Times New Roman" w:eastAsia="Times New Roman" w:hAnsi="Times New Roman"/>
                <w:sz w:val="15"/>
                <w:szCs w:val="15"/>
                <w:color w:val="auto"/>
              </w:rPr>
              <w:t>Maven Research, Inc.–Preferred shares,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Series C</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318,979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820" w:type="dxa"/>
            <w:vAlign w:val="bottom"/>
            <w:gridSpan w:val="6"/>
            <w:shd w:val="clear" w:color="auto" w:fill="CCEEFF"/>
          </w:tcPr>
          <w:p>
            <w:pPr>
              <w:ind w:left="300"/>
              <w:spacing w:after="0" w:line="160" w:lineRule="exact"/>
              <w:rPr>
                <w:sz w:val="20"/>
                <w:szCs w:val="20"/>
                <w:color w:val="auto"/>
              </w:rPr>
            </w:pPr>
            <w:r>
              <w:rPr>
                <w:rFonts w:ascii="Times New Roman" w:cs="Times New Roman" w:eastAsia="Times New Roman" w:hAnsi="Times New Roman"/>
                <w:sz w:val="15"/>
                <w:szCs w:val="15"/>
                <w:color w:val="auto"/>
              </w:rPr>
              <w:t>Maven Research, Inc.–Preferred shares,</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82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Series B</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8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Digital Media Platform</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gridSpan w:val="6"/>
          </w:tcPr>
          <w:p>
            <w:pPr>
              <w:ind w:left="300"/>
              <w:spacing w:after="0" w:line="19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 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Series C-2 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(2,414,178)</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2,414,178</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2820" w:type="dxa"/>
            <w:vAlign w:val="bottom"/>
            <w:gridSpan w:val="6"/>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 Preferred shares,</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Series B 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(4,999,999)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4,999,999</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2820" w:type="dxa"/>
            <w:vAlign w:val="bottom"/>
            <w:gridSpan w:val="6"/>
          </w:tcPr>
          <w:p>
            <w:pPr>
              <w:ind w:left="300"/>
              <w:spacing w:after="0" w:line="19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 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Series A 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(3,000,200)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3,000,200</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2820" w:type="dxa"/>
            <w:vAlign w:val="bottom"/>
            <w:gridSpan w:val="6"/>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 Preferred shares,</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2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Series Seed 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(500,000)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500,000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8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Digital Media Platform</w:t>
            </w: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(10,914,377)</w:t>
            </w: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10,914,377</w:t>
            </w:r>
          </w:p>
        </w:tc>
        <w:tc>
          <w:tcPr>
            <w:tcW w:w="140" w:type="dxa"/>
            <w:vAlign w:val="bottom"/>
            <w:vMerge w:val="continue"/>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gridSpan w:val="6"/>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 xml:space="preserve"> – 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Series D 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533,429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120,546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653,975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93"/>
        </w:trPr>
        <w:tc>
          <w:tcPr>
            <w:tcW w:w="2820" w:type="dxa"/>
            <w:vAlign w:val="bottom"/>
            <w:gridSpan w:val="6"/>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 xml:space="preserve"> – Preferred shares,</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Series C 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2,779,134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5,675,081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1,129,852</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6,804,933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0" w:type="dxa"/>
            <w:vAlign w:val="bottom"/>
          </w:tcPr>
          <w:p>
            <w:pPr>
              <w:spacing w:after="0"/>
              <w:rPr>
                <w:sz w:val="1"/>
                <w:szCs w:val="1"/>
                <w:color w:val="auto"/>
              </w:rPr>
            </w:pPr>
          </w:p>
        </w:tc>
      </w:tr>
      <w:tr>
        <w:trPr>
          <w:trHeight w:val="193"/>
        </w:trPr>
        <w:tc>
          <w:tcPr>
            <w:tcW w:w="2820" w:type="dxa"/>
            <w:vAlign w:val="bottom"/>
            <w:gridSpan w:val="6"/>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 xml:space="preserve"> – Preferred shares,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Series B 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3,279,629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3,550,631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1,200,433</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4,751,064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93"/>
        </w:trPr>
        <w:tc>
          <w:tcPr>
            <w:tcW w:w="2820" w:type="dxa"/>
            <w:vAlign w:val="bottom"/>
            <w:gridSpan w:val="6"/>
            <w:shd w:val="clear" w:color="auto" w:fill="CCEEFF"/>
          </w:tcPr>
          <w:p>
            <w:pPr>
              <w:ind w:left="300"/>
              <w:spacing w:after="0" w:line="19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 xml:space="preserve"> – Preferred shares,</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2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Series A 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191,694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134,209</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325,903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20"/>
        </w:trPr>
        <w:tc>
          <w:tcPr>
            <w:tcW w:w="28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9,950,835</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2,585,040</w:t>
            </w:r>
          </w:p>
        </w:tc>
        <w:tc>
          <w:tcPr>
            <w:tcW w:w="140" w:type="dxa"/>
            <w:vAlign w:val="bottom"/>
            <w:vMerge w:val="continue"/>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12,535,875</w:t>
            </w: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75"/>
        </w:trPr>
        <w:tc>
          <w:tcPr>
            <w:tcW w:w="2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9,950,835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(10,914,377)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13,499,417</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12,535,875</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371"/>
        </w:trPr>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center"/>
              <w:ind w:left="127"/>
              <w:spacing w:after="0"/>
              <w:rPr>
                <w:sz w:val="20"/>
                <w:szCs w:val="20"/>
                <w:color w:val="auto"/>
              </w:rPr>
            </w:pPr>
            <w:r>
              <w:rPr>
                <w:rFonts w:ascii="Times New Roman" w:cs="Times New Roman" w:eastAsia="Times New Roman" w:hAnsi="Times New Roman"/>
                <w:sz w:val="15"/>
                <w:szCs w:val="15"/>
                <w:color w:val="auto"/>
                <w:w w:val="97"/>
              </w:rPr>
              <w:t>104</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96" w:right="31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14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10"/>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4"/>
          </w:tcPr>
          <w:p>
            <w:pPr>
              <w:jc w:val="center"/>
              <w:ind w:right="587"/>
              <w:spacing w:after="0"/>
              <w:rPr>
                <w:sz w:val="20"/>
                <w:szCs w:val="20"/>
                <w:color w:val="auto"/>
              </w:rPr>
            </w:pPr>
            <w:r>
              <w:rPr>
                <w:rFonts w:ascii="Times New Roman" w:cs="Times New Roman" w:eastAsia="Times New Roman" w:hAnsi="Times New Roman"/>
                <w:sz w:val="15"/>
                <w:szCs w:val="15"/>
                <w:b w:val="1"/>
                <w:bCs w:val="1"/>
                <w:color w:val="auto"/>
                <w:w w:val="96"/>
              </w:rPr>
              <w:t>NOTES TO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6"/>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December 31, 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Purchases,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Fair Value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Capitalized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3"/>
              </w:rPr>
              <w:t>Fees,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75"/>
        </w:trPr>
        <w:tc>
          <w:tcPr>
            <w:tcW w:w="25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4"/>
              </w:rPr>
              <w:t>Principal/</w:t>
            </w:r>
          </w:p>
        </w:tc>
        <w:tc>
          <w:tcPr>
            <w:tcW w:w="6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Transfer</w:t>
            </w: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Interest and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14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Unrealized</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5"/>
              </w:rPr>
              <w:t>December</w:t>
            </w:r>
          </w:p>
        </w:tc>
        <w:tc>
          <w:tcPr>
            <w:tcW w:w="80" w:type="dxa"/>
            <w:vAlign w:val="bottom"/>
          </w:tcPr>
          <w:p>
            <w:pPr>
              <w:spacing w:after="0"/>
              <w:rPr>
                <w:sz w:val="15"/>
                <w:szCs w:val="15"/>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191"/>
        </w:trPr>
        <w:tc>
          <w:tcPr>
            <w:tcW w:w="25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6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4"/>
              </w:rPr>
              <w:t>in 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31, 2022</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In/ (Out)</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Gains/(Losses)</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4"/>
              </w:rPr>
              <w:t>Gains/(Losses)</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31, 2023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77"/>
        </w:trPr>
        <w:tc>
          <w:tcPr>
            <w:tcW w:w="2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Digital Media Platform</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gridSpan w:val="3"/>
          </w:tcPr>
          <w:p>
            <w:pPr>
              <w:ind w:left="300"/>
              <w:spacing w:after="0" w:line="19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 Common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Warrants, Strike Price $0.01,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Expiration Date 4/9/2028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58"/>
              <w:spacing w:after="0"/>
              <w:rPr>
                <w:sz w:val="20"/>
                <w:szCs w:val="20"/>
                <w:color w:val="auto"/>
              </w:rPr>
            </w:pPr>
            <w:r>
              <w:rPr>
                <w:rFonts w:ascii="Times New Roman" w:cs="Times New Roman" w:eastAsia="Times New Roman" w:hAnsi="Times New Roman"/>
                <w:sz w:val="15"/>
                <w:szCs w:val="15"/>
                <w:color w:val="auto"/>
              </w:rPr>
              <w:t>(30,647)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30,647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40" w:type="dxa"/>
            <w:vAlign w:val="bottom"/>
            <w:gridSpan w:val="3"/>
          </w:tcPr>
          <w:p>
            <w:pPr>
              <w:ind w:left="300"/>
              <w:spacing w:after="0" w:line="160" w:lineRule="exact"/>
              <w:rPr>
                <w:sz w:val="20"/>
                <w:szCs w:val="20"/>
                <w:color w:val="auto"/>
              </w:rPr>
            </w:pPr>
            <w:r>
              <w:rPr>
                <w:rFonts w:ascii="Times New Roman" w:cs="Times New Roman" w:eastAsia="Times New Roman" w:hAnsi="Times New Roman"/>
                <w:sz w:val="15"/>
                <w:szCs w:val="15"/>
                <w:color w:val="auto"/>
              </w:rPr>
              <w:t>OneValley, Inc. (f/k/a NestGSV,</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Inc.)–Preferred Warrant Series B,</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Strike Price $2.31, Expiration Date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12/31/2023</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58"/>
              <w:spacing w:after="0"/>
              <w:rPr>
                <w:sz w:val="20"/>
                <w:szCs w:val="20"/>
                <w:color w:val="auto"/>
              </w:rPr>
            </w:pPr>
            <w:r>
              <w:rPr>
                <w:rFonts w:ascii="Times New Roman" w:cs="Times New Roman" w:eastAsia="Times New Roman" w:hAnsi="Times New Roman"/>
                <w:sz w:val="15"/>
                <w:szCs w:val="15"/>
                <w:color w:val="auto"/>
              </w:rPr>
              <w:t>(5,080)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5,080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0"/>
        </w:trPr>
        <w:tc>
          <w:tcPr>
            <w:tcW w:w="2540" w:type="dxa"/>
            <w:vAlign w:val="bottom"/>
            <w:tcBorders>
              <w:top w:val="single" w:sz="8" w:color="CCEEFF"/>
            </w:tcBorders>
            <w:gridSpan w:val="3"/>
            <w:shd w:val="clear" w:color="auto" w:fill="CCEEFF"/>
          </w:tcPr>
          <w:p>
            <w:pPr>
              <w:ind w:left="300"/>
              <w:spacing w:after="0" w:line="140" w:lineRule="exact"/>
              <w:rPr>
                <w:sz w:val="20"/>
                <w:szCs w:val="20"/>
                <w:color w:val="auto"/>
              </w:rPr>
            </w:pPr>
            <w:r>
              <w:rPr>
                <w:rFonts w:ascii="Times New Roman" w:cs="Times New Roman" w:eastAsia="Times New Roman" w:hAnsi="Times New Roman"/>
                <w:sz w:val="15"/>
                <w:szCs w:val="15"/>
                <w:color w:val="auto"/>
              </w:rPr>
              <w:t>OneValley, Inc. (f/k/a NestGSV,</w:t>
            </w: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5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w w:val="99"/>
              </w:rPr>
              <w:t>Inc.)–Derivative Security, Expiration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40" w:type="dxa"/>
            <w:vAlign w:val="bottom"/>
            <w:gridSpan w:val="3"/>
            <w:shd w:val="clear" w:color="auto" w:fill="CCEEFF"/>
          </w:tcPr>
          <w:p>
            <w:pPr>
              <w:ind w:left="300"/>
              <w:spacing w:after="0" w:line="232" w:lineRule="exact"/>
              <w:rPr>
                <w:sz w:val="20"/>
                <w:szCs w:val="20"/>
                <w:color w:val="auto"/>
              </w:rPr>
            </w:pPr>
            <w:r>
              <w:rPr>
                <w:rFonts w:ascii="Times New Roman" w:cs="Times New Roman" w:eastAsia="Times New Roman" w:hAnsi="Times New Roman"/>
                <w:sz w:val="15"/>
                <w:szCs w:val="15"/>
                <w:color w:val="auto"/>
              </w:rPr>
              <w:t>Date 8/23/2024</w:t>
            </w:r>
            <w:r>
              <w:rPr>
                <w:rFonts w:ascii="Times New Roman" w:cs="Times New Roman" w:eastAsia="Times New Roman" w:hAnsi="Times New Roman"/>
                <w:sz w:val="24"/>
                <w:szCs w:val="24"/>
                <w:color w:val="auto"/>
                <w:vertAlign w:val="superscript"/>
              </w:rPr>
              <w:t>(5)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652,127</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(31,200)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620,927</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Total Global Innovation Platform</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54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652,127</w:t>
            </w:r>
          </w:p>
        </w:tc>
        <w:tc>
          <w:tcPr>
            <w:tcW w:w="12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(5,080)</w:t>
            </w:r>
          </w:p>
        </w:tc>
        <w:tc>
          <w:tcPr>
            <w:tcW w:w="140" w:type="dxa"/>
            <w:vAlign w:val="bottom"/>
            <w:vMerge w:val="continue"/>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(26,120)</w:t>
            </w:r>
          </w:p>
        </w:tc>
        <w:tc>
          <w:tcPr>
            <w:tcW w:w="140" w:type="dxa"/>
            <w:vAlign w:val="bottom"/>
            <w:vMerge w:val="continue"/>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620,927</w:t>
            </w: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3"/>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75"/>
        </w:trPr>
        <w:tc>
          <w:tcPr>
            <w:tcW w:w="2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PSQ Holdings, Inc. (d/b/a</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4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5"/>
                <w:szCs w:val="15"/>
                <w:color w:val="auto"/>
              </w:rPr>
              <w:t xml:space="preserve"> – Warrants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2,396,037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1,159,150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(318,368)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187,872</w:t>
            </w: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936,096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1,964,750</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0.97%</w:t>
            </w:r>
          </w:p>
        </w:tc>
        <w:tc>
          <w:tcPr>
            <w:tcW w:w="0" w:type="dxa"/>
            <w:vAlign w:val="bottom"/>
          </w:tcPr>
          <w:p>
            <w:pPr>
              <w:spacing w:after="0"/>
              <w:rPr>
                <w:sz w:val="1"/>
                <w:szCs w:val="1"/>
                <w:color w:val="auto"/>
              </w:rPr>
            </w:pPr>
          </w:p>
        </w:tc>
      </w:tr>
      <w:tr>
        <w:trPr>
          <w:trHeight w:val="18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652,127</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1,159,150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(318,368)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152,145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940,623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2,585,677</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66"/>
        </w:trPr>
        <w:tc>
          <w:tcPr>
            <w:tcW w:w="2540" w:type="dxa"/>
            <w:vAlign w:val="bottom"/>
            <w:tcBorders>
              <w:bottom w:val="single" w:sz="8" w:color="CCEEFF"/>
            </w:tcBorders>
            <w:gridSpan w:val="3"/>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5"/>
                <w:szCs w:val="15"/>
                <w:i w:val="1"/>
                <w:iCs w:val="1"/>
                <w:color w:val="auto"/>
              </w:rPr>
              <w:t>Online Education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Curious.com, Inc.–Common shares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1,135,944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PSQ Holdings, Inc. (d/b/a</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40" w:type="dxa"/>
            <w:vAlign w:val="bottom"/>
            <w:gridSpan w:val="3"/>
          </w:tcPr>
          <w:p>
            <w:pPr>
              <w:ind w:left="300"/>
              <w:spacing w:after="0" w:line="205" w:lineRule="exact"/>
              <w:rPr>
                <w:sz w:val="20"/>
                <w:szCs w:val="20"/>
                <w:color w:val="auto"/>
              </w:rPr>
            </w:pPr>
            <w:r>
              <w:rPr>
                <w:rFonts w:ascii="Times New Roman" w:cs="Times New Roman" w:eastAsia="Times New Roman" w:hAnsi="Times New Roman"/>
                <w:sz w:val="14"/>
                <w:szCs w:val="14"/>
                <w:color w:val="auto"/>
              </w:rPr>
              <w:t>PublicSquare)**</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color w:val="auto"/>
              </w:rPr>
              <w:t xml:space="preserve"> – Class A</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Common shares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1,976,032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1,556,587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6,985,799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8,542,386</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8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1,556,587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6,985,799</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8,542,386</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38"/>
        </w:trPr>
        <w:tc>
          <w:tcPr>
            <w:tcW w:w="2540" w:type="dxa"/>
            <w:vAlign w:val="bottom"/>
            <w:gridSpan w:val="3"/>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TOTAL NON-</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5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CONTROLLED/AFFILIATE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40" w:type="dxa"/>
            <w:vAlign w:val="bottom"/>
            <w:gridSpan w:val="3"/>
          </w:tcPr>
          <w:p>
            <w:pPr>
              <w:spacing w:after="0" w:line="179" w:lineRule="exact"/>
              <w:rPr>
                <w:sz w:val="20"/>
                <w:szCs w:val="20"/>
                <w:color w:val="auto"/>
              </w:rPr>
            </w:pPr>
            <w:r>
              <w:rPr>
                <w:rFonts w:ascii="Times New Roman" w:cs="Times New Roman" w:eastAsia="Times New Roman" w:hAnsi="Times New Roman"/>
                <w:sz w:val="13"/>
                <w:szCs w:val="13"/>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vMerge w:val="restart"/>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95"/>
              </w:rPr>
              <w:t>$</w:t>
            </w:r>
            <w:r>
              <w:rPr>
                <w:rFonts w:ascii="Times New Roman" w:cs="Times New Roman" w:eastAsia="Times New Roman" w:hAnsi="Times New Roman"/>
                <w:sz w:val="15"/>
                <w:szCs w:val="15"/>
                <w:b w:val="1"/>
                <w:bCs w:val="1"/>
                <w:color w:val="auto"/>
                <w:w w:val="95"/>
              </w:rPr>
              <w:t>12,591,162</w:t>
            </w: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$ 2,715,737</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  (10,762,233</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  20,705,035</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u w:val="single" w:color="auto"/>
                <w:color w:val="auto"/>
                <w:w w:val="95"/>
              </w:rPr>
              <w:t>$</w:t>
            </w:r>
            <w:r>
              <w:rPr>
                <w:rFonts w:ascii="Times New Roman" w:cs="Times New Roman" w:eastAsia="Times New Roman" w:hAnsi="Times New Roman"/>
                <w:sz w:val="15"/>
                <w:szCs w:val="15"/>
                <w:b w:val="1"/>
                <w:bCs w:val="1"/>
                <w:color w:val="auto"/>
                <w:w w:val="95"/>
              </w:rPr>
              <w:t>24,931,333</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1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00" w:type="dxa"/>
            <w:vAlign w:val="bottom"/>
            <w:gridSpan w:val="2"/>
          </w:tcPr>
          <w:p>
            <w:pPr>
              <w:jc w:val="right"/>
              <w:ind w:right="100"/>
              <w:spacing w:after="0" w:line="66" w:lineRule="exact"/>
              <w:rPr>
                <w:sz w:val="20"/>
                <w:szCs w:val="20"/>
                <w:color w:val="auto"/>
              </w:rPr>
            </w:pPr>
            <w:r>
              <w:rPr>
                <w:rFonts w:ascii="Times New Roman" w:cs="Times New Roman" w:eastAsia="Times New Roman" w:hAnsi="Times New Roman"/>
                <w:sz w:val="7"/>
                <w:szCs w:val="7"/>
                <w:b w:val="1"/>
                <w:bCs w:val="1"/>
                <w:u w:val="single" w:color="auto"/>
                <w:color w:val="auto"/>
              </w:rPr>
              <w:t>$</w:t>
            </w:r>
            <w:r>
              <w:rPr>
                <w:rFonts w:ascii="Times New Roman" w:cs="Times New Roman" w:eastAsia="Times New Roman" w:hAnsi="Times New Roman"/>
                <w:sz w:val="7"/>
                <w:szCs w:val="7"/>
                <w:b w:val="1"/>
                <w:bCs w:val="1"/>
                <w:color w:val="auto"/>
              </w:rPr>
              <w:t xml:space="preserve"> (318,368</w:t>
            </w: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gridSpan w:val="3"/>
          </w:tcPr>
          <w:p>
            <w:pPr>
              <w:jc w:val="right"/>
              <w:ind w:right="20"/>
              <w:spacing w:after="0" w:line="66" w:lineRule="exact"/>
              <w:rPr>
                <w:sz w:val="20"/>
                <w:szCs w:val="20"/>
                <w:color w:val="auto"/>
              </w:rPr>
            </w:pPr>
            <w:r>
              <w:rPr>
                <w:rFonts w:ascii="Times New Roman" w:cs="Times New Roman" w:eastAsia="Times New Roman" w:hAnsi="Times New Roman"/>
                <w:sz w:val="7"/>
                <w:szCs w:val="7"/>
                <w:b w:val="1"/>
                <w:bCs w:val="1"/>
                <w:color w:val="auto"/>
              </w:rPr>
              <w:t>12.26</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47" w:lineRule="auto"/>
        <w:tabs>
          <w:tab w:leader="none" w:pos="2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ind w:left="260" w:hanging="253"/>
        <w:spacing w:after="0" w:line="267" w:lineRule="auto"/>
        <w:tabs>
          <w:tab w:leader="none" w:pos="2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December 31, 2023, 14.03% of its total investments are non-qualifying assets.</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77" w:lineRule="exact"/>
        <w:rPr>
          <w:sz w:val="20"/>
          <w:szCs w:val="20"/>
          <w:color w:val="auto"/>
        </w:rPr>
      </w:pPr>
    </w:p>
    <w:p>
      <w:pPr>
        <w:jc w:val="both"/>
        <w:ind w:left="260" w:hanging="253"/>
        <w:spacing w:after="0" w:line="255" w:lineRule="auto"/>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9" w:lineRule="exact"/>
        <w:rPr>
          <w:rFonts w:ascii="Times New Roman" w:cs="Times New Roman" w:eastAsia="Times New Roman" w:hAnsi="Times New Roman"/>
          <w:sz w:val="15"/>
          <w:szCs w:val="15"/>
          <w:color w:val="auto"/>
        </w:rPr>
      </w:pPr>
    </w:p>
    <w:p>
      <w:pPr>
        <w:jc w:val="both"/>
        <w:ind w:left="260" w:hanging="253"/>
        <w:spacing w:after="0" w:line="255" w:lineRule="auto"/>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9"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investments noted had been placed on non-accrual status.</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77" w:lineRule="exact"/>
        <w:rPr>
          <w:rFonts w:ascii="Times New Roman" w:cs="Times New Roman" w:eastAsia="Times New Roman" w:hAnsi="Times New Roman"/>
          <w:sz w:val="15"/>
          <w:szCs w:val="15"/>
          <w:color w:val="auto"/>
        </w:rPr>
      </w:pPr>
    </w:p>
    <w:p>
      <w:pPr>
        <w:jc w:val="both"/>
        <w:ind w:left="260" w:hanging="253"/>
        <w:spacing w:after="0" w:line="255" w:lineRule="auto"/>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9" w:lineRule="exact"/>
        <w:rPr>
          <w:rFonts w:ascii="Times New Roman" w:cs="Times New Roman" w:eastAsia="Times New Roman" w:hAnsi="Times New Roman"/>
          <w:sz w:val="15"/>
          <w:szCs w:val="15"/>
          <w:color w:val="auto"/>
        </w:rPr>
      </w:pPr>
    </w:p>
    <w:p>
      <w:pPr>
        <w:jc w:val="both"/>
        <w:ind w:left="260" w:hanging="253"/>
        <w:spacing w:after="0" w:line="251" w:lineRule="auto"/>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5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 2023, Ozy Media, Inc. suspended operations. On May 4, 2023, SuRo Capital Corp. abandoned its investment in Ozy Media,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1"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2024, the Company’s Board of Directors authorized an extension, and increase in the amount of common shares that may be purchased under, of the Company’s discretionary Share Repurchase Program until the earlier of (i) October 31, 2025 or (ii) the repurchase of $64.3 million in aggregate amount of the Company’s common stock.</w:t>
      </w:r>
    </w:p>
    <w:p>
      <w:pPr>
        <w:spacing w:after="0" w:line="158"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During the year ended December 31, 2024, the Company did not repurchase any shares of the Company’s common stock under the Share Repurchase Program. During the year ended December 31, 2023, the Company repurchased 186,493 shares of the Company’s common stock under the Share Repurchase Program. As of December 31, 2024, the dollar value of shares that remained available to be purchased by the Company under the Share Repurchase Program was approximately $25.0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Modified Dutch Auction Tender Offer</w:t>
      </w:r>
    </w:p>
    <w:p>
      <w:pPr>
        <w:spacing w:after="0" w:line="18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On February 20, 2024, the Company commenced a modified “Dutch Auction” tender offer (the “Modified Dutch Auction Tender Offer”) to purchase up to 2,000,000 shares of its common stock from its stockholders, which expired on April 1, 2024. In accordance with the terms of the Modified Dutch Auction Tender Offer, the Company selected the lowest price per share of not less than $4.00 per share and not greater than $5.00 per share.</w:t>
      </w:r>
    </w:p>
    <w:p>
      <w:pPr>
        <w:spacing w:after="0" w:line="149" w:lineRule="exact"/>
        <w:rPr>
          <w:sz w:val="20"/>
          <w:szCs w:val="20"/>
          <w:color w:val="auto"/>
        </w:rPr>
      </w:pPr>
    </w:p>
    <w:p>
      <w:pPr>
        <w:jc w:val="both"/>
        <w:ind w:firstLine="262"/>
        <w:spacing w:after="0" w:line="303" w:lineRule="auto"/>
        <w:rPr>
          <w:sz w:val="20"/>
          <w:szCs w:val="20"/>
          <w:color w:val="auto"/>
        </w:rPr>
      </w:pPr>
      <w:r>
        <w:rPr>
          <w:rFonts w:ascii="Times New Roman" w:cs="Times New Roman" w:eastAsia="Times New Roman" w:hAnsi="Times New Roman"/>
          <w:sz w:val="14"/>
          <w:szCs w:val="14"/>
          <w:color w:val="auto"/>
        </w:rPr>
        <w:t>Pursuant to the Modified Dutch Auction Tender Offer, the Company repurchased 2,000,000 shares, representing 7.9% of its then-outstanding shares, on or about April 5, 2024 at a price of $4.70 per share. The Company used available cash to fund the purchase of its shares of common stock in the Modified Dutch Auction Tender Offer and to pay for all related fees and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2019 Equity Incentive Plan</w:t>
      </w:r>
    </w:p>
    <w:p>
      <w:pPr>
        <w:spacing w:after="0" w:line="18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Refer to “Note 11—Stock-Based Compensation” for a description of the Company’s restricted shares of common stock granted under the Amended &amp; Restated 2019 Equity Incentive Plan (as defined therein).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At-the-Market Offering</w:t>
      </w:r>
    </w:p>
    <w:p>
      <w:pPr>
        <w:spacing w:after="0" w:line="181"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81" w:lineRule="auto"/>
        <w:rPr>
          <w:sz w:val="20"/>
          <w:szCs w:val="20"/>
          <w:color w:val="auto"/>
        </w:rPr>
      </w:pPr>
      <w:r>
        <w:rPr>
          <w:rFonts w:ascii="Times New Roman" w:cs="Times New Roman" w:eastAsia="Times New Roman" w:hAnsi="Times New Roman"/>
          <w:sz w:val="14"/>
          <w:szCs w:val="14"/>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3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4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During the years ended December 31, 2024 and 2023, the Company did not issue or sell Shares under the ATM Program. As of December 31, 2024, up to approximately $98.8 million in aggregate amount of the Shares remain available for sale under the ATM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6—NET CHANGE IN NET ASSETS RESULTING FROM OPERATIONS PER COMMON SHARE—BASIC AND DILUTED</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following information sets forth the computation of basic and diluted net change in net assets resulting from operations per common share, pursuant to ASC 260, for the years ended December 31, 2024,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2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33"/>
        </w:trPr>
        <w:tc>
          <w:tcPr>
            <w:tcW w:w="576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Earnings per common share–basic:</w:t>
            </w:r>
          </w:p>
        </w:tc>
        <w:tc>
          <w:tcPr>
            <w:tcW w:w="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33"/>
        </w:trPr>
        <w:tc>
          <w:tcPr>
            <w:tcW w:w="2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5"/>
        </w:trPr>
        <w:tc>
          <w:tcPr>
            <w:tcW w:w="57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(38,124,247)</w:t>
            </w:r>
          </w:p>
        </w:tc>
        <w:tc>
          <w:tcPr>
            <w:tcW w:w="52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5,066,822</w:t>
            </w:r>
          </w:p>
        </w:tc>
        <w:tc>
          <w:tcPr>
            <w:tcW w:w="32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(132,177,053)</w:t>
            </w:r>
          </w:p>
        </w:tc>
      </w:tr>
      <w:tr>
        <w:trPr>
          <w:trHeight w:val="186"/>
        </w:trPr>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shares–basic</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23,901,805</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26,222,667</w:t>
            </w:r>
          </w:p>
        </w:tc>
        <w:tc>
          <w:tcPr>
            <w:tcW w:w="3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30,023,202</w:t>
            </w:r>
          </w:p>
        </w:tc>
      </w:tr>
      <w:tr>
        <w:trPr>
          <w:trHeight w:val="217"/>
        </w:trPr>
        <w:tc>
          <w:tcPr>
            <w:tcW w:w="5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share–basic</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15"/>
        </w:trPr>
        <w:tc>
          <w:tcPr>
            <w:tcW w:w="5760" w:type="dxa"/>
            <w:vAlign w:val="bottom"/>
            <w:gridSpan w:val="3"/>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Earnings per common share–diluted:</w:t>
            </w:r>
          </w:p>
        </w:tc>
        <w:tc>
          <w:tcPr>
            <w:tcW w:w="3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33"/>
        </w:trPr>
        <w:tc>
          <w:tcPr>
            <w:tcW w:w="2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5"/>
        </w:trPr>
        <w:tc>
          <w:tcPr>
            <w:tcW w:w="57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98"/>
              <w:spacing w:after="0"/>
              <w:rPr>
                <w:sz w:val="20"/>
                <w:szCs w:val="20"/>
                <w:color w:val="auto"/>
              </w:rPr>
            </w:pPr>
            <w:r>
              <w:rPr>
                <w:rFonts w:ascii="Times New Roman" w:cs="Times New Roman" w:eastAsia="Times New Roman" w:hAnsi="Times New Roman"/>
                <w:sz w:val="15"/>
                <w:szCs w:val="15"/>
                <w:color w:val="auto"/>
              </w:rPr>
              <w:t>(38,124,247)</w:t>
            </w:r>
          </w:p>
        </w:tc>
        <w:tc>
          <w:tcPr>
            <w:tcW w:w="52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5,066,822</w:t>
            </w:r>
          </w:p>
        </w:tc>
        <w:tc>
          <w:tcPr>
            <w:tcW w:w="32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(132,177,053)</w:t>
            </w:r>
          </w:p>
        </w:tc>
      </w:tr>
      <w:tr>
        <w:trPr>
          <w:trHeight w:val="218"/>
        </w:trPr>
        <w:tc>
          <w:tcPr>
            <w:tcW w:w="5760" w:type="dxa"/>
            <w:vAlign w:val="bottom"/>
            <w:gridSpan w:val="3"/>
            <w:shd w:val="clear" w:color="auto" w:fill="CCEEFF"/>
          </w:tcPr>
          <w:p>
            <w:pPr>
              <w:ind w:left="160"/>
              <w:spacing w:after="0" w:line="218" w:lineRule="exact"/>
              <w:rPr>
                <w:sz w:val="20"/>
                <w:szCs w:val="20"/>
                <w:color w:val="auto"/>
              </w:rPr>
            </w:pPr>
            <w:r>
              <w:rPr>
                <w:rFonts w:ascii="Times New Roman" w:cs="Times New Roman" w:eastAsia="Times New Roman" w:hAnsi="Times New Roman"/>
                <w:sz w:val="15"/>
                <w:szCs w:val="15"/>
                <w:color w:val="auto"/>
              </w:rPr>
              <w:t>Adjustment for interest and amortization on 6.50% Convertible Notes due 2029</w:t>
            </w:r>
            <w:r>
              <w:rPr>
                <w:rFonts w:ascii="Times New Roman" w:cs="Times New Roman" w:eastAsia="Times New Roman" w:hAnsi="Times New Roman"/>
                <w:sz w:val="24"/>
                <w:szCs w:val="24"/>
                <w:color w:val="auto"/>
                <w:vertAlign w:val="superscript"/>
              </w:rPr>
              <w:t>(1)</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r>
      <w:tr>
        <w:trPr>
          <w:trHeight w:val="166"/>
        </w:trPr>
        <w:tc>
          <w:tcPr>
            <w:tcW w:w="5760" w:type="dxa"/>
            <w:vAlign w:val="bottom"/>
            <w:tcBorders>
              <w:bottom w:val="single" w:sz="8" w:color="CCEEFF"/>
            </w:tcBorders>
            <w:gridSpan w:val="3"/>
          </w:tcPr>
          <w:p>
            <w:pPr>
              <w:ind w:left="160"/>
              <w:spacing w:after="0" w:line="166" w:lineRule="exact"/>
              <w:rPr>
                <w:sz w:val="20"/>
                <w:szCs w:val="20"/>
                <w:color w:val="auto"/>
              </w:rPr>
            </w:pPr>
            <w:r>
              <w:rPr>
                <w:rFonts w:ascii="Times New Roman" w:cs="Times New Roman" w:eastAsia="Times New Roman" w:hAnsi="Times New Roman"/>
                <w:sz w:val="15"/>
                <w:szCs w:val="15"/>
                <w:color w:val="auto"/>
              </w:rPr>
              <w:t>Net change in net assets resulting from operations, as adjusted</w:t>
            </w:r>
          </w:p>
        </w:tc>
        <w:tc>
          <w:tcPr>
            <w:tcW w:w="360" w:type="dxa"/>
            <w:vAlign w:val="bottom"/>
            <w:tcBorders>
              <w:top w:val="single" w:sz="8" w:color="auto"/>
              <w:bottom w:val="single" w:sz="8" w:color="auto"/>
            </w:tcBorders>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(38,124,247</w:t>
            </w:r>
          </w:p>
        </w:tc>
        <w:tc>
          <w:tcPr>
            <w:tcW w:w="1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5,066,822</w:t>
            </w:r>
          </w:p>
        </w:tc>
        <w:tc>
          <w:tcPr>
            <w:tcW w:w="32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(132,177,053</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98"/>
        </w:trPr>
        <w:tc>
          <w:tcPr>
            <w:tcW w:w="5760" w:type="dxa"/>
            <w:vAlign w:val="bottom"/>
            <w:gridSpan w:val="3"/>
            <w:shd w:val="clear" w:color="auto" w:fill="CCEEFF"/>
          </w:tcPr>
          <w:p>
            <w:pPr>
              <w:ind w:left="160"/>
              <w:spacing w:after="0" w:line="199" w:lineRule="exact"/>
              <w:rPr>
                <w:sz w:val="20"/>
                <w:szCs w:val="20"/>
                <w:color w:val="auto"/>
              </w:rPr>
            </w:pPr>
            <w:r>
              <w:rPr>
                <w:rFonts w:ascii="Times New Roman" w:cs="Times New Roman" w:eastAsia="Times New Roman" w:hAnsi="Times New Roman"/>
                <w:sz w:val="14"/>
                <w:szCs w:val="14"/>
                <w:color w:val="auto"/>
              </w:rPr>
              <w:t>Adjustment for dilutive effect of 6.50% Convertible Notes due 2029</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r>
      <w:tr>
        <w:trPr>
          <w:trHeight w:val="198"/>
        </w:trPr>
        <w:tc>
          <w:tcPr>
            <w:tcW w:w="5760" w:type="dxa"/>
            <w:vAlign w:val="bottom"/>
            <w:gridSpan w:val="3"/>
          </w:tcPr>
          <w:p>
            <w:pPr>
              <w:spacing w:after="0" w:line="199" w:lineRule="exact"/>
              <w:rPr>
                <w:sz w:val="20"/>
                <w:szCs w:val="20"/>
                <w:color w:val="auto"/>
              </w:rPr>
            </w:pPr>
            <w:r>
              <w:rPr>
                <w:rFonts w:ascii="Times New Roman" w:cs="Times New Roman" w:eastAsia="Times New Roman" w:hAnsi="Times New Roman"/>
                <w:sz w:val="14"/>
                <w:szCs w:val="14"/>
                <w:color w:val="auto"/>
              </w:rPr>
              <w:t>Weighted-average common shares outstanding–diluted</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7"/>
                <w:szCs w:val="17"/>
                <w:color w:val="auto"/>
              </w:rPr>
            </w:pPr>
          </w:p>
        </w:tc>
        <w:tc>
          <w:tcPr>
            <w:tcW w:w="1420" w:type="dxa"/>
            <w:vAlign w:val="bottom"/>
            <w:gridSpan w:val="2"/>
          </w:tcPr>
          <w:p>
            <w:pPr>
              <w:jc w:val="right"/>
              <w:ind w:right="138"/>
              <w:spacing w:after="0"/>
              <w:rPr>
                <w:sz w:val="20"/>
                <w:szCs w:val="20"/>
                <w:color w:val="auto"/>
              </w:rPr>
            </w:pPr>
            <w:r>
              <w:rPr>
                <w:rFonts w:ascii="Times New Roman" w:cs="Times New Roman" w:eastAsia="Times New Roman" w:hAnsi="Times New Roman"/>
                <w:sz w:val="15"/>
                <w:szCs w:val="15"/>
                <w:color w:val="auto"/>
              </w:rPr>
              <w:t>23,901,805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26,222,667</w:t>
            </w:r>
          </w:p>
        </w:tc>
        <w:tc>
          <w:tcPr>
            <w:tcW w:w="360" w:type="dxa"/>
            <w:vAlign w:val="bottom"/>
          </w:tcPr>
          <w:p>
            <w:pPr>
              <w:spacing w:after="0"/>
              <w:rPr>
                <w:sz w:val="17"/>
                <w:szCs w:val="17"/>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30,023,202</w:t>
            </w:r>
          </w:p>
        </w:tc>
      </w:tr>
      <w:tr>
        <w:trPr>
          <w:trHeight w:val="177"/>
        </w:trPr>
        <w:tc>
          <w:tcPr>
            <w:tcW w:w="5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jc w:val="both"/>
        <w:ind w:left="260" w:hanging="253"/>
        <w:spacing w:after="0" w:line="255" w:lineRule="auto"/>
        <w:tabs>
          <w:tab w:leader="none" w:pos="2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2024, 3,870,969 potentially dilutive common shares were excluded from the weighted-average common shares outstanding for diluted net decrease in net assets resulting from operations per common shares because the effect of these shares would have been anti-dilutive. For the years ended December 31, 2023 and 2022, there were no potentially dilutive securities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7—COMMITMENTS AND CONTINGENCIES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 the normal course of business, the Company may enter into investment agreements under which it commits to make an investment in a portfolio company at some future date or over a specified period of time.</w:t>
      </w:r>
    </w:p>
    <w:p>
      <w:pPr>
        <w:spacing w:after="0" w:line="141"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and Related Deposits</w:t>
      </w:r>
    </w:p>
    <w:p>
      <w:pPr>
        <w:spacing w:after="0" w:line="16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expiring March 31, 2028. The lease expense is presented as a single lease cost that is amortized on a straight-line basis over the life of the lease.</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As of December 31, 2024 and December 31, 2023, the Company booked a right-of-use asset and operating lease liability of $446,349 and $112,485, respectively, on the Consolidated Statement of Assets and Liabilities. As of December 31, 2024 and December 31, 2023, the Company recorded a security deposit of $16,574 and $16,574, respectively, on the Consolidated Statement of Assets and Liabilities. For the years ended December 31, 2024 and 2023, the Company incurred $171,063 and $204,109, respectively, of operating lease expense. The amounts reflected on the Consolidated Statement of Assets and Liabilities have been discounted using the rate implicit in the lease. As of December 31, 2024, the remaining lease term was 3.3 years and the discount rate was 3.00%.</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shows future minimum payments under the Company’s operating lease as of December 31,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0" w:type="dxa"/>
            <w:vAlign w:val="bottom"/>
            <w:gridSpan w:val="2"/>
          </w:tcPr>
          <w:p>
            <w:pPr>
              <w:ind w:left="114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326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2025</w:t>
            </w:r>
          </w:p>
        </w:tc>
        <w:tc>
          <w:tcPr>
            <w:tcW w:w="3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113,130</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155,365</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3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160,026</w:t>
            </w:r>
          </w:p>
        </w:tc>
        <w:tc>
          <w:tcPr>
            <w:tcW w:w="10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2028</w:t>
            </w: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41,207</w:t>
            </w:r>
          </w:p>
        </w:tc>
        <w:tc>
          <w:tcPr>
            <w:tcW w:w="100" w:type="dxa"/>
            <w:vAlign w:val="bottom"/>
            <w:tcBorders>
              <w:bottom w:val="single" w:sz="8" w:color="CCEEFF"/>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260" w:type="dxa"/>
            <w:vAlign w:val="bottom"/>
            <w:tcBorders>
              <w:bottom w:val="single" w:sz="8" w:color="CCEEFF"/>
            </w:tcBorders>
            <w:shd w:val="clear" w:color="auto" w:fill="CCEEFF"/>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469,728</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780" w:type="dxa"/>
            <w:vAlign w:val="bottom"/>
            <w:vMerge w:val="restart"/>
          </w:tcPr>
          <w:p>
            <w:pPr>
              <w:jc w:val="right"/>
              <w:ind w:right="2347"/>
              <w:spacing w:after="0"/>
              <w:rPr>
                <w:sz w:val="20"/>
                <w:szCs w:val="20"/>
                <w:color w:val="auto"/>
              </w:rPr>
            </w:pPr>
            <w:r>
              <w:rPr>
                <w:rFonts w:ascii="Times New Roman" w:cs="Times New Roman" w:eastAsia="Times New Roman" w:hAnsi="Times New Roman"/>
                <w:sz w:val="15"/>
                <w:szCs w:val="15"/>
                <w:color w:val="auto"/>
              </w:rPr>
              <w:t>109</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8—FINANCIAL HIGHLIGHTS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3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4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Per Basic Share Data</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5"/>
                <w:szCs w:val="15"/>
                <w:b w:val="1"/>
                <w:bCs w:val="1"/>
                <w:color w:val="auto"/>
              </w:rPr>
              <w:t>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asset value at beginning of the year</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7.39</w:t>
            </w:r>
          </w:p>
        </w:tc>
        <w:tc>
          <w:tcPr>
            <w:tcW w:w="48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3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11.38</w:t>
            </w:r>
          </w:p>
        </w:tc>
        <w:tc>
          <w:tcPr>
            <w:tcW w:w="0" w:type="dxa"/>
            <w:vAlign w:val="bottom"/>
          </w:tcPr>
          <w:p>
            <w:pPr>
              <w:spacing w:after="0"/>
              <w:rPr>
                <w:sz w:val="1"/>
                <w:szCs w:val="1"/>
                <w:color w:val="auto"/>
              </w:rPr>
            </w:pPr>
          </w:p>
        </w:tc>
      </w:tr>
      <w:tr>
        <w:trPr>
          <w:trHeight w:val="208"/>
        </w:trPr>
        <w:tc>
          <w:tcPr>
            <w:tcW w:w="348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Net investment loss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(0.49)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67"/>
              <w:spacing w:after="0"/>
              <w:rPr>
                <w:sz w:val="20"/>
                <w:szCs w:val="20"/>
                <w:color w:val="auto"/>
              </w:rPr>
            </w:pPr>
            <w:r>
              <w:rPr>
                <w:rFonts w:ascii="Times New Roman" w:cs="Times New Roman" w:eastAsia="Times New Roman" w:hAnsi="Times New Roman"/>
                <w:sz w:val="15"/>
                <w:szCs w:val="15"/>
                <w:color w:val="auto"/>
              </w:rPr>
              <w:t>(0.38)</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(0.81)</w:t>
            </w:r>
          </w:p>
        </w:tc>
        <w:tc>
          <w:tcPr>
            <w:tcW w:w="0" w:type="dxa"/>
            <w:vAlign w:val="bottom"/>
          </w:tcPr>
          <w:p>
            <w:pPr>
              <w:spacing w:after="0"/>
              <w:rPr>
                <w:sz w:val="1"/>
                <w:szCs w:val="1"/>
                <w:color w:val="auto"/>
              </w:rPr>
            </w:pPr>
          </w:p>
        </w:tc>
      </w:tr>
      <w:tr>
        <w:trPr>
          <w:trHeight w:val="208"/>
        </w:trPr>
        <w:tc>
          <w:tcPr>
            <w:tcW w:w="348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15"/>
                <w:szCs w:val="15"/>
                <w:color w:val="auto"/>
              </w:rPr>
              <w:t>Net realized gain/(loss) on investments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0.92</w:t>
            </w:r>
          </w:p>
        </w:tc>
        <w:tc>
          <w:tcPr>
            <w:tcW w:w="0" w:type="dxa"/>
            <w:vAlign w:val="bottom"/>
          </w:tcPr>
          <w:p>
            <w:pPr>
              <w:spacing w:after="0"/>
              <w:rPr>
                <w:sz w:val="1"/>
                <w:szCs w:val="1"/>
                <w:color w:val="auto"/>
              </w:rPr>
            </w:pPr>
          </w:p>
        </w:tc>
      </w:tr>
      <w:tr>
        <w:trPr>
          <w:trHeight w:val="162"/>
        </w:trPr>
        <w:tc>
          <w:tcPr>
            <w:tcW w:w="34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Realized loss on partial repurchase of 6.00% Notes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160"/>
              <w:spacing w:after="0" w:line="220" w:lineRule="exact"/>
              <w:rPr>
                <w:sz w:val="20"/>
                <w:szCs w:val="20"/>
                <w:color w:val="auto"/>
              </w:rPr>
            </w:pPr>
            <w:r>
              <w:rPr>
                <w:rFonts w:ascii="Times New Roman" w:cs="Times New Roman" w:eastAsia="Times New Roman" w:hAnsi="Times New Roman"/>
                <w:sz w:val="15"/>
                <w:szCs w:val="15"/>
                <w:color w:val="auto"/>
              </w:rPr>
              <w:t>due December 30, 2026</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9"/>
                <w:szCs w:val="19"/>
                <w:color w:val="auto"/>
              </w:rPr>
            </w:pP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Net change in unrealized appreciation/(depreciation)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5"/>
                <w:szCs w:val="15"/>
                <w:color w:val="auto"/>
              </w:rPr>
              <w:t>of investments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(2.39)</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175"/>
        </w:trPr>
        <w:tc>
          <w:tcPr>
            <w:tcW w:w="34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Dividends declared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167"/>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267"/>
              <w:spacing w:after="0"/>
              <w:rPr>
                <w:sz w:val="20"/>
                <w:szCs w:val="20"/>
                <w:color w:val="auto"/>
              </w:rPr>
            </w:pPr>
            <w:r>
              <w:rPr>
                <w:rFonts w:ascii="Times New Roman" w:cs="Times New Roman" w:eastAsia="Times New Roman" w:hAnsi="Times New Roman"/>
                <w:sz w:val="15"/>
                <w:szCs w:val="15"/>
                <w:color w:val="auto"/>
              </w:rPr>
              <w:t>(8.00)</w:t>
            </w:r>
          </w:p>
        </w:tc>
        <w:tc>
          <w:tcPr>
            <w:tcW w:w="2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(0.87)</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of common stock from stock dividend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348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Issuance of common stock from public offering</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162"/>
        </w:trPr>
        <w:tc>
          <w:tcPr>
            <w:tcW w:w="34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Issuance of common stock from conversion of</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5"/>
                <w:szCs w:val="15"/>
                <w:color w:val="auto"/>
              </w:rPr>
              <w:t>4.75% Convertible Notes due 2023</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rPr>
              <w:t>(1.91)</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(0.11)</w:t>
            </w:r>
          </w:p>
        </w:tc>
        <w:tc>
          <w:tcPr>
            <w:tcW w:w="0" w:type="dxa"/>
            <w:vAlign w:val="bottom"/>
          </w:tcPr>
          <w:p>
            <w:pPr>
              <w:spacing w:after="0"/>
              <w:rPr>
                <w:sz w:val="1"/>
                <w:szCs w:val="1"/>
                <w:color w:val="auto"/>
              </w:rPr>
            </w:pPr>
          </w:p>
        </w:tc>
      </w:tr>
      <w:tr>
        <w:trPr>
          <w:trHeight w:val="208"/>
        </w:trPr>
        <w:tc>
          <w:tcPr>
            <w:tcW w:w="3480" w:type="dxa"/>
            <w:vAlign w:val="bottom"/>
          </w:tcPr>
          <w:p>
            <w:pPr>
              <w:ind w:left="160"/>
              <w:spacing w:after="0" w:line="207" w:lineRule="exact"/>
              <w:rPr>
                <w:sz w:val="20"/>
                <w:szCs w:val="20"/>
                <w:color w:val="auto"/>
              </w:rPr>
            </w:pPr>
            <w:r>
              <w:rPr>
                <w:rFonts w:ascii="Times New Roman" w:cs="Times New Roman" w:eastAsia="Times New Roman" w:hAnsi="Times New Roman"/>
                <w:sz w:val="15"/>
                <w:szCs w:val="15"/>
                <w:color w:val="auto"/>
              </w:rPr>
              <w:t>Repurchase of common stock</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0.43</w:t>
            </w:r>
          </w:p>
        </w:tc>
        <w:tc>
          <w:tcPr>
            <w:tcW w:w="0" w:type="dxa"/>
            <w:vAlign w:val="bottom"/>
          </w:tcPr>
          <w:p>
            <w:pPr>
              <w:spacing w:after="0"/>
              <w:rPr>
                <w:sz w:val="1"/>
                <w:szCs w:val="1"/>
                <w:color w:val="auto"/>
              </w:rPr>
            </w:pPr>
          </w:p>
        </w:tc>
      </w:tr>
      <w:tr>
        <w:trPr>
          <w:trHeight w:val="218"/>
        </w:trPr>
        <w:tc>
          <w:tcPr>
            <w:tcW w:w="3480" w:type="dxa"/>
            <w:vAlign w:val="bottom"/>
            <w:shd w:val="clear" w:color="auto" w:fill="CCEEFF"/>
          </w:tcPr>
          <w:p>
            <w:pPr>
              <w:ind w:left="160"/>
              <w:spacing w:after="0" w:line="218"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0.12</w:t>
            </w:r>
          </w:p>
        </w:tc>
        <w:tc>
          <w:tcPr>
            <w:tcW w:w="0" w:type="dxa"/>
            <w:vAlign w:val="bottom"/>
          </w:tcPr>
          <w:p>
            <w:pPr>
              <w:spacing w:after="0"/>
              <w:rPr>
                <w:sz w:val="1"/>
                <w:szCs w:val="1"/>
                <w:color w:val="auto"/>
              </w:rPr>
            </w:pPr>
          </w:p>
        </w:tc>
      </w:tr>
      <w:tr>
        <w:trPr>
          <w:trHeight w:val="217"/>
        </w:trPr>
        <w:tc>
          <w:tcPr>
            <w:tcW w:w="348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5"/>
                <w:szCs w:val="15"/>
                <w:color w:val="auto"/>
              </w:rPr>
              <w:t>Net asset value at end of year</w:t>
            </w: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Per share market value at end of year</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auto"/>
              </w:rPr>
              <w:t>5.88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7"/>
              <w:spacing w:after="0" w:line="148"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auto"/>
              </w:rPr>
              <w:t>3.94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auto"/>
              </w:rPr>
              <w:t>3.80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auto"/>
              </w:rPr>
              <w:t>12.95</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7"/>
              <w:spacing w:after="0" w:line="148"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auto"/>
              </w:rPr>
              <w:t>13.09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48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Total return based on market value</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22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49.24%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(69.45)%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color w:val="auto"/>
              </w:rPr>
              <w:t>60.05%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99.85%</w:t>
            </w:r>
          </w:p>
        </w:tc>
        <w:tc>
          <w:tcPr>
            <w:tcW w:w="0" w:type="dxa"/>
            <w:vAlign w:val="bottom"/>
          </w:tcPr>
          <w:p>
            <w:pPr>
              <w:spacing w:after="0"/>
              <w:rPr>
                <w:sz w:val="1"/>
                <w:szCs w:val="1"/>
                <w:color w:val="auto"/>
              </w:rPr>
            </w:pPr>
          </w:p>
        </w:tc>
      </w:tr>
      <w:tr>
        <w:trPr>
          <w:trHeight w:val="208"/>
        </w:trPr>
        <w:tc>
          <w:tcPr>
            <w:tcW w:w="34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Total return based on net asset value</w:t>
            </w:r>
            <w:r>
              <w:rPr>
                <w:rFonts w:ascii="Times New Roman" w:cs="Times New Roman" w:eastAsia="Times New Roman" w:hAnsi="Times New Roman"/>
                <w:sz w:val="24"/>
                <w:szCs w:val="24"/>
                <w:color w:val="auto"/>
                <w:vertAlign w:val="superscript"/>
              </w:rPr>
              <w:t>(2)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(36.01)%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30.25%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33.04%</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Shares outstanding at end of year</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23,601,566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25,445,805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28,429,499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31,118,556</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19,914,023</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Ratios/Supplemental Data:</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Net assets at end of year</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157,572,086</w:t>
            </w:r>
          </w:p>
        </w:tc>
        <w:tc>
          <w:tcPr>
            <w:tcW w:w="280" w:type="dxa"/>
            <w:vAlign w:val="bottom"/>
          </w:tcPr>
          <w:p>
            <w:pPr>
              <w:spacing w:after="0"/>
              <w:rPr>
                <w:sz w:val="15"/>
                <w:szCs w:val="15"/>
                <w:color w:val="auto"/>
              </w:rPr>
            </w:pPr>
          </w:p>
        </w:tc>
        <w:tc>
          <w:tcPr>
            <w:tcW w:w="38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203,357,646</w:t>
            </w:r>
          </w:p>
        </w:tc>
        <w:tc>
          <w:tcPr>
            <w:tcW w:w="48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210,020,702</w:t>
            </w:r>
          </w:p>
        </w:tc>
        <w:tc>
          <w:tcPr>
            <w:tcW w:w="300" w:type="dxa"/>
            <w:vAlign w:val="bottom"/>
          </w:tcPr>
          <w:p>
            <w:pPr>
              <w:spacing w:after="0"/>
              <w:rPr>
                <w:sz w:val="15"/>
                <w:szCs w:val="15"/>
                <w:color w:val="auto"/>
              </w:rPr>
            </w:pP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364,846,624</w:t>
            </w:r>
          </w:p>
        </w:tc>
        <w:tc>
          <w:tcPr>
            <w:tcW w:w="400" w:type="dxa"/>
            <w:vAlign w:val="bottom"/>
          </w:tcPr>
          <w:p>
            <w:pPr>
              <w:spacing w:after="0"/>
              <w:rPr>
                <w:sz w:val="15"/>
                <w:szCs w:val="15"/>
                <w:color w:val="auto"/>
              </w:rPr>
            </w:pPr>
          </w:p>
        </w:tc>
        <w:tc>
          <w:tcPr>
            <w:tcW w:w="2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301,583,073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net assets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174,438,302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207,608,591</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310,086,061</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396,209,139</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205,430,809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line="163" w:lineRule="exact"/>
              <w:rPr>
                <w:sz w:val="20"/>
                <w:szCs w:val="20"/>
                <w:color w:val="auto"/>
              </w:rPr>
            </w:pPr>
            <w:r>
              <w:rPr>
                <w:rFonts w:ascii="Times New Roman" w:cs="Times New Roman" w:eastAsia="Times New Roman" w:hAnsi="Times New Roman"/>
                <w:sz w:val="12"/>
                <w:szCs w:val="12"/>
                <w:color w:val="auto"/>
              </w:rPr>
              <w:t>Ratio of net operating expenses to average net assets</w:t>
            </w:r>
            <w:r>
              <w:rPr>
                <w:rFonts w:ascii="Times New Roman" w:cs="Times New Roman" w:eastAsia="Times New Roman" w:hAnsi="Times New Roman"/>
                <w:sz w:val="18"/>
                <w:szCs w:val="18"/>
                <w:color w:val="auto"/>
                <w:vertAlign w:val="superscript"/>
              </w:rPr>
              <w:t>(3)</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280" w:type="dxa"/>
            <w:vAlign w:val="bottom"/>
          </w:tcPr>
          <w:p>
            <w:pPr>
              <w:jc w:val="right"/>
              <w:ind w:right="87"/>
              <w:spacing w:after="0" w:line="144"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300" w:type="dxa"/>
            <w:vAlign w:val="bottom"/>
          </w:tcPr>
          <w:p>
            <w:pPr>
              <w:jc w:val="right"/>
              <w:ind w:right="107"/>
              <w:spacing w:after="0" w:line="144"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400" w:type="dxa"/>
            <w:vAlign w:val="bottom"/>
          </w:tcPr>
          <w:p>
            <w:pPr>
              <w:jc w:val="right"/>
              <w:ind w:right="187"/>
              <w:spacing w:after="0" w:line="144" w:lineRule="exact"/>
              <w:rPr>
                <w:sz w:val="20"/>
                <w:szCs w:val="20"/>
                <w:color w:val="auto"/>
              </w:rPr>
            </w:pPr>
            <w:r>
              <w:rPr>
                <w:rFonts w:ascii="Times New Roman" w:cs="Times New Roman" w:eastAsia="Times New Roman" w:hAnsi="Times New Roman"/>
                <w:sz w:val="15"/>
                <w:szCs w:val="15"/>
                <w:color w:val="auto"/>
                <w:w w:val="95"/>
              </w:rPr>
              <w:t>%</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86"/>
        </w:trPr>
        <w:tc>
          <w:tcPr>
            <w:tcW w:w="3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9.70</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gridSpan w:val="2"/>
          </w:tcPr>
          <w:p>
            <w:pPr>
              <w:jc w:val="right"/>
              <w:ind w:right="180"/>
              <w:spacing w:after="0" w:line="66" w:lineRule="exact"/>
              <w:rPr>
                <w:sz w:val="20"/>
                <w:szCs w:val="20"/>
                <w:color w:val="auto"/>
              </w:rPr>
            </w:pPr>
            <w:r>
              <w:rPr>
                <w:rFonts w:ascii="Times New Roman" w:cs="Times New Roman" w:eastAsia="Times New Roman" w:hAnsi="Times New Roman"/>
                <w:sz w:val="7"/>
                <w:szCs w:val="7"/>
                <w:color w:val="auto"/>
              </w:rPr>
              <w:t>7.95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3"/>
                <w:szCs w:val="13"/>
                <w:color w:val="auto"/>
              </w:rPr>
              <w:t>Ratio of net investment loss to average net assets</w:t>
            </w:r>
            <w:r>
              <w:rPr>
                <w:rFonts w:ascii="Times New Roman" w:cs="Times New Roman" w:eastAsia="Times New Roman" w:hAnsi="Times New Roman"/>
                <w:sz w:val="20"/>
                <w:szCs w:val="20"/>
                <w:color w:val="auto"/>
                <w:vertAlign w:val="superscript"/>
              </w:rPr>
              <w:t>(3)</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7"/>
              <w:spacing w:after="0" w:line="159" w:lineRule="exact"/>
              <w:rPr>
                <w:sz w:val="20"/>
                <w:szCs w:val="20"/>
                <w:color w:val="auto"/>
              </w:rPr>
            </w:pPr>
            <w:r>
              <w:rPr>
                <w:rFonts w:ascii="Times New Roman" w:cs="Times New Roman" w:eastAsia="Times New Roman" w:hAnsi="Times New Roman"/>
                <w:sz w:val="15"/>
                <w:szCs w:val="15"/>
                <w:color w:val="auto"/>
              </w:rPr>
              <w:t>(8.00)%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(6.51)%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7"/>
              <w:spacing w:after="0" w:line="159" w:lineRule="exact"/>
              <w:rPr>
                <w:sz w:val="20"/>
                <w:szCs w:val="20"/>
                <w:color w:val="auto"/>
              </w:rPr>
            </w:pPr>
            <w:r>
              <w:rPr>
                <w:rFonts w:ascii="Times New Roman" w:cs="Times New Roman" w:eastAsia="Times New Roman" w:hAnsi="Times New Roman"/>
                <w:sz w:val="15"/>
                <w:szCs w:val="15"/>
                <w:color w:val="auto"/>
              </w:rPr>
              <w:t>(4.76)%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7"/>
              <w:spacing w:after="0" w:line="159" w:lineRule="exact"/>
              <w:rPr>
                <w:sz w:val="20"/>
                <w:szCs w:val="20"/>
                <w:color w:val="auto"/>
              </w:rPr>
            </w:pPr>
            <w:r>
              <w:rPr>
                <w:rFonts w:ascii="Times New Roman" w:cs="Times New Roman" w:eastAsia="Times New Roman" w:hAnsi="Times New Roman"/>
                <w:sz w:val="15"/>
                <w:szCs w:val="15"/>
                <w:color w:val="auto"/>
              </w:rPr>
              <w:t>(2.51)%</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(7.07)%</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Portfolio Turnover Ratio</w:t>
            </w:r>
          </w:p>
        </w:tc>
        <w:tc>
          <w:tcPr>
            <w:tcW w:w="260" w:type="dxa"/>
            <w:vAlign w:val="bottom"/>
          </w:tcPr>
          <w:p>
            <w:pPr>
              <w:spacing w:after="0"/>
              <w:rPr>
                <w:sz w:val="16"/>
                <w:szCs w:val="16"/>
                <w:color w:val="auto"/>
              </w:rPr>
            </w:pPr>
          </w:p>
        </w:tc>
        <w:tc>
          <w:tcPr>
            <w:tcW w:w="1220" w:type="dxa"/>
            <w:vAlign w:val="bottom"/>
            <w:gridSpan w:val="2"/>
          </w:tcPr>
          <w:p>
            <w:pPr>
              <w:jc w:val="right"/>
              <w:ind w:right="87"/>
              <w:spacing w:after="0"/>
              <w:rPr>
                <w:sz w:val="20"/>
                <w:szCs w:val="20"/>
                <w:color w:val="auto"/>
              </w:rPr>
            </w:pPr>
            <w:r>
              <w:rPr>
                <w:rFonts w:ascii="Times New Roman" w:cs="Times New Roman" w:eastAsia="Times New Roman" w:hAnsi="Times New Roman"/>
                <w:sz w:val="15"/>
                <w:szCs w:val="15"/>
                <w:color w:val="auto"/>
              </w:rPr>
              <w:t>13.73%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187"/>
              <w:spacing w:after="0"/>
              <w:rPr>
                <w:sz w:val="20"/>
                <w:szCs w:val="20"/>
                <w:color w:val="auto"/>
              </w:rPr>
            </w:pPr>
            <w:r>
              <w:rPr>
                <w:rFonts w:ascii="Times New Roman" w:cs="Times New Roman" w:eastAsia="Times New Roman" w:hAnsi="Times New Roman"/>
                <w:sz w:val="15"/>
                <w:szCs w:val="15"/>
                <w:color w:val="auto"/>
              </w:rPr>
              <w:t>28.34%</w:t>
            </w:r>
          </w:p>
        </w:tc>
        <w:tc>
          <w:tcPr>
            <w:tcW w:w="2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17894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47" w:lineRule="exact"/>
        <w:rPr>
          <w:sz w:val="20"/>
          <w:szCs w:val="20"/>
          <w:color w:val="auto"/>
        </w:rPr>
      </w:pPr>
    </w:p>
    <w:p>
      <w:pPr>
        <w:ind w:left="260" w:hanging="253"/>
        <w:spacing w:after="0"/>
        <w:tabs>
          <w:tab w:leader="none" w:pos="2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weighted-average number of shares outstanding for the relevant period.</w:t>
      </w:r>
    </w:p>
    <w:p>
      <w:pPr>
        <w:spacing w:after="0" w:line="17" w:lineRule="exact"/>
        <w:rPr>
          <w:rFonts w:ascii="Times New Roman" w:cs="Times New Roman" w:eastAsia="Times New Roman" w:hAnsi="Times New Roman"/>
          <w:sz w:val="15"/>
          <w:szCs w:val="15"/>
          <w:color w:val="auto"/>
        </w:rPr>
      </w:pPr>
    </w:p>
    <w:p>
      <w:pPr>
        <w:jc w:val="both"/>
        <w:ind w:left="260" w:hanging="253"/>
        <w:spacing w:after="0" w:line="243" w:lineRule="auto"/>
        <w:tabs>
          <w:tab w:leader="none" w:pos="2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ind w:left="260" w:hanging="253"/>
        <w:spacing w:after="0" w:line="246" w:lineRule="auto"/>
        <w:tabs>
          <w:tab w:leader="none" w:pos="2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2021, the Company excluded $100,274 of non-recurring expenses. For the year ended December 31, 2020, the Company excluded $1,962,431 of non-recurring expenses. Because the ratios are calculated for the Company’s common stock taken as a whole, an individual investor’s ratios may vary from these ratios.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9—INCOME TAXES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54"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40"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58"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As of December 31, 2024 and December 31, 2023,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accounting purposes, the Company and the Taxable Subsidiaries identified their major tax jurisdictions as U.S. federal, New York, and California and may be subject to the taxing authorities’ examination for the tax years 2021–2023 for federal and New York and 2020–2023 in California, respectively. Further, the Company and the Taxable Subsidiaries accrue all interest and penalties related to uncertain tax positions as incurred. As of December 31, 2024, there were no material interest or penalties incurred related to uncertain tax positions.</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2024 and 2023, the Company reclassified for book purposes amounts arising from permanent book/tax differences related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94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66"/>
        </w:trPr>
        <w:tc>
          <w:tcPr>
            <w:tcW w:w="49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Capital in excess of par value</w:t>
            </w:r>
          </w:p>
        </w:tc>
        <w:tc>
          <w:tcPr>
            <w:tcW w:w="20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(14,096,863)</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(70,745,103)</w:t>
            </w:r>
          </w:p>
        </w:tc>
        <w:tc>
          <w:tcPr>
            <w:tcW w:w="100" w:type="dxa"/>
            <w:vAlign w:val="bottom"/>
            <w:shd w:val="clear" w:color="auto" w:fill="CCEEFF"/>
          </w:tcPr>
          <w:p>
            <w:pPr>
              <w:spacing w:after="0"/>
              <w:rPr>
                <w:sz w:val="14"/>
                <w:szCs w:val="14"/>
                <w:color w:val="auto"/>
              </w:rPr>
            </w:pPr>
          </w:p>
        </w:tc>
      </w:tr>
      <w:tr>
        <w:trPr>
          <w:trHeight w:val="17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undistributed net investment loss</w:t>
            </w:r>
          </w:p>
        </w:tc>
        <w:tc>
          <w:tcPr>
            <w:tcW w:w="2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13,953,206</w:t>
            </w:r>
          </w:p>
        </w:tc>
        <w:tc>
          <w:tcPr>
            <w:tcW w:w="7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73,968,102</w:t>
            </w:r>
          </w:p>
        </w:tc>
      </w:tr>
      <w:tr>
        <w:trPr>
          <w:trHeight w:val="17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net realized gains from investments</w:t>
            </w:r>
          </w:p>
        </w:tc>
        <w:tc>
          <w:tcPr>
            <w:tcW w:w="20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143,657</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(2,953,733)</w:t>
            </w:r>
          </w:p>
        </w:tc>
      </w:tr>
    </w:tbl>
    <w:p>
      <w:pPr>
        <w:spacing w:after="0" w:line="160"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In general, the Company makes certain adjustments to the classification of net assets as a result of permanent book-to-tax differences, which may include nondeductible federal excise taxes and net operating losses, among other items.</w:t>
      </w:r>
    </w:p>
    <w:p>
      <w:pPr>
        <w:spacing w:after="0" w:line="14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For income tax purposes, distributions paid to stockholders are reported as ordinary income, return of capital, long term capital gains or a combination thereof. The tax character of distributions declared in the years ended December 31, 2024, 2023, and 2022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66"/>
        </w:trPr>
        <w:tc>
          <w:tcPr>
            <w:tcW w:w="31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Ordinary income</w:t>
            </w:r>
          </w:p>
        </w:tc>
        <w:tc>
          <w:tcPr>
            <w:tcW w:w="15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ind w:left="34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ind w:left="1660"/>
              <w:spacing w:after="0" w:line="166" w:lineRule="exact"/>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r>
      <w:tr>
        <w:trPr>
          <w:trHeight w:val="175"/>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Long-term capital gain</w:t>
            </w: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140" w:type="dxa"/>
            <w:vAlign w:val="bottom"/>
            <w:gridSpan w:val="2"/>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3,441,824</w:t>
            </w:r>
          </w:p>
        </w:tc>
      </w:tr>
      <w:tr>
        <w:trPr>
          <w:trHeight w:val="17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Return of capital</w:t>
            </w:r>
          </w:p>
        </w:tc>
        <w:tc>
          <w:tcPr>
            <w:tcW w:w="15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on a tax basis</w:t>
            </w: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140" w:type="dxa"/>
            <w:vAlign w:val="bottom"/>
            <w:gridSpan w:val="2"/>
          </w:tcPr>
          <w:p>
            <w:pPr>
              <w:ind w:left="16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45"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For federal income tax purposes, the tax cost of investments owned at December 31, 2024 and 2023, was $252,563,617 and $268,353,952, respectively. The gross unrealized appreciation and gross unrealized depreciation on investments owned at December 31, 2024 was $31,354,369 and $74,537,243, respectively, and on investments owned at December 31, 2023 was $73,341,574 and $93,803,419, respectively. The net unrealized appreciation/(depreciation) on investments owned at December 31, 2024 and 2023, was $(43,182,874) and $(20,461,845), respectively.</w:t>
      </w:r>
    </w:p>
    <w:p>
      <w:pPr>
        <w:spacing w:after="0" w:line="152"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At December 31, 2024 and 2023,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 owned subsidiary corporations, and organizational expenses,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36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66"/>
        </w:trPr>
        <w:tc>
          <w:tcPr>
            <w:tcW w:w="43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Undistributed ordinary loss</w:t>
            </w:r>
          </w:p>
        </w:tc>
        <w:tc>
          <w:tcPr>
            <w:tcW w:w="26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2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r>
      <w:tr>
        <w:trPr>
          <w:trHeight w:val="175"/>
        </w:trPr>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Accumulated net realized losses on investments</w:t>
            </w:r>
          </w:p>
        </w:tc>
        <w:tc>
          <w:tcPr>
            <w:tcW w:w="2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(21,758,298)</w:t>
            </w:r>
          </w:p>
        </w:tc>
        <w:tc>
          <w:tcPr>
            <w:tcW w:w="720" w:type="dxa"/>
            <w:vAlign w:val="bottom"/>
          </w:tcPr>
          <w:p>
            <w:pPr>
              <w:spacing w:after="0"/>
              <w:rPr>
                <w:sz w:val="15"/>
                <w:szCs w:val="15"/>
                <w:color w:val="auto"/>
              </w:rPr>
            </w:pPr>
          </w:p>
        </w:tc>
        <w:tc>
          <w:tcPr>
            <w:tcW w:w="130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(20,584,963)</w:t>
            </w:r>
          </w:p>
        </w:tc>
      </w:tr>
      <w:tr>
        <w:trPr>
          <w:trHeight w:val="18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appreciation/(depreciation) on investments</w:t>
            </w:r>
          </w:p>
        </w:tc>
        <w:tc>
          <w:tcPr>
            <w:tcW w:w="26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5"/>
                <w:szCs w:val="15"/>
                <w:color w:val="auto"/>
              </w:rPr>
              <w:t>(43,182,874)</w:t>
            </w:r>
          </w:p>
        </w:tc>
        <w:tc>
          <w:tcPr>
            <w:tcW w:w="7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(20,461,845)</w:t>
            </w:r>
          </w:p>
        </w:tc>
      </w:tr>
      <w:tr>
        <w:trPr>
          <w:trHeight w:val="166"/>
        </w:trPr>
        <w:tc>
          <w:tcPr>
            <w:tcW w:w="43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Components of distributable earnings at year-end</w:t>
            </w:r>
          </w:p>
        </w:tc>
        <w:tc>
          <w:tcPr>
            <w:tcW w:w="26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02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(64,941,172</w:t>
            </w:r>
          </w:p>
        </w:tc>
        <w:tc>
          <w:tcPr>
            <w:tcW w:w="320" w:type="dxa"/>
            <w:vAlign w:val="bottom"/>
          </w:tcPr>
          <w:p>
            <w:pPr>
              <w:jc w:val="right"/>
              <w:ind w:right="238"/>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ind w:right="5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(41,046,808</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340"/>
        </w:trPr>
        <w:tc>
          <w:tcPr>
            <w:tcW w:w="4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1167"/>
              <w:spacing w:after="0"/>
              <w:rPr>
                <w:sz w:val="20"/>
                <w:szCs w:val="20"/>
                <w:color w:val="auto"/>
              </w:rPr>
            </w:pPr>
            <w:r>
              <w:rPr>
                <w:rFonts w:ascii="Times New Roman" w:cs="Times New Roman" w:eastAsia="Times New Roman" w:hAnsi="Times New Roman"/>
                <w:sz w:val="15"/>
                <w:szCs w:val="15"/>
                <w:color w:val="auto"/>
              </w:rPr>
              <w:t>112</w:t>
            </w:r>
          </w:p>
        </w:tc>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2"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10—DEBT CAPITAL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6.00% Notes due 2026</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4"/>
          <w:szCs w:val="14"/>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43" w:lineRule="exact"/>
        <w:rPr>
          <w:sz w:val="20"/>
          <w:szCs w:val="20"/>
          <w:color w:val="auto"/>
        </w:rPr>
      </w:pPr>
    </w:p>
    <w:p>
      <w:pPr>
        <w:jc w:val="both"/>
        <w:ind w:firstLine="262"/>
        <w:spacing w:after="0" w:line="248" w:lineRule="auto"/>
        <w:rPr>
          <w:sz w:val="20"/>
          <w:szCs w:val="20"/>
          <w:color w:val="auto"/>
        </w:rPr>
      </w:pPr>
      <w:r>
        <w:rPr>
          <w:rFonts w:ascii="Times New Roman" w:cs="Times New Roman" w:eastAsia="Times New Roman" w:hAnsi="Times New Roman"/>
          <w:sz w:val="15"/>
          <w:szCs w:val="15"/>
          <w:color w:val="auto"/>
        </w:rPr>
        <w:t xml:space="preserve">The 6.00% Notes due 2026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56"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 records certain fees and expenses incurred in connection with its 6.00% Notes due 2026 as deferred debt issuance costs. Such costs are reflected in the carrying value of the 6.00% Notes due 2026. As of December 31, 2024 and December 31, 2023, the Company had deferred debt issuance costs of $468,562 and $1,254,793, respectively, associated with the 6.00% Notes due 2026. The table below shows a reconciliation from the aggregate principal amount of 6.00% Notes due 2026 to the balance shown on the Consolidated Statements of Assets and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66"/>
        </w:trPr>
        <w:tc>
          <w:tcPr>
            <w:tcW w:w="70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Aggregate principal amount of 6.00% Notes due 2026</w:t>
            </w:r>
          </w:p>
        </w:tc>
        <w:tc>
          <w:tcPr>
            <w:tcW w:w="240" w:type="dxa"/>
            <w:vAlign w:val="bottom"/>
            <w:tcBorders>
              <w:top w:val="single" w:sz="8" w:color="auto"/>
            </w:tcBorders>
            <w:shd w:val="clear" w:color="auto" w:fill="CCEEFF"/>
          </w:tcPr>
          <w:p>
            <w:pPr>
              <w:jc w:val="right"/>
              <w:ind w:right="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44,667,400</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75,000,000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240" w:type="dxa"/>
            <w:vAlign w:val="bottom"/>
          </w:tcPr>
          <w:p>
            <w:pPr>
              <w:spacing w:after="0"/>
              <w:rPr>
                <w:sz w:val="16"/>
                <w:szCs w:val="16"/>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(468,562)</w:t>
            </w:r>
          </w:p>
        </w:tc>
        <w:tc>
          <w:tcPr>
            <w:tcW w:w="22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(1,254,793)</w:t>
            </w:r>
          </w:p>
        </w:tc>
      </w:tr>
      <w:tr>
        <w:trPr>
          <w:trHeight w:val="177"/>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44,198,838</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73,745,207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6.00% Notes due 2026 are listed for trading on the Nasdaq Global Select Market under the symbol “SSSSL”. The reported closing market price of SSSSL on December 31, 2024 and December 31, 2023 was $24.50 and $23.80 per note, respectively. As of December 31, 2024 and December 31, 2023, the fair value of the 6.00% Notes due 2026 was $43.8 million and $71.4 million, respectively.</w:t>
      </w:r>
    </w:p>
    <w:p>
      <w:pPr>
        <w:spacing w:after="0" w:line="14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On August 6, 2024, the Company’s Board of Directors approved a discretionary note repurchase program (the “Note Repurchase Program”), which allows the Company to repurchase up to 46.67%, or $35.0 million in aggregate principal amount, of its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6.50% Convertible Notes due 2029</w:t>
      </w:r>
    </w:p>
    <w:p>
      <w:pPr>
        <w:spacing w:after="0" w:line="179"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On August 14, 2024, the Company privately issued $25.0 million aggregate principal amount of its 6.50% Convertible Notes due 2029 (the “Initial Notes”) pursuant to a Note Purchase Agreement (the “Note Purchase Agreement”) between the Company and the purchaser identified therein (the “Purchaser”). On October 9, 2024, the Company issued an additional $5.0 million in aggregate principal amount of 6.50% Convertible Notes due 2029 (the “Additional Notes”), which are treated as a single series with the Initial Notes. As of December 31, 2024, $30.0 million of 6.50% Convertible Notes due 2029 had been issued.</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6.50% Convertible Notes due 2029 bear interest at a rate of 6.50% per year, payable quarterly in arrears on March 30, June 30, September 30, and December 30 of each year, commencing on September 30, 2024. The 6.50% Convertible Notes due 2029 have a maturity date of 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w:t>
      </w:r>
    </w:p>
    <w:p>
      <w:pPr>
        <w:spacing w:after="0" w:line="152"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6.50% Convertible Notes due 2029 will be convertible into shares of the Company’s common stock at the Purchaser’s sole discretion at an initial conversion rate of 129.0323 shares of common stock per $1,000 principal amount of the 6.50% Convertible Notes due 2029, which represent a conversion price of approximately $7.75 per share, subject to adjustment as provided in the Notes Purchase Agreement. Upon evaluation, the Company has identified an embedded derivative within the Notes Purchase Agreement. As a result, the Company may incur a potential liability. As of December 31, 2024, the potential liability was $0. Management will continue to assess the fair value of the embedded derivative at each reporting period.</w:t>
      </w:r>
    </w:p>
    <w:p>
      <w:pPr>
        <w:spacing w:after="0" w:line="150" w:lineRule="exact"/>
        <w:rPr>
          <w:sz w:val="20"/>
          <w:szCs w:val="20"/>
          <w:color w:val="auto"/>
        </w:rPr>
      </w:pPr>
    </w:p>
    <w:p>
      <w:pPr>
        <w:jc w:val="both"/>
        <w:ind w:firstLine="262"/>
        <w:spacing w:after="0" w:line="252" w:lineRule="auto"/>
        <w:rPr>
          <w:sz w:val="20"/>
          <w:szCs w:val="20"/>
          <w:color w:val="auto"/>
        </w:rPr>
      </w:pPr>
      <w:r>
        <w:rPr>
          <w:rFonts w:ascii="Times New Roman" w:cs="Times New Roman" w:eastAsia="Times New Roman" w:hAnsi="Times New Roman"/>
          <w:sz w:val="15"/>
          <w:szCs w:val="15"/>
          <w:color w:val="auto"/>
        </w:rPr>
        <w:t xml:space="preserve">The 6.50% Convertible Notes due 2029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51"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table below shows a reconciliation from the aggregate principal amount of 6.50% Convertible Notes due 2029 to the balance shown on the Consolidated Statements of Assets and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66"/>
        </w:trPr>
        <w:tc>
          <w:tcPr>
            <w:tcW w:w="892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Aggregate principal amount of 6.50% Convertible Notes due 2029</w:t>
            </w:r>
          </w:p>
        </w:tc>
        <w:tc>
          <w:tcPr>
            <w:tcW w:w="300" w:type="dxa"/>
            <w:vAlign w:val="bottom"/>
            <w:tcBorders>
              <w:top w:val="single" w:sz="8" w:color="auto"/>
            </w:tcBorders>
            <w:shd w:val="clear" w:color="auto" w:fill="CCEEFF"/>
          </w:tcPr>
          <w:p>
            <w:pPr>
              <w:jc w:val="right"/>
              <w:ind w:right="14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6"/>
        </w:trPr>
        <w:tc>
          <w:tcPr>
            <w:tcW w:w="892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300" w:type="dxa"/>
            <w:vAlign w:val="bottom"/>
          </w:tcPr>
          <w:p>
            <w:pPr>
              <w:spacing w:after="0"/>
              <w:rPr>
                <w:sz w:val="16"/>
                <w:szCs w:val="16"/>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(948,592)</w:t>
            </w:r>
          </w:p>
        </w:tc>
      </w:tr>
      <w:tr>
        <w:trPr>
          <w:trHeight w:val="177"/>
        </w:trPr>
        <w:tc>
          <w:tcPr>
            <w:tcW w:w="8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29,051,408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11—STOCK-BASED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Amended and Restated 2019 Equity Incentive Plan</w:t>
      </w:r>
    </w:p>
    <w:p>
      <w:pPr>
        <w:spacing w:after="0" w:line="179" w:lineRule="exact"/>
        <w:rPr>
          <w:sz w:val="20"/>
          <w:szCs w:val="20"/>
          <w:color w:val="auto"/>
        </w:rPr>
      </w:pPr>
    </w:p>
    <w:p>
      <w:pPr>
        <w:jc w:val="both"/>
        <w:ind w:firstLine="262"/>
        <w:spacing w:after="0" w:line="246" w:lineRule="auto"/>
        <w:rPr>
          <w:sz w:val="20"/>
          <w:szCs w:val="20"/>
          <w:color w:val="auto"/>
        </w:rPr>
      </w:pPr>
      <w:r>
        <w:rPr>
          <w:rFonts w:ascii="Times New Roman" w:cs="Times New Roman" w:eastAsia="Times New Roman" w:hAnsi="Times New Roman"/>
          <w:sz w:val="15"/>
          <w:szCs w:val="15"/>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2"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year ended December 31, 2024, the Company granted 48,192 restricted shares to the Company’s non-employee directors pursuant to the Amended &amp; Restated 2019 Equity Incentive Plan. Additionally, on May 31, 2024, 60,060 restricted shares related to the 2023 non-employee director grants vested. Compensation expense associated with the restricted shares is recognized on a quarterly basis over the respective vesting periods.</w:t>
      </w:r>
    </w:p>
    <w:p>
      <w:pPr>
        <w:spacing w:after="0" w:line="158"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year ended December 31, 2024, the Company granted 125,000 restricted shares to the Company’s officers pursuant to the Amended &amp; Restated 2019 Equity Incentive Plan.</w:t>
      </w:r>
    </w:p>
    <w:p>
      <w:pPr>
        <w:spacing w:after="0" w:line="18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For the year ended December 31, 2024 and 2023, the Company recognized stock-based compensation expense of $2,550,638 and $2,920,526, respectively, not including executive and employee forfeits. As of December 31, 2024 and December 31, 2023, there were approximately $4,333,337 and $4,849,887, respectively, of total unrecognized compensation costs related to the restricted share grants. Compensation expense associated with the restricted shares is recognized on a quarterly basis over the respective vesting periods.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summarizes the activities for the Company’s restricted share grants for the year ended December 31, 2024 under the Amended &amp; Restated 2019 Equity Incentive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Plan:</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040" w:type="dxa"/>
            <w:vAlign w:val="bottom"/>
          </w:tcPr>
          <w:p>
            <w:pPr>
              <w:spacing w:after="0"/>
              <w:rPr>
                <w:sz w:val="16"/>
                <w:szCs w:val="16"/>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7"/>
              </w:rPr>
              <w:t>Number of Restricted Shares</w:t>
            </w:r>
          </w:p>
        </w:tc>
      </w:tr>
      <w:tr>
        <w:trPr>
          <w:trHeight w:val="188"/>
        </w:trPr>
        <w:tc>
          <w:tcPr>
            <w:tcW w:w="704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3"/>
                <w:szCs w:val="13"/>
                <w:color w:val="auto"/>
              </w:rPr>
              <w:t>Outstanding as of December 31, 2023</w:t>
            </w:r>
            <w:r>
              <w:rPr>
                <w:rFonts w:ascii="Times New Roman" w:cs="Times New Roman" w:eastAsia="Times New Roman" w:hAnsi="Times New Roman"/>
                <w:sz w:val="21"/>
                <w:szCs w:val="21"/>
                <w:color w:val="auto"/>
                <w:vertAlign w:val="superscript"/>
              </w:rPr>
              <w:t>(1)</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624,963</w:t>
            </w:r>
          </w:p>
        </w:tc>
        <w:tc>
          <w:tcPr>
            <w:tcW w:w="100" w:type="dxa"/>
            <w:vAlign w:val="bottom"/>
            <w:tcBorders>
              <w:top w:val="single" w:sz="8" w:color="CCEEFF"/>
            </w:tcBorders>
            <w:shd w:val="clear" w:color="auto" w:fill="CCEEFF"/>
          </w:tcPr>
          <w:p>
            <w:pPr>
              <w:spacing w:after="0"/>
              <w:rPr>
                <w:sz w:val="16"/>
                <w:szCs w:val="16"/>
                <w:color w:val="auto"/>
              </w:rPr>
            </w:pPr>
          </w:p>
        </w:tc>
      </w:tr>
      <w:tr>
        <w:trPr>
          <w:trHeight w:val="186"/>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368,192</w:t>
            </w:r>
          </w:p>
        </w:tc>
        <w:tc>
          <w:tcPr>
            <w:tcW w:w="100" w:type="dxa"/>
            <w:vAlign w:val="bottom"/>
            <w:tcBorders>
              <w:bottom w:val="single" w:sz="8" w:color="CCEEFF"/>
            </w:tcBorders>
          </w:tcPr>
          <w:p>
            <w:pPr>
              <w:spacing w:after="0"/>
              <w:rPr>
                <w:sz w:val="16"/>
                <w:szCs w:val="16"/>
                <w:color w:val="auto"/>
              </w:rPr>
            </w:pPr>
          </w:p>
        </w:tc>
      </w:tr>
      <w:tr>
        <w:trPr>
          <w:trHeight w:val="188"/>
        </w:trPr>
        <w:tc>
          <w:tcPr>
            <w:tcW w:w="704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3"/>
                <w:szCs w:val="13"/>
                <w:color w:val="auto"/>
              </w:rPr>
              <w:t>Vested</w:t>
            </w:r>
            <w:r>
              <w:rPr>
                <w:rFonts w:ascii="Times New Roman" w:cs="Times New Roman" w:eastAsia="Times New Roman" w:hAnsi="Times New Roman"/>
                <w:sz w:val="21"/>
                <w:szCs w:val="21"/>
                <w:color w:val="auto"/>
                <w:vertAlign w:val="superscript"/>
              </w:rPr>
              <w:t>(2)</w:t>
            </w:r>
          </w:p>
        </w:tc>
        <w:tc>
          <w:tcPr>
            <w:tcW w:w="1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(437,545)</w:t>
            </w:r>
          </w:p>
        </w:tc>
      </w:tr>
      <w:tr>
        <w:trPr>
          <w:trHeight w:val="186"/>
        </w:trPr>
        <w:tc>
          <w:tcPr>
            <w:tcW w:w="7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Forfeited</w:t>
            </w: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(23,474)</w:t>
            </w:r>
          </w:p>
        </w:tc>
      </w:tr>
      <w:tr>
        <w:trPr>
          <w:trHeight w:val="166"/>
        </w:trPr>
        <w:tc>
          <w:tcPr>
            <w:tcW w:w="704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Outstanding as of December 31, 2024</w:t>
            </w:r>
          </w:p>
        </w:tc>
        <w:tc>
          <w:tcPr>
            <w:tcW w:w="1880" w:type="dxa"/>
            <w:vAlign w:val="bottom"/>
            <w:tcBorders>
              <w:top w:val="single" w:sz="8" w:color="auto"/>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532,136</w:t>
            </w:r>
          </w:p>
        </w:tc>
        <w:tc>
          <w:tcPr>
            <w:tcW w:w="100" w:type="dxa"/>
            <w:vAlign w:val="bottom"/>
            <w:tcBorders>
              <w:top w:val="single" w:sz="8" w:color="CCEEFF"/>
            </w:tcBorders>
            <w:shd w:val="clear" w:color="auto" w:fill="CCEEFF"/>
          </w:tcPr>
          <w:p>
            <w:pPr>
              <w:spacing w:after="0"/>
              <w:rPr>
                <w:sz w:val="14"/>
                <w:szCs w:val="14"/>
                <w:color w:val="auto"/>
              </w:rPr>
            </w:pPr>
          </w:p>
        </w:tc>
      </w:tr>
      <w:tr>
        <w:trPr>
          <w:trHeight w:val="181"/>
        </w:trPr>
        <w:tc>
          <w:tcPr>
            <w:tcW w:w="70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Vested as of December 31,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951,117</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17894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47" w:lineRule="exact"/>
        <w:rPr>
          <w:sz w:val="20"/>
          <w:szCs w:val="20"/>
          <w:color w:val="auto"/>
        </w:rPr>
      </w:pPr>
    </w:p>
    <w:p>
      <w:pPr>
        <w:ind w:left="260" w:hanging="253"/>
        <w:spacing w:after="0"/>
        <w:tabs>
          <w:tab w:leader="none" w:pos="2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including unvested dividends.</w:t>
      </w:r>
    </w:p>
    <w:p>
      <w:pPr>
        <w:spacing w:after="0" w:line="1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 of vested shares reflects the total shares vested during the period and has not been reduced for those vested shares forfeited at time of vest related to net share settlement.</w:t>
      </w:r>
    </w:p>
    <w:p>
      <w:pPr>
        <w:spacing w:after="0" w:line="162"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12—SUBSEQUENT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Portfolio Activity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From January 1, 2025 through March 11, 2025, the Company made the following follow-on investments (not including capitalized transaction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Investment</w:t>
            </w:r>
          </w:p>
        </w:tc>
        <w:tc>
          <w:tcPr>
            <w:tcW w:w="2460" w:type="dxa"/>
            <w:vAlign w:val="bottom"/>
            <w:gridSpan w:val="2"/>
          </w:tcPr>
          <w:p>
            <w:pPr>
              <w:ind w:left="58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38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66"/>
        </w:trPr>
        <w:tc>
          <w:tcPr>
            <w:tcW w:w="294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Orchard Technologies, Inc.</w:t>
            </w:r>
          </w:p>
        </w:tc>
        <w:tc>
          <w:tcPr>
            <w:tcW w:w="24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Preferred shares, Series 1</w:t>
            </w:r>
          </w:p>
        </w:tc>
        <w:tc>
          <w:tcPr>
            <w:tcW w:w="24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8"/>
              </w:rPr>
              <w:t>1/31/2025</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222,210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5"/>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Simple Agreement for Future Equity</w:t>
            </w: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1/31/2025</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80,800</w:t>
            </w:r>
          </w:p>
        </w:tc>
      </w:tr>
      <w:tr>
        <w:trPr>
          <w:trHeight w:val="18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3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Simple Agreement for Future Equity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2/6/2025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1,000,000</w:t>
            </w:r>
          </w:p>
        </w:tc>
        <w:tc>
          <w:tcPr>
            <w:tcW w:w="80" w:type="dxa"/>
            <w:vAlign w:val="bottom"/>
            <w:shd w:val="clear" w:color="auto" w:fill="CCEEFF"/>
          </w:tcPr>
          <w:p>
            <w:pPr>
              <w:spacing w:after="0"/>
              <w:rPr>
                <w:sz w:val="16"/>
                <w:szCs w:val="16"/>
                <w:color w:val="auto"/>
              </w:rPr>
            </w:pPr>
          </w:p>
        </w:tc>
      </w:tr>
      <w:tr>
        <w:trPr>
          <w:trHeight w:val="177"/>
        </w:trPr>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1,303,010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6.00% Notes due 2026 - Note Repurchase Program</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Between January 6, 2025 and January 8, 2025, the Company repurchased an additional 199,990 units of the 6.00% Notes due 2026 under the Note Repurchase Program resulting in the total use of the authorized available funds.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6.50% Convertible Notes Due 2029</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On January 16, 2025, the Company issued and sold $5.0 million in aggregate principal amount of Additional Notes to the Purchaser pursuant to the Notes Purchase Agreement. The Additional Notes are treated as a single series with the initial issuance of $25.0 million in aggregate principal amount of the outstanding 6.50% Convertible Notes due 2029 and the additional $5.0 million issuance of the 6.50% Convertible Notes due 2029 on October 9, 2024 (together, the “Existing Notes”) and have the same terms as the Existing Notes. The Additional Notes are fungible and rank equally with the Existing Notes. Upon issuance of the Additional Notes on January 16, 2025, the outstanding aggregate principal amount of the 6.50% Convertible Notes due 2029 became $35.0 million.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13—SELECTED QUARTERLY FINANCIAL DATA</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center"/>
              <w:ind w:right="658"/>
              <w:spacing w:after="0" w:line="149" w:lineRule="exact"/>
              <w:rPr>
                <w:sz w:val="20"/>
                <w:szCs w:val="20"/>
                <w:color w:val="auto"/>
              </w:rPr>
            </w:pPr>
            <w:r>
              <w:rPr>
                <w:rFonts w:ascii="Times New Roman" w:cs="Times New Roman" w:eastAsia="Times New Roman" w:hAnsi="Times New Roman"/>
                <w:sz w:val="15"/>
                <w:szCs w:val="15"/>
                <w:b w:val="1"/>
                <w:bCs w:val="1"/>
                <w:color w:val="auto"/>
                <w:w w:val="97"/>
              </w:rPr>
              <w:t>June 30,</w:t>
            </w:r>
          </w:p>
        </w:tc>
        <w:tc>
          <w:tcPr>
            <w:tcW w:w="240" w:type="dxa"/>
            <w:vAlign w:val="bottom"/>
          </w:tcPr>
          <w:p>
            <w:pPr>
              <w:spacing w:after="0"/>
              <w:rPr>
                <w:sz w:val="12"/>
                <w:szCs w:val="12"/>
                <w:color w:val="auto"/>
              </w:rPr>
            </w:pPr>
          </w:p>
        </w:tc>
        <w:tc>
          <w:tcPr>
            <w:tcW w:w="1220" w:type="dxa"/>
            <w:vAlign w:val="bottom"/>
          </w:tcPr>
          <w:p>
            <w:pPr>
              <w:jc w:val="center"/>
              <w:ind w:right="187"/>
              <w:spacing w:after="0" w:line="149" w:lineRule="exact"/>
              <w:rPr>
                <w:sz w:val="20"/>
                <w:szCs w:val="20"/>
                <w:color w:val="auto"/>
              </w:rPr>
            </w:pPr>
            <w:r>
              <w:rPr>
                <w:rFonts w:ascii="Times New Roman" w:cs="Times New Roman" w:eastAsia="Times New Roman" w:hAnsi="Times New Roman"/>
                <w:sz w:val="15"/>
                <w:szCs w:val="15"/>
                <w:b w:val="1"/>
                <w:bCs w:val="1"/>
                <w:color w:val="auto"/>
                <w:w w:val="97"/>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w w:val="97"/>
              </w:rPr>
              <w:t>December 31, 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w w:val="98"/>
              </w:rPr>
              <w:t>September 30, 2024</w:t>
            </w:r>
          </w:p>
        </w:tc>
        <w:tc>
          <w:tcPr>
            <w:tcW w:w="360" w:type="dxa"/>
            <w:vAlign w:val="bottom"/>
          </w:tcPr>
          <w:p>
            <w:pPr>
              <w:spacing w:after="0"/>
              <w:rPr>
                <w:sz w:val="16"/>
                <w:szCs w:val="16"/>
                <w:color w:val="auto"/>
              </w:rPr>
            </w:pPr>
          </w:p>
        </w:tc>
        <w:tc>
          <w:tcPr>
            <w:tcW w:w="1100" w:type="dxa"/>
            <w:vAlign w:val="bottom"/>
          </w:tcPr>
          <w:p>
            <w:pPr>
              <w:jc w:val="center"/>
              <w:ind w:right="287"/>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Investment Income</w:t>
            </w:r>
          </w:p>
        </w:tc>
        <w:tc>
          <w:tcPr>
            <w:tcW w:w="1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1,229,266</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888,717</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1,027,353</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1,528,091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5,094,153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4,096,590</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4,682,978</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4,750,993</w:t>
            </w:r>
          </w:p>
        </w:tc>
        <w:tc>
          <w:tcPr>
            <w:tcW w:w="0" w:type="dxa"/>
            <w:vAlign w:val="bottom"/>
          </w:tcPr>
          <w:p>
            <w:pPr>
              <w:spacing w:after="0"/>
              <w:rPr>
                <w:sz w:val="1"/>
                <w:szCs w:val="1"/>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Investment Loss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(3,864,887)</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(3,207,873)</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(3,655,625)</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(3,222,902)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9,146,884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258"/>
              <w:spacing w:after="0"/>
              <w:rPr>
                <w:sz w:val="20"/>
                <w:szCs w:val="20"/>
                <w:color w:val="auto"/>
              </w:rPr>
            </w:pPr>
            <w:r>
              <w:rPr>
                <w:rFonts w:ascii="Times New Roman" w:cs="Times New Roman" w:eastAsia="Times New Roman" w:hAnsi="Times New Roman"/>
                <w:sz w:val="15"/>
                <w:szCs w:val="15"/>
                <w:color w:val="auto"/>
              </w:rPr>
              <w:t>(13,713,512)</w:t>
            </w:r>
          </w:p>
        </w:tc>
        <w:tc>
          <w:tcPr>
            <w:tcW w:w="360" w:type="dxa"/>
            <w:vAlign w:val="bottom"/>
          </w:tcPr>
          <w:p>
            <w:pPr>
              <w:spacing w:after="0"/>
              <w:rPr>
                <w:sz w:val="15"/>
                <w:szCs w:val="15"/>
                <w:color w:val="auto"/>
              </w:rPr>
            </w:pPr>
          </w:p>
        </w:tc>
        <w:tc>
          <w:tcPr>
            <w:tcW w:w="142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(29,612)</w:t>
            </w:r>
          </w:p>
        </w:tc>
        <w:tc>
          <w:tcPr>
            <w:tcW w:w="240" w:type="dxa"/>
            <w:vAlign w:val="bottom"/>
          </w:tcPr>
          <w:p>
            <w:pPr>
              <w:spacing w:after="0"/>
              <w:rPr>
                <w:sz w:val="15"/>
                <w:szCs w:val="15"/>
                <w:color w:val="auto"/>
              </w:rPr>
            </w:pPr>
          </w:p>
        </w:tc>
        <w:tc>
          <w:tcPr>
            <w:tcW w:w="13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(424,074)</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5"/>
                <w:szCs w:val="15"/>
                <w:color w:val="auto"/>
              </w:rPr>
              <w:t>(38,424)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5"/>
                <w:szCs w:val="15"/>
                <w:color w:val="auto"/>
              </w:rPr>
              <w:t>(145,244)</w:t>
            </w:r>
          </w:p>
        </w:tc>
        <w:tc>
          <w:tcPr>
            <w:tcW w:w="3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430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Net Change in Unrealized Appreciation/(Depreciation) of</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Investments</w:t>
            </w:r>
          </w:p>
        </w:tc>
        <w:tc>
          <w:tcPr>
            <w:tcW w:w="120" w:type="dxa"/>
            <w:vAlign w:val="bottom"/>
          </w:tcPr>
          <w:p>
            <w:pPr>
              <w:spacing w:after="0"/>
              <w:rPr>
                <w:sz w:val="17"/>
                <w:szCs w:val="17"/>
                <w:color w:val="auto"/>
              </w:rPr>
            </w:pPr>
          </w:p>
        </w:tc>
        <w:tc>
          <w:tcPr>
            <w:tcW w:w="1560" w:type="dxa"/>
            <w:vAlign w:val="bottom"/>
            <w:gridSpan w:val="2"/>
          </w:tcPr>
          <w:p>
            <w:pPr>
              <w:jc w:val="right"/>
              <w:ind w:right="118"/>
              <w:spacing w:after="0"/>
              <w:rPr>
                <w:sz w:val="20"/>
                <w:szCs w:val="20"/>
                <w:color w:val="auto"/>
              </w:rPr>
            </w:pPr>
            <w:r>
              <w:rPr>
                <w:rFonts w:ascii="Times New Roman" w:cs="Times New Roman" w:eastAsia="Times New Roman" w:hAnsi="Times New Roman"/>
                <w:sz w:val="15"/>
                <w:szCs w:val="15"/>
                <w:color w:val="auto"/>
              </w:rPr>
              <w:t>(5,199,046)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11,614,384</w:t>
            </w:r>
          </w:p>
        </w:tc>
        <w:tc>
          <w:tcPr>
            <w:tcW w:w="360" w:type="dxa"/>
            <w:vAlign w:val="bottom"/>
          </w:tcPr>
          <w:p>
            <w:pPr>
              <w:spacing w:after="0"/>
              <w:rPr>
                <w:sz w:val="17"/>
                <w:szCs w:val="17"/>
                <w:color w:val="auto"/>
              </w:rPr>
            </w:pPr>
          </w:p>
        </w:tc>
        <w:tc>
          <w:tcPr>
            <w:tcW w:w="142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(6,965,946)</w:t>
            </w:r>
          </w:p>
        </w:tc>
        <w:tc>
          <w:tcPr>
            <w:tcW w:w="240" w:type="dxa"/>
            <w:vAlign w:val="bottom"/>
          </w:tcPr>
          <w:p>
            <w:pPr>
              <w:spacing w:after="0"/>
              <w:rPr>
                <w:sz w:val="17"/>
                <w:szCs w:val="17"/>
                <w:color w:val="auto"/>
              </w:rPr>
            </w:pPr>
          </w:p>
        </w:tc>
        <w:tc>
          <w:tcPr>
            <w:tcW w:w="13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(18,418,370)</w:t>
            </w:r>
          </w:p>
        </w:tc>
        <w:tc>
          <w:tcPr>
            <w:tcW w:w="0" w:type="dxa"/>
            <w:vAlign w:val="bottom"/>
          </w:tcPr>
          <w:p>
            <w:pPr>
              <w:spacing w:after="0"/>
              <w:rPr>
                <w:sz w:val="1"/>
                <w:szCs w:val="1"/>
                <w:color w:val="auto"/>
              </w:rPr>
            </w:pPr>
          </w:p>
        </w:tc>
      </w:tr>
      <w:tr>
        <w:trPr>
          <w:trHeight w:val="177"/>
        </w:trPr>
        <w:tc>
          <w:tcPr>
            <w:tcW w:w="43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Increase/(Decrease) in Net Assets Resulting from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44,527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(5,452,245</w:t>
            </w:r>
          </w:p>
        </w:tc>
        <w:tc>
          <w:tcPr>
            <w:tcW w:w="340" w:type="dxa"/>
            <w:vAlign w:val="bottom"/>
            <w:tcBorders>
              <w:top w:val="single" w:sz="8" w:color="CCEEFF"/>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(10,651,183</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(22,065,346</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line="151" w:lineRule="exact"/>
              <w:rPr>
                <w:sz w:val="20"/>
                <w:szCs w:val="20"/>
                <w:color w:val="auto"/>
              </w:rPr>
            </w:pPr>
            <w:r>
              <w:rPr>
                <w:rFonts w:ascii="Times New Roman" w:cs="Times New Roman" w:eastAsia="Times New Roman" w:hAnsi="Times New Roman"/>
                <w:sz w:val="15"/>
                <w:szCs w:val="15"/>
                <w:color w:val="auto"/>
              </w:rPr>
              <w:t>Net Increase/(Decrease) in Net Assets from Operations per Common</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5"/>
                <w:szCs w:val="15"/>
                <w:color w:val="auto"/>
              </w:rPr>
              <w:t>(0.23)</w:t>
            </w:r>
          </w:p>
        </w:tc>
        <w:tc>
          <w:tcPr>
            <w:tcW w:w="3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5"/>
                <w:szCs w:val="15"/>
                <w:color w:val="auto"/>
              </w:rPr>
              <w:t>(0.45)</w:t>
            </w: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(0.87)</w:t>
            </w:r>
          </w:p>
        </w:tc>
        <w:tc>
          <w:tcPr>
            <w:tcW w:w="0" w:type="dxa"/>
            <w:vAlign w:val="bottom"/>
          </w:tcPr>
          <w:p>
            <w:pPr>
              <w:spacing w:after="0"/>
              <w:rPr>
                <w:sz w:val="1"/>
                <w:szCs w:val="1"/>
                <w:color w:val="auto"/>
              </w:rPr>
            </w:pPr>
          </w:p>
        </w:tc>
      </w:tr>
      <w:tr>
        <w:trPr>
          <w:trHeight w:val="175"/>
        </w:trPr>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gridSpan w:val="2"/>
          </w:tcPr>
          <w:p>
            <w:pPr>
              <w:jc w:val="right"/>
              <w:ind w:right="158"/>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258"/>
              <w:spacing w:after="0"/>
              <w:rPr>
                <w:sz w:val="20"/>
                <w:szCs w:val="20"/>
                <w:color w:val="auto"/>
              </w:rPr>
            </w:pPr>
            <w:r>
              <w:rPr>
                <w:rFonts w:ascii="Times New Roman" w:cs="Times New Roman" w:eastAsia="Times New Roman" w:hAnsi="Times New Roman"/>
                <w:sz w:val="15"/>
                <w:szCs w:val="15"/>
                <w:color w:val="auto"/>
              </w:rPr>
              <w:t>(0.23)</w:t>
            </w: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(0.45)</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(0.87)</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Outstanding–Basic</w:t>
            </w: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5"/>
                <w:szCs w:val="15"/>
                <w:color w:val="auto"/>
              </w:rPr>
              <w:t>23,436,365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5"/>
                <w:szCs w:val="15"/>
                <w:color w:val="auto"/>
              </w:rPr>
              <w:t>23,378,002</w:t>
            </w:r>
          </w:p>
        </w:tc>
        <w:tc>
          <w:tcPr>
            <w:tcW w:w="3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5"/>
                <w:szCs w:val="15"/>
                <w:color w:val="auto"/>
              </w:rPr>
              <w:t>23,410,235</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r>
        <w:trPr>
          <w:trHeight w:val="190"/>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Outstanding–Diluted</w:t>
            </w:r>
          </w:p>
        </w:tc>
        <w:tc>
          <w:tcPr>
            <w:tcW w:w="120" w:type="dxa"/>
            <w:vAlign w:val="bottom"/>
          </w:tcPr>
          <w:p>
            <w:pPr>
              <w:spacing w:after="0"/>
              <w:rPr>
                <w:sz w:val="16"/>
                <w:szCs w:val="16"/>
                <w:color w:val="auto"/>
              </w:rPr>
            </w:pPr>
          </w:p>
        </w:tc>
        <w:tc>
          <w:tcPr>
            <w:tcW w:w="1560" w:type="dxa"/>
            <w:vAlign w:val="bottom"/>
            <w:gridSpan w:val="2"/>
          </w:tcPr>
          <w:p>
            <w:pPr>
              <w:jc w:val="right"/>
              <w:ind w:right="158"/>
              <w:spacing w:after="0"/>
              <w:rPr>
                <w:sz w:val="20"/>
                <w:szCs w:val="20"/>
                <w:color w:val="auto"/>
              </w:rPr>
            </w:pPr>
            <w:r>
              <w:rPr>
                <w:rFonts w:ascii="Times New Roman" w:cs="Times New Roman" w:eastAsia="Times New Roman" w:hAnsi="Times New Roman"/>
                <w:sz w:val="15"/>
                <w:szCs w:val="15"/>
                <w:color w:val="auto"/>
              </w:rPr>
              <w:t>23,436,365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23,378,002</w:t>
            </w:r>
          </w:p>
        </w:tc>
        <w:tc>
          <w:tcPr>
            <w:tcW w:w="360" w:type="dxa"/>
            <w:vAlign w:val="bottom"/>
          </w:tcPr>
          <w:p>
            <w:pPr>
              <w:spacing w:after="0"/>
              <w:rPr>
                <w:sz w:val="16"/>
                <w:szCs w:val="16"/>
                <w:color w:val="auto"/>
              </w:rPr>
            </w:pPr>
          </w:p>
        </w:tc>
        <w:tc>
          <w:tcPr>
            <w:tcW w:w="1420" w:type="dxa"/>
            <w:vAlign w:val="bottom"/>
            <w:gridSpan w:val="2"/>
          </w:tcPr>
          <w:p>
            <w:pPr>
              <w:jc w:val="right"/>
              <w:ind w:right="278"/>
              <w:spacing w:after="0"/>
              <w:rPr>
                <w:sz w:val="20"/>
                <w:szCs w:val="20"/>
                <w:color w:val="auto"/>
              </w:rPr>
            </w:pPr>
            <w:r>
              <w:rPr>
                <w:rFonts w:ascii="Times New Roman" w:cs="Times New Roman" w:eastAsia="Times New Roman" w:hAnsi="Times New Roman"/>
                <w:sz w:val="15"/>
                <w:szCs w:val="15"/>
                <w:color w:val="auto"/>
              </w:rPr>
              <w:t>23,410,235</w:t>
            </w:r>
          </w:p>
        </w:tc>
        <w:tc>
          <w:tcPr>
            <w:tcW w:w="240" w:type="dxa"/>
            <w:vAlign w:val="bottom"/>
          </w:tcPr>
          <w:p>
            <w:pPr>
              <w:spacing w:after="0"/>
              <w:rPr>
                <w:sz w:val="16"/>
                <w:szCs w:val="16"/>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25,393,490</w:t>
            </w:r>
          </w:p>
        </w:tc>
        <w:tc>
          <w:tcPr>
            <w:tcW w:w="0" w:type="dxa"/>
            <w:vAlign w:val="bottom"/>
          </w:tcPr>
          <w:p>
            <w:pPr>
              <w:spacing w:after="0"/>
              <w:rPr>
                <w:sz w:val="1"/>
                <w:szCs w:val="1"/>
                <w:color w:val="auto"/>
              </w:rPr>
            </w:pPr>
          </w:p>
        </w:tc>
      </w:tr>
      <w:tr>
        <w:trPr>
          <w:trHeight w:val="346"/>
        </w:trPr>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center"/>
              <w:ind w:right="658"/>
              <w:spacing w:after="0" w:line="149" w:lineRule="exact"/>
              <w:rPr>
                <w:sz w:val="20"/>
                <w:szCs w:val="20"/>
                <w:color w:val="auto"/>
              </w:rPr>
            </w:pPr>
            <w:r>
              <w:rPr>
                <w:rFonts w:ascii="Times New Roman" w:cs="Times New Roman" w:eastAsia="Times New Roman" w:hAnsi="Times New Roman"/>
                <w:sz w:val="15"/>
                <w:szCs w:val="15"/>
                <w:b w:val="1"/>
                <w:bCs w:val="1"/>
                <w:color w:val="auto"/>
                <w:w w:val="97"/>
              </w:rPr>
              <w:t>June 30,</w:t>
            </w:r>
          </w:p>
        </w:tc>
        <w:tc>
          <w:tcPr>
            <w:tcW w:w="240" w:type="dxa"/>
            <w:vAlign w:val="bottom"/>
          </w:tcPr>
          <w:p>
            <w:pPr>
              <w:spacing w:after="0"/>
              <w:rPr>
                <w:sz w:val="12"/>
                <w:szCs w:val="12"/>
                <w:color w:val="auto"/>
              </w:rPr>
            </w:pPr>
          </w:p>
        </w:tc>
        <w:tc>
          <w:tcPr>
            <w:tcW w:w="1220" w:type="dxa"/>
            <w:vAlign w:val="bottom"/>
          </w:tcPr>
          <w:p>
            <w:pPr>
              <w:jc w:val="center"/>
              <w:ind w:right="187"/>
              <w:spacing w:after="0" w:line="149" w:lineRule="exact"/>
              <w:rPr>
                <w:sz w:val="20"/>
                <w:szCs w:val="20"/>
                <w:color w:val="auto"/>
              </w:rPr>
            </w:pPr>
            <w:r>
              <w:rPr>
                <w:rFonts w:ascii="Times New Roman" w:cs="Times New Roman" w:eastAsia="Times New Roman" w:hAnsi="Times New Roman"/>
                <w:sz w:val="15"/>
                <w:szCs w:val="15"/>
                <w:b w:val="1"/>
                <w:bCs w:val="1"/>
                <w:color w:val="auto"/>
                <w:w w:val="97"/>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w w:val="97"/>
              </w:rPr>
              <w:t>December 31, 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w w:val="98"/>
              </w:rPr>
              <w:t>September 30, 2023</w:t>
            </w:r>
          </w:p>
        </w:tc>
        <w:tc>
          <w:tcPr>
            <w:tcW w:w="360" w:type="dxa"/>
            <w:vAlign w:val="bottom"/>
          </w:tcPr>
          <w:p>
            <w:pPr>
              <w:spacing w:after="0"/>
              <w:rPr>
                <w:sz w:val="16"/>
                <w:szCs w:val="16"/>
                <w:color w:val="auto"/>
              </w:rPr>
            </w:pPr>
          </w:p>
        </w:tc>
        <w:tc>
          <w:tcPr>
            <w:tcW w:w="1100" w:type="dxa"/>
            <w:vAlign w:val="bottom"/>
          </w:tcPr>
          <w:p>
            <w:pPr>
              <w:jc w:val="center"/>
              <w:ind w:right="28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Investment Income</w:t>
            </w:r>
          </w:p>
        </w:tc>
        <w:tc>
          <w:tcPr>
            <w:tcW w:w="1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2,459,734</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1,465,746</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1,372,218</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1,299,082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5,203,812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4,134,172</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5,177,558</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5,520,847</w:t>
            </w:r>
          </w:p>
        </w:tc>
        <w:tc>
          <w:tcPr>
            <w:tcW w:w="0" w:type="dxa"/>
            <w:vAlign w:val="bottom"/>
          </w:tcPr>
          <w:p>
            <w:pPr>
              <w:spacing w:after="0"/>
              <w:rPr>
                <w:sz w:val="1"/>
                <w:szCs w:val="1"/>
                <w:color w:val="auto"/>
              </w:rPr>
            </w:pPr>
          </w:p>
        </w:tc>
      </w:tr>
      <w:tr>
        <w:trPr>
          <w:trHeight w:val="166"/>
        </w:trPr>
        <w:tc>
          <w:tcPr>
            <w:tcW w:w="43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Investment Loss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(2,744,078)</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(2,668,426)</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(3,805,340)</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(4,221,765)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2,594,633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258"/>
              <w:spacing w:after="0"/>
              <w:rPr>
                <w:sz w:val="20"/>
                <w:szCs w:val="20"/>
                <w:color w:val="auto"/>
              </w:rPr>
            </w:pPr>
            <w:r>
              <w:rPr>
                <w:rFonts w:ascii="Times New Roman" w:cs="Times New Roman" w:eastAsia="Times New Roman" w:hAnsi="Times New Roman"/>
                <w:sz w:val="15"/>
                <w:szCs w:val="15"/>
                <w:color w:val="auto"/>
              </w:rPr>
              <w:t>(1,461,281)</w:t>
            </w:r>
          </w:p>
        </w:tc>
        <w:tc>
          <w:tcPr>
            <w:tcW w:w="360" w:type="dxa"/>
            <w:vAlign w:val="bottom"/>
          </w:tcPr>
          <w:p>
            <w:pPr>
              <w:spacing w:after="0"/>
              <w:rPr>
                <w:sz w:val="15"/>
                <w:szCs w:val="15"/>
                <w:color w:val="auto"/>
              </w:rPr>
            </w:pPr>
          </w:p>
        </w:tc>
        <w:tc>
          <w:tcPr>
            <w:tcW w:w="142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(13,270,199)</w:t>
            </w:r>
          </w:p>
        </w:tc>
        <w:tc>
          <w:tcPr>
            <w:tcW w:w="240" w:type="dxa"/>
            <w:vAlign w:val="bottom"/>
          </w:tcPr>
          <w:p>
            <w:pPr>
              <w:spacing w:after="0"/>
              <w:rPr>
                <w:sz w:val="15"/>
                <w:szCs w:val="15"/>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189,343</w:t>
            </w:r>
          </w:p>
        </w:tc>
        <w:tc>
          <w:tcPr>
            <w:tcW w:w="0" w:type="dxa"/>
            <w:vAlign w:val="bottom"/>
          </w:tcPr>
          <w:p>
            <w:pPr>
              <w:spacing w:after="0"/>
              <w:rPr>
                <w:sz w:val="1"/>
                <w:szCs w:val="1"/>
                <w:color w:val="auto"/>
              </w:rPr>
            </w:pPr>
          </w:p>
        </w:tc>
      </w:tr>
      <w:tr>
        <w:trPr>
          <w:trHeight w:val="160"/>
        </w:trPr>
        <w:tc>
          <w:tcPr>
            <w:tcW w:w="43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Net Change in Unrealized Appreciation/(Depreciation) of</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5"/>
                <w:szCs w:val="15"/>
                <w:color w:val="auto"/>
              </w:rPr>
              <w:t>(8,973,578)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5"/>
                <w:szCs w:val="15"/>
                <w:color w:val="auto"/>
              </w:rPr>
              <w:t>29,323,067</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1,455,515</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8,648,931</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5"/>
                <w:szCs w:val="15"/>
                <w:color w:val="auto"/>
              </w:rPr>
              <w:t>Net Increase/(Decrease)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(9,123,023</w:t>
            </w:r>
          </w:p>
        </w:tc>
        <w:tc>
          <w:tcPr>
            <w:tcW w:w="2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25,193,360</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(15,620,024</w:t>
            </w:r>
          </w:p>
        </w:tc>
        <w:tc>
          <w:tcPr>
            <w:tcW w:w="320" w:type="dxa"/>
            <w:vAlign w:val="bottom"/>
            <w:tcBorders>
              <w:bottom w:val="single" w:sz="8" w:color="CCEEFF"/>
            </w:tcBorders>
          </w:tcPr>
          <w:p>
            <w:pPr>
              <w:jc w:val="right"/>
              <w:ind w:right="23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4,616,509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3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Increase/(Decrease) in Net Assets from Operations per Common</w:t>
            </w: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gridSpan w:val="2"/>
          </w:tcPr>
          <w:p>
            <w:pPr>
              <w:jc w:val="right"/>
              <w:ind w:right="118"/>
              <w:spacing w:after="0"/>
              <w:rPr>
                <w:sz w:val="20"/>
                <w:szCs w:val="20"/>
                <w:color w:val="auto"/>
              </w:rPr>
            </w:pPr>
            <w:r>
              <w:rPr>
                <w:rFonts w:ascii="Times New Roman" w:cs="Times New Roman" w:eastAsia="Times New Roman" w:hAnsi="Times New Roman"/>
                <w:sz w:val="15"/>
                <w:szCs w:val="15"/>
                <w:color w:val="auto"/>
              </w:rPr>
              <w:t>(0.36)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0.99</w:t>
            </w: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tcPr>
          <w:p>
            <w:pPr>
              <w:jc w:val="right"/>
              <w:ind w:right="238"/>
              <w:spacing w:after="0"/>
              <w:rPr>
                <w:sz w:val="20"/>
                <w:szCs w:val="20"/>
                <w:color w:val="auto"/>
              </w:rPr>
            </w:pPr>
            <w:r>
              <w:rPr>
                <w:rFonts w:ascii="Times New Roman" w:cs="Times New Roman" w:eastAsia="Times New Roman" w:hAnsi="Times New Roman"/>
                <w:sz w:val="15"/>
                <w:szCs w:val="15"/>
                <w:color w:val="auto"/>
              </w:rPr>
              <w:t>(0.60)</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5"/>
                <w:szCs w:val="15"/>
                <w:color w:val="auto"/>
              </w:rPr>
              <w:t>(0.36)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5"/>
                <w:szCs w:val="15"/>
                <w:color w:val="auto"/>
              </w:rPr>
              <w:t>0.99</w:t>
            </w:r>
          </w:p>
        </w:tc>
        <w:tc>
          <w:tcPr>
            <w:tcW w:w="36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5"/>
                <w:szCs w:val="15"/>
                <w:color w:val="auto"/>
              </w:rPr>
              <w:t>(0.60)</w:t>
            </w: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Outstanding–Basic</w:t>
            </w:r>
          </w:p>
        </w:tc>
        <w:tc>
          <w:tcPr>
            <w:tcW w:w="120" w:type="dxa"/>
            <w:vAlign w:val="bottom"/>
          </w:tcPr>
          <w:p>
            <w:pPr>
              <w:spacing w:after="0"/>
              <w:rPr>
                <w:sz w:val="15"/>
                <w:szCs w:val="15"/>
                <w:color w:val="auto"/>
              </w:rPr>
            </w:pPr>
          </w:p>
        </w:tc>
        <w:tc>
          <w:tcPr>
            <w:tcW w:w="1560" w:type="dxa"/>
            <w:vAlign w:val="bottom"/>
            <w:gridSpan w:val="2"/>
          </w:tcPr>
          <w:p>
            <w:pPr>
              <w:jc w:val="right"/>
              <w:ind w:right="158"/>
              <w:spacing w:after="0"/>
              <w:rPr>
                <w:sz w:val="20"/>
                <w:szCs w:val="20"/>
                <w:color w:val="auto"/>
              </w:rPr>
            </w:pPr>
            <w:r>
              <w:rPr>
                <w:rFonts w:ascii="Times New Roman" w:cs="Times New Roman" w:eastAsia="Times New Roman" w:hAnsi="Times New Roman"/>
                <w:sz w:val="15"/>
                <w:szCs w:val="15"/>
                <w:color w:val="auto"/>
              </w:rPr>
              <w:t>25,251,921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color w:val="auto"/>
              </w:rPr>
              <w:t>25,351,306</w:t>
            </w:r>
          </w:p>
        </w:tc>
        <w:tc>
          <w:tcPr>
            <w:tcW w:w="360" w:type="dxa"/>
            <w:vAlign w:val="bottom"/>
          </w:tcPr>
          <w:p>
            <w:pPr>
              <w:spacing w:after="0"/>
              <w:rPr>
                <w:sz w:val="15"/>
                <w:szCs w:val="15"/>
                <w:color w:val="auto"/>
              </w:rPr>
            </w:pPr>
          </w:p>
        </w:tc>
        <w:tc>
          <w:tcPr>
            <w:tcW w:w="1420" w:type="dxa"/>
            <w:vAlign w:val="bottom"/>
            <w:gridSpan w:val="2"/>
          </w:tcPr>
          <w:p>
            <w:pPr>
              <w:jc w:val="right"/>
              <w:ind w:right="278"/>
              <w:spacing w:after="0"/>
              <w:rPr>
                <w:sz w:val="20"/>
                <w:szCs w:val="20"/>
                <w:color w:val="auto"/>
              </w:rPr>
            </w:pPr>
            <w:r>
              <w:rPr>
                <w:rFonts w:ascii="Times New Roman" w:cs="Times New Roman" w:eastAsia="Times New Roman" w:hAnsi="Times New Roman"/>
                <w:sz w:val="15"/>
                <w:szCs w:val="15"/>
                <w:color w:val="auto"/>
              </w:rPr>
              <w:t>25,952,447</w:t>
            </w:r>
          </w:p>
        </w:tc>
        <w:tc>
          <w:tcPr>
            <w:tcW w:w="240" w:type="dxa"/>
            <w:vAlign w:val="bottom"/>
          </w:tcPr>
          <w:p>
            <w:pPr>
              <w:spacing w:after="0"/>
              <w:rPr>
                <w:sz w:val="15"/>
                <w:szCs w:val="15"/>
                <w:color w:val="auto"/>
              </w:rPr>
            </w:pPr>
          </w:p>
        </w:tc>
        <w:tc>
          <w:tcPr>
            <w:tcW w:w="132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28,378,529</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Outstanding–Diluted</w:t>
            </w:r>
          </w:p>
        </w:tc>
        <w:tc>
          <w:tcPr>
            <w:tcW w:w="1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5"/>
                <w:szCs w:val="15"/>
                <w:color w:val="auto"/>
              </w:rPr>
              <w:t>25,251,921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5"/>
                <w:szCs w:val="15"/>
                <w:color w:val="auto"/>
              </w:rPr>
              <w:t>25,351,306</w:t>
            </w:r>
          </w:p>
        </w:tc>
        <w:tc>
          <w:tcPr>
            <w:tcW w:w="3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5"/>
                <w:szCs w:val="15"/>
                <w:color w:val="auto"/>
              </w:rPr>
              <w:t>25,952,447</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28,378,529</w:t>
            </w:r>
          </w:p>
        </w:tc>
        <w:tc>
          <w:tcPr>
            <w:tcW w:w="0" w:type="dxa"/>
            <w:vAlign w:val="bottom"/>
          </w:tcPr>
          <w:p>
            <w:pPr>
              <w:spacing w:after="0"/>
              <w:rPr>
                <w:sz w:val="1"/>
                <w:szCs w:val="1"/>
                <w:color w:val="auto"/>
              </w:rPr>
            </w:pPr>
          </w:p>
        </w:tc>
      </w:tr>
      <w:tr>
        <w:trPr>
          <w:trHeight w:val="350"/>
        </w:trPr>
        <w:tc>
          <w:tcPr>
            <w:tcW w:w="4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14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860" w:type="dxa"/>
            <w:vAlign w:val="bottom"/>
            <w:gridSpan w:val="9"/>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w w:val="96"/>
              </w:rPr>
              <w:t>SURO CAPITAL CORP. AND SUBSIDIARIES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1480" w:type="dxa"/>
            <w:vAlign w:val="bottom"/>
          </w:tcPr>
          <w:p>
            <w:pPr>
              <w:spacing w:after="0"/>
              <w:rPr>
                <w:sz w:val="24"/>
                <w:szCs w:val="24"/>
                <w:color w:val="auto"/>
              </w:rPr>
            </w:pPr>
          </w:p>
        </w:tc>
        <w:tc>
          <w:tcPr>
            <w:tcW w:w="6460" w:type="dxa"/>
            <w:vAlign w:val="bottom"/>
            <w:gridSpan w:val="10"/>
          </w:tcPr>
          <w:p>
            <w:pPr>
              <w:jc w:val="center"/>
              <w:ind w:left="1807"/>
              <w:spacing w:after="0"/>
              <w:rPr>
                <w:sz w:val="20"/>
                <w:szCs w:val="20"/>
                <w:color w:val="auto"/>
              </w:rPr>
            </w:pPr>
            <w:r>
              <w:rPr>
                <w:rFonts w:ascii="Times New Roman" w:cs="Times New Roman" w:eastAsia="Times New Roman" w:hAnsi="Times New Roman"/>
                <w:sz w:val="15"/>
                <w:szCs w:val="15"/>
                <w:b w:val="1"/>
                <w:bCs w:val="1"/>
                <w:color w:val="auto"/>
                <w:w w:val="96"/>
              </w:rPr>
              <w:t>NOTES TO CONSOLIDATED FINANCIAL STATEMENTS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1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jc w:val="center"/>
              <w:ind w:left="487"/>
              <w:spacing w:after="0"/>
              <w:rPr>
                <w:sz w:val="20"/>
                <w:szCs w:val="20"/>
                <w:color w:val="auto"/>
              </w:rPr>
            </w:pPr>
            <w:r>
              <w:rPr>
                <w:rFonts w:ascii="Times New Roman" w:cs="Times New Roman" w:eastAsia="Times New Roman" w:hAnsi="Times New Roman"/>
                <w:sz w:val="15"/>
                <w:szCs w:val="15"/>
                <w:b w:val="1"/>
                <w:bCs w:val="1"/>
                <w:color w:val="auto"/>
                <w:w w:val="95"/>
              </w:rPr>
              <w:t>December 31, 2024</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0"/>
        </w:trPr>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9"/>
        </w:trPr>
        <w:tc>
          <w:tcPr>
            <w:tcW w:w="1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5"/>
                <w:szCs w:val="15"/>
                <w:b w:val="1"/>
                <w:bCs w:val="1"/>
                <w:color w:val="auto"/>
              </w:rPr>
              <w:t>June 30,</w:t>
            </w:r>
          </w:p>
        </w:tc>
        <w:tc>
          <w:tcPr>
            <w:tcW w:w="260" w:type="dxa"/>
            <w:vAlign w:val="bottom"/>
          </w:tcPr>
          <w:p>
            <w:pPr>
              <w:spacing w:after="0"/>
              <w:rPr>
                <w:sz w:val="12"/>
                <w:szCs w:val="12"/>
                <w:color w:val="auto"/>
              </w:rPr>
            </w:pPr>
          </w:p>
        </w:tc>
        <w:tc>
          <w:tcPr>
            <w:tcW w:w="13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5"/>
                <w:szCs w:val="15"/>
                <w:b w:val="1"/>
                <w:bCs w:val="1"/>
                <w:color w:val="auto"/>
              </w:rPr>
              <w:t>March 31,</w:t>
            </w:r>
          </w:p>
        </w:tc>
      </w:tr>
      <w:tr>
        <w:trPr>
          <w:trHeight w:val="191"/>
        </w:trPr>
        <w:tc>
          <w:tcPr>
            <w:tcW w:w="1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420" w:type="dxa"/>
            <w:vAlign w:val="bottom"/>
          </w:tcPr>
          <w:p>
            <w:pPr>
              <w:spacing w:after="0"/>
              <w:rPr>
                <w:sz w:val="16"/>
                <w:szCs w:val="16"/>
                <w:color w:val="auto"/>
              </w:rPr>
            </w:pPr>
          </w:p>
        </w:tc>
        <w:tc>
          <w:tcPr>
            <w:tcW w:w="104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6"/>
                <w:szCs w:val="16"/>
                <w:color w:val="auto"/>
              </w:rPr>
            </w:pPr>
          </w:p>
        </w:tc>
      </w:tr>
      <w:tr>
        <w:trPr>
          <w:trHeight w:val="166"/>
        </w:trPr>
        <w:tc>
          <w:tcPr>
            <w:tcW w:w="4080" w:type="dxa"/>
            <w:vAlign w:val="bottom"/>
            <w:tcBorders>
              <w:top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Investment Income</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1,462,951</w:t>
            </w: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tcBorders>
            <w:gridSpan w:val="2"/>
            <w:shd w:val="clear" w:color="auto" w:fill="CCEEFF"/>
          </w:tcPr>
          <w:p>
            <w:pPr>
              <w:jc w:val="right"/>
              <w:ind w:right="78"/>
              <w:spacing w:after="0" w:line="166" w:lineRule="exact"/>
              <w:rPr>
                <w:sz w:val="20"/>
                <w:szCs w:val="20"/>
                <w:color w:val="auto"/>
              </w:rPr>
            </w:pPr>
            <w:r>
              <w:rPr>
                <w:rFonts w:ascii="Times New Roman" w:cs="Times New Roman" w:eastAsia="Times New Roman" w:hAnsi="Times New Roman"/>
                <w:sz w:val="15"/>
                <w:szCs w:val="15"/>
                <w:color w:val="auto"/>
              </w:rPr>
              <w:t>519,511</w:t>
            </w: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890,631</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7"/>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gridSpan w:val="2"/>
            <w:shd w:val="clear" w:color="auto" w:fill="CCEEFF"/>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rPr>
              <w:t>583,100</w:t>
            </w:r>
          </w:p>
        </w:tc>
      </w:tr>
      <w:tr>
        <w:trPr>
          <w:trHeight w:val="186"/>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4,326,133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4,328,744</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4,701,519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4,807,805</w:t>
            </w:r>
          </w:p>
        </w:tc>
      </w:tr>
      <w:tr>
        <w:trPr>
          <w:trHeight w:val="166"/>
        </w:trPr>
        <w:tc>
          <w:tcPr>
            <w:tcW w:w="4080" w:type="dxa"/>
            <w:vAlign w:val="bottom"/>
            <w:tcBorders>
              <w:top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Investment Loss</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(2,863,182)</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(3,809,233)</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(3,810,888)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(4,224,705)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5"/>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(1,894,406)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(5,141,097)</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(1,966,225)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3,096,275</w:t>
            </w:r>
          </w:p>
        </w:tc>
      </w:tr>
      <w:tr>
        <w:trPr>
          <w:trHeight w:val="160"/>
        </w:trPr>
        <w:tc>
          <w:tcPr>
            <w:tcW w:w="408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Net Change in Unrealized Appreciation/(Depreciation) of</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(7,633,982)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(36,951,920)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(88,562,575)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21,584,885</w:t>
            </w:r>
          </w:p>
        </w:tc>
      </w:tr>
      <w:tr>
        <w:trPr>
          <w:trHeight w:val="217"/>
        </w:trPr>
        <w:tc>
          <w:tcPr>
            <w:tcW w:w="4080" w:type="dxa"/>
            <w:vAlign w:val="bottom"/>
            <w:tcBorders>
              <w:bottom w:val="single" w:sz="8" w:color="CCEEFF"/>
            </w:tcBorders>
            <w:gridSpan w:val="2"/>
          </w:tcPr>
          <w:p>
            <w:pPr>
              <w:spacing w:after="0" w:line="170" w:lineRule="exact"/>
              <w:rPr>
                <w:sz w:val="20"/>
                <w:szCs w:val="20"/>
                <w:color w:val="auto"/>
              </w:rPr>
            </w:pPr>
            <w:r>
              <w:rPr>
                <w:rFonts w:ascii="Times New Roman" w:cs="Times New Roman" w:eastAsia="Times New Roman" w:hAnsi="Times New Roman"/>
                <w:sz w:val="15"/>
                <w:szCs w:val="15"/>
                <w:color w:val="auto"/>
              </w:rPr>
              <w:t>Net Increase/(Decrease) in Net Assets Resulting from Operations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(12,391,570</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(45,902,250</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(94,339,688</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20,456,455</w:t>
            </w:r>
          </w:p>
        </w:tc>
        <w:tc>
          <w:tcPr>
            <w:tcW w:w="100" w:type="dxa"/>
            <w:vAlign w:val="bottom"/>
            <w:tcBorders>
              <w:bottom w:val="single" w:sz="8" w:color="CCEEFF"/>
            </w:tcBorders>
          </w:tcPr>
          <w:p>
            <w:pPr>
              <w:spacing w:after="0"/>
              <w:rPr>
                <w:sz w:val="18"/>
                <w:szCs w:val="18"/>
                <w:color w:val="auto"/>
              </w:rPr>
            </w:pPr>
          </w:p>
        </w:tc>
      </w:tr>
      <w:tr>
        <w:trPr>
          <w:trHeight w:val="111"/>
        </w:trPr>
        <w:tc>
          <w:tcPr>
            <w:tcW w:w="40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Increase/(Decrease) in Net Assets from Operations per Common</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8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(0.44)</w:t>
            </w:r>
          </w:p>
        </w:tc>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(1.54)</w:t>
            </w:r>
          </w:p>
        </w:tc>
        <w:tc>
          <w:tcPr>
            <w:tcW w:w="220" w:type="dxa"/>
            <w:vAlign w:val="bottom"/>
          </w:tcPr>
          <w:p>
            <w:pPr>
              <w:spacing w:after="0"/>
              <w:rPr>
                <w:sz w:val="15"/>
                <w:szCs w:val="15"/>
                <w:color w:val="auto"/>
              </w:rPr>
            </w:pPr>
          </w:p>
        </w:tc>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8"/>
              <w:spacing w:after="0"/>
              <w:rPr>
                <w:sz w:val="20"/>
                <w:szCs w:val="20"/>
                <w:color w:val="auto"/>
              </w:rPr>
            </w:pPr>
            <w:r>
              <w:rPr>
                <w:rFonts w:ascii="Times New Roman" w:cs="Times New Roman" w:eastAsia="Times New Roman" w:hAnsi="Times New Roman"/>
                <w:sz w:val="15"/>
                <w:szCs w:val="15"/>
                <w:color w:val="auto"/>
              </w:rPr>
              <w:t>(3.08)</w:t>
            </w:r>
          </w:p>
        </w:tc>
        <w:tc>
          <w:tcPr>
            <w:tcW w:w="22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0.66</w:t>
            </w:r>
          </w:p>
        </w:tc>
      </w:tr>
      <w:tr>
        <w:trPr>
          <w:trHeight w:val="175"/>
        </w:trPr>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(0.44)</w:t>
            </w:r>
          </w:p>
        </w:tc>
        <w:tc>
          <w:tcPr>
            <w:tcW w:w="3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(1.54)</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5"/>
                <w:szCs w:val="15"/>
                <w:color w:val="auto"/>
              </w:rPr>
              <w:t>(3.08)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0.66</w:t>
            </w:r>
          </w:p>
        </w:tc>
      </w:tr>
      <w:tr>
        <w:trPr>
          <w:trHeight w:val="175"/>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Outstanding–Basic</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28,349,822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29,781,801</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30,633,878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31,228,046</w:t>
            </w:r>
          </w:p>
        </w:tc>
      </w:tr>
      <w:tr>
        <w:trPr>
          <w:trHeight w:val="17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Outstanding–Diluted</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28,349,822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5"/>
                <w:szCs w:val="15"/>
                <w:color w:val="auto"/>
              </w:rPr>
              <w:t>29,781,801</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30,633,878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31,228,046</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14—SUPPLEMENTAL FINANCIAL DATA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Summarized Financial Information of Unconsolidated Subsidiaries</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4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54"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Company’s controlled portfolio company as of December 31, 2024, Colombier Sponsor II LLC, did not meet the definition of a “significant subsidiary” as set forth in Rule 1-02(w)(2) of Regulation S-X. The Company’s three controlled portfolio companies as of December 31, 2023, SPBRX, INC. (f/k/a GSV Sustainability Partners, Inc.), Architect Capital PayJoy SPV, LLC, and Colombier Sponsor II LLC, did not meet the definition of significant subsidiaries under the Final Rules.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196"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Evaluation of Disclosure Controls and Procedures</w:t>
      </w:r>
    </w:p>
    <w:p>
      <w:pPr>
        <w:spacing w:after="0" w:line="179" w:lineRule="exact"/>
        <w:rPr>
          <w:sz w:val="20"/>
          <w:szCs w:val="20"/>
          <w:color w:val="auto"/>
        </w:rPr>
      </w:pPr>
    </w:p>
    <w:p>
      <w:pPr>
        <w:jc w:val="both"/>
        <w:ind w:firstLine="262"/>
        <w:spacing w:after="0" w:line="247" w:lineRule="auto"/>
        <w:rPr>
          <w:sz w:val="20"/>
          <w:szCs w:val="20"/>
          <w:color w:val="auto"/>
        </w:rPr>
      </w:pPr>
      <w:r>
        <w:rPr>
          <w:rFonts w:ascii="Times New Roman" w:cs="Times New Roman" w:eastAsia="Times New Roman" w:hAnsi="Times New Roman"/>
          <w:sz w:val="15"/>
          <w:szCs w:val="15"/>
          <w:color w:val="auto"/>
        </w:rPr>
        <w:t>As of December 31, 2024,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Management’s Report on Internal Controls Over Financial Reporting</w:t>
      </w:r>
    </w:p>
    <w:p>
      <w:pPr>
        <w:spacing w:after="0" w:line="179" w:lineRule="exact"/>
        <w:rPr>
          <w:sz w:val="20"/>
          <w:szCs w:val="20"/>
          <w:color w:val="auto"/>
        </w:rPr>
      </w:pPr>
    </w:p>
    <w:p>
      <w:pPr>
        <w:jc w:val="both"/>
        <w:ind w:firstLine="262"/>
        <w:spacing w:after="0" w:line="266"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2024.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46"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Management performed an assessment of the effectiveness of our internal control over financial reporting as of December 31, 2024 based upon criteria in Internal Control-Integrated Framework (2013) issued by the Committee of Sponsoring Organizations of the Treadway Commission (“COSO”). Based on this assessment, management determined that our internal control over financial reporting was effective as of December 31, 2024.</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annual report does not include an attestation report of our registered public accounting firm pursuant to the rules of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Changes in Internal Control Over Financial Reporting</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that occurred during the fiscal year ended December 31, 2024 that have materially affected, or are reasonably likely to materially affect, our internal control over financial reporting.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Fees and Expenses</w:t>
      </w:r>
    </w:p>
    <w:p>
      <w:pPr>
        <w:spacing w:after="0" w:line="179" w:lineRule="exact"/>
        <w:rPr>
          <w:sz w:val="20"/>
          <w:szCs w:val="20"/>
          <w:color w:val="auto"/>
        </w:rPr>
      </w:pPr>
    </w:p>
    <w:p>
      <w:pPr>
        <w:jc w:val="both"/>
        <w:ind w:firstLine="262"/>
        <w:spacing w:after="0" w:line="249" w:lineRule="auto"/>
        <w:rPr>
          <w:sz w:val="20"/>
          <w:szCs w:val="20"/>
          <w:color w:val="auto"/>
        </w:rPr>
      </w:pPr>
      <w:r>
        <w:rPr>
          <w:rFonts w:ascii="Times New Roman" w:cs="Times New Roman" w:eastAsia="Times New Roman" w:hAnsi="Times New Roman"/>
          <w:sz w:val="15"/>
          <w:szCs w:val="15"/>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 transaction expenses:</w:t>
            </w: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08"/>
        </w:trPr>
        <w:tc>
          <w:tcPr>
            <w:tcW w:w="7120" w:type="dxa"/>
            <w:vAlign w:val="bottom"/>
          </w:tcPr>
          <w:p>
            <w:pPr>
              <w:spacing w:after="0"/>
              <w:rPr>
                <w:sz w:val="20"/>
                <w:szCs w:val="20"/>
                <w:color w:val="auto"/>
              </w:rPr>
            </w:pPr>
            <w:r>
              <w:rPr>
                <w:rFonts w:ascii="Times New Roman" w:cs="Times New Roman" w:eastAsia="Times New Roman" w:hAnsi="Times New Roman"/>
                <w:sz w:val="15"/>
                <w:szCs w:val="15"/>
                <w:color w:val="auto"/>
              </w:rPr>
              <w:t>Sales load (as a percentage of offering price)</w:t>
            </w:r>
          </w:p>
        </w:tc>
        <w:tc>
          <w:tcPr>
            <w:tcW w:w="1900" w:type="dxa"/>
            <w:vAlign w:val="bottom"/>
            <w:gridSpan w:val="3"/>
          </w:tcPr>
          <w:p>
            <w:pPr>
              <w:jc w:val="right"/>
              <w:ind w:right="27"/>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(1)</w:t>
            </w:r>
          </w:p>
        </w:tc>
      </w:tr>
      <w:tr>
        <w:trPr>
          <w:trHeight w:val="208"/>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expenses (as a percentage of offering price)</w:t>
            </w:r>
          </w:p>
        </w:tc>
        <w:tc>
          <w:tcPr>
            <w:tcW w:w="1900" w:type="dxa"/>
            <w:vAlign w:val="bottom"/>
            <w:gridSpan w:val="3"/>
            <w:shd w:val="clear" w:color="auto" w:fill="CCEEFF"/>
          </w:tcPr>
          <w:p>
            <w:pPr>
              <w:jc w:val="right"/>
              <w:ind w:right="27"/>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(2)</w:t>
            </w: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5"/>
                <w:szCs w:val="15"/>
                <w:color w:val="auto"/>
              </w:rPr>
              <w:t>Dividend reinvestment plan expenses</w:t>
            </w:r>
          </w:p>
        </w:tc>
        <w:tc>
          <w:tcPr>
            <w:tcW w:w="1900" w:type="dxa"/>
            <w:vAlign w:val="bottom"/>
            <w:gridSpan w:val="3"/>
          </w:tcPr>
          <w:p>
            <w:pPr>
              <w:jc w:val="right"/>
              <w:ind w:right="27"/>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(3)</w:t>
            </w:r>
          </w:p>
        </w:tc>
      </w:tr>
      <w:tr>
        <w:trPr>
          <w:trHeight w:val="20"/>
        </w:trPr>
        <w:tc>
          <w:tcPr>
            <w:tcW w:w="7120" w:type="dxa"/>
            <w:vAlign w:val="bottom"/>
            <w:shd w:val="clear" w:color="auto" w:fill="CCEEFF"/>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88"/>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 transaction expenses (as a percentage of offering price)</w:t>
            </w:r>
          </w:p>
        </w:tc>
        <w:tc>
          <w:tcPr>
            <w:tcW w:w="1900" w:type="dxa"/>
            <w:vAlign w:val="bottom"/>
            <w:gridSpan w:val="3"/>
            <w:shd w:val="clear" w:color="auto" w:fill="CCEEFF"/>
          </w:tcPr>
          <w:p>
            <w:pPr>
              <w:jc w:val="right"/>
              <w:ind w:right="27"/>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0"/>
                <w:szCs w:val="10"/>
                <w:color w:val="auto"/>
              </w:rPr>
              <w:t>(4)</w:t>
            </w:r>
          </w:p>
        </w:tc>
      </w:tr>
      <w:tr>
        <w:trPr>
          <w:trHeight w:val="208"/>
        </w:trPr>
        <w:tc>
          <w:tcPr>
            <w:tcW w:w="7120" w:type="dxa"/>
            <w:vAlign w:val="bottom"/>
          </w:tcPr>
          <w:p>
            <w:pPr>
              <w:spacing w:after="0" w:line="207" w:lineRule="exact"/>
              <w:rPr>
                <w:sz w:val="20"/>
                <w:szCs w:val="20"/>
                <w:color w:val="auto"/>
              </w:rPr>
            </w:pPr>
            <w:r>
              <w:rPr>
                <w:rFonts w:ascii="Times New Roman" w:cs="Times New Roman" w:eastAsia="Times New Roman" w:hAnsi="Times New Roman"/>
                <w:sz w:val="15"/>
                <w:szCs w:val="15"/>
                <w:b w:val="1"/>
                <w:bCs w:val="1"/>
                <w:color w:val="auto"/>
              </w:rPr>
              <w:t>Annual expenses (as a percentage of net assets attributable to common stock)</w:t>
            </w:r>
            <w:r>
              <w:rPr>
                <w:rFonts w:ascii="Times New Roman" w:cs="Times New Roman" w:eastAsia="Times New Roman" w:hAnsi="Times New Roman"/>
                <w:sz w:val="24"/>
                <w:szCs w:val="24"/>
                <w:b w:val="1"/>
                <w:bCs w:val="1"/>
                <w:color w:val="auto"/>
                <w:vertAlign w:val="superscript"/>
              </w:rPr>
              <w:t>(8)</w:t>
            </w:r>
            <w:r>
              <w:rPr>
                <w:rFonts w:ascii="Times New Roman" w:cs="Times New Roman" w:eastAsia="Times New Roman" w:hAnsi="Times New Roman"/>
                <w:sz w:val="15"/>
                <w:szCs w:val="15"/>
                <w:b w:val="1"/>
                <w:bCs w:val="1"/>
                <w:color w:val="auto"/>
              </w:rPr>
              <w:t>:</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900" w:type="dxa"/>
            <w:vAlign w:val="bottom"/>
            <w:gridSpan w:val="3"/>
            <w:shd w:val="clear" w:color="auto" w:fill="CCEEFF"/>
          </w:tcPr>
          <w:p>
            <w:pPr>
              <w:jc w:val="right"/>
              <w:ind w:right="27"/>
              <w:spacing w:after="0" w:line="207" w:lineRule="exact"/>
              <w:rPr>
                <w:sz w:val="20"/>
                <w:szCs w:val="20"/>
                <w:color w:val="auto"/>
              </w:rPr>
            </w:pPr>
            <w:r>
              <w:rPr>
                <w:rFonts w:ascii="Times New Roman" w:cs="Times New Roman" w:eastAsia="Times New Roman" w:hAnsi="Times New Roman"/>
                <w:sz w:val="15"/>
                <w:szCs w:val="15"/>
                <w:color w:val="auto"/>
              </w:rPr>
              <w:t>7.71%</w:t>
            </w:r>
            <w:r>
              <w:rPr>
                <w:rFonts w:ascii="Times New Roman" w:cs="Times New Roman" w:eastAsia="Times New Roman" w:hAnsi="Times New Roman"/>
                <w:sz w:val="24"/>
                <w:szCs w:val="24"/>
                <w:color w:val="auto"/>
                <w:vertAlign w:val="superscript"/>
              </w:rPr>
              <w:t>(5)</w:t>
            </w:r>
          </w:p>
        </w:tc>
      </w:tr>
      <w:tr>
        <w:trPr>
          <w:trHeight w:val="208"/>
        </w:trPr>
        <w:tc>
          <w:tcPr>
            <w:tcW w:w="7120" w:type="dxa"/>
            <w:vAlign w:val="bottom"/>
          </w:tcPr>
          <w:p>
            <w:pPr>
              <w:spacing w:after="0"/>
              <w:rPr>
                <w:sz w:val="20"/>
                <w:szCs w:val="20"/>
                <w:color w:val="auto"/>
              </w:rPr>
            </w:pPr>
            <w:r>
              <w:rPr>
                <w:rFonts w:ascii="Times New Roman" w:cs="Times New Roman" w:eastAsia="Times New Roman" w:hAnsi="Times New Roman"/>
                <w:sz w:val="15"/>
                <w:szCs w:val="15"/>
                <w:color w:val="auto"/>
              </w:rPr>
              <w:t>Interest payments on borrowed funds</w:t>
            </w:r>
          </w:p>
        </w:tc>
        <w:tc>
          <w:tcPr>
            <w:tcW w:w="1900" w:type="dxa"/>
            <w:vAlign w:val="bottom"/>
            <w:gridSpan w:val="3"/>
          </w:tcPr>
          <w:p>
            <w:pPr>
              <w:jc w:val="right"/>
              <w:ind w:right="27"/>
              <w:spacing w:after="0" w:line="207" w:lineRule="exact"/>
              <w:rPr>
                <w:sz w:val="20"/>
                <w:szCs w:val="20"/>
                <w:color w:val="auto"/>
              </w:rPr>
            </w:pPr>
            <w:r>
              <w:rPr>
                <w:rFonts w:ascii="Times New Roman" w:cs="Times New Roman" w:eastAsia="Times New Roman" w:hAnsi="Times New Roman"/>
                <w:sz w:val="15"/>
                <w:szCs w:val="15"/>
                <w:color w:val="auto"/>
              </w:rPr>
              <w:t>3.25%</w:t>
            </w:r>
            <w:r>
              <w:rPr>
                <w:rFonts w:ascii="Times New Roman" w:cs="Times New Roman" w:eastAsia="Times New Roman" w:hAnsi="Times New Roman"/>
                <w:sz w:val="24"/>
                <w:szCs w:val="24"/>
                <w:color w:val="auto"/>
                <w:vertAlign w:val="superscript"/>
              </w:rPr>
              <w:t>(6)</w:t>
            </w:r>
          </w:p>
        </w:tc>
      </w:tr>
      <w:tr>
        <w:trPr>
          <w:trHeight w:val="218"/>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900" w:type="dxa"/>
            <w:vAlign w:val="bottom"/>
            <w:gridSpan w:val="3"/>
            <w:shd w:val="clear" w:color="auto" w:fill="CCEEFF"/>
          </w:tcPr>
          <w:p>
            <w:pPr>
              <w:jc w:val="right"/>
              <w:ind w:right="27"/>
              <w:spacing w:after="0" w:line="218" w:lineRule="exact"/>
              <w:rPr>
                <w:sz w:val="20"/>
                <w:szCs w:val="20"/>
                <w:color w:val="auto"/>
              </w:rPr>
            </w:pPr>
            <w:r>
              <w:rPr>
                <w:rFonts w:ascii="Times New Roman" w:cs="Times New Roman" w:eastAsia="Times New Roman" w:hAnsi="Times New Roman"/>
                <w:sz w:val="15"/>
                <w:szCs w:val="15"/>
                <w:color w:val="auto"/>
              </w:rPr>
              <w:t>1.00%</w:t>
            </w:r>
            <w:r>
              <w:rPr>
                <w:rFonts w:ascii="Times New Roman" w:cs="Times New Roman" w:eastAsia="Times New Roman" w:hAnsi="Times New Roman"/>
                <w:sz w:val="24"/>
                <w:szCs w:val="24"/>
                <w:color w:val="auto"/>
                <w:vertAlign w:val="superscript"/>
              </w:rPr>
              <w:t>(7)</w:t>
            </w:r>
          </w:p>
        </w:tc>
      </w:tr>
      <w:tr>
        <w:trPr>
          <w:trHeight w:val="177"/>
        </w:trPr>
        <w:tc>
          <w:tcPr>
            <w:tcW w:w="7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annual expenses</w:t>
            </w:r>
          </w:p>
        </w:tc>
        <w:tc>
          <w:tcPr>
            <w:tcW w:w="1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11.96</w:t>
            </w:r>
          </w:p>
        </w:tc>
        <w:tc>
          <w:tcPr>
            <w:tcW w:w="360" w:type="dxa"/>
            <w:vAlign w:val="bottom"/>
          </w:tcPr>
          <w:p>
            <w:pPr>
              <w:jc w:val="right"/>
              <w:ind w:right="167"/>
              <w:spacing w:after="0" w:line="170" w:lineRule="exact"/>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7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2" w:lineRule="exact"/>
        <w:rPr>
          <w:sz w:val="20"/>
          <w:szCs w:val="20"/>
          <w:color w:val="auto"/>
        </w:rPr>
      </w:pPr>
    </w:p>
    <w:p>
      <w:pPr>
        <w:ind w:left="260" w:hanging="253"/>
        <w:spacing w:after="0"/>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our securities are sold to or through underwriters, a corresponding prospectus or prospectus supplement will disclose the applicable sales load.</w:t>
      </w:r>
    </w:p>
    <w:p>
      <w:pPr>
        <w:spacing w:after="0" w:line="17" w:lineRule="exact"/>
        <w:rPr>
          <w:rFonts w:ascii="Times New Roman" w:cs="Times New Roman" w:eastAsia="Times New Roman" w:hAnsi="Times New Roman"/>
          <w:sz w:val="15"/>
          <w:szCs w:val="15"/>
          <w:color w:val="auto"/>
        </w:rPr>
      </w:pPr>
    </w:p>
    <w:p>
      <w:pPr>
        <w:ind w:left="260" w:hanging="253"/>
        <w:spacing w:after="0" w:line="243" w:lineRule="auto"/>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jc w:val="both"/>
        <w:ind w:left="260" w:hanging="253"/>
        <w:spacing w:after="0" w:line="243" w:lineRule="auto"/>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our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ind w:left="260" w:hanging="253"/>
        <w:spacing w:after="0"/>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stockholder transaction expenses may include sales load and will be disclosed in a future prospectus or prospectus supplement, if any.</w:t>
      </w:r>
    </w:p>
    <w:p>
      <w:pPr>
        <w:spacing w:after="0" w:line="2" w:lineRule="exact"/>
        <w:rPr>
          <w:rFonts w:ascii="Times New Roman" w:cs="Times New Roman" w:eastAsia="Times New Roman" w:hAnsi="Times New Roman"/>
          <w:sz w:val="15"/>
          <w:szCs w:val="15"/>
          <w:color w:val="auto"/>
        </w:rPr>
      </w:pPr>
    </w:p>
    <w:p>
      <w:pPr>
        <w:jc w:val="both"/>
        <w:ind w:left="260" w:hanging="253"/>
        <w:spacing w:after="0" w:line="243" w:lineRule="auto"/>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expenses in this table represent estimated annual operating expenses based upon the actual annual operating expenses of the Company and its consolidated subsidiaries for the year ended December 31, 2024.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jc w:val="both"/>
        <w:ind w:left="260" w:hanging="253"/>
        <w:spacing w:after="0" w:line="243" w:lineRule="auto"/>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6.00% Notes due 2026 and 6.50% Convertible Notes due 2029 as of December 31, 2024.</w:t>
      </w:r>
    </w:p>
    <w:p>
      <w:pPr>
        <w:ind w:left="260" w:hanging="253"/>
        <w:spacing w:after="0"/>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expenses,” which we calculate to equal approximately $1.6 million, are estimated based upon actual “Other expenses” for the year ended December 31, 2024.</w:t>
      </w:r>
    </w:p>
    <w:p>
      <w:pPr>
        <w:spacing w:after="0" w:line="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assets attributable to common stock,” which we calculate to equal approximately $157.6 million, reflect our net assets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Example</w:t>
      </w:r>
    </w:p>
    <w:p>
      <w:pPr>
        <w:spacing w:after="0" w:line="179"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5"/>
          <w:szCs w:val="15"/>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3 Years</w:t>
            </w:r>
          </w:p>
        </w:tc>
        <w:tc>
          <w:tcPr>
            <w:tcW w:w="220" w:type="dxa"/>
            <w:vAlign w:val="bottom"/>
          </w:tcPr>
          <w:p>
            <w:pPr>
              <w:spacing w:after="0"/>
              <w:rPr>
                <w:sz w:val="16"/>
                <w:szCs w:val="16"/>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2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10 Years</w:t>
            </w:r>
          </w:p>
        </w:tc>
      </w:tr>
      <w:tr>
        <w:trPr>
          <w:trHeight w:val="140"/>
        </w:trPr>
        <w:tc>
          <w:tcPr>
            <w:tcW w:w="5000" w:type="dxa"/>
            <w:vAlign w:val="bottom"/>
            <w:tcBorders>
              <w:top w:val="single" w:sz="8" w:color="CCEEFF"/>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color w:val="auto"/>
              </w:rPr>
              <w:t>You would pay the following expenses on a $1,000 investment, assuming a 5%</w:t>
            </w: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return</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308</w:t>
            </w: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465</w:t>
            </w: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759</w:t>
            </w:r>
          </w:p>
        </w:tc>
      </w:tr>
    </w:tbl>
    <w:p>
      <w:pPr>
        <w:spacing w:after="0" w:line="160" w:lineRule="exact"/>
        <w:rPr>
          <w:sz w:val="20"/>
          <w:szCs w:val="20"/>
          <w:color w:val="auto"/>
        </w:rPr>
      </w:pPr>
    </w:p>
    <w:p>
      <w:pPr>
        <w:jc w:val="both"/>
        <w:ind w:firstLine="262"/>
        <w:spacing w:after="0" w:line="271" w:lineRule="auto"/>
        <w:rPr>
          <w:sz w:val="20"/>
          <w:szCs w:val="20"/>
          <w:color w:val="auto"/>
        </w:rPr>
      </w:pPr>
      <w:r>
        <w:rPr>
          <w:rFonts w:ascii="Times New Roman" w:cs="Times New Roman" w:eastAsia="Times New Roman" w:hAnsi="Times New Roman"/>
          <w:sz w:val="14"/>
          <w:szCs w:val="14"/>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Insider Trading Arrangements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During the fiscal quarter ended December 31, 2024, no director or officer of the Company entered into or terminated any (i) contract, instruction or written plan for the purchase or sale of securities of the registrant intended to satisfy the affirmative defense conditions of Rule 10b5-1(c) under the Exchange Act or (ii) any non-Rule 10b5-1 trading arrangement.</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10 will be contained in the 2025 Proxy Statement, to be filed with the SEC within 120 days after December 31, 2024, and is incorporated herein by reference. There have been no material changes to the procedures by which stockholders may recommend nominees to our Board of Directors.</w:t>
      </w:r>
    </w:p>
    <w:p>
      <w:pPr>
        <w:spacing w:after="0" w:line="141" w:lineRule="exact"/>
        <w:rPr>
          <w:sz w:val="20"/>
          <w:szCs w:val="20"/>
          <w:color w:val="auto"/>
        </w:rPr>
      </w:pPr>
    </w:p>
    <w:p>
      <w:pPr>
        <w:jc w:val="both"/>
        <w:ind w:firstLine="262"/>
        <w:spacing w:after="0" w:line="251" w:lineRule="auto"/>
        <w:rPr>
          <w:sz w:val="20"/>
          <w:szCs w:val="20"/>
          <w:color w:val="auto"/>
        </w:rPr>
      </w:pPr>
      <w:r>
        <w:rPr>
          <w:rFonts w:ascii="Times New Roman" w:cs="Times New Roman" w:eastAsia="Times New Roman" w:hAnsi="Times New Roman"/>
          <w:sz w:val="15"/>
          <w:szCs w:val="15"/>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5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11 will be contained in the 2025 Proxy Statement, to be filed with the SEC within 120 days after December 31, 2024, and is incorporated herein by reference.</w:t>
      </w:r>
    </w:p>
    <w:p>
      <w:pPr>
        <w:spacing w:after="0" w:line="1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12 will be contained in the 2025 Proxy Statement, to be filed with the SEC within 120 days after December 31, 2024, and is incorporated herein by reference.</w:t>
      </w:r>
    </w:p>
    <w:p>
      <w:pPr>
        <w:spacing w:after="0" w:line="1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13 will be contained in the 2025 Proxy Statement, to be filed with the SEC within 120 days after December 31, 2024, and is incorporated herein by reference.</w:t>
      </w:r>
    </w:p>
    <w:p>
      <w:pPr>
        <w:spacing w:after="0" w:line="1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79" w:lineRule="exact"/>
        <w:rPr>
          <w:sz w:val="20"/>
          <w:szCs w:val="20"/>
          <w:color w:val="auto"/>
        </w:rPr>
      </w:pPr>
    </w:p>
    <w:p>
      <w:pPr>
        <w:jc w:val="both"/>
        <w:ind w:firstLine="262"/>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14 will be contained in the 2025 Proxy Statement, to be filed with the SEC within 120 days after December 31, 2024, and is incorporated herein by reference.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2"/>
        </w:trPr>
        <w:tc>
          <w:tcPr>
            <w:tcW w:w="10760" w:type="dxa"/>
            <w:vAlign w:val="bottom"/>
            <w:gridSpan w:val="10"/>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520" w:type="dxa"/>
            <w:vAlign w:val="bottom"/>
          </w:tcPr>
          <w:p>
            <w:pPr>
              <w:spacing w:after="0"/>
              <w:rPr>
                <w:sz w:val="15"/>
                <w:szCs w:val="15"/>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3"/>
        </w:trPr>
        <w:tc>
          <w:tcPr>
            <w:tcW w:w="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5"/>
              </w:rPr>
              <w:t>Item 15.</w:t>
            </w:r>
          </w:p>
        </w:tc>
        <w:tc>
          <w:tcPr>
            <w:tcW w:w="10240" w:type="dxa"/>
            <w:vAlign w:val="bottom"/>
            <w:gridSpan w:val="9"/>
          </w:tcPr>
          <w:p>
            <w:pPr>
              <w:ind w:left="280"/>
              <w:spacing w:after="0"/>
              <w:rPr>
                <w:sz w:val="20"/>
                <w:szCs w:val="20"/>
                <w:color w:val="auto"/>
              </w:rPr>
            </w:pPr>
            <w:r>
              <w:rPr>
                <w:rFonts w:ascii="Times New Roman" w:cs="Times New Roman" w:eastAsia="Times New Roman" w:hAnsi="Times New Roman"/>
                <w:sz w:val="15"/>
                <w:szCs w:val="15"/>
                <w:b w:val="1"/>
                <w:bCs w:val="1"/>
                <w:color w:val="auto"/>
              </w:rPr>
              <w:t>Exhibits and Financial Statement Schedules</w:t>
            </w:r>
          </w:p>
        </w:tc>
        <w:tc>
          <w:tcPr>
            <w:tcW w:w="520" w:type="dxa"/>
            <w:vAlign w:val="bottom"/>
          </w:tcPr>
          <w:p>
            <w:pPr>
              <w:spacing w:after="0"/>
              <w:rPr>
                <w:sz w:val="24"/>
                <w:szCs w:val="24"/>
                <w:color w:val="auto"/>
              </w:rPr>
            </w:pPr>
          </w:p>
        </w:tc>
      </w:tr>
      <w:tr>
        <w:trPr>
          <w:trHeight w:val="350"/>
        </w:trPr>
        <w:tc>
          <w:tcPr>
            <w:tcW w:w="520" w:type="dxa"/>
            <w:vAlign w:val="bottom"/>
          </w:tcPr>
          <w:p>
            <w:pPr>
              <w:spacing w:after="0"/>
              <w:rPr>
                <w:sz w:val="24"/>
                <w:szCs w:val="24"/>
                <w:color w:val="auto"/>
              </w:rPr>
            </w:pPr>
          </w:p>
        </w:tc>
        <w:tc>
          <w:tcPr>
            <w:tcW w:w="1024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The following documents are filed or incorporated by reference as part of this annual report on Form 10-K:</w:t>
            </w:r>
          </w:p>
        </w:tc>
        <w:tc>
          <w:tcPr>
            <w:tcW w:w="520" w:type="dxa"/>
            <w:vAlign w:val="bottom"/>
          </w:tcPr>
          <w:p>
            <w:pPr>
              <w:spacing w:after="0"/>
              <w:rPr>
                <w:sz w:val="24"/>
                <w:szCs w:val="24"/>
                <w:color w:val="auto"/>
              </w:rPr>
            </w:pPr>
          </w:p>
        </w:tc>
      </w:tr>
      <w:tr>
        <w:trPr>
          <w:trHeight w:val="350"/>
        </w:trPr>
        <w:tc>
          <w:tcPr>
            <w:tcW w:w="10760" w:type="dxa"/>
            <w:vAlign w:val="bottom"/>
            <w:gridSpan w:val="10"/>
          </w:tcPr>
          <w:p>
            <w:pPr>
              <w:ind w:left="260"/>
              <w:spacing w:after="0"/>
              <w:rPr>
                <w:sz w:val="20"/>
                <w:szCs w:val="20"/>
                <w:color w:val="auto"/>
              </w:rPr>
            </w:pPr>
            <w:r>
              <w:rPr>
                <w:rFonts w:ascii="Times New Roman" w:cs="Times New Roman" w:eastAsia="Times New Roman" w:hAnsi="Times New Roman"/>
                <w:sz w:val="15"/>
                <w:szCs w:val="15"/>
                <w:color w:val="auto"/>
              </w:rPr>
              <w:t>(1) Financial Statements—Refer to Part II, Item 8 of this Form 10-K, which are incorporated herein by reference.</w:t>
            </w:r>
          </w:p>
        </w:tc>
        <w:tc>
          <w:tcPr>
            <w:tcW w:w="520" w:type="dxa"/>
            <w:vAlign w:val="bottom"/>
          </w:tcPr>
          <w:p>
            <w:pPr>
              <w:spacing w:after="0"/>
              <w:rPr>
                <w:sz w:val="24"/>
                <w:szCs w:val="24"/>
                <w:color w:val="auto"/>
              </w:rPr>
            </w:pPr>
          </w:p>
        </w:tc>
      </w:tr>
      <w:tr>
        <w:trPr>
          <w:trHeight w:val="371"/>
        </w:trPr>
        <w:tc>
          <w:tcPr>
            <w:tcW w:w="5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5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r>
      <w:tr>
        <w:trPr>
          <w:trHeight w:val="146"/>
        </w:trPr>
        <w:tc>
          <w:tcPr>
            <w:tcW w:w="3420" w:type="dxa"/>
            <w:vAlign w:val="bottom"/>
            <w:tcBorders>
              <w:bottom w:val="single" w:sz="8" w:color="0000EE"/>
            </w:tcBorders>
            <w:gridSpan w:val="4"/>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0000EE"/>
                <w:w w:val="96"/>
              </w:rPr>
              <w:t>Report of Independent Registered Public Accounting Firm</w:t>
            </w:r>
          </w:p>
        </w:tc>
        <w:tc>
          <w:tcPr>
            <w:tcW w:w="7340" w:type="dxa"/>
            <w:vAlign w:val="bottom"/>
            <w:tcBorders>
              <w:bottom w:val="single" w:sz="8" w:color="CCEEFF"/>
            </w:tcBorders>
            <w:gridSpan w:val="6"/>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5"/>
                <w:szCs w:val="15"/>
                <w:color w:val="auto"/>
              </w:rPr>
              <w:t>69</w:t>
            </w:r>
          </w:p>
        </w:tc>
      </w:tr>
      <w:tr>
        <w:trPr>
          <w:trHeight w:val="142"/>
        </w:trPr>
        <w:tc>
          <w:tcPr>
            <w:tcW w:w="10760" w:type="dxa"/>
            <w:vAlign w:val="bottom"/>
            <w:gridSpan w:val="10"/>
          </w:tcPr>
          <w:p>
            <w:pPr>
              <w:spacing w:after="0" w:line="142" w:lineRule="exact"/>
              <w:rPr>
                <w:sz w:val="20"/>
                <w:szCs w:val="20"/>
                <w:color w:val="auto"/>
              </w:rPr>
            </w:pPr>
            <w:r>
              <w:rPr>
                <w:rFonts w:ascii="Times New Roman" w:cs="Times New Roman" w:eastAsia="Times New Roman" w:hAnsi="Times New Roman"/>
                <w:sz w:val="15"/>
                <w:szCs w:val="15"/>
                <w:color w:val="0000EE"/>
              </w:rPr>
              <w:t>Consolidated Statements of Assets and Liabilities as of December 31, 2024 and 2023</w:t>
            </w: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color w:val="auto"/>
              </w:rPr>
              <w:t>70</w:t>
            </w:r>
          </w:p>
        </w:tc>
      </w:tr>
      <w:tr>
        <w:trPr>
          <w:trHeight w:val="26"/>
        </w:trPr>
        <w:tc>
          <w:tcPr>
            <w:tcW w:w="52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1"/>
        </w:trPr>
        <w:tc>
          <w:tcPr>
            <w:tcW w:w="5560" w:type="dxa"/>
            <w:vAlign w:val="bottom"/>
            <w:tcBorders>
              <w:bottom w:val="single" w:sz="8" w:color="0000EE"/>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Consolidated Statements of Operations for the years ended December 31, 2024, 2023 and 2022</w:t>
            </w:r>
          </w:p>
        </w:tc>
        <w:tc>
          <w:tcPr>
            <w:tcW w:w="5200" w:type="dxa"/>
            <w:vAlign w:val="bottom"/>
            <w:tcBorders>
              <w:bottom w:val="single" w:sz="8" w:color="CCEEFF"/>
            </w:tcBorders>
            <w:gridSpan w:val="3"/>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71</w:t>
            </w:r>
          </w:p>
        </w:tc>
      </w:tr>
      <w:tr>
        <w:trPr>
          <w:trHeight w:val="148"/>
        </w:trPr>
        <w:tc>
          <w:tcPr>
            <w:tcW w:w="10760" w:type="dxa"/>
            <w:vAlign w:val="bottom"/>
            <w:gridSpan w:val="10"/>
          </w:tcPr>
          <w:p>
            <w:pPr>
              <w:spacing w:after="0" w:line="142" w:lineRule="exact"/>
              <w:rPr>
                <w:sz w:val="20"/>
                <w:szCs w:val="20"/>
                <w:color w:val="auto"/>
              </w:rPr>
            </w:pPr>
            <w:r>
              <w:rPr>
                <w:rFonts w:ascii="Times New Roman" w:cs="Times New Roman" w:eastAsia="Times New Roman" w:hAnsi="Times New Roman"/>
                <w:sz w:val="15"/>
                <w:szCs w:val="15"/>
                <w:color w:val="0000EE"/>
              </w:rPr>
              <w:t>Consolidated Statements of Changes in Net Assets for the years ended December 31, 2024, 2023 and 2022</w:t>
            </w: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color w:val="auto"/>
              </w:rPr>
              <w:t>72</w:t>
            </w:r>
          </w:p>
        </w:tc>
      </w:tr>
      <w:tr>
        <w:trPr>
          <w:trHeight w:val="161"/>
        </w:trPr>
        <w:tc>
          <w:tcPr>
            <w:tcW w:w="5600" w:type="dxa"/>
            <w:vAlign w:val="bottom"/>
            <w:tcBorders>
              <w:top w:val="single" w:sz="8" w:color="0000EE"/>
              <w:bottom w:val="single" w:sz="8" w:color="0000EE"/>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Consolidated Statements of Cash Flows for the years ended December 31, 2024, 2023 and 2022</w:t>
            </w:r>
          </w:p>
        </w:tc>
        <w:tc>
          <w:tcPr>
            <w:tcW w:w="620" w:type="dxa"/>
            <w:vAlign w:val="bottom"/>
            <w:tcBorders>
              <w:top w:val="single" w:sz="8" w:color="0000EE"/>
              <w:bottom w:val="single" w:sz="8" w:color="CCEEFF"/>
            </w:tcBorders>
            <w:shd w:val="clear" w:color="auto" w:fill="CCEEFF"/>
          </w:tcPr>
          <w:p>
            <w:pPr>
              <w:spacing w:after="0"/>
              <w:rPr>
                <w:sz w:val="14"/>
                <w:szCs w:val="14"/>
                <w:color w:val="auto"/>
              </w:rPr>
            </w:pPr>
          </w:p>
        </w:tc>
        <w:tc>
          <w:tcPr>
            <w:tcW w:w="45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73</w:t>
            </w:r>
          </w:p>
        </w:tc>
      </w:tr>
      <w:tr>
        <w:trPr>
          <w:trHeight w:val="148"/>
        </w:trPr>
        <w:tc>
          <w:tcPr>
            <w:tcW w:w="3740" w:type="dxa"/>
            <w:vAlign w:val="bottom"/>
            <w:tcBorders>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5"/>
                <w:szCs w:val="15"/>
                <w:color w:val="0000EE"/>
                <w:w w:val="96"/>
              </w:rPr>
              <w:t>Consolidated Schedule of Investments as of December 31, 2024</w:t>
            </w:r>
          </w:p>
        </w:tc>
        <w:tc>
          <w:tcPr>
            <w:tcW w:w="7020" w:type="dxa"/>
            <w:vAlign w:val="bottom"/>
            <w:gridSpan w:val="5"/>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color w:val="auto"/>
              </w:rPr>
              <w:t>74</w:t>
            </w:r>
          </w:p>
        </w:tc>
      </w:tr>
      <w:tr>
        <w:trPr>
          <w:trHeight w:val="161"/>
        </w:trPr>
        <w:tc>
          <w:tcPr>
            <w:tcW w:w="3740" w:type="dxa"/>
            <w:vAlign w:val="bottom"/>
            <w:tcBorders>
              <w:bottom w:val="single" w:sz="8" w:color="0000EE"/>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6"/>
              </w:rPr>
              <w:t>Consolidated Schedule of Investments as of December 31, 2023</w:t>
            </w:r>
          </w:p>
        </w:tc>
        <w:tc>
          <w:tcPr>
            <w:tcW w:w="7020" w:type="dxa"/>
            <w:vAlign w:val="bottom"/>
            <w:tcBorders>
              <w:bottom w:val="single" w:sz="8" w:color="CCEEFF"/>
            </w:tcBorders>
            <w:gridSpan w:val="5"/>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78</w:t>
            </w:r>
          </w:p>
        </w:tc>
      </w:tr>
      <w:tr>
        <w:trPr>
          <w:trHeight w:val="142"/>
        </w:trPr>
        <w:tc>
          <w:tcPr>
            <w:tcW w:w="2560" w:type="dxa"/>
            <w:vAlign w:val="bottom"/>
            <w:tcBorders>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5"/>
                <w:szCs w:val="15"/>
                <w:color w:val="0000EE"/>
                <w:w w:val="96"/>
              </w:rPr>
              <w:t>Notes to Consolidated Financial Statements</w:t>
            </w:r>
          </w:p>
        </w:tc>
        <w:tc>
          <w:tcPr>
            <w:tcW w:w="8200" w:type="dxa"/>
            <w:vAlign w:val="bottom"/>
            <w:gridSpan w:val="7"/>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-880110</wp:posOffset>
            </wp:positionV>
            <wp:extent cx="682561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25615" cy="6985"/>
                    </a:xfrm>
                    <a:prstGeom prst="rect">
                      <a:avLst/>
                    </a:prstGeom>
                    <a:noFill/>
                  </pic:spPr>
                </pic:pic>
              </a:graphicData>
            </a:graphic>
          </wp:anchor>
        </w:drawing>
      </w:r>
    </w:p>
    <w:p>
      <w:pPr>
        <w:spacing w:after="0" w:line="162" w:lineRule="exact"/>
        <w:rPr>
          <w:sz w:val="20"/>
          <w:szCs w:val="20"/>
          <w:color w:val="auto"/>
        </w:rPr>
      </w:pPr>
    </w:p>
    <w:p>
      <w:pPr>
        <w:ind w:left="540" w:hanging="270"/>
        <w:spacing w:after="0" w:line="267"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4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Exhibits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exhibits are filed as part of this report or hereby incorporated by reference to exhibits previously filed with the SEC: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3.1</w:t>
            </w:r>
          </w:p>
        </w:tc>
        <w:tc>
          <w:tcPr>
            <w:tcW w:w="2360" w:type="dxa"/>
            <w:vAlign w:val="bottom"/>
            <w:gridSpan w:val="13"/>
            <w:vMerge w:val="restart"/>
          </w:tcPr>
          <w:p>
            <w:pPr>
              <w:spacing w:after="0"/>
              <w:rPr>
                <w:rFonts w:ascii="Times New Roman" w:cs="Times New Roman" w:eastAsia="Times New Roman" w:hAnsi="Times New Roman"/>
                <w:sz w:val="15"/>
                <w:szCs w:val="15"/>
                <w:color w:val="0000EE"/>
                <w:w w:val="95"/>
              </w:rPr>
            </w:pPr>
            <w:hyperlink r:id="rId188">
              <w:r>
                <w:rPr>
                  <w:rFonts w:ascii="Times New Roman" w:cs="Times New Roman" w:eastAsia="Times New Roman" w:hAnsi="Times New Roman"/>
                  <w:sz w:val="15"/>
                  <w:szCs w:val="15"/>
                  <w:color w:val="0000EE"/>
                  <w:w w:val="95"/>
                </w:rPr>
                <w:t>Articles of Amendment and Restatement</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2"/>
                <w:szCs w:val="12"/>
                <w:color w:val="0000EE"/>
                <w:w w:val="85"/>
              </w:rPr>
              <w:t>(1)</w:t>
            </w:r>
          </w:p>
        </w:tc>
        <w:tc>
          <w:tcPr>
            <w:tcW w:w="12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3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3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94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2360" w:type="dxa"/>
            <w:vAlign w:val="bottom"/>
            <w:tcBorders>
              <w:bottom w:val="single" w:sz="8" w:color="0000EE"/>
            </w:tcBorders>
            <w:gridSpan w:val="13"/>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3.2</w:t>
            </w:r>
          </w:p>
        </w:tc>
        <w:tc>
          <w:tcPr>
            <w:tcW w:w="1360" w:type="dxa"/>
            <w:vAlign w:val="bottom"/>
            <w:vMerge w:val="restart"/>
          </w:tcPr>
          <w:p>
            <w:pPr>
              <w:spacing w:after="0"/>
              <w:rPr>
                <w:rFonts w:ascii="Times New Roman" w:cs="Times New Roman" w:eastAsia="Times New Roman" w:hAnsi="Times New Roman"/>
                <w:sz w:val="15"/>
                <w:szCs w:val="15"/>
                <w:color w:val="0000EE"/>
                <w:w w:val="94"/>
              </w:rPr>
            </w:pPr>
            <w:hyperlink r:id="rId189">
              <w:r>
                <w:rPr>
                  <w:rFonts w:ascii="Times New Roman" w:cs="Times New Roman" w:eastAsia="Times New Roman" w:hAnsi="Times New Roman"/>
                  <w:sz w:val="15"/>
                  <w:szCs w:val="15"/>
                  <w:color w:val="0000EE"/>
                  <w:w w:val="94"/>
                </w:rPr>
                <w:t>Articles of Amendment</w:t>
              </w:r>
            </w:hyperlink>
          </w:p>
        </w:tc>
        <w:tc>
          <w:tcPr>
            <w:tcW w:w="140" w:type="dxa"/>
            <w:vAlign w:val="bottom"/>
            <w:tcBorders>
              <w:bottom w:val="single" w:sz="8" w:color="0000EE"/>
            </w:tcBorders>
            <w:gridSpan w:val="3"/>
          </w:tcPr>
          <w:p>
            <w:pPr>
              <w:jc w:val="right"/>
              <w:spacing w:after="0" w:line="122" w:lineRule="exact"/>
              <w:rPr>
                <w:rFonts w:ascii="Times New Roman" w:cs="Times New Roman" w:eastAsia="Times New Roman" w:hAnsi="Times New Roman"/>
                <w:sz w:val="12"/>
                <w:szCs w:val="12"/>
                <w:color w:val="0000EE"/>
                <w:w w:val="85"/>
              </w:rPr>
            </w:pPr>
            <w:hyperlink r:id="rId189">
              <w:r>
                <w:rPr>
                  <w:rFonts w:ascii="Times New Roman" w:cs="Times New Roman" w:eastAsia="Times New Roman" w:hAnsi="Times New Roman"/>
                  <w:sz w:val="12"/>
                  <w:szCs w:val="12"/>
                  <w:color w:val="0000EE"/>
                  <w:w w:val="85"/>
                </w:rPr>
                <w:t>(2)</w:t>
              </w:r>
            </w:hyperlink>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134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6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3.3</w:t>
            </w:r>
          </w:p>
        </w:tc>
        <w:tc>
          <w:tcPr>
            <w:tcW w:w="1360" w:type="dxa"/>
            <w:vAlign w:val="bottom"/>
            <w:vMerge w:val="restart"/>
          </w:tcPr>
          <w:p>
            <w:pPr>
              <w:spacing w:after="0"/>
              <w:rPr>
                <w:rFonts w:ascii="Times New Roman" w:cs="Times New Roman" w:eastAsia="Times New Roman" w:hAnsi="Times New Roman"/>
                <w:sz w:val="15"/>
                <w:szCs w:val="15"/>
                <w:color w:val="0000EE"/>
                <w:w w:val="94"/>
              </w:rPr>
            </w:pPr>
            <w:hyperlink r:id="rId190">
              <w:r>
                <w:rPr>
                  <w:rFonts w:ascii="Times New Roman" w:cs="Times New Roman" w:eastAsia="Times New Roman" w:hAnsi="Times New Roman"/>
                  <w:sz w:val="15"/>
                  <w:szCs w:val="15"/>
                  <w:color w:val="0000EE"/>
                  <w:w w:val="94"/>
                </w:rPr>
                <w:t>Articles of Amendment</w:t>
              </w:r>
            </w:hyperlink>
          </w:p>
        </w:tc>
        <w:tc>
          <w:tcPr>
            <w:tcW w:w="140" w:type="dxa"/>
            <w:vAlign w:val="bottom"/>
            <w:tcBorders>
              <w:bottom w:val="single" w:sz="8" w:color="0000EE"/>
            </w:tcBorders>
            <w:gridSpan w:val="3"/>
          </w:tcPr>
          <w:p>
            <w:pPr>
              <w:jc w:val="right"/>
              <w:spacing w:after="0" w:line="122" w:lineRule="exact"/>
              <w:rPr>
                <w:rFonts w:ascii="Times New Roman" w:cs="Times New Roman" w:eastAsia="Times New Roman" w:hAnsi="Times New Roman"/>
                <w:sz w:val="12"/>
                <w:szCs w:val="12"/>
                <w:color w:val="0000EE"/>
                <w:w w:val="85"/>
              </w:rPr>
            </w:pPr>
            <w:hyperlink r:id="rId190">
              <w:r>
                <w:rPr>
                  <w:rFonts w:ascii="Times New Roman" w:cs="Times New Roman" w:eastAsia="Times New Roman" w:hAnsi="Times New Roman"/>
                  <w:sz w:val="12"/>
                  <w:szCs w:val="12"/>
                  <w:color w:val="0000EE"/>
                  <w:w w:val="85"/>
                </w:rPr>
                <w:t>(3)</w:t>
              </w:r>
            </w:hyperlink>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134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6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3.4</w:t>
            </w:r>
          </w:p>
        </w:tc>
        <w:tc>
          <w:tcPr>
            <w:tcW w:w="1360" w:type="dxa"/>
            <w:vAlign w:val="bottom"/>
            <w:vMerge w:val="restart"/>
          </w:tcPr>
          <w:p>
            <w:pPr>
              <w:spacing w:after="0"/>
              <w:rPr>
                <w:rFonts w:ascii="Times New Roman" w:cs="Times New Roman" w:eastAsia="Times New Roman" w:hAnsi="Times New Roman"/>
                <w:sz w:val="15"/>
                <w:szCs w:val="15"/>
                <w:color w:val="0000EE"/>
                <w:w w:val="94"/>
              </w:rPr>
            </w:pPr>
            <w:hyperlink r:id="rId191">
              <w:r>
                <w:rPr>
                  <w:rFonts w:ascii="Times New Roman" w:cs="Times New Roman" w:eastAsia="Times New Roman" w:hAnsi="Times New Roman"/>
                  <w:sz w:val="15"/>
                  <w:szCs w:val="15"/>
                  <w:color w:val="0000EE"/>
                  <w:w w:val="94"/>
                </w:rPr>
                <w:t>Articles of Amendment</w:t>
              </w:r>
            </w:hyperlink>
          </w:p>
        </w:tc>
        <w:tc>
          <w:tcPr>
            <w:tcW w:w="140" w:type="dxa"/>
            <w:vAlign w:val="bottom"/>
            <w:tcBorders>
              <w:bottom w:val="single" w:sz="8" w:color="0000EE"/>
            </w:tcBorders>
            <w:gridSpan w:val="3"/>
          </w:tcPr>
          <w:p>
            <w:pPr>
              <w:jc w:val="right"/>
              <w:spacing w:after="0" w:line="122" w:lineRule="exact"/>
              <w:rPr>
                <w:rFonts w:ascii="Times New Roman" w:cs="Times New Roman" w:eastAsia="Times New Roman" w:hAnsi="Times New Roman"/>
                <w:sz w:val="12"/>
                <w:szCs w:val="12"/>
                <w:color w:val="0000EE"/>
                <w:w w:val="85"/>
              </w:rPr>
            </w:pPr>
            <w:hyperlink r:id="rId191">
              <w:r>
                <w:rPr>
                  <w:rFonts w:ascii="Times New Roman" w:cs="Times New Roman" w:eastAsia="Times New Roman" w:hAnsi="Times New Roman"/>
                  <w:sz w:val="12"/>
                  <w:szCs w:val="12"/>
                  <w:color w:val="0000EE"/>
                  <w:w w:val="85"/>
                </w:rPr>
                <w:t>(4)</w:t>
              </w:r>
            </w:hyperlink>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134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36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3.5</w:t>
            </w:r>
          </w:p>
        </w:tc>
        <w:tc>
          <w:tcPr>
            <w:tcW w:w="2280" w:type="dxa"/>
            <w:vAlign w:val="bottom"/>
            <w:gridSpan w:val="12"/>
            <w:vMerge w:val="restart"/>
          </w:tcPr>
          <w:p>
            <w:pPr>
              <w:spacing w:after="0"/>
              <w:rPr>
                <w:rFonts w:ascii="Times New Roman" w:cs="Times New Roman" w:eastAsia="Times New Roman" w:hAnsi="Times New Roman"/>
                <w:sz w:val="15"/>
                <w:szCs w:val="15"/>
                <w:color w:val="0000EE"/>
                <w:w w:val="95"/>
              </w:rPr>
            </w:pPr>
            <w:hyperlink r:id="rId192">
              <w:r>
                <w:rPr>
                  <w:rFonts w:ascii="Times New Roman" w:cs="Times New Roman" w:eastAsia="Times New Roman" w:hAnsi="Times New Roman"/>
                  <w:sz w:val="15"/>
                  <w:szCs w:val="15"/>
                  <w:color w:val="0000EE"/>
                  <w:w w:val="95"/>
                </w:rPr>
                <w:t>Second Amended and Restated Bylaws</w:t>
              </w:r>
            </w:hyperlink>
          </w:p>
        </w:tc>
        <w:tc>
          <w:tcPr>
            <w:tcW w:w="140" w:type="dxa"/>
            <w:vAlign w:val="bottom"/>
            <w:tcBorders>
              <w:bottom w:val="single" w:sz="8" w:color="0000EE"/>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(4)</w:t>
            </w:r>
          </w:p>
        </w:tc>
        <w:tc>
          <w:tcPr>
            <w:tcW w:w="134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2280" w:type="dxa"/>
            <w:vAlign w:val="bottom"/>
            <w:tcBorders>
              <w:bottom w:val="single" w:sz="8" w:color="0000EE"/>
            </w:tcBorders>
            <w:gridSpan w:val="12"/>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4.1</w:t>
            </w:r>
          </w:p>
        </w:tc>
        <w:tc>
          <w:tcPr>
            <w:tcW w:w="2060" w:type="dxa"/>
            <w:vAlign w:val="bottom"/>
            <w:gridSpan w:val="9"/>
            <w:vMerge w:val="restart"/>
          </w:tcPr>
          <w:p>
            <w:pPr>
              <w:spacing w:after="0"/>
              <w:rPr>
                <w:rFonts w:ascii="Times New Roman" w:cs="Times New Roman" w:eastAsia="Times New Roman" w:hAnsi="Times New Roman"/>
                <w:sz w:val="15"/>
                <w:szCs w:val="15"/>
                <w:color w:val="0000EE"/>
                <w:w w:val="95"/>
              </w:rPr>
            </w:pPr>
            <w:hyperlink r:id="rId193">
              <w:r>
                <w:rPr>
                  <w:rFonts w:ascii="Times New Roman" w:cs="Times New Roman" w:eastAsia="Times New Roman" w:hAnsi="Times New Roman"/>
                  <w:sz w:val="15"/>
                  <w:szCs w:val="15"/>
                  <w:color w:val="0000EE"/>
                  <w:w w:val="95"/>
                </w:rPr>
                <w:t>Form of Common Stock Certificate</w:t>
              </w:r>
            </w:hyperlink>
          </w:p>
        </w:tc>
        <w:tc>
          <w:tcPr>
            <w:tcW w:w="14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5"/>
              </w:rPr>
            </w:pPr>
            <w:hyperlink r:id="rId193">
              <w:r>
                <w:rPr>
                  <w:rFonts w:ascii="Times New Roman" w:cs="Times New Roman" w:eastAsia="Times New Roman" w:hAnsi="Times New Roman"/>
                  <w:sz w:val="12"/>
                  <w:szCs w:val="12"/>
                  <w:color w:val="0000EE"/>
                  <w:w w:val="85"/>
                </w:rPr>
                <w:t>(5)</w:t>
              </w:r>
            </w:hyperlink>
          </w:p>
        </w:tc>
        <w:tc>
          <w:tcPr>
            <w:tcW w:w="1560" w:type="dxa"/>
            <w:vAlign w:val="bottom"/>
            <w:gridSpan w:val="5"/>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2060" w:type="dxa"/>
            <w:vAlign w:val="bottom"/>
            <w:tcBorders>
              <w:bottom w:val="single" w:sz="8" w:color="0000EE"/>
            </w:tcBorders>
            <w:gridSpan w:val="9"/>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4.2</w:t>
            </w:r>
          </w:p>
        </w:tc>
        <w:tc>
          <w:tcPr>
            <w:tcW w:w="6820" w:type="dxa"/>
            <w:vAlign w:val="bottom"/>
            <w:gridSpan w:val="32"/>
            <w:vMerge w:val="restart"/>
          </w:tcPr>
          <w:p>
            <w:pPr>
              <w:spacing w:after="0"/>
              <w:rPr>
                <w:rFonts w:ascii="Times New Roman" w:cs="Times New Roman" w:eastAsia="Times New Roman" w:hAnsi="Times New Roman"/>
                <w:sz w:val="15"/>
                <w:szCs w:val="15"/>
                <w:color w:val="0000EE"/>
                <w:w w:val="96"/>
              </w:rPr>
            </w:pPr>
            <w:hyperlink r:id="rId194">
              <w:r>
                <w:rPr>
                  <w:rFonts w:ascii="Times New Roman" w:cs="Times New Roman" w:eastAsia="Times New Roman" w:hAnsi="Times New Roman"/>
                  <w:sz w:val="15"/>
                  <w:szCs w:val="15"/>
                  <w:color w:val="0000EE"/>
                  <w:w w:val="96"/>
                </w:rPr>
                <w:t>Base Indenture, dated March 28, 2018, by and between the Registrant and U.S. Bank National Association, as trustee</w:t>
              </w:r>
            </w:hyperlink>
          </w:p>
        </w:tc>
        <w:tc>
          <w:tcPr>
            <w:tcW w:w="140" w:type="dxa"/>
            <w:vAlign w:val="bottom"/>
            <w:tcBorders>
              <w:bottom w:val="single" w:sz="8" w:color="0000EE"/>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(6)</w:t>
            </w:r>
          </w:p>
        </w:tc>
        <w:tc>
          <w:tcPr>
            <w:tcW w:w="7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6820" w:type="dxa"/>
            <w:vAlign w:val="bottom"/>
            <w:tcBorders>
              <w:bottom w:val="single" w:sz="8" w:color="0000EE"/>
            </w:tcBorders>
            <w:gridSpan w:val="3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4.3</w:t>
            </w:r>
          </w:p>
        </w:tc>
        <w:tc>
          <w:tcPr>
            <w:tcW w:w="10240" w:type="dxa"/>
            <w:vAlign w:val="bottom"/>
            <w:gridSpan w:val="45"/>
            <w:vMerge w:val="restart"/>
          </w:tcPr>
          <w:p>
            <w:pPr>
              <w:spacing w:after="0"/>
              <w:rPr>
                <w:rFonts w:ascii="Times New Roman" w:cs="Times New Roman" w:eastAsia="Times New Roman" w:hAnsi="Times New Roman"/>
                <w:sz w:val="15"/>
                <w:szCs w:val="15"/>
                <w:color w:val="0000EE"/>
                <w:w w:val="96"/>
              </w:rPr>
            </w:pPr>
            <w:hyperlink r:id="rId195">
              <w:r>
                <w:rPr>
                  <w:rFonts w:ascii="Times New Roman" w:cs="Times New Roman" w:eastAsia="Times New Roman" w:hAnsi="Times New Roman"/>
                  <w:sz w:val="15"/>
                  <w:szCs w:val="15"/>
                  <w:color w:val="0000EE"/>
                  <w:w w:val="96"/>
                </w:rPr>
                <w:t>Second Supplemental Indenture, dated December 17, 2021, relating to the 6.00% Notes due 2026, by and between the Company and U.S. Bank National Association, as trustee</w:t>
              </w:r>
            </w:hyperlink>
          </w:p>
        </w:tc>
        <w:tc>
          <w:tcPr>
            <w:tcW w:w="140" w:type="dxa"/>
            <w:vAlign w:val="bottom"/>
            <w:tcBorders>
              <w:bottom w:val="single" w:sz="8" w:color="0000EE"/>
            </w:tcBorders>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(7)</w:t>
            </w: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10240" w:type="dxa"/>
            <w:vAlign w:val="bottom"/>
            <w:tcBorders>
              <w:bottom w:val="single" w:sz="8" w:color="0000EE"/>
            </w:tcBorders>
            <w:gridSpan w:val="45"/>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4.4</w:t>
            </w:r>
          </w:p>
        </w:tc>
        <w:tc>
          <w:tcPr>
            <w:tcW w:w="4280" w:type="dxa"/>
            <w:vAlign w:val="bottom"/>
            <w:gridSpan w:val="21"/>
            <w:vMerge w:val="restart"/>
          </w:tcPr>
          <w:p>
            <w:pPr>
              <w:spacing w:after="0"/>
              <w:rPr>
                <w:rFonts w:ascii="Times New Roman" w:cs="Times New Roman" w:eastAsia="Times New Roman" w:hAnsi="Times New Roman"/>
                <w:sz w:val="15"/>
                <w:szCs w:val="15"/>
                <w:color w:val="0000EE"/>
                <w:w w:val="96"/>
              </w:rPr>
            </w:pPr>
            <w:hyperlink r:id="rId196">
              <w:r>
                <w:rPr>
                  <w:rFonts w:ascii="Times New Roman" w:cs="Times New Roman" w:eastAsia="Times New Roman" w:hAnsi="Times New Roman"/>
                  <w:sz w:val="15"/>
                  <w:szCs w:val="15"/>
                  <w:color w:val="0000EE"/>
                  <w:w w:val="96"/>
                </w:rPr>
                <w:t>Form of 6.00% Notes due 2026 (incorporated by reference to Exhibit 4.3)</w:t>
              </w:r>
            </w:hyperlink>
          </w:p>
        </w:tc>
        <w:tc>
          <w:tcPr>
            <w:tcW w:w="14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5"/>
              </w:rPr>
            </w:pPr>
            <w:hyperlink r:id="rId196">
              <w:r>
                <w:rPr>
                  <w:rFonts w:ascii="Times New Roman" w:cs="Times New Roman" w:eastAsia="Times New Roman" w:hAnsi="Times New Roman"/>
                  <w:sz w:val="12"/>
                  <w:szCs w:val="12"/>
                  <w:color w:val="0000EE"/>
                  <w:w w:val="85"/>
                </w:rPr>
                <w:t>(7)</w:t>
              </w:r>
            </w:hyperlink>
          </w:p>
        </w:tc>
        <w:tc>
          <w:tcPr>
            <w:tcW w:w="4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4280" w:type="dxa"/>
            <w:vAlign w:val="bottom"/>
            <w:tcBorders>
              <w:bottom w:val="single" w:sz="8" w:color="0000EE"/>
            </w:tcBorders>
            <w:gridSpan w:val="21"/>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5"/>
              </w:rPr>
              <w:t>4.5</w:t>
            </w:r>
          </w:p>
        </w:tc>
        <w:tc>
          <w:tcPr>
            <w:tcW w:w="1440" w:type="dxa"/>
            <w:vAlign w:val="bottom"/>
            <w:gridSpan w:val="3"/>
            <w:vMerge w:val="restart"/>
          </w:tcPr>
          <w:p>
            <w:pPr>
              <w:spacing w:after="0"/>
              <w:rPr>
                <w:rFonts w:ascii="Times New Roman" w:cs="Times New Roman" w:eastAsia="Times New Roman" w:hAnsi="Times New Roman"/>
                <w:sz w:val="15"/>
                <w:szCs w:val="15"/>
                <w:color w:val="0000EE"/>
                <w:w w:val="95"/>
              </w:rPr>
            </w:pPr>
            <w:hyperlink r:id="rId197">
              <w:r>
                <w:rPr>
                  <w:rFonts w:ascii="Times New Roman" w:cs="Times New Roman" w:eastAsia="Times New Roman" w:hAnsi="Times New Roman"/>
                  <w:sz w:val="15"/>
                  <w:szCs w:val="15"/>
                  <w:color w:val="0000EE"/>
                  <w:w w:val="95"/>
                </w:rPr>
                <w:t>Description of Securities</w:t>
              </w:r>
            </w:hyperlink>
          </w:p>
        </w:tc>
        <w:tc>
          <w:tcPr>
            <w:tcW w:w="14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5"/>
              </w:rPr>
            </w:pPr>
            <w:hyperlink r:id="rId197">
              <w:r>
                <w:rPr>
                  <w:rFonts w:ascii="Times New Roman" w:cs="Times New Roman" w:eastAsia="Times New Roman" w:hAnsi="Times New Roman"/>
                  <w:sz w:val="12"/>
                  <w:szCs w:val="12"/>
                  <w:color w:val="0000EE"/>
                  <w:w w:val="85"/>
                </w:rPr>
                <w:t>(8)</w:t>
              </w:r>
            </w:hyperlink>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960" w:type="dxa"/>
            <w:vAlign w:val="bottom"/>
            <w:gridSpan w:val="8"/>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56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1440" w:type="dxa"/>
            <w:vAlign w:val="bottom"/>
            <w:tcBorders>
              <w:bottom w:val="single" w:sz="8" w:color="0000EE"/>
            </w:tcBorders>
            <w:gridSpan w:val="3"/>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96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10.1</w:t>
            </w:r>
          </w:p>
        </w:tc>
        <w:tc>
          <w:tcPr>
            <w:tcW w:w="1660" w:type="dxa"/>
            <w:vAlign w:val="bottom"/>
            <w:gridSpan w:val="6"/>
            <w:vMerge w:val="restart"/>
          </w:tcPr>
          <w:p>
            <w:pPr>
              <w:spacing w:after="0"/>
              <w:rPr>
                <w:rFonts w:ascii="Times New Roman" w:cs="Times New Roman" w:eastAsia="Times New Roman" w:hAnsi="Times New Roman"/>
                <w:sz w:val="15"/>
                <w:szCs w:val="15"/>
                <w:color w:val="0000EE"/>
                <w:w w:val="95"/>
              </w:rPr>
            </w:pPr>
            <w:hyperlink r:id="rId198">
              <w:r>
                <w:rPr>
                  <w:rFonts w:ascii="Times New Roman" w:cs="Times New Roman" w:eastAsia="Times New Roman" w:hAnsi="Times New Roman"/>
                  <w:sz w:val="15"/>
                  <w:szCs w:val="15"/>
                  <w:color w:val="0000EE"/>
                  <w:w w:val="95"/>
                </w:rPr>
                <w:t>Dividend Reinvestment Plan</w:t>
              </w:r>
            </w:hyperlink>
          </w:p>
        </w:tc>
        <w:tc>
          <w:tcPr>
            <w:tcW w:w="140" w:type="dxa"/>
            <w:vAlign w:val="bottom"/>
            <w:tcBorders>
              <w:bottom w:val="single" w:sz="8" w:color="0000EE"/>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(1)</w:t>
            </w:r>
          </w:p>
        </w:tc>
        <w:tc>
          <w:tcPr>
            <w:tcW w:w="1960" w:type="dxa"/>
            <w:vAlign w:val="bottom"/>
            <w:gridSpan w:val="8"/>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56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1660" w:type="dxa"/>
            <w:vAlign w:val="bottom"/>
            <w:tcBorders>
              <w:bottom w:val="single" w:sz="8" w:color="0000EE"/>
            </w:tcBorders>
            <w:gridSpan w:val="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10.2</w:t>
            </w:r>
          </w:p>
        </w:tc>
        <w:tc>
          <w:tcPr>
            <w:tcW w:w="4140" w:type="dxa"/>
            <w:vAlign w:val="bottom"/>
            <w:gridSpan w:val="19"/>
            <w:vMerge w:val="restart"/>
          </w:tcPr>
          <w:p>
            <w:pPr>
              <w:spacing w:after="0"/>
              <w:rPr>
                <w:rFonts w:ascii="Times New Roman" w:cs="Times New Roman" w:eastAsia="Times New Roman" w:hAnsi="Times New Roman"/>
                <w:sz w:val="15"/>
                <w:szCs w:val="15"/>
                <w:color w:val="0000EE"/>
                <w:w w:val="96"/>
              </w:rPr>
            </w:pPr>
            <w:hyperlink r:id="rId199">
              <w:r>
                <w:rPr>
                  <w:rFonts w:ascii="Times New Roman" w:cs="Times New Roman" w:eastAsia="Times New Roman" w:hAnsi="Times New Roman"/>
                  <w:sz w:val="15"/>
                  <w:szCs w:val="15"/>
                  <w:color w:val="0000EE"/>
                  <w:w w:val="96"/>
                </w:rPr>
                <w:t>SuRo Capital Corp. Amended and Restated 2019 Equity Incentive Plan</w:t>
              </w:r>
            </w:hyperlink>
          </w:p>
        </w:tc>
        <w:tc>
          <w:tcPr>
            <w:tcW w:w="160" w:type="dxa"/>
            <w:vAlign w:val="bottom"/>
            <w:tcBorders>
              <w:bottom w:val="single" w:sz="8" w:color="0000EE"/>
            </w:tcBorders>
            <w:gridSpan w:val="3"/>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(9)</w:t>
            </w:r>
          </w:p>
        </w:tc>
        <w:tc>
          <w:tcPr>
            <w:tcW w:w="56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4140" w:type="dxa"/>
            <w:vAlign w:val="bottom"/>
            <w:tcBorders>
              <w:bottom w:val="single" w:sz="8" w:color="0000EE"/>
            </w:tcBorders>
            <w:gridSpan w:val="19"/>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gridSpan w:val="2"/>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10.3</w:t>
            </w:r>
          </w:p>
        </w:tc>
        <w:tc>
          <w:tcPr>
            <w:tcW w:w="4920" w:type="dxa"/>
            <w:vAlign w:val="bottom"/>
            <w:gridSpan w:val="25"/>
            <w:vMerge w:val="restart"/>
          </w:tcPr>
          <w:p>
            <w:pPr>
              <w:spacing w:after="0"/>
              <w:rPr>
                <w:rFonts w:ascii="Times New Roman" w:cs="Times New Roman" w:eastAsia="Times New Roman" w:hAnsi="Times New Roman"/>
                <w:sz w:val="15"/>
                <w:szCs w:val="15"/>
                <w:color w:val="0000EE"/>
                <w:w w:val="96"/>
              </w:rPr>
            </w:pPr>
            <w:hyperlink r:id="rId200">
              <w:r>
                <w:rPr>
                  <w:rFonts w:ascii="Times New Roman" w:cs="Times New Roman" w:eastAsia="Times New Roman" w:hAnsi="Times New Roman"/>
                  <w:sz w:val="15"/>
                  <w:szCs w:val="15"/>
                  <w:color w:val="0000EE"/>
                  <w:w w:val="96"/>
                </w:rPr>
                <w:t>Form of SuRo Capital Corp. Restricted Stock Agreement (Non-Employee Directors)</w:t>
              </w:r>
            </w:hyperlink>
          </w:p>
        </w:tc>
        <w:tc>
          <w:tcPr>
            <w:tcW w:w="140" w:type="dxa"/>
            <w:vAlign w:val="bottom"/>
            <w:tcBorders>
              <w:bottom w:val="single" w:sz="8" w:color="0000EE"/>
            </w:tcBorders>
            <w:gridSpan w:val="3"/>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(9)</w:t>
            </w:r>
          </w:p>
        </w:tc>
        <w:tc>
          <w:tcPr>
            <w:tcW w:w="2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4920" w:type="dxa"/>
            <w:vAlign w:val="bottom"/>
            <w:tcBorders>
              <w:bottom w:val="single" w:sz="8" w:color="0000EE"/>
            </w:tcBorders>
            <w:gridSpan w:val="25"/>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10.4</w:t>
            </w:r>
          </w:p>
        </w:tc>
        <w:tc>
          <w:tcPr>
            <w:tcW w:w="4860" w:type="dxa"/>
            <w:vAlign w:val="bottom"/>
            <w:gridSpan w:val="24"/>
            <w:vMerge w:val="restart"/>
          </w:tcPr>
          <w:p>
            <w:pPr>
              <w:spacing w:after="0"/>
              <w:rPr>
                <w:rFonts w:ascii="Times New Roman" w:cs="Times New Roman" w:eastAsia="Times New Roman" w:hAnsi="Times New Roman"/>
                <w:sz w:val="15"/>
                <w:szCs w:val="15"/>
                <w:color w:val="0000EE"/>
                <w:w w:val="96"/>
              </w:rPr>
            </w:pPr>
            <w:hyperlink r:id="rId201">
              <w:r>
                <w:rPr>
                  <w:rFonts w:ascii="Times New Roman" w:cs="Times New Roman" w:eastAsia="Times New Roman" w:hAnsi="Times New Roman"/>
                  <w:sz w:val="15"/>
                  <w:szCs w:val="15"/>
                  <w:color w:val="0000EE"/>
                  <w:w w:val="96"/>
                </w:rPr>
                <w:t>Form of SuRo Capital Corp. Restricted Stock Agreement (Employees and Officers)</w:t>
              </w:r>
            </w:hyperlink>
          </w:p>
        </w:tc>
        <w:tc>
          <w:tcPr>
            <w:tcW w:w="140" w:type="dxa"/>
            <w:vAlign w:val="bottom"/>
            <w:tcBorders>
              <w:bottom w:val="single" w:sz="8" w:color="0000EE"/>
            </w:tcBorders>
            <w:gridSpan w:val="3"/>
          </w:tcPr>
          <w:p>
            <w:pPr>
              <w:jc w:val="right"/>
              <w:spacing w:after="0" w:line="122" w:lineRule="exact"/>
              <w:rPr>
                <w:rFonts w:ascii="Times New Roman" w:cs="Times New Roman" w:eastAsia="Times New Roman" w:hAnsi="Times New Roman"/>
                <w:sz w:val="12"/>
                <w:szCs w:val="12"/>
                <w:color w:val="0000EE"/>
                <w:w w:val="85"/>
              </w:rPr>
            </w:pPr>
            <w:hyperlink r:id="rId201">
              <w:r>
                <w:rPr>
                  <w:rFonts w:ascii="Times New Roman" w:cs="Times New Roman" w:eastAsia="Times New Roman" w:hAnsi="Times New Roman"/>
                  <w:sz w:val="12"/>
                  <w:szCs w:val="12"/>
                  <w:color w:val="0000EE"/>
                  <w:w w:val="85"/>
                </w:rPr>
                <w:t>(9)</w:t>
              </w:r>
            </w:hyperlink>
          </w:p>
        </w:tc>
        <w:tc>
          <w:tcPr>
            <w:tcW w:w="3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4860" w:type="dxa"/>
            <w:vAlign w:val="bottom"/>
            <w:tcBorders>
              <w:bottom w:val="single" w:sz="8" w:color="0000EE"/>
            </w:tcBorders>
            <w:gridSpan w:val="24"/>
            <w:vMerge w:val="continue"/>
          </w:tcPr>
          <w:p>
            <w:pPr>
              <w:spacing w:after="0"/>
              <w:rPr>
                <w:sz w:val="3"/>
                <w:szCs w:val="3"/>
                <w:color w:val="auto"/>
              </w:rPr>
            </w:pPr>
          </w:p>
        </w:tc>
        <w:tc>
          <w:tcPr>
            <w:tcW w:w="140" w:type="dxa"/>
            <w:vAlign w:val="bottom"/>
            <w:gridSpan w:val="3"/>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10.5</w:t>
            </w:r>
          </w:p>
        </w:tc>
        <w:tc>
          <w:tcPr>
            <w:tcW w:w="3760" w:type="dxa"/>
            <w:vAlign w:val="bottom"/>
            <w:gridSpan w:val="16"/>
            <w:vMerge w:val="restart"/>
          </w:tcPr>
          <w:p>
            <w:pPr>
              <w:spacing w:after="0"/>
              <w:rPr>
                <w:rFonts w:ascii="Times New Roman" w:cs="Times New Roman" w:eastAsia="Times New Roman" w:hAnsi="Times New Roman"/>
                <w:sz w:val="15"/>
                <w:szCs w:val="15"/>
                <w:color w:val="0000EE"/>
                <w:w w:val="95"/>
              </w:rPr>
            </w:pPr>
            <w:hyperlink r:id="rId202">
              <w:r>
                <w:rPr>
                  <w:rFonts w:ascii="Times New Roman" w:cs="Times New Roman" w:eastAsia="Times New Roman" w:hAnsi="Times New Roman"/>
                  <w:sz w:val="15"/>
                  <w:szCs w:val="15"/>
                  <w:color w:val="0000EE"/>
                  <w:w w:val="95"/>
                </w:rPr>
                <w:t>Form of SuRo Capital Corp. Non-Qualified Stock Option Award</w:t>
              </w:r>
            </w:hyperlink>
          </w:p>
        </w:tc>
        <w:tc>
          <w:tcPr>
            <w:tcW w:w="14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5"/>
              </w:rPr>
            </w:pPr>
            <w:hyperlink r:id="rId202">
              <w:r>
                <w:rPr>
                  <w:rFonts w:ascii="Times New Roman" w:cs="Times New Roman" w:eastAsia="Times New Roman" w:hAnsi="Times New Roman"/>
                  <w:sz w:val="12"/>
                  <w:szCs w:val="12"/>
                  <w:color w:val="0000EE"/>
                  <w:w w:val="85"/>
                </w:rPr>
                <w:t>(9)</w:t>
              </w:r>
            </w:hyperlink>
          </w:p>
        </w:tc>
        <w:tc>
          <w:tcPr>
            <w:tcW w:w="1400" w:type="dxa"/>
            <w:vAlign w:val="bottom"/>
            <w:gridSpan w:val="11"/>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260" w:type="dxa"/>
            <w:vAlign w:val="bottom"/>
            <w:gridSpan w:val="4"/>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3760" w:type="dxa"/>
            <w:vAlign w:val="bottom"/>
            <w:tcBorders>
              <w:bottom w:val="single" w:sz="8" w:color="0000EE"/>
            </w:tcBorders>
            <w:gridSpan w:val="1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11"/>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26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10.6</w:t>
            </w:r>
          </w:p>
        </w:tc>
        <w:tc>
          <w:tcPr>
            <w:tcW w:w="7700" w:type="dxa"/>
            <w:vAlign w:val="bottom"/>
            <w:gridSpan w:val="35"/>
            <w:vMerge w:val="restart"/>
          </w:tcPr>
          <w:p>
            <w:pPr>
              <w:spacing w:after="0"/>
              <w:rPr>
                <w:rFonts w:ascii="Times New Roman" w:cs="Times New Roman" w:eastAsia="Times New Roman" w:hAnsi="Times New Roman"/>
                <w:sz w:val="15"/>
                <w:szCs w:val="15"/>
                <w:color w:val="0000EE"/>
                <w:w w:val="96"/>
              </w:rPr>
            </w:pPr>
            <w:hyperlink r:id="rId203">
              <w:r>
                <w:rPr>
                  <w:rFonts w:ascii="Times New Roman" w:cs="Times New Roman" w:eastAsia="Times New Roman" w:hAnsi="Times New Roman"/>
                  <w:sz w:val="15"/>
                  <w:szCs w:val="15"/>
                  <w:color w:val="0000EE"/>
                  <w:w w:val="96"/>
                </w:rPr>
                <w:t>Custody Agreement, dated April 19, 2023, by and between the Registrant and Western Alliance Trust Company, N.A., as Custodian.</w:t>
              </w:r>
            </w:hyperlink>
          </w:p>
        </w:tc>
        <w:tc>
          <w:tcPr>
            <w:tcW w:w="200" w:type="dxa"/>
            <w:vAlign w:val="bottom"/>
            <w:tcBorders>
              <w:bottom w:val="single" w:sz="8" w:color="0000EE"/>
            </w:tcBorders>
          </w:tcPr>
          <w:p>
            <w:pPr>
              <w:jc w:val="right"/>
              <w:spacing w:after="0" w:line="113" w:lineRule="exact"/>
              <w:rPr>
                <w:sz w:val="20"/>
                <w:szCs w:val="20"/>
                <w:color w:val="auto"/>
              </w:rPr>
            </w:pPr>
            <w:r>
              <w:rPr>
                <w:rFonts w:ascii="Times New Roman" w:cs="Times New Roman" w:eastAsia="Times New Roman" w:hAnsi="Times New Roman"/>
                <w:sz w:val="12"/>
                <w:szCs w:val="12"/>
                <w:color w:val="0000EE"/>
                <w:w w:val="89"/>
              </w:rPr>
              <w:t>(13)</w:t>
            </w:r>
          </w:p>
        </w:tc>
        <w:tc>
          <w:tcPr>
            <w:tcW w:w="3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7700" w:type="dxa"/>
            <w:vAlign w:val="bottom"/>
            <w:tcBorders>
              <w:bottom w:val="single" w:sz="8" w:color="0000EE"/>
            </w:tcBorders>
            <w:gridSpan w:val="35"/>
            <w:vMerge w:val="continue"/>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10.7</w:t>
            </w:r>
          </w:p>
        </w:tc>
        <w:tc>
          <w:tcPr>
            <w:tcW w:w="5300" w:type="dxa"/>
            <w:vAlign w:val="bottom"/>
            <w:gridSpan w:val="29"/>
            <w:vMerge w:val="restart"/>
          </w:tcPr>
          <w:p>
            <w:pPr>
              <w:spacing w:after="0"/>
              <w:rPr>
                <w:rFonts w:ascii="Times New Roman" w:cs="Times New Roman" w:eastAsia="Times New Roman" w:hAnsi="Times New Roman"/>
                <w:sz w:val="15"/>
                <w:szCs w:val="15"/>
                <w:color w:val="0000EE"/>
                <w:w w:val="96"/>
              </w:rPr>
            </w:pPr>
            <w:hyperlink r:id="rId204">
              <w:r>
                <w:rPr>
                  <w:rFonts w:ascii="Times New Roman" w:cs="Times New Roman" w:eastAsia="Times New Roman" w:hAnsi="Times New Roman"/>
                  <w:sz w:val="15"/>
                  <w:szCs w:val="15"/>
                  <w:color w:val="0000EE"/>
                  <w:w w:val="96"/>
                </w:rPr>
                <w:t>Form of Indemnification Agreement by and between the Company and each of its directors</w:t>
              </w:r>
            </w:hyperlink>
          </w:p>
        </w:tc>
        <w:tc>
          <w:tcPr>
            <w:tcW w:w="14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5"/>
              </w:rPr>
            </w:pPr>
            <w:hyperlink r:id="rId204">
              <w:r>
                <w:rPr>
                  <w:rFonts w:ascii="Times New Roman" w:cs="Times New Roman" w:eastAsia="Times New Roman" w:hAnsi="Times New Roman"/>
                  <w:sz w:val="12"/>
                  <w:szCs w:val="12"/>
                  <w:color w:val="0000EE"/>
                  <w:w w:val="85"/>
                </w:rPr>
                <w:t>(1)</w:t>
              </w:r>
            </w:hyperlink>
          </w:p>
        </w:tc>
        <w:tc>
          <w:tcPr>
            <w:tcW w:w="2760" w:type="dxa"/>
            <w:vAlign w:val="bottom"/>
            <w:gridSpan w:val="6"/>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5300" w:type="dxa"/>
            <w:vAlign w:val="bottom"/>
            <w:tcBorders>
              <w:bottom w:val="single" w:sz="8" w:color="0000EE"/>
            </w:tcBorders>
            <w:gridSpan w:val="29"/>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10.8</w:t>
            </w:r>
          </w:p>
        </w:tc>
        <w:tc>
          <w:tcPr>
            <w:tcW w:w="8240" w:type="dxa"/>
            <w:vAlign w:val="bottom"/>
            <w:gridSpan w:val="39"/>
            <w:vMerge w:val="restart"/>
          </w:tcPr>
          <w:p>
            <w:pPr>
              <w:spacing w:after="0"/>
              <w:rPr>
                <w:rFonts w:ascii="Times New Roman" w:cs="Times New Roman" w:eastAsia="Times New Roman" w:hAnsi="Times New Roman"/>
                <w:sz w:val="15"/>
                <w:szCs w:val="15"/>
                <w:color w:val="0000EE"/>
                <w:w w:val="96"/>
              </w:rPr>
            </w:pPr>
            <w:hyperlink r:id="rId205">
              <w:r>
                <w:rPr>
                  <w:rFonts w:ascii="Times New Roman" w:cs="Times New Roman" w:eastAsia="Times New Roman" w:hAnsi="Times New Roman"/>
                  <w:sz w:val="15"/>
                  <w:szCs w:val="15"/>
                  <w:color w:val="0000EE"/>
                  <w:w w:val="96"/>
                </w:rPr>
                <w:t>Second Amended and Restated Employment Agreement, dated April 26, 2021, by and between Sutter Rock Capital Corp. and Mark D. Klein</w:t>
              </w:r>
            </w:hyperlink>
          </w:p>
        </w:tc>
        <w:tc>
          <w:tcPr>
            <w:tcW w:w="180" w:type="dxa"/>
            <w:vAlign w:val="bottom"/>
            <w:tcBorders>
              <w:bottom w:val="single" w:sz="8" w:color="0000EE"/>
            </w:tcBorders>
            <w:gridSpan w:val="3"/>
          </w:tcPr>
          <w:p>
            <w:pPr>
              <w:jc w:val="right"/>
              <w:spacing w:after="0" w:line="113" w:lineRule="exact"/>
              <w:rPr>
                <w:sz w:val="20"/>
                <w:szCs w:val="20"/>
                <w:color w:val="auto"/>
              </w:rPr>
            </w:pPr>
            <w:r>
              <w:rPr>
                <w:rFonts w:ascii="Times New Roman" w:cs="Times New Roman" w:eastAsia="Times New Roman" w:hAnsi="Times New Roman"/>
                <w:sz w:val="12"/>
                <w:szCs w:val="12"/>
                <w:color w:val="0000EE"/>
                <w:w w:val="79"/>
              </w:rPr>
              <w:t>(10)</w:t>
            </w:r>
          </w:p>
        </w:tc>
        <w:tc>
          <w:tcPr>
            <w:tcW w:w="74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8240" w:type="dxa"/>
            <w:vAlign w:val="bottom"/>
            <w:tcBorders>
              <w:bottom w:val="single" w:sz="8" w:color="0000EE"/>
            </w:tcBorders>
            <w:gridSpan w:val="39"/>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8"/>
              </w:rPr>
              <w:t>10.9</w:t>
            </w:r>
          </w:p>
        </w:tc>
        <w:tc>
          <w:tcPr>
            <w:tcW w:w="8200" w:type="dxa"/>
            <w:vAlign w:val="bottom"/>
            <w:gridSpan w:val="37"/>
            <w:vMerge w:val="restart"/>
          </w:tcPr>
          <w:p>
            <w:pPr>
              <w:spacing w:after="0"/>
              <w:rPr>
                <w:rFonts w:ascii="Times New Roman" w:cs="Times New Roman" w:eastAsia="Times New Roman" w:hAnsi="Times New Roman"/>
                <w:sz w:val="15"/>
                <w:szCs w:val="15"/>
                <w:color w:val="0000EE"/>
                <w:w w:val="96"/>
              </w:rPr>
            </w:pPr>
            <w:hyperlink r:id="rId206">
              <w:r>
                <w:rPr>
                  <w:rFonts w:ascii="Times New Roman" w:cs="Times New Roman" w:eastAsia="Times New Roman" w:hAnsi="Times New Roman"/>
                  <w:sz w:val="15"/>
                  <w:szCs w:val="15"/>
                  <w:color w:val="0000EE"/>
                  <w:w w:val="96"/>
                </w:rPr>
                <w:t>Second Amended and Restated Employment Agreement, dated April 26, 2021, by and between Sutter Rock Capital Corp. and Allison Green</w:t>
              </w:r>
            </w:hyperlink>
          </w:p>
        </w:tc>
        <w:tc>
          <w:tcPr>
            <w:tcW w:w="200" w:type="dxa"/>
            <w:vAlign w:val="bottom"/>
            <w:tcBorders>
              <w:bottom w:val="single" w:sz="8" w:color="0000EE"/>
            </w:tcBorders>
            <w:gridSpan w:val="4"/>
          </w:tcPr>
          <w:p>
            <w:pPr>
              <w:jc w:val="right"/>
              <w:spacing w:after="0" w:line="122" w:lineRule="exact"/>
              <w:rPr>
                <w:rFonts w:ascii="Times New Roman" w:cs="Times New Roman" w:eastAsia="Times New Roman" w:hAnsi="Times New Roman"/>
                <w:sz w:val="12"/>
                <w:szCs w:val="12"/>
                <w:color w:val="0000EE"/>
                <w:w w:val="89"/>
              </w:rPr>
            </w:pPr>
            <w:hyperlink r:id="rId206">
              <w:r>
                <w:rPr>
                  <w:rFonts w:ascii="Times New Roman" w:cs="Times New Roman" w:eastAsia="Times New Roman" w:hAnsi="Times New Roman"/>
                  <w:sz w:val="12"/>
                  <w:szCs w:val="12"/>
                  <w:color w:val="0000EE"/>
                  <w:w w:val="89"/>
                </w:rPr>
                <w:t>(10)</w:t>
              </w:r>
            </w:hyperlink>
          </w:p>
        </w:tc>
        <w:tc>
          <w:tcPr>
            <w:tcW w:w="76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40" w:type="dxa"/>
            <w:vAlign w:val="bottom"/>
            <w:vMerge w:val="continue"/>
          </w:tcPr>
          <w:p>
            <w:pPr>
              <w:spacing w:after="0"/>
              <w:rPr>
                <w:sz w:val="3"/>
                <w:szCs w:val="3"/>
                <w:color w:val="auto"/>
              </w:rPr>
            </w:pPr>
          </w:p>
        </w:tc>
        <w:tc>
          <w:tcPr>
            <w:tcW w:w="8200" w:type="dxa"/>
            <w:vAlign w:val="bottom"/>
            <w:tcBorders>
              <w:bottom w:val="single" w:sz="8" w:color="0000EE"/>
            </w:tcBorders>
            <w:gridSpan w:val="3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gridSpan w:val="3"/>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rPr>
              <w:t>10.10</w:t>
            </w:r>
          </w:p>
        </w:tc>
        <w:tc>
          <w:tcPr>
            <w:tcW w:w="9160" w:type="dxa"/>
            <w:vAlign w:val="bottom"/>
            <w:gridSpan w:val="43"/>
            <w:vMerge w:val="restart"/>
          </w:tcPr>
          <w:p>
            <w:pPr>
              <w:spacing w:after="0"/>
              <w:rPr>
                <w:rFonts w:ascii="Times New Roman" w:cs="Times New Roman" w:eastAsia="Times New Roman" w:hAnsi="Times New Roman"/>
                <w:sz w:val="15"/>
                <w:szCs w:val="15"/>
                <w:color w:val="0000EE"/>
                <w:w w:val="96"/>
              </w:rPr>
            </w:pPr>
            <w:hyperlink r:id="rId207">
              <w:r>
                <w:rPr>
                  <w:rFonts w:ascii="Times New Roman" w:cs="Times New Roman" w:eastAsia="Times New Roman" w:hAnsi="Times New Roman"/>
                  <w:sz w:val="15"/>
                  <w:szCs w:val="15"/>
                  <w:color w:val="0000EE"/>
                  <w:w w:val="96"/>
                </w:rPr>
                <w:t>Amendment No. 1 to Second Amended and Restated Employment Agreement, dated March 10, 2022, by and between SuRo Capital Corp. and Allison Green</w:t>
              </w:r>
            </w:hyperlink>
          </w:p>
        </w:tc>
        <w:tc>
          <w:tcPr>
            <w:tcW w:w="140" w:type="dxa"/>
            <w:vAlign w:val="bottom"/>
            <w:tcBorders>
              <w:bottom w:val="single" w:sz="8" w:color="0000EE"/>
            </w:tcBorders>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(8)</w:t>
            </w:r>
          </w:p>
        </w:tc>
        <w:tc>
          <w:tcPr>
            <w:tcW w:w="13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9160" w:type="dxa"/>
            <w:vAlign w:val="bottom"/>
            <w:tcBorders>
              <w:bottom w:val="single" w:sz="8" w:color="0000EE"/>
            </w:tcBorders>
            <w:gridSpan w:val="43"/>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6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9"/>
          </w:tcPr>
          <w:p>
            <w:pPr>
              <w:jc w:val="right"/>
              <w:ind w:right="180"/>
              <w:spacing w:after="0"/>
              <w:rPr>
                <w:sz w:val="20"/>
                <w:szCs w:val="20"/>
                <w:color w:val="auto"/>
              </w:rPr>
            </w:pPr>
            <w:r>
              <w:rPr>
                <w:rFonts w:ascii="Times New Roman" w:cs="Times New Roman" w:eastAsia="Times New Roman" w:hAnsi="Times New Roman"/>
                <w:sz w:val="15"/>
                <w:szCs w:val="15"/>
                <w:color w:val="auto"/>
              </w:rPr>
              <w:t>122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96"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58"/>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rPr>
              <w:t>10.11</w:t>
            </w:r>
          </w:p>
        </w:tc>
        <w:tc>
          <w:tcPr>
            <w:tcW w:w="9440" w:type="dxa"/>
            <w:vAlign w:val="bottom"/>
            <w:gridSpan w:val="26"/>
            <w:vMerge w:val="restart"/>
          </w:tcPr>
          <w:p>
            <w:pPr>
              <w:spacing w:after="0"/>
              <w:rPr>
                <w:rFonts w:ascii="Times New Roman" w:cs="Times New Roman" w:eastAsia="Times New Roman" w:hAnsi="Times New Roman"/>
                <w:sz w:val="15"/>
                <w:szCs w:val="15"/>
                <w:color w:val="0000EE"/>
                <w:w w:val="96"/>
              </w:rPr>
            </w:pPr>
            <w:hyperlink r:id="rId208">
              <w:r>
                <w:rPr>
                  <w:rFonts w:ascii="Times New Roman" w:cs="Times New Roman" w:eastAsia="Times New Roman" w:hAnsi="Times New Roman"/>
                  <w:sz w:val="15"/>
                  <w:szCs w:val="15"/>
                  <w:color w:val="0000EE"/>
                  <w:w w:val="96"/>
                </w:rPr>
                <w:t>Amendment No. 1 to Second Amended and Restated Employment Agreement, dated November 28, 2023, by and between SuRo Capital Corp. and Mark D. Klein</w:t>
              </w:r>
            </w:hyperlink>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2"/>
                <w:szCs w:val="12"/>
                <w:color w:val="0000EE"/>
                <w:w w:val="89"/>
              </w:rPr>
              <w:t>(16)</w:t>
            </w: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40" w:type="dxa"/>
            <w:vAlign w:val="bottom"/>
            <w:vMerge w:val="continue"/>
          </w:tcPr>
          <w:p>
            <w:pPr>
              <w:spacing w:after="0"/>
              <w:rPr>
                <w:sz w:val="3"/>
                <w:szCs w:val="3"/>
                <w:color w:val="auto"/>
              </w:rPr>
            </w:pPr>
          </w:p>
        </w:tc>
        <w:tc>
          <w:tcPr>
            <w:tcW w:w="9440" w:type="dxa"/>
            <w:vAlign w:val="bottom"/>
            <w:tcBorders>
              <w:bottom w:val="single" w:sz="8" w:color="0000EE"/>
            </w:tcBorders>
            <w:gridSpan w:val="2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rPr>
              <w:t>10.12</w:t>
            </w:r>
          </w:p>
        </w:tc>
        <w:tc>
          <w:tcPr>
            <w:tcW w:w="9400" w:type="dxa"/>
            <w:vAlign w:val="bottom"/>
            <w:gridSpan w:val="24"/>
            <w:vMerge w:val="restart"/>
          </w:tcPr>
          <w:p>
            <w:pPr>
              <w:spacing w:after="0"/>
              <w:rPr>
                <w:rFonts w:ascii="Times New Roman" w:cs="Times New Roman" w:eastAsia="Times New Roman" w:hAnsi="Times New Roman"/>
                <w:sz w:val="15"/>
                <w:szCs w:val="15"/>
                <w:color w:val="0000EE"/>
                <w:w w:val="96"/>
              </w:rPr>
            </w:pPr>
            <w:hyperlink r:id="rId209">
              <w:r>
                <w:rPr>
                  <w:rFonts w:ascii="Times New Roman" w:cs="Times New Roman" w:eastAsia="Times New Roman" w:hAnsi="Times New Roman"/>
                  <w:sz w:val="15"/>
                  <w:szCs w:val="15"/>
                  <w:color w:val="0000EE"/>
                  <w:w w:val="96"/>
                </w:rPr>
                <w:t>Amendment No. 2 to Second Amended and Restated Employment Agreement, dated November 28, 2023, by and between SuRo Capital Corp. and Allison Green</w:t>
              </w:r>
            </w:hyperlink>
          </w:p>
        </w:tc>
        <w:tc>
          <w:tcPr>
            <w:tcW w:w="200" w:type="dxa"/>
            <w:vAlign w:val="bottom"/>
            <w:tcBorders>
              <w:bottom w:val="single" w:sz="8" w:color="0000EE"/>
            </w:tcBorders>
            <w:gridSpan w:val="4"/>
          </w:tcPr>
          <w:p>
            <w:pPr>
              <w:jc w:val="right"/>
              <w:spacing w:after="0" w:line="122" w:lineRule="exact"/>
              <w:rPr>
                <w:rFonts w:ascii="Times New Roman" w:cs="Times New Roman" w:eastAsia="Times New Roman" w:hAnsi="Times New Roman"/>
                <w:sz w:val="12"/>
                <w:szCs w:val="12"/>
                <w:color w:val="0000EE"/>
                <w:w w:val="89"/>
              </w:rPr>
            </w:pPr>
            <w:hyperlink r:id="rId209">
              <w:r>
                <w:rPr>
                  <w:rFonts w:ascii="Times New Roman" w:cs="Times New Roman" w:eastAsia="Times New Roman" w:hAnsi="Times New Roman"/>
                  <w:sz w:val="12"/>
                  <w:szCs w:val="12"/>
                  <w:color w:val="0000EE"/>
                  <w:w w:val="89"/>
                </w:rPr>
                <w:t>(16)</w:t>
              </w:r>
            </w:hyperlink>
          </w:p>
        </w:tc>
        <w:tc>
          <w:tcPr>
            <w:tcW w:w="8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7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40" w:type="dxa"/>
            <w:vAlign w:val="bottom"/>
            <w:vMerge w:val="continue"/>
          </w:tcPr>
          <w:p>
            <w:pPr>
              <w:spacing w:after="0"/>
              <w:rPr>
                <w:sz w:val="3"/>
                <w:szCs w:val="3"/>
                <w:color w:val="auto"/>
              </w:rPr>
            </w:pPr>
          </w:p>
        </w:tc>
        <w:tc>
          <w:tcPr>
            <w:tcW w:w="9400" w:type="dxa"/>
            <w:vAlign w:val="bottom"/>
            <w:tcBorders>
              <w:bottom w:val="single" w:sz="8" w:color="0000EE"/>
            </w:tcBorders>
            <w:gridSpan w:val="2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gridSpan w:val="3"/>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rPr>
              <w:t>10.13</w:t>
            </w:r>
          </w:p>
        </w:tc>
        <w:tc>
          <w:tcPr>
            <w:tcW w:w="9680" w:type="dxa"/>
            <w:vAlign w:val="bottom"/>
            <w:gridSpan w:val="30"/>
            <w:vMerge w:val="restart"/>
          </w:tcPr>
          <w:p>
            <w:pPr>
              <w:spacing w:after="0"/>
              <w:rPr>
                <w:rFonts w:ascii="Times New Roman" w:cs="Times New Roman" w:eastAsia="Times New Roman" w:hAnsi="Times New Roman"/>
                <w:sz w:val="15"/>
                <w:szCs w:val="15"/>
                <w:color w:val="0000EE"/>
                <w:w w:val="96"/>
              </w:rPr>
            </w:pPr>
            <w:hyperlink r:id="rId210">
              <w:r>
                <w:rPr>
                  <w:rFonts w:ascii="Times New Roman" w:cs="Times New Roman" w:eastAsia="Times New Roman" w:hAnsi="Times New Roman"/>
                  <w:sz w:val="15"/>
                  <w:szCs w:val="15"/>
                  <w:color w:val="0000EE"/>
                  <w:w w:val="96"/>
                </w:rPr>
                <w:t>At-the-Market Sales Agreement dated as of July 29, 2020, by and among SuRo Capital Corp., BTIG LLC, JMP Securities LLC, and Ladenburg Thalmann &amp; Co., Inc.</w:t>
              </w:r>
            </w:hyperlink>
          </w:p>
        </w:tc>
        <w:tc>
          <w:tcPr>
            <w:tcW w:w="200" w:type="dxa"/>
            <w:vAlign w:val="bottom"/>
            <w:tcBorders>
              <w:bottom w:val="single" w:sz="8" w:color="0000EE"/>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EE"/>
                <w:w w:val="89"/>
              </w:rPr>
              <w:t>(11)</w:t>
            </w:r>
          </w:p>
        </w:tc>
        <w:tc>
          <w:tcPr>
            <w:tcW w:w="7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40" w:type="dxa"/>
            <w:vAlign w:val="bottom"/>
            <w:vMerge w:val="continue"/>
          </w:tcPr>
          <w:p>
            <w:pPr>
              <w:spacing w:after="0"/>
              <w:rPr>
                <w:sz w:val="3"/>
                <w:szCs w:val="3"/>
                <w:color w:val="auto"/>
              </w:rPr>
            </w:pPr>
          </w:p>
        </w:tc>
        <w:tc>
          <w:tcPr>
            <w:tcW w:w="9680" w:type="dxa"/>
            <w:vAlign w:val="bottom"/>
            <w:tcBorders>
              <w:bottom w:val="single" w:sz="8" w:color="0000EE"/>
            </w:tcBorders>
            <w:gridSpan w:val="3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rPr>
              <w:t>10.14</w:t>
            </w:r>
          </w:p>
        </w:tc>
        <w:tc>
          <w:tcPr>
            <w:tcW w:w="10640" w:type="dxa"/>
            <w:vAlign w:val="bottom"/>
            <w:tcBorders>
              <w:bottom w:val="single" w:sz="8" w:color="0000EE"/>
            </w:tcBorders>
            <w:gridSpan w:val="33"/>
          </w:tcPr>
          <w:p>
            <w:pPr>
              <w:spacing w:after="0" w:line="155" w:lineRule="exact"/>
              <w:rPr>
                <w:rFonts w:ascii="Times New Roman" w:cs="Times New Roman" w:eastAsia="Times New Roman" w:hAnsi="Times New Roman"/>
                <w:sz w:val="15"/>
                <w:szCs w:val="15"/>
                <w:color w:val="0000EE"/>
              </w:rPr>
            </w:pPr>
            <w:hyperlink r:id="rId211">
              <w:r>
                <w:rPr>
                  <w:rFonts w:ascii="Times New Roman" w:cs="Times New Roman" w:eastAsia="Times New Roman" w:hAnsi="Times New Roman"/>
                  <w:sz w:val="15"/>
                  <w:szCs w:val="15"/>
                  <w:color w:val="0000EE"/>
                </w:rPr>
                <w:t>Amendment No.1 to the At-the-Market Sales Agreement, dated as of September 23, 2020, by and among SuRo Capital Corp., BTIG LLC, JMP Securities LLC, and Ladenburg</w:t>
              </w:r>
            </w:hyperlink>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1260" w:type="dxa"/>
            <w:vAlign w:val="bottom"/>
            <w:gridSpan w:val="4"/>
            <w:vMerge w:val="restart"/>
          </w:tcPr>
          <w:p>
            <w:pPr>
              <w:spacing w:after="0"/>
              <w:rPr>
                <w:rFonts w:ascii="Times New Roman" w:cs="Times New Roman" w:eastAsia="Times New Roman" w:hAnsi="Times New Roman"/>
                <w:sz w:val="15"/>
                <w:szCs w:val="15"/>
                <w:color w:val="0000EE"/>
                <w:w w:val="94"/>
              </w:rPr>
            </w:pPr>
            <w:hyperlink r:id="rId211">
              <w:r>
                <w:rPr>
                  <w:rFonts w:ascii="Times New Roman" w:cs="Times New Roman" w:eastAsia="Times New Roman" w:hAnsi="Times New Roman"/>
                  <w:sz w:val="15"/>
                  <w:szCs w:val="15"/>
                  <w:color w:val="0000EE"/>
                  <w:w w:val="94"/>
                </w:rPr>
                <w:t>Thalmann &amp; Co., Inc.</w:t>
              </w:r>
            </w:hyperlink>
          </w:p>
        </w:tc>
        <w:tc>
          <w:tcPr>
            <w:tcW w:w="20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9"/>
              </w:rPr>
            </w:pPr>
            <w:hyperlink r:id="rId211">
              <w:r>
                <w:rPr>
                  <w:rFonts w:ascii="Times New Roman" w:cs="Times New Roman" w:eastAsia="Times New Roman" w:hAnsi="Times New Roman"/>
                  <w:sz w:val="12"/>
                  <w:szCs w:val="12"/>
                  <w:color w:val="0000EE"/>
                  <w:w w:val="89"/>
                </w:rPr>
                <w:t>(12)</w:t>
              </w:r>
            </w:hyperlink>
          </w:p>
        </w:tc>
        <w:tc>
          <w:tcPr>
            <w:tcW w:w="60" w:type="dxa"/>
            <w:vAlign w:val="bottom"/>
            <w:vMerge w:val="restart"/>
          </w:tcPr>
          <w:p>
            <w:pPr>
              <w:spacing w:after="0"/>
              <w:rPr>
                <w:sz w:val="11"/>
                <w:szCs w:val="11"/>
                <w:color w:val="auto"/>
              </w:rPr>
            </w:pPr>
          </w:p>
        </w:tc>
        <w:tc>
          <w:tcPr>
            <w:tcW w:w="66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7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1260" w:type="dxa"/>
            <w:vAlign w:val="bottom"/>
            <w:tcBorders>
              <w:bottom w:val="single" w:sz="8" w:color="0000EE"/>
            </w:tcBorders>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7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rPr>
              <w:t>10.15</w:t>
            </w:r>
          </w:p>
        </w:tc>
        <w:tc>
          <w:tcPr>
            <w:tcW w:w="10640" w:type="dxa"/>
            <w:vAlign w:val="bottom"/>
            <w:tcBorders>
              <w:bottom w:val="single" w:sz="8" w:color="0000EE"/>
            </w:tcBorders>
            <w:gridSpan w:val="33"/>
          </w:tcPr>
          <w:p>
            <w:pPr>
              <w:spacing w:after="0" w:line="155" w:lineRule="exact"/>
              <w:rPr>
                <w:rFonts w:ascii="Times New Roman" w:cs="Times New Roman" w:eastAsia="Times New Roman" w:hAnsi="Times New Roman"/>
                <w:sz w:val="15"/>
                <w:szCs w:val="15"/>
                <w:color w:val="0000EE"/>
                <w:w w:val="97"/>
              </w:rPr>
            </w:pPr>
            <w:hyperlink r:id="rId212">
              <w:r>
                <w:rPr>
                  <w:rFonts w:ascii="Times New Roman" w:cs="Times New Roman" w:eastAsia="Times New Roman" w:hAnsi="Times New Roman"/>
                  <w:sz w:val="15"/>
                  <w:szCs w:val="15"/>
                  <w:color w:val="0000EE"/>
                  <w:w w:val="97"/>
                </w:rPr>
                <w:t>Amendment No. 2 to the At-the-Market Sales Agreement, dated as of November 8, 2024, by and among SuRo Capital Corp., BTIG, LLC, Citizens JMP Securities, LLC, Ladenburg</w:t>
              </w:r>
            </w:hyperlink>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3700" w:type="dxa"/>
            <w:vAlign w:val="bottom"/>
            <w:gridSpan w:val="11"/>
            <w:vMerge w:val="restart"/>
          </w:tcPr>
          <w:p>
            <w:pPr>
              <w:spacing w:after="0"/>
              <w:rPr>
                <w:rFonts w:ascii="Times New Roman" w:cs="Times New Roman" w:eastAsia="Times New Roman" w:hAnsi="Times New Roman"/>
                <w:sz w:val="15"/>
                <w:szCs w:val="15"/>
                <w:color w:val="0000EE"/>
                <w:w w:val="96"/>
              </w:rPr>
            </w:pPr>
            <w:hyperlink r:id="rId212">
              <w:r>
                <w:rPr>
                  <w:rFonts w:ascii="Times New Roman" w:cs="Times New Roman" w:eastAsia="Times New Roman" w:hAnsi="Times New Roman"/>
                  <w:sz w:val="15"/>
                  <w:szCs w:val="15"/>
                  <w:color w:val="0000EE"/>
                  <w:w w:val="96"/>
                </w:rPr>
                <w:t>Thalmann &amp; Co. Inc., and Barrington Research Associates, Inc.</w:t>
              </w:r>
            </w:hyperlink>
          </w:p>
        </w:tc>
        <w:tc>
          <w:tcPr>
            <w:tcW w:w="200" w:type="dxa"/>
            <w:vAlign w:val="bottom"/>
            <w:tcBorders>
              <w:bottom w:val="single" w:sz="8" w:color="0000EE"/>
            </w:tcBorders>
          </w:tcPr>
          <w:p>
            <w:pPr>
              <w:jc w:val="right"/>
              <w:spacing w:after="0" w:line="122" w:lineRule="exact"/>
              <w:rPr>
                <w:rFonts w:ascii="Times New Roman" w:cs="Times New Roman" w:eastAsia="Times New Roman" w:hAnsi="Times New Roman"/>
                <w:sz w:val="12"/>
                <w:szCs w:val="12"/>
                <w:color w:val="0000EE"/>
                <w:w w:val="89"/>
              </w:rPr>
            </w:pPr>
            <w:hyperlink r:id="rId212">
              <w:r>
                <w:rPr>
                  <w:rFonts w:ascii="Times New Roman" w:cs="Times New Roman" w:eastAsia="Times New Roman" w:hAnsi="Times New Roman"/>
                  <w:sz w:val="12"/>
                  <w:szCs w:val="12"/>
                  <w:color w:val="0000EE"/>
                  <w:w w:val="89"/>
                </w:rPr>
                <w:t>(17)</w:t>
              </w:r>
            </w:hyperlink>
          </w:p>
        </w:tc>
        <w:tc>
          <w:tcPr>
            <w:tcW w:w="4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7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rPr>
              <w:t>10.16</w:t>
            </w:r>
          </w:p>
        </w:tc>
        <w:tc>
          <w:tcPr>
            <w:tcW w:w="3700" w:type="dxa"/>
            <w:vAlign w:val="bottom"/>
            <w:tcBorders>
              <w:bottom w:val="single" w:sz="8" w:color="0000EE"/>
            </w:tcBorders>
            <w:gridSpan w:val="11"/>
            <w:vMerge w:val="continue"/>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EE"/>
                <w:w w:val="99"/>
              </w:rPr>
              <w:t>(18)</w:t>
            </w: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7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40" w:type="dxa"/>
            <w:vAlign w:val="bottom"/>
            <w:vMerge w:val="continue"/>
          </w:tcPr>
          <w:p>
            <w:pPr>
              <w:spacing w:after="0"/>
              <w:rPr>
                <w:sz w:val="11"/>
                <w:szCs w:val="11"/>
                <w:color w:val="auto"/>
              </w:rPr>
            </w:pPr>
          </w:p>
        </w:tc>
        <w:tc>
          <w:tcPr>
            <w:tcW w:w="6560" w:type="dxa"/>
            <w:vAlign w:val="bottom"/>
            <w:gridSpan w:val="20"/>
            <w:vMerge w:val="restart"/>
          </w:tcPr>
          <w:p>
            <w:pPr>
              <w:spacing w:after="0"/>
              <w:rPr>
                <w:rFonts w:ascii="Times New Roman" w:cs="Times New Roman" w:eastAsia="Times New Roman" w:hAnsi="Times New Roman"/>
                <w:sz w:val="15"/>
                <w:szCs w:val="15"/>
                <w:color w:val="0000EE"/>
                <w:w w:val="96"/>
              </w:rPr>
            </w:pPr>
            <w:hyperlink r:id="rId213">
              <w:r>
                <w:rPr>
                  <w:rFonts w:ascii="Times New Roman" w:cs="Times New Roman" w:eastAsia="Times New Roman" w:hAnsi="Times New Roman"/>
                  <w:sz w:val="15"/>
                  <w:szCs w:val="15"/>
                  <w:color w:val="0000EE"/>
                  <w:w w:val="96"/>
                </w:rPr>
                <w:t>Notes Purchase Agreement, dated August 6, 2024, by and between the Registrant and the purchaser party thereto</w:t>
              </w:r>
            </w:hyperlink>
          </w:p>
        </w:tc>
        <w:tc>
          <w:tcPr>
            <w:tcW w:w="220" w:type="dxa"/>
            <w:vAlign w:val="bottom"/>
            <w:tcBorders>
              <w:bottom w:val="single" w:sz="8" w:color="0000EE"/>
            </w:tcBorders>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7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40" w:type="dxa"/>
            <w:vAlign w:val="bottom"/>
            <w:vMerge w:val="continue"/>
          </w:tcPr>
          <w:p>
            <w:pPr>
              <w:spacing w:after="0"/>
              <w:rPr>
                <w:sz w:val="3"/>
                <w:szCs w:val="3"/>
                <w:color w:val="auto"/>
              </w:rPr>
            </w:pPr>
          </w:p>
        </w:tc>
        <w:tc>
          <w:tcPr>
            <w:tcW w:w="6560" w:type="dxa"/>
            <w:vAlign w:val="bottom"/>
            <w:tcBorders>
              <w:bottom w:val="single" w:sz="8" w:color="0000EE"/>
            </w:tcBorders>
            <w:gridSpan w:val="20"/>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7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w w:val="98"/>
              </w:rPr>
              <w:t>14.1</w:t>
            </w:r>
          </w:p>
        </w:tc>
        <w:tc>
          <w:tcPr>
            <w:tcW w:w="860" w:type="dxa"/>
            <w:vAlign w:val="bottom"/>
            <w:vMerge w:val="restart"/>
          </w:tcPr>
          <w:p>
            <w:pPr>
              <w:spacing w:after="0"/>
              <w:rPr>
                <w:rFonts w:ascii="Times New Roman" w:cs="Times New Roman" w:eastAsia="Times New Roman" w:hAnsi="Times New Roman"/>
                <w:sz w:val="15"/>
                <w:szCs w:val="15"/>
                <w:color w:val="0000EE"/>
                <w:w w:val="94"/>
              </w:rPr>
            </w:pPr>
            <w:hyperlink r:id="rId214">
              <w:r>
                <w:rPr>
                  <w:rFonts w:ascii="Times New Roman" w:cs="Times New Roman" w:eastAsia="Times New Roman" w:hAnsi="Times New Roman"/>
                  <w:sz w:val="15"/>
                  <w:szCs w:val="15"/>
                  <w:color w:val="0000EE"/>
                  <w:w w:val="94"/>
                </w:rPr>
                <w:t>Code of Ethics</w:t>
              </w:r>
            </w:hyperlink>
          </w:p>
        </w:tc>
        <w:tc>
          <w:tcPr>
            <w:tcW w:w="20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9"/>
              </w:rPr>
            </w:pPr>
            <w:hyperlink r:id="rId214">
              <w:r>
                <w:rPr>
                  <w:rFonts w:ascii="Times New Roman" w:cs="Times New Roman" w:eastAsia="Times New Roman" w:hAnsi="Times New Roman"/>
                  <w:sz w:val="12"/>
                  <w:szCs w:val="12"/>
                  <w:color w:val="0000EE"/>
                  <w:w w:val="89"/>
                </w:rPr>
                <w:t>(14)</w:t>
              </w:r>
            </w:hyperlink>
          </w:p>
        </w:tc>
        <w:tc>
          <w:tcPr>
            <w:tcW w:w="300" w:type="dxa"/>
            <w:vAlign w:val="bottom"/>
            <w:gridSpan w:val="2"/>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66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220" w:type="dxa"/>
            <w:vAlign w:val="bottom"/>
            <w:vMerge w:val="restart"/>
          </w:tcPr>
          <w:p>
            <w:pPr>
              <w:spacing w:after="0"/>
              <w:rPr>
                <w:sz w:val="11"/>
                <w:szCs w:val="11"/>
                <w:color w:val="auto"/>
              </w:rPr>
            </w:pPr>
          </w:p>
        </w:tc>
        <w:tc>
          <w:tcPr>
            <w:tcW w:w="340" w:type="dxa"/>
            <w:vAlign w:val="bottom"/>
            <w:gridSpan w:val="3"/>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600" w:type="dxa"/>
            <w:vAlign w:val="bottom"/>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7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40" w:type="dxa"/>
            <w:vAlign w:val="bottom"/>
            <w:vMerge w:val="continue"/>
          </w:tcPr>
          <w:p>
            <w:pPr>
              <w:spacing w:after="0"/>
              <w:rPr>
                <w:sz w:val="3"/>
                <w:szCs w:val="3"/>
                <w:color w:val="auto"/>
              </w:rPr>
            </w:pPr>
          </w:p>
        </w:tc>
        <w:tc>
          <w:tcPr>
            <w:tcW w:w="86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340" w:type="dxa"/>
            <w:vAlign w:val="bottom"/>
            <w:gridSpan w:val="3"/>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7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w w:val="98"/>
              </w:rPr>
              <w:t>14.2</w:t>
            </w:r>
          </w:p>
        </w:tc>
        <w:tc>
          <w:tcPr>
            <w:tcW w:w="2180" w:type="dxa"/>
            <w:vAlign w:val="bottom"/>
            <w:gridSpan w:val="8"/>
            <w:vMerge w:val="restart"/>
          </w:tcPr>
          <w:p>
            <w:pPr>
              <w:spacing w:after="0"/>
              <w:rPr>
                <w:rFonts w:ascii="Times New Roman" w:cs="Times New Roman" w:eastAsia="Times New Roman" w:hAnsi="Times New Roman"/>
                <w:sz w:val="15"/>
                <w:szCs w:val="15"/>
                <w:color w:val="0000EE"/>
                <w:w w:val="95"/>
              </w:rPr>
            </w:pPr>
            <w:hyperlink r:id="rId215">
              <w:r>
                <w:rPr>
                  <w:rFonts w:ascii="Times New Roman" w:cs="Times New Roman" w:eastAsia="Times New Roman" w:hAnsi="Times New Roman"/>
                  <w:sz w:val="15"/>
                  <w:szCs w:val="15"/>
                  <w:color w:val="0000EE"/>
                  <w:w w:val="95"/>
                </w:rPr>
                <w:t>Code of Business Conduct and Ethics</w:t>
              </w:r>
            </w:hyperlink>
          </w:p>
        </w:tc>
        <w:tc>
          <w:tcPr>
            <w:tcW w:w="200" w:type="dxa"/>
            <w:vAlign w:val="bottom"/>
            <w:tcBorders>
              <w:bottom w:val="single" w:sz="8" w:color="0000EE"/>
            </w:tcBorders>
          </w:tcPr>
          <w:p>
            <w:pPr>
              <w:jc w:val="right"/>
              <w:spacing w:after="0" w:line="113" w:lineRule="exact"/>
              <w:rPr>
                <w:sz w:val="20"/>
                <w:szCs w:val="20"/>
                <w:color w:val="auto"/>
              </w:rPr>
            </w:pPr>
            <w:r>
              <w:rPr>
                <w:rFonts w:ascii="Times New Roman" w:cs="Times New Roman" w:eastAsia="Times New Roman" w:hAnsi="Times New Roman"/>
                <w:sz w:val="12"/>
                <w:szCs w:val="12"/>
                <w:color w:val="0000EE"/>
                <w:w w:val="89"/>
              </w:rPr>
              <w:t>(15)</w:t>
            </w:r>
          </w:p>
        </w:tc>
        <w:tc>
          <w:tcPr>
            <w:tcW w:w="1220" w:type="dxa"/>
            <w:vAlign w:val="bottom"/>
            <w:vMerge w:val="restart"/>
          </w:tcPr>
          <w:p>
            <w:pPr>
              <w:spacing w:after="0"/>
              <w:rPr>
                <w:sz w:val="11"/>
                <w:szCs w:val="11"/>
                <w:color w:val="auto"/>
              </w:rPr>
            </w:pPr>
          </w:p>
        </w:tc>
        <w:tc>
          <w:tcPr>
            <w:tcW w:w="340" w:type="dxa"/>
            <w:vAlign w:val="bottom"/>
            <w:gridSpan w:val="3"/>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80" w:type="dxa"/>
            <w:vAlign w:val="bottom"/>
            <w:vMerge w:val="restart"/>
          </w:tcPr>
          <w:p>
            <w:pPr>
              <w:spacing w:after="0"/>
              <w:rPr>
                <w:sz w:val="11"/>
                <w:szCs w:val="11"/>
                <w:color w:val="auto"/>
              </w:rPr>
            </w:pPr>
          </w:p>
        </w:tc>
        <w:tc>
          <w:tcPr>
            <w:tcW w:w="600" w:type="dxa"/>
            <w:vAlign w:val="bottom"/>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74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40" w:type="dxa"/>
            <w:vAlign w:val="bottom"/>
            <w:vMerge w:val="continue"/>
          </w:tcPr>
          <w:p>
            <w:pPr>
              <w:spacing w:after="0"/>
              <w:rPr>
                <w:sz w:val="3"/>
                <w:szCs w:val="3"/>
                <w:color w:val="auto"/>
              </w:rPr>
            </w:pPr>
          </w:p>
        </w:tc>
        <w:tc>
          <w:tcPr>
            <w:tcW w:w="2180" w:type="dxa"/>
            <w:vAlign w:val="bottom"/>
            <w:tcBorders>
              <w:bottom w:val="single" w:sz="8" w:color="0000EE"/>
            </w:tcBorders>
            <w:gridSpan w:val="8"/>
            <w:vMerge w:val="continue"/>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340" w:type="dxa"/>
            <w:vAlign w:val="bottom"/>
            <w:gridSpan w:val="3"/>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7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19.1</w:t>
            </w:r>
          </w:p>
        </w:tc>
        <w:tc>
          <w:tcPr>
            <w:tcW w:w="10640" w:type="dxa"/>
            <w:vAlign w:val="bottom"/>
            <w:gridSpan w:val="33"/>
          </w:tcPr>
          <w:p>
            <w:pPr>
              <w:spacing w:after="0" w:line="155" w:lineRule="exact"/>
              <w:rPr>
                <w:sz w:val="20"/>
                <w:szCs w:val="20"/>
                <w:color w:val="auto"/>
              </w:rPr>
            </w:pPr>
            <w:r>
              <w:rPr>
                <w:rFonts w:ascii="Times New Roman" w:cs="Times New Roman" w:eastAsia="Times New Roman" w:hAnsi="Times New Roman"/>
                <w:sz w:val="15"/>
                <w:szCs w:val="15"/>
                <w:color w:val="0000EE"/>
              </w:rPr>
              <w:t>Insider Trading Policy*</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21.1</w:t>
            </w:r>
          </w:p>
        </w:tc>
        <w:tc>
          <w:tcPr>
            <w:tcW w:w="10640" w:type="dxa"/>
            <w:vAlign w:val="bottom"/>
            <w:gridSpan w:val="33"/>
          </w:tcPr>
          <w:p>
            <w:pPr>
              <w:spacing w:after="0" w:line="155" w:lineRule="exact"/>
              <w:rPr>
                <w:sz w:val="20"/>
                <w:szCs w:val="20"/>
                <w:color w:val="auto"/>
              </w:rPr>
            </w:pPr>
            <w:r>
              <w:rPr>
                <w:rFonts w:ascii="Times New Roman" w:cs="Times New Roman" w:eastAsia="Times New Roman" w:hAnsi="Times New Roman"/>
                <w:sz w:val="15"/>
                <w:szCs w:val="15"/>
                <w:color w:val="0000EE"/>
              </w:rPr>
              <w:t>List of Subsidiaries (Included in the notes to the consolidated financial statements contained in this report)*</w:t>
            </w: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23.1</w:t>
            </w:r>
          </w:p>
        </w:tc>
        <w:tc>
          <w:tcPr>
            <w:tcW w:w="6260" w:type="dxa"/>
            <w:vAlign w:val="bottom"/>
            <w:tcBorders>
              <w:top w:val="single" w:sz="8" w:color="0000EE"/>
            </w:tcBorders>
            <w:gridSpan w:val="19"/>
          </w:tcPr>
          <w:p>
            <w:pPr>
              <w:spacing w:after="0" w:line="155" w:lineRule="exact"/>
              <w:rPr>
                <w:sz w:val="20"/>
                <w:szCs w:val="20"/>
                <w:color w:val="auto"/>
              </w:rPr>
            </w:pPr>
            <w:r>
              <w:rPr>
                <w:rFonts w:ascii="Times New Roman" w:cs="Times New Roman" w:eastAsia="Times New Roman" w:hAnsi="Times New Roman"/>
                <w:sz w:val="15"/>
                <w:szCs w:val="15"/>
                <w:color w:val="0000EE"/>
              </w:rPr>
              <w:t>Consent of Marcum LLP*</w:t>
            </w:r>
          </w:p>
        </w:tc>
        <w:tc>
          <w:tcPr>
            <w:tcW w:w="43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31.1</w:t>
            </w:r>
          </w:p>
        </w:tc>
        <w:tc>
          <w:tcPr>
            <w:tcW w:w="10640" w:type="dxa"/>
            <w:vAlign w:val="bottom"/>
            <w:gridSpan w:val="33"/>
          </w:tcPr>
          <w:p>
            <w:pPr>
              <w:spacing w:after="0" w:line="155" w:lineRule="exact"/>
              <w:rPr>
                <w:sz w:val="20"/>
                <w:szCs w:val="20"/>
                <w:color w:val="auto"/>
              </w:rPr>
            </w:pPr>
            <w:r>
              <w:rPr>
                <w:rFonts w:ascii="Times New Roman" w:cs="Times New Roman" w:eastAsia="Times New Roman" w:hAnsi="Times New Roman"/>
                <w:sz w:val="15"/>
                <w:szCs w:val="15"/>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31.2</w:t>
            </w:r>
          </w:p>
        </w:tc>
        <w:tc>
          <w:tcPr>
            <w:tcW w:w="6900" w:type="dxa"/>
            <w:vAlign w:val="bottom"/>
            <w:tcBorders>
              <w:top w:val="single" w:sz="8" w:color="0000EE"/>
            </w:tcBorders>
            <w:gridSpan w:val="23"/>
          </w:tcPr>
          <w:p>
            <w:pPr>
              <w:spacing w:after="0" w:line="155" w:lineRule="exact"/>
              <w:rPr>
                <w:sz w:val="20"/>
                <w:szCs w:val="20"/>
                <w:color w:val="auto"/>
              </w:rPr>
            </w:pPr>
            <w:r>
              <w:rPr>
                <w:rFonts w:ascii="Times New Roman" w:cs="Times New Roman" w:eastAsia="Times New Roman" w:hAnsi="Times New Roman"/>
                <w:sz w:val="15"/>
                <w:szCs w:val="15"/>
                <w:color w:val="0000EE"/>
                <w:w w:val="97"/>
              </w:rPr>
              <w:t>Certification of Chief Financial Officer pursuant to Rule 13a-14 of the Securities Exchange Act of 1934, as amended*</w:t>
            </w:r>
          </w:p>
        </w:tc>
        <w:tc>
          <w:tcPr>
            <w:tcW w:w="37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32.1</w:t>
            </w:r>
          </w:p>
        </w:tc>
        <w:tc>
          <w:tcPr>
            <w:tcW w:w="5880" w:type="dxa"/>
            <w:vAlign w:val="bottom"/>
            <w:tcBorders>
              <w:top w:val="single" w:sz="8" w:color="0000EE"/>
              <w:bottom w:val="single" w:sz="8" w:color="0000EE"/>
            </w:tcBorders>
            <w:gridSpan w:val="18"/>
          </w:tcPr>
          <w:p>
            <w:pPr>
              <w:spacing w:after="0" w:line="155" w:lineRule="exact"/>
              <w:rPr>
                <w:sz w:val="20"/>
                <w:szCs w:val="20"/>
                <w:color w:val="auto"/>
              </w:rPr>
            </w:pPr>
            <w:r>
              <w:rPr>
                <w:rFonts w:ascii="Times New Roman" w:cs="Times New Roman" w:eastAsia="Times New Roman" w:hAnsi="Times New Roman"/>
                <w:sz w:val="15"/>
                <w:szCs w:val="15"/>
                <w:color w:val="0000EE"/>
                <w:w w:val="96"/>
              </w:rPr>
              <w:t>Certification of Chief Executive Officer pursuant to Section 906 of the Sarbanes-Oxley Act of 2002*</w:t>
            </w:r>
          </w:p>
        </w:tc>
        <w:tc>
          <w:tcPr>
            <w:tcW w:w="980" w:type="dxa"/>
            <w:vAlign w:val="bottom"/>
            <w:tcBorders>
              <w:top w:val="single" w:sz="8" w:color="0000EE"/>
            </w:tcBorders>
            <w:gridSpan w:val="4"/>
          </w:tcPr>
          <w:p>
            <w:pPr>
              <w:spacing w:after="0"/>
              <w:rPr>
                <w:sz w:val="13"/>
                <w:szCs w:val="13"/>
                <w:color w:val="auto"/>
              </w:rPr>
            </w:pPr>
          </w:p>
        </w:tc>
        <w:tc>
          <w:tcPr>
            <w:tcW w:w="37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32.2</w:t>
            </w:r>
          </w:p>
        </w:tc>
        <w:tc>
          <w:tcPr>
            <w:tcW w:w="5840" w:type="dxa"/>
            <w:vAlign w:val="bottom"/>
            <w:tcBorders>
              <w:bottom w:val="single" w:sz="8" w:color="0000EE"/>
            </w:tcBorders>
            <w:gridSpan w:val="17"/>
          </w:tcPr>
          <w:p>
            <w:pPr>
              <w:spacing w:after="0" w:line="155" w:lineRule="exact"/>
              <w:rPr>
                <w:sz w:val="20"/>
                <w:szCs w:val="20"/>
                <w:color w:val="auto"/>
              </w:rPr>
            </w:pPr>
            <w:r>
              <w:rPr>
                <w:rFonts w:ascii="Times New Roman" w:cs="Times New Roman" w:eastAsia="Times New Roman" w:hAnsi="Times New Roman"/>
                <w:sz w:val="15"/>
                <w:szCs w:val="15"/>
                <w:color w:val="0000EE"/>
                <w:w w:val="96"/>
              </w:rPr>
              <w:t>Certification of Chief Financial Officer pursuant to Section 906 of the Sarbanes-Oxley Act of 2002*</w:t>
            </w:r>
          </w:p>
        </w:tc>
        <w:tc>
          <w:tcPr>
            <w:tcW w:w="48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w w:val="98"/>
              </w:rPr>
              <w:t>97.1</w:t>
            </w:r>
          </w:p>
        </w:tc>
        <w:tc>
          <w:tcPr>
            <w:tcW w:w="3940" w:type="dxa"/>
            <w:vAlign w:val="bottom"/>
            <w:gridSpan w:val="13"/>
            <w:vMerge w:val="restart"/>
          </w:tcPr>
          <w:p>
            <w:pPr>
              <w:spacing w:after="0"/>
              <w:rPr>
                <w:rFonts w:ascii="Times New Roman" w:cs="Times New Roman" w:eastAsia="Times New Roman" w:hAnsi="Times New Roman"/>
                <w:sz w:val="15"/>
                <w:szCs w:val="15"/>
                <w:color w:val="0000EE"/>
                <w:w w:val="96"/>
              </w:rPr>
            </w:pPr>
            <w:hyperlink r:id="rId216">
              <w:r>
                <w:rPr>
                  <w:rFonts w:ascii="Times New Roman" w:cs="Times New Roman" w:eastAsia="Times New Roman" w:hAnsi="Times New Roman"/>
                  <w:sz w:val="15"/>
                  <w:szCs w:val="15"/>
                  <w:color w:val="0000EE"/>
                  <w:w w:val="96"/>
                </w:rPr>
                <w:t>SuRo Capital Corp. Dodd-Frank Compensation Recoupment Policy</w:t>
              </w:r>
            </w:hyperlink>
          </w:p>
        </w:tc>
        <w:tc>
          <w:tcPr>
            <w:tcW w:w="200" w:type="dxa"/>
            <w:vAlign w:val="bottom"/>
            <w:tcBorders>
              <w:bottom w:val="single" w:sz="8" w:color="0000EE"/>
            </w:tcBorders>
            <w:gridSpan w:val="2"/>
          </w:tcPr>
          <w:p>
            <w:pPr>
              <w:jc w:val="right"/>
              <w:spacing w:after="0" w:line="122" w:lineRule="exact"/>
              <w:rPr>
                <w:rFonts w:ascii="Times New Roman" w:cs="Times New Roman" w:eastAsia="Times New Roman" w:hAnsi="Times New Roman"/>
                <w:sz w:val="12"/>
                <w:szCs w:val="12"/>
                <w:color w:val="0000EE"/>
                <w:w w:val="89"/>
              </w:rPr>
            </w:pPr>
            <w:hyperlink r:id="rId216">
              <w:r>
                <w:rPr>
                  <w:rFonts w:ascii="Times New Roman" w:cs="Times New Roman" w:eastAsia="Times New Roman" w:hAnsi="Times New Roman"/>
                  <w:sz w:val="12"/>
                  <w:szCs w:val="12"/>
                  <w:color w:val="0000EE"/>
                  <w:w w:val="89"/>
                </w:rPr>
                <w:t>(16)</w:t>
              </w:r>
            </w:hyperlink>
          </w:p>
        </w:tc>
        <w:tc>
          <w:tcPr>
            <w:tcW w:w="120" w:type="dxa"/>
            <w:vAlign w:val="bottom"/>
            <w:vMerge w:val="restart"/>
          </w:tcPr>
          <w:p>
            <w:pPr>
              <w:spacing w:after="0"/>
              <w:rPr>
                <w:sz w:val="11"/>
                <w:szCs w:val="11"/>
                <w:color w:val="auto"/>
              </w:rPr>
            </w:pPr>
          </w:p>
        </w:tc>
        <w:tc>
          <w:tcPr>
            <w:tcW w:w="638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40" w:type="dxa"/>
            <w:vAlign w:val="bottom"/>
            <w:vMerge w:val="continue"/>
          </w:tcPr>
          <w:p>
            <w:pPr>
              <w:spacing w:after="0"/>
              <w:rPr>
                <w:sz w:val="3"/>
                <w:szCs w:val="3"/>
                <w:color w:val="auto"/>
              </w:rPr>
            </w:pPr>
          </w:p>
        </w:tc>
        <w:tc>
          <w:tcPr>
            <w:tcW w:w="3940" w:type="dxa"/>
            <w:vAlign w:val="bottom"/>
            <w:tcBorders>
              <w:bottom w:val="single" w:sz="8" w:color="0000EE"/>
            </w:tcBorders>
            <w:gridSpan w:val="13"/>
            <w:vMerge w:val="continue"/>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638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40" w:type="dxa"/>
            <w:vAlign w:val="bottom"/>
          </w:tcPr>
          <w:p>
            <w:pPr>
              <w:jc w:val="center"/>
              <w:ind w:right="127"/>
              <w:spacing w:after="0" w:line="155" w:lineRule="exact"/>
              <w:rPr>
                <w:sz w:val="20"/>
                <w:szCs w:val="20"/>
                <w:color w:val="auto"/>
              </w:rPr>
            </w:pPr>
            <w:r>
              <w:rPr>
                <w:rFonts w:ascii="Times New Roman" w:cs="Times New Roman" w:eastAsia="Times New Roman" w:hAnsi="Times New Roman"/>
                <w:sz w:val="15"/>
                <w:szCs w:val="15"/>
                <w:color w:val="auto"/>
                <w:w w:val="98"/>
              </w:rPr>
              <w:t>99.1</w:t>
            </w:r>
          </w:p>
        </w:tc>
        <w:tc>
          <w:tcPr>
            <w:tcW w:w="3600" w:type="dxa"/>
            <w:vAlign w:val="bottom"/>
            <w:tcBorders>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5"/>
                <w:szCs w:val="15"/>
                <w:color w:val="0000EE"/>
                <w:w w:val="96"/>
              </w:rPr>
              <w:t>Report of Marcum LLP regarding the Senior Securities table*</w:t>
            </w:r>
          </w:p>
        </w:tc>
        <w:tc>
          <w:tcPr>
            <w:tcW w:w="704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5"/>
                <w:szCs w:val="15"/>
                <w:color w:val="auto"/>
                <w:w w:val="98"/>
              </w:rPr>
              <w:t>99.2</w:t>
            </w:r>
          </w:p>
        </w:tc>
        <w:tc>
          <w:tcPr>
            <w:tcW w:w="4120" w:type="dxa"/>
            <w:vAlign w:val="bottom"/>
            <w:gridSpan w:val="14"/>
            <w:vMerge w:val="restart"/>
          </w:tcPr>
          <w:p>
            <w:pPr>
              <w:spacing w:after="0"/>
              <w:rPr>
                <w:rFonts w:ascii="Times New Roman" w:cs="Times New Roman" w:eastAsia="Times New Roman" w:hAnsi="Times New Roman"/>
                <w:sz w:val="15"/>
                <w:szCs w:val="15"/>
                <w:color w:val="0000EE"/>
                <w:w w:val="96"/>
              </w:rPr>
            </w:pPr>
            <w:hyperlink r:id="rId217">
              <w:r>
                <w:rPr>
                  <w:rFonts w:ascii="Times New Roman" w:cs="Times New Roman" w:eastAsia="Times New Roman" w:hAnsi="Times New Roman"/>
                  <w:sz w:val="15"/>
                  <w:szCs w:val="15"/>
                  <w:color w:val="0000EE"/>
                  <w:w w:val="96"/>
                </w:rPr>
                <w:t>Report of Deloitte &amp; Touche LLP regarding the Senior Securities table</w:t>
              </w:r>
            </w:hyperlink>
          </w:p>
        </w:tc>
        <w:tc>
          <w:tcPr>
            <w:tcW w:w="140" w:type="dxa"/>
            <w:vAlign w:val="bottom"/>
            <w:tcBorders>
              <w:bottom w:val="single" w:sz="8" w:color="0000EE"/>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EE"/>
                <w:w w:val="85"/>
              </w:rPr>
              <w:t>(6)</w:t>
            </w:r>
          </w:p>
        </w:tc>
        <w:tc>
          <w:tcPr>
            <w:tcW w:w="638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540" w:type="dxa"/>
            <w:vAlign w:val="bottom"/>
            <w:vMerge w:val="continue"/>
          </w:tcPr>
          <w:p>
            <w:pPr>
              <w:spacing w:after="0"/>
              <w:rPr>
                <w:sz w:val="3"/>
                <w:szCs w:val="3"/>
                <w:color w:val="auto"/>
              </w:rPr>
            </w:pPr>
          </w:p>
        </w:tc>
        <w:tc>
          <w:tcPr>
            <w:tcW w:w="4120" w:type="dxa"/>
            <w:vAlign w:val="bottom"/>
            <w:tcBorders>
              <w:bottom w:val="single" w:sz="8" w:color="0000EE"/>
            </w:tcBorders>
            <w:gridSpan w:val="1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38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17894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84" w:lineRule="exact"/>
        <w:rPr>
          <w:sz w:val="20"/>
          <w:szCs w:val="20"/>
          <w:color w:val="auto"/>
        </w:rPr>
      </w:pPr>
    </w:p>
    <w:p>
      <w:pPr>
        <w:ind w:left="260" w:hanging="253"/>
        <w:spacing w:after="0" w:line="267" w:lineRule="auto"/>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Pre-Effective Amendment No. 2 to the Registrant’s Registration Statement on Form N-2 (File No. 333-171578), filed on March 30, 2011, and incorporated by reference herein.</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 2011,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August 1, 2019,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16,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line="267" w:lineRule="auto"/>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Pre-Effective Amendment No. 3 to the Registrant’s Registration Statement on Form N-2 (File No. 333-175655), filed on September 20, 2011, and incorporated by reference herein.</w:t>
      </w:r>
    </w:p>
    <w:p>
      <w:pPr>
        <w:spacing w:after="0" w:line="140"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N-2 (File No. 333-239681), filed on July 2,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December 17, 2021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11, 2022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S-8 (File No. 333-239662) filed on July 2,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Quarterly Report on Form 10-Q (File No. 814-00852), filed on May 6, 2021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August 3,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September 23,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April 20, 2023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16, 2023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13, 2020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14, 2024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November 8, 2024 and incorporated by reference herein.</w:t>
      </w:r>
    </w:p>
    <w:p>
      <w:pPr>
        <w:spacing w:after="0" w:line="177"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Quarterly Report on Form 10-Q (File No. 814-00852), filed on August 8, 2024 and incorporated by reference herein.</w:t>
      </w:r>
    </w:p>
    <w:p>
      <w:pPr>
        <w:spacing w:after="0" w:line="177" w:lineRule="exact"/>
        <w:rPr>
          <w:sz w:val="20"/>
          <w:szCs w:val="20"/>
          <w:color w:val="auto"/>
        </w:rPr>
      </w:pPr>
    </w:p>
    <w:p>
      <w:pPr>
        <w:ind w:left="540" w:hanging="533"/>
        <w:spacing w:after="0"/>
        <w:tabs>
          <w:tab w:leader="none" w:pos="5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5835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77"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March 12,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12065</wp:posOffset>
            </wp:positionV>
            <wp:extent cx="33642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60"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March 12,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12065</wp:posOffset>
            </wp:positionV>
            <wp:extent cx="336423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162" w:lineRule="exact"/>
        <w:rPr>
          <w:sz w:val="20"/>
          <w:szCs w:val="20"/>
          <w:color w:val="auto"/>
        </w:rPr>
      </w:pPr>
    </w:p>
    <w:p>
      <w:pPr>
        <w:ind w:firstLine="262"/>
        <w:spacing w:after="0" w:line="267"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7880" w:type="dxa"/>
            <w:vAlign w:val="bottom"/>
            <w:gridSpan w:val="2"/>
          </w:tcPr>
          <w:p>
            <w:pPr>
              <w:ind w:left="22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Mark D. Klein</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Mark D. Klein</w:t>
            </w:r>
          </w:p>
        </w:tc>
      </w:tr>
      <w:tr>
        <w:trPr>
          <w:trHeight w:val="175"/>
        </w:trPr>
        <w:tc>
          <w:tcPr>
            <w:tcW w:w="3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34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2580" w:type="dxa"/>
            <w:vAlign w:val="bottom"/>
          </w:tcPr>
          <w:p>
            <w:pPr>
              <w:ind w:left="2260"/>
              <w:spacing w:after="0"/>
              <w:rPr>
                <w:sz w:val="20"/>
                <w:szCs w:val="20"/>
                <w:color w:val="auto"/>
              </w:rPr>
            </w:pPr>
            <w:r>
              <w:rPr>
                <w:rFonts w:ascii="Times New Roman" w:cs="Times New Roman" w:eastAsia="Times New Roman" w:hAnsi="Times New Roman"/>
                <w:sz w:val="15"/>
                <w:szCs w:val="15"/>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Allison Green</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Allison Green</w:t>
            </w:r>
          </w:p>
        </w:tc>
      </w:tr>
      <w:tr>
        <w:trPr>
          <w:trHeight w:val="175"/>
        </w:trPr>
        <w:tc>
          <w:tcPr>
            <w:tcW w:w="3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r>
      <w:tr>
        <w:trPr>
          <w:trHeight w:val="34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7880" w:type="dxa"/>
            <w:vAlign w:val="bottom"/>
            <w:gridSpan w:val="2"/>
          </w:tcPr>
          <w:p>
            <w:pPr>
              <w:ind w:left="22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Leonard A. Potter</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Leonard A. Potter</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34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7880" w:type="dxa"/>
            <w:vAlign w:val="bottom"/>
            <w:gridSpan w:val="2"/>
          </w:tcPr>
          <w:p>
            <w:pPr>
              <w:ind w:left="22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Ronald M. Lott</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Ronald M. Lott</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34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2580" w:type="dxa"/>
            <w:vAlign w:val="bottom"/>
          </w:tcPr>
          <w:p>
            <w:pPr>
              <w:ind w:left="2260"/>
              <w:spacing w:after="0"/>
              <w:rPr>
                <w:sz w:val="20"/>
                <w:szCs w:val="20"/>
                <w:color w:val="auto"/>
              </w:rPr>
            </w:pPr>
            <w:r>
              <w:rPr>
                <w:rFonts w:ascii="Times New Roman" w:cs="Times New Roman" w:eastAsia="Times New Roman" w:hAnsi="Times New Roman"/>
                <w:sz w:val="15"/>
                <w:szCs w:val="15"/>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Marc Mazur</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Marc Mazur</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34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Date: March 12, 2025</w:t>
            </w:r>
          </w:p>
        </w:tc>
        <w:tc>
          <w:tcPr>
            <w:tcW w:w="2580" w:type="dxa"/>
            <w:vAlign w:val="bottom"/>
          </w:tcPr>
          <w:p>
            <w:pPr>
              <w:ind w:left="2260"/>
              <w:spacing w:after="0"/>
              <w:rPr>
                <w:sz w:val="20"/>
                <w:szCs w:val="20"/>
                <w:color w:val="auto"/>
              </w:rPr>
            </w:pPr>
            <w:r>
              <w:rPr>
                <w:rFonts w:ascii="Times New Roman" w:cs="Times New Roman" w:eastAsia="Times New Roman" w:hAnsi="Times New Roman"/>
                <w:sz w:val="15"/>
                <w:szCs w:val="15"/>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Lisa Westley</w:t>
            </w:r>
          </w:p>
        </w:tc>
      </w:tr>
      <w:tr>
        <w:trPr>
          <w:trHeight w:val="151"/>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00" w:type="dxa"/>
            <w:vAlign w:val="bottom"/>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Lisa Westley</w:t>
            </w:r>
          </w:p>
        </w:tc>
      </w:tr>
      <w:tr>
        <w:trPr>
          <w:trHeight w:val="190"/>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349"/>
        </w:trPr>
        <w:tc>
          <w:tcPr>
            <w:tcW w:w="3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5"/>
                <w:szCs w:val="15"/>
                <w:color w:val="auto"/>
              </w:rPr>
              <w:t>124</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12"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5"/>
          <w:szCs w:val="15"/>
          <w:b w:val="1"/>
          <w:bCs w:val="1"/>
          <w:color w:val="auto"/>
        </w:rPr>
        <w:t>Exhibit 19.1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INSIDER TRADING POLICY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Introduction</w:t>
      </w:r>
    </w:p>
    <w:p>
      <w:pPr>
        <w:spacing w:after="0" w:line="17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It is illegal for any person, either personally or on behalf of others, to trade in securities on the basis of material, non-public information. It is also illegal to communicate (or “tip”) material, non-public information to others who may trade in securities on the basis of that information. These illegal activities are commonly referred to as “insider trading.”</w:t>
      </w:r>
    </w:p>
    <w:p>
      <w:pPr>
        <w:spacing w:after="0" w:line="141" w:lineRule="exact"/>
        <w:rPr>
          <w:sz w:val="20"/>
          <w:szCs w:val="20"/>
          <w:color w:val="auto"/>
        </w:rPr>
      </w:pPr>
    </w:p>
    <w:p>
      <w:pPr>
        <w:jc w:val="both"/>
        <w:ind w:firstLine="524"/>
        <w:spacing w:after="0" w:line="249" w:lineRule="auto"/>
        <w:rPr>
          <w:sz w:val="20"/>
          <w:szCs w:val="20"/>
          <w:color w:val="auto"/>
        </w:rPr>
      </w:pPr>
      <w:r>
        <w:rPr>
          <w:rFonts w:ascii="Times New Roman" w:cs="Times New Roman" w:eastAsia="Times New Roman" w:hAnsi="Times New Roman"/>
          <w:sz w:val="15"/>
          <w:szCs w:val="15"/>
          <w:color w:val="auto"/>
        </w:rPr>
        <w:t>Potential penalties for each insider-trading violation include imprisonment for up to 20 years, civil fines of up to three times the profit gained or loss avoided by the trading, and criminal fines of up to $5 million. In addition, a company whose director, officer or employee violates the insider-trading prohibitions may be liable for a civil fine of up to the greater of $1 million or three times the profit gained or loss avoided as a result of the director, officer or employee’s insider-trading violations. Furthermore, engaging in short-term trading or other speculative transactions involving the securities of SuRo Capital Corp.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may subject you to additional penalties. Moreover, your failure to comply with this insider trading policy may subject you to sanctions imposed by the Company, including dismissal for cause, regardless of whether your failure to comply with this policy results in a violation of law.</w:t>
      </w:r>
    </w:p>
    <w:p>
      <w:pPr>
        <w:spacing w:after="0" w:line="154" w:lineRule="exact"/>
        <w:rPr>
          <w:sz w:val="20"/>
          <w:szCs w:val="20"/>
          <w:color w:val="auto"/>
        </w:rPr>
      </w:pPr>
    </w:p>
    <w:p>
      <w:pPr>
        <w:jc w:val="both"/>
        <w:ind w:firstLine="524"/>
        <w:spacing w:after="0" w:line="303" w:lineRule="auto"/>
        <w:rPr>
          <w:sz w:val="20"/>
          <w:szCs w:val="20"/>
          <w:color w:val="auto"/>
        </w:rPr>
      </w:pPr>
      <w:r>
        <w:rPr>
          <w:rFonts w:ascii="Times New Roman" w:cs="Times New Roman" w:eastAsia="Times New Roman" w:hAnsi="Times New Roman"/>
          <w:sz w:val="14"/>
          <w:szCs w:val="14"/>
          <w:color w:val="auto"/>
        </w:rPr>
        <w:t xml:space="preserve">This memorandum sets forth the Company’s policy against insider trading. The objective of this policy is to protect each of you and the Company from securities law violations, or even the appearance thereof. </w:t>
      </w:r>
      <w:r>
        <w:rPr>
          <w:rFonts w:ascii="Times New Roman" w:cs="Times New Roman" w:eastAsia="Times New Roman" w:hAnsi="Times New Roman"/>
          <w:sz w:val="14"/>
          <w:szCs w:val="14"/>
          <w:u w:val="single" w:color="auto"/>
          <w:color w:val="auto"/>
        </w:rPr>
        <w:t>All directors, officers and employees (including temporary employees) of the Company, and any of its affiliates and subsidiaries, must comply with this policy</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You are encouraged to ask questions and seek any follow-up information that you may require with respect to the matters set forth in this policy. Please direct any questions you may have to the Company’s Chief Compliance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Statement of Policy</w:t>
      </w:r>
    </w:p>
    <w:p>
      <w:pPr>
        <w:spacing w:after="0" w:line="177" w:lineRule="exact"/>
        <w:rPr>
          <w:sz w:val="20"/>
          <w:szCs w:val="20"/>
          <w:color w:val="auto"/>
        </w:rPr>
      </w:pPr>
    </w:p>
    <w:p>
      <w:pPr>
        <w:jc w:val="both"/>
        <w:ind w:firstLine="524"/>
        <w:spacing w:after="0" w:line="269" w:lineRule="auto"/>
        <w:rPr>
          <w:sz w:val="20"/>
          <w:szCs w:val="20"/>
          <w:color w:val="auto"/>
        </w:rPr>
      </w:pPr>
      <w:r>
        <w:rPr>
          <w:rFonts w:ascii="Times New Roman" w:cs="Times New Roman" w:eastAsia="Times New Roman" w:hAnsi="Times New Roman"/>
          <w:sz w:val="15"/>
          <w:szCs w:val="15"/>
          <w:color w:val="auto"/>
        </w:rPr>
        <w:t xml:space="preserve">It is the policy of the Company that </w:t>
      </w:r>
      <w:r>
        <w:rPr>
          <w:rFonts w:ascii="Times New Roman" w:cs="Times New Roman" w:eastAsia="Times New Roman" w:hAnsi="Times New Roman"/>
          <w:sz w:val="15"/>
          <w:szCs w:val="15"/>
          <w:i w:val="1"/>
          <w:iCs w:val="1"/>
          <w:color w:val="auto"/>
        </w:rPr>
        <w:t>no</w:t>
      </w:r>
      <w:r>
        <w:rPr>
          <w:rFonts w:ascii="Times New Roman" w:cs="Times New Roman" w:eastAsia="Times New Roman" w:hAnsi="Times New Roman"/>
          <w:sz w:val="15"/>
          <w:szCs w:val="15"/>
          <w:color w:val="auto"/>
        </w:rPr>
        <w:t xml:space="preserve"> director, officer or employee (including a temporary employee) of the Company, or of any of its affiliates or subsidiaries, and any other persons designated by the Chief Compliance Officer as being subject to this policy (collectively, the “</w:t>
      </w:r>
      <w:r>
        <w:rPr>
          <w:rFonts w:ascii="Times New Roman" w:cs="Times New Roman" w:eastAsia="Times New Roman" w:hAnsi="Times New Roman"/>
          <w:sz w:val="15"/>
          <w:szCs w:val="15"/>
          <w:b w:val="1"/>
          <w:bCs w:val="1"/>
          <w:i w:val="1"/>
          <w:iCs w:val="1"/>
          <w:color w:val="auto"/>
        </w:rPr>
        <w:t>Covered Persons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jc w:val="both"/>
        <w:ind w:left="540" w:hanging="270"/>
        <w:spacing w:after="0" w:line="255" w:lineRule="auto"/>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is aware of material, non-public information relating to the Company may, directly or indirectly through family members or other persons or entities, (a) buy or sell the Company’s securities (other than pursuant to a pre-approved trading plan that complies with Rule 10b5-1 of the Securities Exchange Act of 1934, as amended (the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or engage in any other action to take personal advantage of that information, or (b) relay that information to others outside of the Company, including family and friends;</w:t>
      </w:r>
    </w:p>
    <w:p>
      <w:pPr>
        <w:spacing w:after="0" w:line="149"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in the course of working for or on behalf of the Company, learns of material, non-public information about a company with which the Company does, or is proposing to do, business, including a customer or supplier of the Company, may trade in that company’s securities until the information becomes public or is no longer material; or</w:t>
      </w:r>
    </w:p>
    <w:p>
      <w:pPr>
        <w:spacing w:after="0" w:line="140" w:lineRule="exact"/>
        <w:rPr>
          <w:rFonts w:ascii="Times New Roman" w:cs="Times New Roman" w:eastAsia="Times New Roman" w:hAnsi="Times New Roman"/>
          <w:sz w:val="15"/>
          <w:szCs w:val="15"/>
          <w:color w:val="auto"/>
        </w:rPr>
      </w:pPr>
    </w:p>
    <w:p>
      <w:pPr>
        <w:jc w:val="both"/>
        <w:ind w:left="540" w:hanging="270"/>
        <w:spacing w:after="0" w:line="255" w:lineRule="auto"/>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who desire to engage in any transaction involving the Company’s securities (including any stock plan transaction, gift, loan or pledge or hedge, contribution to a trust, or any other transfer), may engage in any such transaction without first obtaining pre-clearance of the transaction by emailing the Company’s Chief Compliance Officer at </w:t>
      </w:r>
      <w:r>
        <w:rPr>
          <w:rFonts w:ascii="Times New Roman" w:cs="Times New Roman" w:eastAsia="Times New Roman" w:hAnsi="Times New Roman"/>
          <w:sz w:val="15"/>
          <w:szCs w:val="15"/>
          <w:u w:val="single" w:color="auto"/>
          <w:color w:val="auto"/>
        </w:rPr>
        <w:t>compliance@surocap.com</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5835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27" w:name="page128"/>
    <w:bookmarkEnd w:id="127"/>
    <w:p>
      <w:pPr>
        <w:ind w:left="540"/>
        <w:spacing w:after="0"/>
        <w:rPr>
          <w:sz w:val="20"/>
          <w:szCs w:val="20"/>
          <w:color w:val="auto"/>
        </w:rPr>
      </w:pPr>
      <w:r>
        <w:rPr>
          <w:rFonts w:ascii="Times New Roman" w:cs="Times New Roman" w:eastAsia="Times New Roman" w:hAnsi="Times New Roman"/>
          <w:sz w:val="15"/>
          <w:szCs w:val="15"/>
          <w:color w:val="auto"/>
        </w:rPr>
        <w:t>As a Covered Person, you are subject to the foregoing restrictions and to the other terms of this policy.</w:t>
      </w:r>
    </w:p>
    <w:p>
      <w:pPr>
        <w:spacing w:after="0" w:line="175" w:lineRule="exact"/>
        <w:rPr>
          <w:sz w:val="20"/>
          <w:szCs w:val="20"/>
          <w:color w:val="auto"/>
        </w:rPr>
      </w:pPr>
    </w:p>
    <w:p>
      <w:pPr>
        <w:jc w:val="both"/>
        <w:ind w:firstLine="524"/>
        <w:spacing w:after="0" w:line="256" w:lineRule="auto"/>
        <w:rPr>
          <w:sz w:val="20"/>
          <w:szCs w:val="20"/>
          <w:color w:val="auto"/>
        </w:rPr>
      </w:pPr>
      <w:r>
        <w:rPr>
          <w:rFonts w:ascii="Times New Roman" w:cs="Times New Roman" w:eastAsia="Times New Roman" w:hAnsi="Times New Roman"/>
          <w:sz w:val="15"/>
          <w:szCs w:val="15"/>
          <w:color w:val="auto"/>
        </w:rPr>
        <w:t xml:space="preserve">Transactions that may be necessary or justifiable for independent reasons (such as the need to raise money for an emergency expenditure) are </w:t>
      </w:r>
      <w:r>
        <w:rPr>
          <w:rFonts w:ascii="Times New Roman" w:cs="Times New Roman" w:eastAsia="Times New Roman" w:hAnsi="Times New Roman"/>
          <w:sz w:val="15"/>
          <w:szCs w:val="15"/>
          <w:i w:val="1"/>
          <w:iCs w:val="1"/>
          <w:color w:val="auto"/>
        </w:rPr>
        <w:t>not</w:t>
      </w:r>
      <w:r>
        <w:rPr>
          <w:rFonts w:ascii="Times New Roman" w:cs="Times New Roman" w:eastAsia="Times New Roman" w:hAnsi="Times New Roman"/>
          <w:sz w:val="15"/>
          <w:szCs w:val="15"/>
          <w:color w:val="auto"/>
        </w:rPr>
        <w:t xml:space="preserve"> exempted from the policy. The securities laws do not recognize such mitigating circumstances and, in any event, even the appearance of an improper transaction must be avoided to preserve the Company’s reputation for adhering to the highest standards of conduct.</w:t>
      </w:r>
    </w:p>
    <w:p>
      <w:pPr>
        <w:spacing w:after="0" w:line="147" w:lineRule="exact"/>
        <w:rPr>
          <w:sz w:val="20"/>
          <w:szCs w:val="20"/>
          <w:color w:val="auto"/>
        </w:rPr>
      </w:pPr>
    </w:p>
    <w:p>
      <w:pPr>
        <w:jc w:val="both"/>
        <w:ind w:firstLine="524"/>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What information is </w:t>
      </w:r>
      <w:r>
        <w:rPr>
          <w:rFonts w:ascii="Times New Roman" w:cs="Times New Roman" w:eastAsia="Times New Roman" w:hAnsi="Times New Roman"/>
          <w:sz w:val="15"/>
          <w:szCs w:val="15"/>
          <w:b w:val="1"/>
          <w:bCs w:val="1"/>
          <w:u w:val="single" w:color="auto"/>
          <w:color w:val="auto"/>
        </w:rPr>
        <w:t>material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 information that an investor might consider important in deciding whether to buy, sell, or hold securities is considered material. Information likely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affect the price of a company’s securities is almost always material. Examples of some types of material information are:</w:t>
      </w:r>
    </w:p>
    <w:p>
      <w:pPr>
        <w:spacing w:after="0" w:line="140" w:lineRule="exact"/>
        <w:rPr>
          <w:sz w:val="20"/>
          <w:szCs w:val="20"/>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results or expectations for the quarter or the year;</w:t>
      </w:r>
    </w:p>
    <w:p>
      <w:pPr>
        <w:spacing w:after="0" w:line="17"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forecasts;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dividends;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possible mergers, acquisitions, joint ventures and other purchases and sales of companies and investments in companies;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customer relationships with significant customers;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or losing important contracts;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important product developments;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financing developments;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personnel changes;</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litigation developments; and</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materials, pending investments and disclosures concerning portfolio companies.</w:t>
      </w:r>
    </w:p>
    <w:p>
      <w:pPr>
        <w:spacing w:after="0" w:line="160" w:lineRule="exact"/>
        <w:rPr>
          <w:sz w:val="20"/>
          <w:szCs w:val="20"/>
          <w:color w:val="auto"/>
        </w:rPr>
      </w:pPr>
    </w:p>
    <w:p>
      <w:pPr>
        <w:jc w:val="both"/>
        <w:ind w:firstLine="524"/>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What is </w:t>
      </w:r>
      <w:r>
        <w:rPr>
          <w:rFonts w:ascii="Times New Roman" w:cs="Times New Roman" w:eastAsia="Times New Roman" w:hAnsi="Times New Roman"/>
          <w:sz w:val="15"/>
          <w:szCs w:val="15"/>
          <w:b w:val="1"/>
          <w:bCs w:val="1"/>
          <w:u w:val="single" w:color="auto"/>
          <w:color w:val="auto"/>
        </w:rPr>
        <w:t>non-public</w:t>
      </w:r>
      <w:r>
        <w:rPr>
          <w:rFonts w:ascii="Times New Roman" w:cs="Times New Roman" w:eastAsia="Times New Roman" w:hAnsi="Times New Roman"/>
          <w:sz w:val="15"/>
          <w:szCs w:val="15"/>
          <w:b w:val="1"/>
          <w:bCs w:val="1"/>
          <w:color w:val="auto"/>
        </w:rPr>
        <w:t xml:space="preserve"> information? </w:t>
      </w:r>
      <w:r>
        <w:rPr>
          <w:rFonts w:ascii="Times New Roman" w:cs="Times New Roman" w:eastAsia="Times New Roman" w:hAnsi="Times New Roman"/>
          <w:sz w:val="15"/>
          <w:szCs w:val="15"/>
          <w:color w:val="auto"/>
        </w:rPr>
        <w:t>Information is considered to be non-public unless it has been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effectively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disclosed to the public. Examples of such public disclosure include public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filings with the Securities and Exchange Commission and company press releases. Not only must the information have been publicly disclosed, but there must also have been adequate time for the market as a whole to digest the information. Although timing may vary depending upon the circumstances, a good rule of thumb is that information is considered non-public until the second business day after public disclosure.</w:t>
      </w:r>
    </w:p>
    <w:p>
      <w:pPr>
        <w:spacing w:after="0" w:line="149" w:lineRule="exact"/>
        <w:rPr>
          <w:sz w:val="20"/>
          <w:szCs w:val="20"/>
          <w:color w:val="auto"/>
        </w:rPr>
      </w:pPr>
    </w:p>
    <w:p>
      <w:pPr>
        <w:jc w:val="both"/>
        <w:ind w:firstLine="524"/>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What transactions are </w:t>
      </w:r>
      <w:r>
        <w:rPr>
          <w:rFonts w:ascii="Times New Roman" w:cs="Times New Roman" w:eastAsia="Times New Roman" w:hAnsi="Times New Roman"/>
          <w:sz w:val="15"/>
          <w:szCs w:val="15"/>
          <w:b w:val="1"/>
          <w:bCs w:val="1"/>
          <w:u w:val="single" w:color="auto"/>
          <w:color w:val="auto"/>
        </w:rPr>
        <w:t>prohibited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When you know material, non-public information about the Company, you, your spouse and members of your immediate family living in your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household are prohibited from the following activities:</w:t>
      </w:r>
    </w:p>
    <w:p>
      <w:pPr>
        <w:spacing w:after="0" w:line="140" w:lineRule="exact"/>
        <w:rPr>
          <w:sz w:val="20"/>
          <w:szCs w:val="20"/>
          <w:color w:val="auto"/>
        </w:rPr>
      </w:pPr>
    </w:p>
    <w:p>
      <w:pPr>
        <w:ind w:left="1060" w:hanging="528"/>
        <w:spacing w:after="0"/>
        <w:tabs>
          <w:tab w:leader="none" w:pos="10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in the Company’s securities (including trading in puts and calls for the Company’s securities);</w:t>
      </w:r>
    </w:p>
    <w:p>
      <w:pPr>
        <w:spacing w:after="0" w:line="17"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others trade for you in the Company’s securities; and</w:t>
      </w:r>
    </w:p>
    <w:p>
      <w:pPr>
        <w:spacing w:after="0" w:line="2"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disclosing the information to anyone else who might then trade.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128" w:name="page129"/>
    <w:bookmarkEnd w:id="128"/>
    <w:p>
      <w:pPr>
        <w:ind w:left="540"/>
        <w:spacing w:after="0"/>
        <w:rPr>
          <w:sz w:val="20"/>
          <w:szCs w:val="20"/>
          <w:color w:val="auto"/>
        </w:rPr>
      </w:pPr>
      <w:r>
        <w:rPr>
          <w:rFonts w:ascii="Times New Roman" w:cs="Times New Roman" w:eastAsia="Times New Roman" w:hAnsi="Times New Roman"/>
          <w:sz w:val="14"/>
          <w:szCs w:val="14"/>
          <w:color w:val="auto"/>
        </w:rPr>
        <w:t>Neither you, anyone acting on your behalf, nor anyone who learns the information from you (including your spouse and family members) can trade on material, non-public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prohibition continues whenever and for as long as you know material, non-public information, even following your termination of employment or other relationship with the Company.</w:t>
      </w:r>
    </w:p>
    <w:p>
      <w:pPr>
        <w:spacing w:after="0" w:line="174"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 xml:space="preserve">Although it is most likely that any material, non-public information you might learn would be about the Company or its affiliates or subsidiaries, these prohibitions also apply to trading in the securities of </w:t>
      </w:r>
      <w:r>
        <w:rPr>
          <w:rFonts w:ascii="Times New Roman" w:cs="Times New Roman" w:eastAsia="Times New Roman" w:hAnsi="Times New Roman"/>
          <w:sz w:val="15"/>
          <w:szCs w:val="15"/>
          <w:i w:val="1"/>
          <w:iCs w:val="1"/>
          <w:color w:val="auto"/>
        </w:rPr>
        <w:t>any</w:t>
      </w:r>
      <w:r>
        <w:rPr>
          <w:rFonts w:ascii="Times New Roman" w:cs="Times New Roman" w:eastAsia="Times New Roman" w:hAnsi="Times New Roman"/>
          <w:sz w:val="15"/>
          <w:szCs w:val="15"/>
          <w:color w:val="auto"/>
        </w:rPr>
        <w:t xml:space="preserve"> other company, including any portfolio company or potential merger partner, about which you have material, non-public information.</w:t>
      </w:r>
    </w:p>
    <w:p>
      <w:pPr>
        <w:spacing w:after="0" w:line="139" w:lineRule="exact"/>
        <w:rPr>
          <w:sz w:val="20"/>
          <w:szCs w:val="20"/>
          <w:color w:val="auto"/>
        </w:rPr>
      </w:pPr>
    </w:p>
    <w:p>
      <w:pPr>
        <w:jc w:val="both"/>
        <w:ind w:firstLine="524"/>
        <w:spacing w:after="0" w:line="252" w:lineRule="auto"/>
        <w:rPr>
          <w:sz w:val="20"/>
          <w:szCs w:val="20"/>
          <w:color w:val="auto"/>
        </w:rPr>
      </w:pPr>
      <w:r>
        <w:rPr>
          <w:rFonts w:ascii="Times New Roman" w:cs="Times New Roman" w:eastAsia="Times New Roman" w:hAnsi="Times New Roman"/>
          <w:sz w:val="15"/>
          <w:szCs w:val="15"/>
          <w:b w:val="1"/>
          <w:bCs w:val="1"/>
          <w:color w:val="auto"/>
        </w:rPr>
        <w:t>Transactions by Family Members</w:t>
      </w:r>
      <w:r>
        <w:rPr>
          <w:rFonts w:ascii="Times New Roman" w:cs="Times New Roman" w:eastAsia="Times New Roman" w:hAnsi="Times New Roman"/>
          <w:sz w:val="15"/>
          <w:szCs w:val="15"/>
          <w:color w:val="auto"/>
        </w:rPr>
        <w:t>. As noted above, this insider trading policy applies to your family members who reside with you, anyone else who lives in your household, and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family members who do not live in your household but whose transactions in the Company’s securities or the securities of any of its portfolio companies are directed by you or are subject to your influence or control (such as parents or children who consult with you before they trade in the Company’s securities). You are responsible for the transactions of these other persons and therefore should make them aware of the need to confer with you before they trade in such securities.</w:t>
      </w:r>
    </w:p>
    <w:p>
      <w:pPr>
        <w:spacing w:after="0" w:line="149" w:lineRule="exact"/>
        <w:rPr>
          <w:sz w:val="20"/>
          <w:szCs w:val="20"/>
          <w:color w:val="auto"/>
        </w:rPr>
      </w:pPr>
    </w:p>
    <w:p>
      <w:pPr>
        <w:jc w:val="both"/>
        <w:ind w:firstLine="524"/>
        <w:spacing w:after="0" w:line="247" w:lineRule="auto"/>
        <w:rPr>
          <w:sz w:val="20"/>
          <w:szCs w:val="20"/>
          <w:color w:val="auto"/>
        </w:rPr>
      </w:pPr>
      <w:r>
        <w:rPr>
          <w:rFonts w:ascii="Times New Roman" w:cs="Times New Roman" w:eastAsia="Times New Roman" w:hAnsi="Times New Roman"/>
          <w:sz w:val="15"/>
          <w:szCs w:val="15"/>
          <w:b w:val="1"/>
          <w:bCs w:val="1"/>
          <w:color w:val="auto"/>
        </w:rPr>
        <w:t xml:space="preserve">What is a Rule 10b5-1 trading plan? </w:t>
      </w:r>
      <w:r>
        <w:rPr>
          <w:rFonts w:ascii="Times New Roman" w:cs="Times New Roman" w:eastAsia="Times New Roman" w:hAnsi="Times New Roman"/>
          <w:sz w:val="15"/>
          <w:szCs w:val="15"/>
          <w:color w:val="auto"/>
        </w:rPr>
        <w:t>Notwithstanding the prohibition against insider trading, Rule 10b5-1 of the Exchange Act and this policy permit a Covered Person to trade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Company’s securities regardless of his or her awareness of inside information if the transaction is made pursuant to a </w:t>
      </w:r>
      <w:r>
        <w:rPr>
          <w:rFonts w:ascii="Times New Roman" w:cs="Times New Roman" w:eastAsia="Times New Roman" w:hAnsi="Times New Roman"/>
          <w:sz w:val="15"/>
          <w:szCs w:val="15"/>
          <w:i w:val="1"/>
          <w:iCs w:val="1"/>
          <w:color w:val="auto"/>
        </w:rPr>
        <w:t>pre-arranged</w:t>
      </w:r>
      <w:r>
        <w:rPr>
          <w:rFonts w:ascii="Times New Roman" w:cs="Times New Roman" w:eastAsia="Times New Roman" w:hAnsi="Times New Roman"/>
          <w:sz w:val="15"/>
          <w:szCs w:val="15"/>
          <w:color w:val="auto"/>
        </w:rPr>
        <w:t xml:space="preserve"> trading plan that was entered into when the Covered Person was not in possession of material, non-public information. This policy requires trading plans to be written and to specify the amount of, date on, and price at which the securities are to be traded or establish a formula for determining such items. A Covered Person who wishes to enter into a trading plan must submit the trading plan to the Company’s Chief Compliance Officer for his approval prior to the adoption of the trading plan, or any amendment of a previously adopted plan. Further, trading plans may not be adopted when the Covered Person is in possession of material, non-public information about the Company. A Covered Person may adopt, amend or replace his or her trading plan only during periods when trading is permitted in accordance with this policy.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Transactions Under Company Plans</w:t>
      </w:r>
    </w:p>
    <w:p>
      <w:pPr>
        <w:spacing w:after="0" w:line="177" w:lineRule="exact"/>
        <w:rPr>
          <w:sz w:val="20"/>
          <w:szCs w:val="20"/>
          <w:color w:val="auto"/>
        </w:rPr>
      </w:pPr>
    </w:p>
    <w:p>
      <w:pPr>
        <w:jc w:val="both"/>
        <w:ind w:firstLine="524"/>
        <w:spacing w:after="0" w:line="252" w:lineRule="auto"/>
        <w:rPr>
          <w:sz w:val="20"/>
          <w:szCs w:val="20"/>
          <w:color w:val="auto"/>
        </w:rPr>
      </w:pPr>
      <w:r>
        <w:rPr>
          <w:rFonts w:ascii="Times New Roman" w:cs="Times New Roman" w:eastAsia="Times New Roman" w:hAnsi="Times New Roman"/>
          <w:sz w:val="15"/>
          <w:szCs w:val="15"/>
          <w:b w:val="1"/>
          <w:bCs w:val="1"/>
          <w:color w:val="auto"/>
        </w:rPr>
        <w:t>Dividend Reinvestment Plan</w:t>
      </w:r>
      <w:r>
        <w:rPr>
          <w:rFonts w:ascii="Times New Roman" w:cs="Times New Roman" w:eastAsia="Times New Roman" w:hAnsi="Times New Roman"/>
          <w:sz w:val="15"/>
          <w:szCs w:val="15"/>
          <w:color w:val="auto"/>
        </w:rPr>
        <w:t>. If you participate in the Company’s dividend reinvestment plan, this policy does not apply to purchases of the Company’s securities under that dividend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reinvestment plan resulting from your automatic reinvestment of dividends paid on the Company’s securities. However, your election to participate in the dividend reinvestment plan, or to increase your level of participation in the plan, would be subject to this policy, including its applicable black-out periods. The policy also applies to your sale of any of the Company’s securities purchased pursuant to the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Additional Prohibited Transactions</w:t>
      </w:r>
    </w:p>
    <w:p>
      <w:pPr>
        <w:spacing w:after="0" w:line="17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Under this insider trading policy, it is also improper and inappropriate for any Covered Person to engage in short-term or speculative transactions in the Company’s securities. It is therefore the Company’s policy that Covered Persons may not engage in any of the following transactions:</w:t>
      </w:r>
    </w:p>
    <w:p>
      <w:pPr>
        <w:spacing w:after="0" w:line="139" w:lineRule="exact"/>
        <w:rPr>
          <w:sz w:val="20"/>
          <w:szCs w:val="20"/>
          <w:color w:val="auto"/>
        </w:rPr>
      </w:pPr>
    </w:p>
    <w:p>
      <w:pPr>
        <w:jc w:val="both"/>
        <w:ind w:left="540"/>
        <w:spacing w:after="0" w:line="252" w:lineRule="auto"/>
        <w:rPr>
          <w:sz w:val="20"/>
          <w:szCs w:val="20"/>
          <w:color w:val="auto"/>
        </w:rPr>
      </w:pPr>
      <w:r>
        <w:rPr>
          <w:rFonts w:ascii="Times New Roman" w:cs="Times New Roman" w:eastAsia="Times New Roman" w:hAnsi="Times New Roman"/>
          <w:sz w:val="15"/>
          <w:szCs w:val="15"/>
          <w:b w:val="1"/>
          <w:bCs w:val="1"/>
          <w:color w:val="auto"/>
        </w:rPr>
        <w:t>Short-Term Trading</w:t>
      </w:r>
      <w:r>
        <w:rPr>
          <w:rFonts w:ascii="Times New Roman" w:cs="Times New Roman" w:eastAsia="Times New Roman" w:hAnsi="Times New Roman"/>
          <w:sz w:val="15"/>
          <w:szCs w:val="15"/>
          <w:color w:val="auto"/>
        </w:rPr>
        <w:t>. Short-term trading of the Company’s securities by a Covered Person may be distracting to such person and may unduly focus such person on the Company’s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short-term performance instead of its long-term business objectives. For these reasons, if a Covered Person purchases the Company’s securities in the open market, he or she may not sell any of the Company’s securities of the same class during the six months following such purchase. In addition, Section 16(b) of the Exchange Act imposes short-swing profit restrictions on the purchase or sale of the Company’s securities by the Company’s officers and directors and certain other persons.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84" w:right="319" w:bottom="1440" w:gutter="0" w:footer="0" w:header="0"/>
        </w:sectPr>
      </w:pPr>
    </w:p>
    <w:bookmarkStart w:id="129" w:name="page130"/>
    <w:bookmarkEnd w:id="129"/>
    <w:p>
      <w:pPr>
        <w:jc w:val="both"/>
        <w:spacing w:after="0" w:line="252" w:lineRule="auto"/>
        <w:rPr>
          <w:sz w:val="20"/>
          <w:szCs w:val="20"/>
          <w:color w:val="auto"/>
        </w:rPr>
      </w:pPr>
      <w:r>
        <w:rPr>
          <w:rFonts w:ascii="Times New Roman" w:cs="Times New Roman" w:eastAsia="Times New Roman" w:hAnsi="Times New Roman"/>
          <w:sz w:val="15"/>
          <w:szCs w:val="15"/>
          <w:b w:val="1"/>
          <w:bCs w:val="1"/>
          <w:color w:val="auto"/>
        </w:rPr>
        <w:t>Short Sales</w:t>
      </w:r>
      <w:r>
        <w:rPr>
          <w:rFonts w:ascii="Times New Roman" w:cs="Times New Roman" w:eastAsia="Times New Roman" w:hAnsi="Times New Roman"/>
          <w:sz w:val="15"/>
          <w:szCs w:val="15"/>
          <w:color w:val="auto"/>
        </w:rPr>
        <w:t>. Short sales of the Company’s securities evidence an expectation on the part of the seller that the securities will decline in value, and therefore signal to the market that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seller has no confidence in the Company or its short-term prospects. In addition, short sales may reduce the seller’s incentive to improve the Company’s performance. For these reasons, a Covered Person may not engage in short sales of the Company’s securities. In addition, Section 16(c) of the Exchange Act prohibits officers and directors, and certain other persons, from engaging in short sales.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b w:val="1"/>
          <w:bCs w:val="1"/>
          <w:color w:val="auto"/>
        </w:rPr>
        <w:t>Publicly Traded Options</w:t>
      </w:r>
      <w:r>
        <w:rPr>
          <w:rFonts w:ascii="Times New Roman" w:cs="Times New Roman" w:eastAsia="Times New Roman" w:hAnsi="Times New Roman"/>
          <w:sz w:val="15"/>
          <w:szCs w:val="15"/>
          <w:color w:val="auto"/>
        </w:rPr>
        <w:t>. A transaction in options, puts, calls or other derivative securities is, in effect, a bet on the short-term movement of the Company’s stock and therefore creates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appearance that a Covered Person is trading based on inside information. Transactions of this sort also may unduly focus such person on the Company’s short-term performance instead of its long-term business objectives. Accordingly, a Covered Person may not enter into any transactions involving options, puts, calls or other derivative securities of the Company’s securities, on an exchange or in any other organized market other than covered call writing. (Option positions arising from certain types of hedging transactions are governed by the section below captioned “Hedging Transactions.”)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b w:val="1"/>
          <w:bCs w:val="1"/>
          <w:color w:val="auto"/>
        </w:rPr>
        <w:t>Hedging Transactions</w:t>
      </w:r>
      <w:r>
        <w:rPr>
          <w:rFonts w:ascii="Times New Roman" w:cs="Times New Roman" w:eastAsia="Times New Roman" w:hAnsi="Times New Roman"/>
          <w:sz w:val="15"/>
          <w:szCs w:val="15"/>
          <w:color w:val="auto"/>
        </w:rPr>
        <w:t>. Certain forms of hedging or monetization transactions, such as zero-cost collars and forward-sale contracts, allow an individual to lock in much of the value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his or her stock holdings, often in exchange for all or part of the potential for upside appreciation in the stock. These transactions allow the individual to own the covered securities, but without the full risks and rewards of ownership. When that occurs, the individual may no longer have the same objectives as other stockholders. Therefore, the Company strongly discourages any Covered Person from engaging in such transactions with respect to the Company’s securities. In this regard, any Covered Person wishing to enter into such an arrangement must first pre-clear the proposed transaction with the Company’s Chief Compliance Officer. Such request for pre-clearance of a hedging or similar arrangement must be received at least two weeks before the Covered Person intends to execute the documents in connection with the proposed transaction and must set forth the reason for the proposed transaction.</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b w:val="1"/>
          <w:bCs w:val="1"/>
          <w:color w:val="auto"/>
        </w:rPr>
        <w:t>Margin Accounts and Pledges</w:t>
      </w:r>
      <w:r>
        <w:rPr>
          <w:rFonts w:ascii="Times New Roman" w:cs="Times New Roman" w:eastAsia="Times New Roman" w:hAnsi="Times New Roman"/>
          <w:sz w:val="15"/>
          <w:szCs w:val="15"/>
          <w:color w:val="auto"/>
        </w:rPr>
        <w:t>. Securities held in a margin account may be sold by the broker without the customer’s consent if the customer fails to meet a margin call. Similarly,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pledged (or hypothecated) as collateral for a loan may be sold in foreclosure if the borrower defaults on the loan. Therefore, because a margin sale or foreclosure sale may occur at a time when the pledger is aware of material, non-public information or is otherwise not permitted to trade in the Company’s securities, Covered Persons are prohibited from holding the Company’s securities in a margin account or pledging such securities as collateral for a loan. An exception to this prohibition may be granted where a Covered Person wishes to pledge the Company’s securities as collateral for a loan (not including margin debt) and clearly demonstrates the financial capacity to repay the loan without resort to the pledged securities. In this regard, any Covered Person who wishes to pledge the Company’s securities as collateral for a loan must submit a request for approval to the Company’s Chief Compliance Officer at least two weeks prior to the proposed execution of the documents evidencing the proposed pledge.</w:t>
      </w:r>
    </w:p>
    <w:p>
      <w:pPr>
        <w:spacing w:after="0" w:line="1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10795</wp:posOffset>
            </wp:positionV>
            <wp:extent cx="715835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0740"/>
          </w:cols>
          <w:pgMar w:left="840" w:top="582"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Post-Termination Transactions</w:t>
      </w:r>
    </w:p>
    <w:p>
      <w:pPr>
        <w:spacing w:after="0" w:line="17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The policy continues to apply to your transactions in the Company’s securities even after you have terminated employment. If you are in possession of material, non-public information when your employment terminates, you may not trade in the Company’s securities until that information has become public or is no longer material.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Unauthorized Disclosure</w:t>
      </w:r>
    </w:p>
    <w:p>
      <w:pPr>
        <w:spacing w:after="0" w:line="17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As discussed above, the disclosure of material, non-public information to others can lead to significant legal difficulties. Therefore, you should not discuss material, non-public information about the Company with anyone, including other employees, except as required in the performance of your regular duties.</w:t>
      </w:r>
    </w:p>
    <w:p>
      <w:pPr>
        <w:spacing w:after="0" w:line="141"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Also, it is important that only specifically designated representatives of the Company discuss the Company with the news media, securities analysts, and investors. Inquiries of this type received by any employee should be referred to the Company’s Chief Executive Officer or the Company’s Chief Compliance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Pre-Clearance Procedures</w:t>
      </w:r>
    </w:p>
    <w:p>
      <w:pPr>
        <w:spacing w:after="0" w:line="179"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To help prevent inadvertent violations of the federal securities laws and to avoid even the appearance of trading on inside information, Covered Persons, together with their immediate family members living in their households, may not engage in any transaction involving the Company’s securities (including any stock plan transaction, gift, loan or pledge or hedge, contribution to a trust, or any other transfer) without first obtaining pre-clearance of the transaction from the Company’s Chief Compliance Officer.</w:t>
      </w:r>
    </w:p>
    <w:p>
      <w:pPr>
        <w:spacing w:after="0" w:line="14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A request for pre-clearance should be submitted to the Company’s Chief Compliance Officer at least two business days in advance of the proposed transaction. The Chief Compliance Officer is under no obligation to approve a trade submitted for pre-clearance, and may determine not to permit the trade.</w:t>
      </w:r>
    </w:p>
    <w:p>
      <w:pPr>
        <w:spacing w:after="0" w:line="141" w:lineRule="exact"/>
        <w:rPr>
          <w:sz w:val="20"/>
          <w:szCs w:val="20"/>
          <w:color w:val="auto"/>
        </w:rPr>
      </w:pPr>
    </w:p>
    <w:p>
      <w:pPr>
        <w:jc w:val="both"/>
        <w:ind w:firstLine="524"/>
        <w:spacing w:after="0" w:line="274" w:lineRule="auto"/>
        <w:rPr>
          <w:sz w:val="20"/>
          <w:szCs w:val="20"/>
          <w:color w:val="auto"/>
        </w:rPr>
      </w:pPr>
      <w:r>
        <w:rPr>
          <w:rFonts w:ascii="Times New Roman" w:cs="Times New Roman" w:eastAsia="Times New Roman" w:hAnsi="Times New Roman"/>
          <w:sz w:val="14"/>
          <w:szCs w:val="14"/>
          <w:color w:val="auto"/>
        </w:rPr>
        <w:t xml:space="preserve">As noted above, any person subject to the pre-clearance requirements who wishes to implement a trading plan under Rule 10b5-1 of the Exchange Act, must first pre-clear the plan with the Company’s Chief Compliance Officer. As required by Rule 10b5-1, Covered Persons may enter into a trading plan only when they are not in possession of material non-public information. In addition, Covered Persons may not enter into a trading plan during a blackout period. </w:t>
      </w:r>
      <w:r>
        <w:rPr>
          <w:rFonts w:ascii="Times New Roman" w:cs="Times New Roman" w:eastAsia="Times New Roman" w:hAnsi="Times New Roman"/>
          <w:sz w:val="14"/>
          <w:szCs w:val="14"/>
          <w:u w:val="single" w:color="auto"/>
          <w:color w:val="auto"/>
        </w:rPr>
        <w:t>Transactions effected pursuant to a pre-cleared trading plan will not require further pre-clearance at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time of the transaction if the plan specifies the dates, prices and amounts of the contemplated trades, or establishes a formula for determining the dates, prices and amounts</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Blackout Periods</w:t>
      </w:r>
    </w:p>
    <w:p>
      <w:pPr>
        <w:spacing w:after="0" w:line="175" w:lineRule="exact"/>
        <w:rPr>
          <w:sz w:val="20"/>
          <w:szCs w:val="20"/>
          <w:color w:val="auto"/>
        </w:rPr>
      </w:pPr>
    </w:p>
    <w:p>
      <w:pPr>
        <w:jc w:val="both"/>
        <w:ind w:firstLine="524"/>
        <w:spacing w:after="0" w:line="253" w:lineRule="auto"/>
        <w:rPr>
          <w:sz w:val="20"/>
          <w:szCs w:val="20"/>
          <w:color w:val="auto"/>
        </w:rPr>
      </w:pPr>
      <w:r>
        <w:rPr>
          <w:rFonts w:ascii="Times New Roman" w:cs="Times New Roman" w:eastAsia="Times New Roman" w:hAnsi="Times New Roman"/>
          <w:sz w:val="15"/>
          <w:szCs w:val="15"/>
          <w:b w:val="1"/>
          <w:bCs w:val="1"/>
          <w:i w:val="1"/>
          <w:iCs w:val="1"/>
          <w:u w:val="single" w:color="auto"/>
          <w:color w:val="auto"/>
        </w:rPr>
        <w:t>Quarterly Blackout Periods</w:t>
      </w:r>
      <w:r>
        <w:rPr>
          <w:rFonts w:ascii="Times New Roman" w:cs="Times New Roman" w:eastAsia="Times New Roman" w:hAnsi="Times New Roman"/>
          <w:sz w:val="15"/>
          <w:szCs w:val="15"/>
          <w:color w:val="auto"/>
        </w:rPr>
        <w:t>. During the period prior to the release of the quarterly financial results, the Company’s insiders may possess material, non-public information. Therefore,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you can anticipate that, to avoid even the appearance of trading while aware of material, non-public information, Covered Persons will not be pre-cleared to trade in the Company’s securities during the period beginning </w:t>
      </w:r>
      <w:r>
        <w:rPr>
          <w:rFonts w:ascii="Times New Roman" w:cs="Times New Roman" w:eastAsia="Times New Roman" w:hAnsi="Times New Roman"/>
          <w:sz w:val="15"/>
          <w:szCs w:val="15"/>
          <w:u w:val="single" w:color="auto"/>
          <w:color w:val="auto"/>
        </w:rPr>
        <w:t>one week</w:t>
      </w:r>
      <w:r>
        <w:rPr>
          <w:rFonts w:ascii="Times New Roman" w:cs="Times New Roman" w:eastAsia="Times New Roman" w:hAnsi="Times New Roman"/>
          <w:sz w:val="15"/>
          <w:szCs w:val="15"/>
          <w:color w:val="auto"/>
        </w:rPr>
        <w:t xml:space="preserve"> prior to the end of the Company’s fiscal quarter and ending after the </w:t>
      </w:r>
      <w:r>
        <w:rPr>
          <w:rFonts w:ascii="Times New Roman" w:cs="Times New Roman" w:eastAsia="Times New Roman" w:hAnsi="Times New Roman"/>
          <w:sz w:val="15"/>
          <w:szCs w:val="15"/>
          <w:u w:val="single" w:color="auto"/>
          <w:color w:val="auto"/>
        </w:rPr>
        <w:t>second full business day</w:t>
      </w:r>
      <w:r>
        <w:rPr>
          <w:rFonts w:ascii="Times New Roman" w:cs="Times New Roman" w:eastAsia="Times New Roman" w:hAnsi="Times New Roman"/>
          <w:sz w:val="15"/>
          <w:szCs w:val="15"/>
          <w:color w:val="auto"/>
        </w:rPr>
        <w:t xml:space="preserve"> following the Company’s issuance of its quarterly earnings release or analyst conference call. All Covered Persons are subject to these quarterly blackout periods.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131" w:name="page132"/>
    <w:bookmarkEnd w:id="131"/>
    <w:p>
      <w:pPr>
        <w:jc w:val="both"/>
        <w:ind w:firstLine="524"/>
        <w:spacing w:after="0" w:line="248" w:lineRule="auto"/>
        <w:rPr>
          <w:sz w:val="20"/>
          <w:szCs w:val="20"/>
          <w:color w:val="auto"/>
        </w:rPr>
      </w:pPr>
      <w:r>
        <w:rPr>
          <w:rFonts w:ascii="Times New Roman" w:cs="Times New Roman" w:eastAsia="Times New Roman" w:hAnsi="Times New Roman"/>
          <w:sz w:val="15"/>
          <w:szCs w:val="15"/>
          <w:b w:val="1"/>
          <w:bCs w:val="1"/>
          <w:i w:val="1"/>
          <w:iCs w:val="1"/>
          <w:u w:val="single" w:color="auto"/>
          <w:color w:val="auto"/>
        </w:rPr>
        <w:t>Event-Specific Blackout Periods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time to time, an event may occur that is material to the Company and is known by only a few Covered Persons. So long as the event remains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material and non-public, </w:t>
      </w:r>
      <w:r>
        <w:rPr>
          <w:rFonts w:ascii="Times New Roman" w:cs="Times New Roman" w:eastAsia="Times New Roman" w:hAnsi="Times New Roman"/>
          <w:sz w:val="15"/>
          <w:szCs w:val="15"/>
          <w:i w:val="1"/>
          <w:iCs w:val="1"/>
          <w:color w:val="auto"/>
        </w:rPr>
        <w:t>no</w:t>
      </w:r>
      <w:r>
        <w:rPr>
          <w:rFonts w:ascii="Times New Roman" w:cs="Times New Roman" w:eastAsia="Times New Roman" w:hAnsi="Times New Roman"/>
          <w:sz w:val="15"/>
          <w:szCs w:val="15"/>
          <w:color w:val="auto"/>
        </w:rPr>
        <w:t xml:space="preserve"> Covered Persons may trade in the Company’s securities. This restriction applies regardless of whether such persons have actual knowledge of the material event in question.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Company’s Chief Compliance Officer will inform the requester of the existence of a blackout period, without disclosing the reason for the blackout. Any person made aware of the existence of an event-specific blackout should not disclose the existence of the blackout to any other person. The failure of the Chief Compliance Officer to designate a person as being subject to an event-specific blackout will not relieve that person of the obligation not to trade while aware of material, non-public information.</w:t>
      </w:r>
    </w:p>
    <w:p>
      <w:pPr>
        <w:spacing w:after="0" w:line="151" w:lineRule="exact"/>
        <w:rPr>
          <w:sz w:val="20"/>
          <w:szCs w:val="20"/>
          <w:color w:val="auto"/>
        </w:rPr>
      </w:pPr>
    </w:p>
    <w:p>
      <w:pPr>
        <w:jc w:val="both"/>
        <w:ind w:firstLine="524"/>
        <w:spacing w:after="0" w:line="276" w:lineRule="auto"/>
        <w:rPr>
          <w:sz w:val="20"/>
          <w:szCs w:val="20"/>
          <w:color w:val="auto"/>
        </w:rPr>
      </w:pPr>
      <w:r>
        <w:rPr>
          <w:rFonts w:ascii="Times New Roman" w:cs="Times New Roman" w:eastAsia="Times New Roman" w:hAnsi="Times New Roman"/>
          <w:sz w:val="14"/>
          <w:szCs w:val="14"/>
          <w:b w:val="1"/>
          <w:bCs w:val="1"/>
          <w:i w:val="1"/>
          <w:iCs w:val="1"/>
          <w:u w:val="single" w:color="auto"/>
          <w:color w:val="auto"/>
        </w:rPr>
        <w:t>Hardship Exceptions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person who is subject to a quarterly earnings blackout period and who has an unexpected and urgent need to sell the Company’s stock in order to generate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in appropriate circumstances, be permitted to sell such stock even during the blackout period. Hardship exceptions may be granted only by the Chief Compliance Officer and must be requested at least two business days in advance of the proposed trade. A hardship exception may be granted only if the Chief Compliance Officer concludes that the Company’s earnings information for the applicable quarter does not constitute material, non-public information. Under no circumstance will a hardship exception be granted during an event-specific blackout period.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Questions About this Policy</w:t>
      </w:r>
    </w:p>
    <w:p>
      <w:pPr>
        <w:spacing w:after="0" w:line="179"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5"/>
          <w:szCs w:val="15"/>
          <w:color w:val="auto"/>
        </w:rPr>
        <w:t>Compliance by all Covered Persons with this policy is of the utmost importance both for you and the Company. If you have any questions about the application of this policy to any particular case, please immediately contact the Company’s Chief Compliance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Your failure to observe this policy could lead to significant legal problems, as well as other serious consequences, including termination of your employment.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Certifications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All Covered Persons must certify their understanding of, and intent to comply with, this policy. A copy of the certification that all such persons must sign is attached to this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Last Approved</w:t>
      </w:r>
      <w:r>
        <w:rPr>
          <w:rFonts w:ascii="Times New Roman" w:cs="Times New Roman" w:eastAsia="Times New Roman" w:hAnsi="Times New Roman"/>
          <w:sz w:val="15"/>
          <w:szCs w:val="15"/>
          <w:color w:val="auto"/>
        </w:rPr>
        <w:t>: March 6, 2025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5835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80"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5835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Insider Trading Policy Certification</w:t>
      </w:r>
    </w:p>
    <w:p>
      <w:pPr>
        <w:spacing w:after="0" w:line="181"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This certification is to be signed and returned to the Chief Compliance Officer and, other than with regard to SuRo Capital Corp.’s independent directors, will be retained as part of your permanent personnel file.</w:t>
      </w:r>
    </w:p>
    <w:p>
      <w:pPr>
        <w:spacing w:after="0" w:line="141"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I hereby certify that I have received a copy of SuRo Capital Corp.’s Insider Trading Policy, read it, and understand that the Insider Trading Policy contains the expectations of SuRo Capital Corp. and its affiliated entities regarding my conduct. Furthermore, I agree to comply with the Insider Trading Policy.</w:t>
      </w:r>
    </w:p>
    <w:p>
      <w:pPr>
        <w:spacing w:after="0" w:line="3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94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34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949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3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-106680</wp:posOffset>
            </wp:positionV>
            <wp:extent cx="35794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failure to read and/or sign this acknowledgment in no way relieves you of the responsibility to comply with SuRo Capital Corp.’s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715835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INDEPENDENT REGISTERED PUBLIC ACCOUNTING FIRM’S CONSENT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 of SuRo Capital Corp. and subsidiaries (“the Company”) on Form N-2 (File No. 333-272578) and in the Registration Statement on Form S-8 (File No. 333-239662) of the Company (collectively, the “Registration Statements”) of our report dated March 12, 2025, with respect to our audits of the consolidated financial statements of the Company as of December 31, 2024 and 2023, and for each of the years ended December 31, 2024, 2023 and 2022, which report is included in this Annual Report on Form 10-K of the Company for the year ended December 31, 2024 (the “Form 10-K”). We also consent to the reference to us under the heading “Senior Securities” in Part II, Item 5 of the Form 10-K.</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Statements of our report dated March 12, 2025, relating to the financial information set forth under the heading “Senior Securities” in Part II, Item 5 of the Form 10-K, which report is included as an exhibit to the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 Marcum </w:t>
      </w:r>
      <w:r>
        <w:rPr>
          <w:rFonts w:ascii="Times New Roman" w:cs="Times New Roman" w:eastAsia="Times New Roman" w:hAnsi="Times New Roman"/>
          <w:sz w:val="9"/>
          <w:szCs w:val="9"/>
          <w:color w:val="auto"/>
        </w:rPr>
        <w:t>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Marcum </w:t>
      </w:r>
      <w:r>
        <w:rPr>
          <w:rFonts w:ascii="Times New Roman" w:cs="Times New Roman" w:eastAsia="Times New Roman" w:hAnsi="Times New Roman"/>
          <w:sz w:val="9"/>
          <w:szCs w:val="9"/>
          <w:color w:val="auto"/>
        </w:rPr>
        <w:t>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of SuRo Capital Corp.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Mark D. Klein, certify that:</w:t>
      </w:r>
    </w:p>
    <w:p>
      <w:pPr>
        <w:spacing w:after="0" w:line="177" w:lineRule="exact"/>
        <w:rPr>
          <w:sz w:val="20"/>
          <w:szCs w:val="20"/>
          <w:color w:val="auto"/>
        </w:rPr>
      </w:pPr>
    </w:p>
    <w:p>
      <w:pPr>
        <w:ind w:left="540" w:hanging="270"/>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SuRo Capital Corp.;</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15"/>
          <w:szCs w:val="15"/>
          <w:color w:val="auto"/>
        </w:rPr>
      </w:pPr>
    </w:p>
    <w:p>
      <w:pPr>
        <w:jc w:val="both"/>
        <w:ind w:left="800" w:hanging="268"/>
        <w:spacing w:after="0" w:line="255" w:lineRule="auto"/>
        <w:tabs>
          <w:tab w:leader="none" w:pos="80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800" w:hanging="268"/>
        <w:spacing w:after="0" w:line="255" w:lineRule="auto"/>
        <w:tabs>
          <w:tab w:leader="none" w:pos="80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5"/>
          <w:szCs w:val="15"/>
          <w:color w:val="auto"/>
        </w:rPr>
      </w:pPr>
    </w:p>
    <w:p>
      <w:pPr>
        <w:ind w:left="800" w:hanging="268"/>
        <w:spacing w:after="0" w:line="303" w:lineRule="auto"/>
        <w:tabs>
          <w:tab w:leader="none" w:pos="80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4"/>
          <w:szCs w:val="14"/>
          <w:color w:val="auto"/>
        </w:rPr>
      </w:pPr>
    </w:p>
    <w:p>
      <w:pPr>
        <w:ind w:left="540" w:hanging="270"/>
        <w:spacing w:after="0" w:line="267"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this 12th day of March, 2025.</w:t>
      </w:r>
    </w:p>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12065</wp:posOffset>
            </wp:positionV>
            <wp:extent cx="33642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 of SuRo Capital Corp.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Allison Green, certify that:</w:t>
      </w:r>
    </w:p>
    <w:p>
      <w:pPr>
        <w:spacing w:after="0" w:line="177" w:lineRule="exact"/>
        <w:rPr>
          <w:sz w:val="20"/>
          <w:szCs w:val="20"/>
          <w:color w:val="auto"/>
        </w:rPr>
      </w:pPr>
    </w:p>
    <w:p>
      <w:pPr>
        <w:ind w:left="540" w:hanging="270"/>
        <w:spacing w:after="0"/>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SuRo Capital Corp.;</w:t>
      </w:r>
    </w:p>
    <w:p>
      <w:pPr>
        <w:spacing w:after="0" w:line="177"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5"/>
          <w:szCs w:val="15"/>
          <w:color w:val="auto"/>
        </w:rPr>
      </w:pPr>
    </w:p>
    <w:p>
      <w:pPr>
        <w:ind w:left="540" w:hanging="270"/>
        <w:spacing w:after="0" w:line="267"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15"/>
          <w:szCs w:val="15"/>
          <w:color w:val="auto"/>
        </w:rPr>
      </w:pPr>
    </w:p>
    <w:p>
      <w:pPr>
        <w:jc w:val="both"/>
        <w:ind w:left="800" w:hanging="268"/>
        <w:spacing w:after="0" w:line="255" w:lineRule="auto"/>
        <w:tabs>
          <w:tab w:leader="none" w:pos="80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left="800" w:hanging="268"/>
        <w:spacing w:after="0" w:line="255" w:lineRule="auto"/>
        <w:tabs>
          <w:tab w:leader="none" w:pos="80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5"/>
          <w:szCs w:val="15"/>
          <w:color w:val="auto"/>
        </w:rPr>
      </w:pPr>
    </w:p>
    <w:p>
      <w:pPr>
        <w:ind w:left="800" w:hanging="268"/>
        <w:spacing w:after="0" w:line="303" w:lineRule="auto"/>
        <w:tabs>
          <w:tab w:leader="none" w:pos="8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4"/>
          <w:szCs w:val="14"/>
          <w:color w:val="auto"/>
        </w:rPr>
      </w:pPr>
    </w:p>
    <w:p>
      <w:pPr>
        <w:ind w:left="540" w:hanging="270"/>
        <w:spacing w:after="0" w:line="267"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5"/>
          <w:szCs w:val="15"/>
          <w:color w:val="auto"/>
        </w:rPr>
      </w:pPr>
    </w:p>
    <w:p>
      <w:pPr>
        <w:ind w:left="800" w:hanging="268"/>
        <w:spacing w:after="0" w:line="267" w:lineRule="auto"/>
        <w:tabs>
          <w:tab w:leader="none" w:pos="80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this 12th day of March, 2025.</w:t>
      </w:r>
    </w:p>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12065</wp:posOffset>
            </wp:positionV>
            <wp:extent cx="336423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connection with the annual report on Form 10-K for the year ended December 31, 2024 (the “Report”) of SuRo Capital Corp. (the “Registrant”), as filed with the Securities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Commission on the date hereof, I, Mark D. Klein, the Chief Executive Officer of the Registrant, hereby certify, to the best of my knowledge, that:</w:t>
      </w:r>
    </w:p>
    <w:p>
      <w:pPr>
        <w:spacing w:after="0" w:line="162" w:lineRule="exact"/>
        <w:rPr>
          <w:sz w:val="20"/>
          <w:szCs w:val="20"/>
          <w:color w:val="auto"/>
        </w:rPr>
      </w:pPr>
    </w:p>
    <w:p>
      <w:pPr>
        <w:ind w:left="540" w:hanging="270"/>
        <w:spacing w:after="0"/>
        <w:tabs>
          <w:tab w:leader="none" w:pos="5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7949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5"/>
          <w:szCs w:val="15"/>
          <w:b w:val="1"/>
          <w:bCs w:val="1"/>
          <w:color w:val="auto"/>
        </w:rPr>
        <w:t>Name: Mark D. Klein</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connection with the annual report on Form 10-K for the year ended December 31, 2024 (the “Report”) of SuRo Capital Corp. (the “Registrant”), as filed with the Securities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Exchange Commission on the date hereof, I, Allison Green, the Chief Financial Officer of the Registrant, hereby certify, to the best of my knowledge, that:</w:t>
      </w:r>
    </w:p>
    <w:p>
      <w:pPr>
        <w:spacing w:after="0" w:line="162" w:lineRule="exact"/>
        <w:rPr>
          <w:sz w:val="20"/>
          <w:szCs w:val="20"/>
          <w:color w:val="auto"/>
        </w:rPr>
      </w:pPr>
    </w:p>
    <w:p>
      <w:pPr>
        <w:ind w:left="540" w:hanging="270"/>
        <w:spacing w:after="0"/>
        <w:tabs>
          <w:tab w:leader="none" w:pos="5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7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7949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5"/>
          <w:szCs w:val="15"/>
          <w:b w:val="1"/>
          <w:bCs w:val="1"/>
          <w:color w:val="auto"/>
        </w:rPr>
        <w:t>Name: Allison Green</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 ON SUPPLEMENTAL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Board of Directors and Stockholders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We have audited the consolidated statements of assets and liabilities of SuRo Capital Corp. and subsidiaries (the “Company”), including the consolidated schedule of investments as of December 31, 2024 and 2023, and the related consolidated statements of operations, changes in net assets and cash flows for each of the three years in the period ended December 31, 2024 and the financial highlights (presented in Note 8) for each of the five years in the period ended December 31, 2024 and the related notes, and have issued our report thereon dated March 12, 2025, which contained an unqualified opinion on those consolidated financial statements. The supplemental financial information set forth under the heading “Senior Securities” as of December 31, 2024, 2023, 2022, 2021 and 2020 included in Part II, Item 5 of the Company’s Annual Report on Form 10-K has been subjected to audit procedures performed in conjunction with the audit of the Company’s financial consolidated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Marcum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5835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sectPr>
      <w:pgSz w:w="11900" w:h="16838" w:orient="portrait"/>
      <w:cols w:equalWidth="0" w:num="1">
        <w:col w:w="11280"/>
      </w:cols>
      <w:pgMar w:left="300" w:top="2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7"/>
    </w:lvl>
  </w:abstractNum>
  <w:abstractNum w:abstractNumId="9">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lvl w:ilvl="1">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8"/>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8"/>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lowerRoman"/>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lvl w:ilvl="1">
      <w:lvlJc w:val="left"/>
      <w:lvlText w:val="%2."/>
      <w:numFmt w:val="decimal"/>
      <w:start w:val="4"/>
    </w:lvl>
  </w:abstractNum>
  <w:abstractNum w:abstractNumId="56">
    <w:nsid w:val="42C296BD"/>
    <w:multiLevelType w:val="hybridMultilevel"/>
    <w:lvl w:ilvl="0">
      <w:lvlJc w:val="left"/>
      <w:lvlText w:val="%1."/>
      <w:numFmt w:val="decimal"/>
      <w:start w:val="5"/>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2"/>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2"/>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188" Type="http://schemas.openxmlformats.org/officeDocument/2006/relationships/hyperlink" Target="https://www.sec.gov/Archives/edgar/data/1509470/000113379611000069/k216228_ex99-2a.htm" TargetMode="External"/><Relationship Id="rId189" Type="http://schemas.openxmlformats.org/officeDocument/2006/relationships/hyperlink" Target="https://www.sec.gov/Archives/edgar/data/1509470/000114420411033389/v224342_ex3-1.htm" TargetMode="External"/><Relationship Id="rId190" Type="http://schemas.openxmlformats.org/officeDocument/2006/relationships/hyperlink" Target="https://www.sec.gov/Archives/edgar/data/1509470/000114420419037014/tv526412_ex3-1.htm" TargetMode="External"/><Relationship Id="rId191" Type="http://schemas.openxmlformats.org/officeDocument/2006/relationships/hyperlink" Target="https://www.sec.gov/Archives/edgar/data/1509470/000110465920073783/tm2022743d1_ex3-1.htm" TargetMode="External"/><Relationship Id="rId192" Type="http://schemas.openxmlformats.org/officeDocument/2006/relationships/hyperlink" Target="https://www.sec.gov/Archives/edgar/data/1509470/000110465920073783/tm2022743d1_ex3-2.htm" TargetMode="External"/><Relationship Id="rId193" Type="http://schemas.openxmlformats.org/officeDocument/2006/relationships/hyperlink" Target="https://www.sec.gov/Archives/edgar/data/1509470/000114420411053817/v235130_ex99-d1.htm" TargetMode="External"/><Relationship Id="rId194" Type="http://schemas.openxmlformats.org/officeDocument/2006/relationships/hyperlink" Target="https://www.sec.gov/Archives/edgar/data/1509470/000110465920080689/tm2023838d1_ex-d3.htm" TargetMode="External"/><Relationship Id="rId195" Type="http://schemas.openxmlformats.org/officeDocument/2006/relationships/hyperlink" Target="https://www.sec.gov/Archives/edgar/data/1509470/000110465921150924/tm2135610d1_ex4-2.htm" TargetMode="External"/><Relationship Id="rId196" Type="http://schemas.openxmlformats.org/officeDocument/2006/relationships/hyperlink" Target="https://www.sec.gov/Archives/edgar/data/1509470/000110465921150924/tm2135610d1_ex4-2.htm#S1" TargetMode="External"/><Relationship Id="rId197" Type="http://schemas.openxmlformats.org/officeDocument/2006/relationships/hyperlink" Target="https://www.sec.gov/Archives/edgar/data/1509470/000162828022005867/surocapital-form10xkex45.htm" TargetMode="External"/><Relationship Id="rId198" Type="http://schemas.openxmlformats.org/officeDocument/2006/relationships/hyperlink" Target="https://www.sec.gov/Archives/edgar/data/1509470/000113379611000069/k216228_ex99-2e.htm" TargetMode="External"/><Relationship Id="rId199" Type="http://schemas.openxmlformats.org/officeDocument/2006/relationships/hyperlink" Target="https://www.sec.gov/Archives/edgar/data/1509470/000110465920080597/tm2023817d1_ex4-7.htm" TargetMode="External"/><Relationship Id="rId200" Type="http://schemas.openxmlformats.org/officeDocument/2006/relationships/hyperlink" Target="https://www.sec.gov/Archives/edgar/data/1509470/000110465920080597/tm2023817d1_ex4-8.htm" TargetMode="External"/><Relationship Id="rId201" Type="http://schemas.openxmlformats.org/officeDocument/2006/relationships/hyperlink" Target="https://www.sec.gov/Archives/edgar/data/1509470/000110465920080597/tm2023817d1_ex4-9.htm" TargetMode="External"/><Relationship Id="rId202" Type="http://schemas.openxmlformats.org/officeDocument/2006/relationships/hyperlink" Target="https://www.sec.gov/Archives/edgar/data/1509470/000110465920080597/tm2023817d1_ex4-10.htm" TargetMode="External"/><Relationship Id="rId203" Type="http://schemas.openxmlformats.org/officeDocument/2006/relationships/hyperlink" Target="https://www.sec.gov/Archives/edgar/data/1509470/000110465923047475/tm2313292d1_ex10-1.htm" TargetMode="External"/><Relationship Id="rId204" Type="http://schemas.openxmlformats.org/officeDocument/2006/relationships/hyperlink" Target="https://www.sec.gov/Archives/edgar/data/1509470/000113379611000069/k216228_ex99-2k2.htm" TargetMode="External"/><Relationship Id="rId205" Type="http://schemas.openxmlformats.org/officeDocument/2006/relationships/hyperlink" Target="https://www.sec.gov/Archives/edgar/data/1509470/000162828021009320/ex101markklein-secondamend.htm" TargetMode="External"/><Relationship Id="rId206" Type="http://schemas.openxmlformats.org/officeDocument/2006/relationships/hyperlink" Target="https://www.sec.gov/Archives/edgar/data/1509470/000162828021009320/ex102allisongreen-secondam.htm" TargetMode="External"/><Relationship Id="rId207" Type="http://schemas.openxmlformats.org/officeDocument/2006/relationships/hyperlink" Target="https://www.sec.gov/Archives/edgar/data/1509470/000162828022005867/a1010greensecondamendedand.htm" TargetMode="External"/><Relationship Id="rId208" Type="http://schemas.openxmlformats.org/officeDocument/2006/relationships/hyperlink" Target="https://www.sec.gov/Archives/edgar/data/1509470/000149315224009905/ex10-14.htm" TargetMode="External"/><Relationship Id="rId209" Type="http://schemas.openxmlformats.org/officeDocument/2006/relationships/hyperlink" Target="https://www.sec.gov/Archives/edgar/data/1509470/000149315224009905/ex10-15.htm" TargetMode="External"/><Relationship Id="rId210" Type="http://schemas.openxmlformats.org/officeDocument/2006/relationships/hyperlink" Target="https://www.sec.gov/Archives/edgar/data/1509470/000110465920089216/tm2026282d1_ex10-1.htm" TargetMode="External"/><Relationship Id="rId211" Type="http://schemas.openxmlformats.org/officeDocument/2006/relationships/hyperlink" Target="https://www.sec.gov/Archives/edgar/data/1509470/000110465920107576/tm2031571d1_ex10-2.htm" TargetMode="External"/><Relationship Id="rId212" Type="http://schemas.openxmlformats.org/officeDocument/2006/relationships/hyperlink" Target="https://www.sec.gov/Archives/edgar/data/1509470/000110465924115992/tm2427943d1_ex10-3.htm" TargetMode="External"/><Relationship Id="rId213" Type="http://schemas.openxmlformats.org/officeDocument/2006/relationships/hyperlink" Target="https://www.sec.gov/Archives/edgar/data/1509470/000149315224030665/ex10-1.htm" TargetMode="External"/><Relationship Id="rId214" Type="http://schemas.openxmlformats.org/officeDocument/2006/relationships/hyperlink" Target="https://www.sec.gov/Archives/edgar/data/1509470/000149315223007850/ex14-1.htm" TargetMode="External"/><Relationship Id="rId215" Type="http://schemas.openxmlformats.org/officeDocument/2006/relationships/hyperlink" Target="https://www.sec.gov/Archives/edgar/data/1509470/000150947020000003/ssss-12312019x10kex142.htm" TargetMode="External"/><Relationship Id="rId216" Type="http://schemas.openxmlformats.org/officeDocument/2006/relationships/hyperlink" Target="https://www.sec.gov/Archives/edgar/data/1509470/000149315224009905/ex97-1.htm" TargetMode="External"/><Relationship Id="rId217" Type="http://schemas.openxmlformats.org/officeDocument/2006/relationships/hyperlink" Target="https://www.sec.gov/Archives/edgar/data/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2025-03-12T07:28:52Z</dcterms:created>
  <dcterms:modified xsi:type="dcterms:W3CDTF">2025-03-12T07:28:52Z</dcterms:modified>
</cp:coreProperties>
</file>