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518160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475615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line="232" w:lineRule="auto"/>
        <w:rPr>
          <w:sz w:val="20"/>
          <w:szCs w:val="20"/>
          <w:color w:val="auto"/>
        </w:rPr>
      </w:pPr>
      <w:r>
        <w:rPr>
          <w:rFonts w:ascii="Arial" w:cs="Arial" w:eastAsia="Arial" w:hAnsi="Arial"/>
          <w:sz w:val="16"/>
          <w:szCs w:val="16"/>
          <w:b w:val="1"/>
          <w:bCs w:val="1"/>
          <w:color w:val="auto"/>
        </w:rPr>
        <w:t>Washington, D.C. 20549</w:t>
      </w:r>
    </w:p>
    <w:p>
      <w:pPr>
        <w:ind w:left="4620"/>
        <w:spacing w:after="0"/>
        <w:rPr>
          <w:sz w:val="20"/>
          <w:szCs w:val="20"/>
          <w:color w:val="auto"/>
        </w:rPr>
      </w:pPr>
      <w:r>
        <w:rPr>
          <w:rFonts w:ascii="Arial" w:cs="Arial" w:eastAsia="Arial" w:hAnsi="Arial"/>
          <w:sz w:val="14"/>
          <w:szCs w:val="14"/>
          <w:color w:val="auto"/>
        </w:rPr>
        <w:t>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17"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____________________________</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3"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x </w:t>
      </w:r>
      <w:r>
        <w:rPr>
          <w:rFonts w:ascii="Arial" w:cs="Arial" w:eastAsia="Arial" w:hAnsi="Arial"/>
          <w:sz w:val="16"/>
          <w:szCs w:val="16"/>
          <w:b w:val="1"/>
          <w:bCs w:val="1"/>
          <w:color w:val="auto"/>
        </w:rPr>
        <w:t>QUARTERLY REPORT PURSUANT TO SECTION 13 OR 15(d) OF THE SECURITIES EXCHANGE ACT OF 1934</w:t>
      </w:r>
    </w:p>
    <w:p>
      <w:pPr>
        <w:spacing w:after="0" w:line="127" w:lineRule="exact"/>
        <w:rPr>
          <w:sz w:val="24"/>
          <w:szCs w:val="24"/>
          <w:color w:val="auto"/>
        </w:rPr>
      </w:pPr>
    </w:p>
    <w:p>
      <w:pPr>
        <w:ind w:left="3600"/>
        <w:spacing w:after="0"/>
        <w:rPr>
          <w:sz w:val="20"/>
          <w:szCs w:val="20"/>
          <w:color w:val="auto"/>
        </w:rPr>
      </w:pPr>
      <w:r>
        <w:rPr>
          <w:rFonts w:ascii="Arial" w:cs="Arial" w:eastAsia="Arial" w:hAnsi="Arial"/>
          <w:sz w:val="16"/>
          <w:szCs w:val="16"/>
          <w:b w:val="1"/>
          <w:bCs w:val="1"/>
          <w:color w:val="auto"/>
        </w:rPr>
        <w:t>FOR THE QUARTERLY PERIOD ENDED June 30, 2020</w:t>
      </w:r>
    </w:p>
    <w:p>
      <w:pPr>
        <w:spacing w:after="0" w:line="167" w:lineRule="exact"/>
        <w:rPr>
          <w:sz w:val="24"/>
          <w:szCs w:val="24"/>
          <w:color w:val="auto"/>
        </w:rPr>
      </w:pPr>
    </w:p>
    <w:p>
      <w:pPr>
        <w:ind w:left="4080" w:right="2800" w:hanging="4072"/>
        <w:spacing w:after="0" w:line="395" w:lineRule="auto"/>
        <w:tabs>
          <w:tab w:leader="none" w:pos="194"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COMMISSION FILE NUMBER: 814-00852</w:t>
      </w:r>
    </w:p>
    <w:p>
      <w:pPr>
        <w:spacing w:after="0" w:line="1" w:lineRule="exact"/>
        <w:rPr>
          <w:sz w:val="24"/>
          <w:szCs w:val="24"/>
          <w:color w:val="auto"/>
        </w:rPr>
      </w:pPr>
    </w:p>
    <w:p>
      <w:pPr>
        <w:ind w:left="4460"/>
        <w:spacing w:after="0"/>
        <w:rPr>
          <w:sz w:val="20"/>
          <w:szCs w:val="20"/>
          <w:color w:val="auto"/>
        </w:rPr>
      </w:pPr>
      <w:r>
        <w:rPr>
          <w:rFonts w:ascii="Arial" w:cs="Arial" w:eastAsia="Arial" w:hAnsi="Arial"/>
          <w:sz w:val="18"/>
          <w:szCs w:val="18"/>
          <w:color w:val="auto"/>
        </w:rPr>
        <w:t>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SuRo Capital Corp.</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5"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____________________________</w:t>
      </w:r>
    </w:p>
    <w:p>
      <w:pPr>
        <w:spacing w:after="0" w:line="156" w:lineRule="exact"/>
        <w:rPr>
          <w:sz w:val="24"/>
          <w:szCs w:val="24"/>
          <w:color w:val="auto"/>
        </w:rPr>
      </w:pPr>
    </w:p>
    <w:tbl>
      <w:tblPr>
        <w:tblLayout w:type="fixed"/>
        <w:tblInd w:w="20" w:type="dxa"/>
        <w:tblCellMar>
          <w:top w:w="0" w:type="dxa"/>
          <w:left w:w="0" w:type="dxa"/>
          <w:bottom w:w="0" w:type="dxa"/>
          <w:right w:w="0" w:type="dxa"/>
        </w:tblCellMar>
      </w:tblPr>
      <w:tr>
        <w:trPr>
          <w:trHeight w:val="210"/>
        </w:trPr>
        <w:tc>
          <w:tcPr>
            <w:tcW w:w="4000" w:type="dxa"/>
            <w:vAlign w:val="bottom"/>
          </w:tcPr>
          <w:p>
            <w:pPr>
              <w:jc w:val="center"/>
              <w:ind w:left="1503"/>
              <w:spacing w:after="0"/>
              <w:rPr>
                <w:sz w:val="20"/>
                <w:szCs w:val="20"/>
                <w:color w:val="auto"/>
              </w:rPr>
            </w:pPr>
            <w:r>
              <w:rPr>
                <w:rFonts w:ascii="Arial" w:cs="Arial" w:eastAsia="Arial" w:hAnsi="Arial"/>
                <w:sz w:val="16"/>
                <w:szCs w:val="16"/>
                <w:b w:val="1"/>
                <w:bCs w:val="1"/>
                <w:color w:val="auto"/>
                <w:w w:val="99"/>
              </w:rPr>
              <w:t>Maryland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980" w:type="dxa"/>
            <w:vAlign w:val="bottom"/>
          </w:tcPr>
          <w:p>
            <w:pPr>
              <w:jc w:val="right"/>
              <w:ind w:right="2344"/>
              <w:spacing w:after="0"/>
              <w:rPr>
                <w:sz w:val="20"/>
                <w:szCs w:val="20"/>
                <w:color w:val="auto"/>
              </w:rPr>
            </w:pPr>
            <w:r>
              <w:rPr>
                <w:rFonts w:ascii="Arial" w:cs="Arial" w:eastAsia="Arial" w:hAnsi="Arial"/>
                <w:sz w:val="16"/>
                <w:szCs w:val="16"/>
                <w:b w:val="1"/>
                <w:bCs w:val="1"/>
                <w:color w:val="auto"/>
              </w:rPr>
              <w:t>27-4443543</w:t>
            </w:r>
          </w:p>
        </w:tc>
      </w:tr>
      <w:tr>
        <w:trPr>
          <w:trHeight w:val="223"/>
        </w:trPr>
        <w:tc>
          <w:tcPr>
            <w:tcW w:w="4000" w:type="dxa"/>
            <w:vAlign w:val="bottom"/>
          </w:tcPr>
          <w:p>
            <w:pPr>
              <w:jc w:val="center"/>
              <w:ind w:left="1523"/>
              <w:spacing w:after="0"/>
              <w:rPr>
                <w:sz w:val="20"/>
                <w:szCs w:val="20"/>
                <w:color w:val="auto"/>
              </w:rPr>
            </w:pPr>
            <w:r>
              <w:rPr>
                <w:rFonts w:ascii="Arial" w:cs="Arial" w:eastAsia="Arial" w:hAnsi="Arial"/>
                <w:sz w:val="14"/>
                <w:szCs w:val="14"/>
                <w:color w:val="auto"/>
                <w:w w:val="95"/>
              </w:rPr>
              <w:t>(State of incorporation)</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980" w:type="dxa"/>
            <w:vAlign w:val="bottom"/>
          </w:tcPr>
          <w:p>
            <w:pPr>
              <w:jc w:val="center"/>
              <w:ind w:right="1564"/>
              <w:spacing w:after="0"/>
              <w:rPr>
                <w:sz w:val="20"/>
                <w:szCs w:val="20"/>
                <w:color w:val="auto"/>
              </w:rPr>
            </w:pPr>
            <w:r>
              <w:rPr>
                <w:rFonts w:ascii="Arial" w:cs="Arial" w:eastAsia="Arial" w:hAnsi="Arial"/>
                <w:sz w:val="14"/>
                <w:szCs w:val="14"/>
                <w:color w:val="auto"/>
                <w:w w:val="97"/>
              </w:rPr>
              <w:t>(I.R.S. Employer Identification No.)</w:t>
            </w:r>
          </w:p>
        </w:tc>
      </w:tr>
      <w:tr>
        <w:trPr>
          <w:trHeight w:val="236"/>
        </w:trPr>
        <w:tc>
          <w:tcPr>
            <w:tcW w:w="7220" w:type="dxa"/>
            <w:vAlign w:val="bottom"/>
            <w:gridSpan w:val="6"/>
          </w:tcPr>
          <w:p>
            <w:pPr>
              <w:jc w:val="center"/>
              <w:ind w:right="1620"/>
              <w:spacing w:after="0"/>
              <w:rPr>
                <w:sz w:val="20"/>
                <w:szCs w:val="20"/>
                <w:color w:val="auto"/>
              </w:rPr>
            </w:pPr>
            <w:r>
              <w:rPr>
                <w:rFonts w:ascii="Arial" w:cs="Arial" w:eastAsia="Arial" w:hAnsi="Arial"/>
                <w:sz w:val="16"/>
                <w:szCs w:val="16"/>
                <w:b w:val="1"/>
                <w:bCs w:val="1"/>
                <w:color w:val="auto"/>
                <w:w w:val="90"/>
              </w:rPr>
              <w:t>One Sansome Street, Suite 730, San Francisco, CA</w:t>
            </w:r>
          </w:p>
        </w:tc>
        <w:tc>
          <w:tcPr>
            <w:tcW w:w="3980" w:type="dxa"/>
            <w:vAlign w:val="bottom"/>
          </w:tcPr>
          <w:p>
            <w:pPr>
              <w:jc w:val="right"/>
              <w:ind w:right="2524"/>
              <w:spacing w:after="0"/>
              <w:rPr>
                <w:sz w:val="20"/>
                <w:szCs w:val="20"/>
                <w:color w:val="auto"/>
              </w:rPr>
            </w:pPr>
            <w:r>
              <w:rPr>
                <w:rFonts w:ascii="Arial" w:cs="Arial" w:eastAsia="Arial" w:hAnsi="Arial"/>
                <w:sz w:val="16"/>
                <w:szCs w:val="16"/>
                <w:b w:val="1"/>
                <w:bCs w:val="1"/>
                <w:color w:val="auto"/>
              </w:rPr>
              <w:t>94104</w:t>
            </w:r>
          </w:p>
        </w:tc>
      </w:tr>
      <w:tr>
        <w:trPr>
          <w:trHeight w:val="223"/>
        </w:trPr>
        <w:tc>
          <w:tcPr>
            <w:tcW w:w="4000" w:type="dxa"/>
            <w:vAlign w:val="bottom"/>
          </w:tcPr>
          <w:p>
            <w:pPr>
              <w:jc w:val="center"/>
              <w:ind w:left="1523"/>
              <w:spacing w:after="0"/>
              <w:rPr>
                <w:sz w:val="20"/>
                <w:szCs w:val="20"/>
                <w:color w:val="auto"/>
              </w:rPr>
            </w:pPr>
            <w:r>
              <w:rPr>
                <w:rFonts w:ascii="Arial" w:cs="Arial" w:eastAsia="Arial" w:hAnsi="Arial"/>
                <w:sz w:val="14"/>
                <w:szCs w:val="14"/>
                <w:color w:val="auto"/>
                <w:w w:val="95"/>
              </w:rPr>
              <w:t>(Address of principal executive offices)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980" w:type="dxa"/>
            <w:vAlign w:val="bottom"/>
          </w:tcPr>
          <w:p>
            <w:pPr>
              <w:jc w:val="center"/>
              <w:ind w:right="1564"/>
              <w:spacing w:after="0"/>
              <w:rPr>
                <w:sz w:val="20"/>
                <w:szCs w:val="20"/>
                <w:color w:val="auto"/>
              </w:rPr>
            </w:pPr>
            <w:r>
              <w:rPr>
                <w:rFonts w:ascii="Arial" w:cs="Arial" w:eastAsia="Arial" w:hAnsi="Arial"/>
                <w:sz w:val="14"/>
                <w:szCs w:val="14"/>
                <w:color w:val="auto"/>
                <w:w w:val="93"/>
              </w:rPr>
              <w:t>(Zip Code)</w:t>
            </w:r>
          </w:p>
        </w:tc>
      </w:tr>
      <w:tr>
        <w:trPr>
          <w:trHeight w:val="290"/>
        </w:trPr>
        <w:tc>
          <w:tcPr>
            <w:tcW w:w="4000" w:type="dxa"/>
            <w:vAlign w:val="bottom"/>
          </w:tcPr>
          <w:p>
            <w:pPr>
              <w:spacing w:after="0"/>
              <w:rPr>
                <w:sz w:val="24"/>
                <w:szCs w:val="24"/>
                <w:color w:val="auto"/>
              </w:rPr>
            </w:pPr>
          </w:p>
        </w:tc>
        <w:tc>
          <w:tcPr>
            <w:tcW w:w="2740" w:type="dxa"/>
            <w:vAlign w:val="bottom"/>
            <w:gridSpan w:val="3"/>
          </w:tcPr>
          <w:p>
            <w:pPr>
              <w:jc w:val="center"/>
              <w:ind w:left="344"/>
              <w:spacing w:after="0"/>
              <w:rPr>
                <w:sz w:val="20"/>
                <w:szCs w:val="20"/>
                <w:color w:val="auto"/>
              </w:rPr>
            </w:pPr>
            <w:r>
              <w:rPr>
                <w:rFonts w:ascii="Arial" w:cs="Arial" w:eastAsia="Arial" w:hAnsi="Arial"/>
                <w:sz w:val="16"/>
                <w:szCs w:val="16"/>
                <w:b w:val="1"/>
                <w:bCs w:val="1"/>
                <w:color w:val="auto"/>
                <w:w w:val="91"/>
              </w:rPr>
              <w:t>(650) 235-4769</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223"/>
        </w:trPr>
        <w:tc>
          <w:tcPr>
            <w:tcW w:w="4000" w:type="dxa"/>
            <w:vAlign w:val="bottom"/>
          </w:tcPr>
          <w:p>
            <w:pPr>
              <w:spacing w:after="0"/>
              <w:rPr>
                <w:sz w:val="19"/>
                <w:szCs w:val="19"/>
                <w:color w:val="auto"/>
              </w:rPr>
            </w:pPr>
          </w:p>
        </w:tc>
        <w:tc>
          <w:tcPr>
            <w:tcW w:w="3220" w:type="dxa"/>
            <w:vAlign w:val="bottom"/>
            <w:gridSpan w:val="5"/>
          </w:tcPr>
          <w:p>
            <w:pPr>
              <w:jc w:val="center"/>
              <w:ind w:right="60"/>
              <w:spacing w:after="0"/>
              <w:rPr>
                <w:sz w:val="20"/>
                <w:szCs w:val="20"/>
                <w:color w:val="auto"/>
              </w:rPr>
            </w:pPr>
            <w:r>
              <w:rPr>
                <w:rFonts w:ascii="Arial" w:cs="Arial" w:eastAsia="Arial" w:hAnsi="Arial"/>
                <w:sz w:val="14"/>
                <w:szCs w:val="14"/>
                <w:color w:val="auto"/>
                <w:w w:val="92"/>
              </w:rPr>
              <w:t>(Registrant’s telephone number, including area code)</w:t>
            </w:r>
          </w:p>
        </w:tc>
        <w:tc>
          <w:tcPr>
            <w:tcW w:w="3980" w:type="dxa"/>
            <w:vAlign w:val="bottom"/>
          </w:tcPr>
          <w:p>
            <w:pPr>
              <w:spacing w:after="0"/>
              <w:rPr>
                <w:sz w:val="19"/>
                <w:szCs w:val="19"/>
                <w:color w:val="auto"/>
              </w:rPr>
            </w:pPr>
          </w:p>
        </w:tc>
      </w:tr>
      <w:tr>
        <w:trPr>
          <w:trHeight w:val="559"/>
        </w:trPr>
        <w:tc>
          <w:tcPr>
            <w:tcW w:w="11200" w:type="dxa"/>
            <w:vAlign w:val="bottom"/>
            <w:gridSpan w:val="7"/>
          </w:tcPr>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tc>
      </w:tr>
      <w:tr>
        <w:trPr>
          <w:trHeight w:val="297"/>
        </w:trPr>
        <w:tc>
          <w:tcPr>
            <w:tcW w:w="4000" w:type="dxa"/>
            <w:vAlign w:val="bottom"/>
            <w:tcBorders>
              <w:bottom w:val="single" w:sz="8" w:color="auto"/>
            </w:tcBorders>
          </w:tcPr>
          <w:p>
            <w:pPr>
              <w:jc w:val="center"/>
              <w:ind w:left="103"/>
              <w:spacing w:after="0"/>
              <w:rPr>
                <w:sz w:val="20"/>
                <w:szCs w:val="20"/>
                <w:color w:val="auto"/>
              </w:rPr>
            </w:pPr>
            <w:r>
              <w:rPr>
                <w:rFonts w:ascii="Arial" w:cs="Arial" w:eastAsia="Arial" w:hAnsi="Arial"/>
                <w:sz w:val="14"/>
                <w:szCs w:val="14"/>
                <w:b w:val="1"/>
                <w:bCs w:val="1"/>
                <w:color w:val="auto"/>
                <w:w w:val="91"/>
              </w:rPr>
              <w:t>Title of Each Class</w:t>
            </w:r>
          </w:p>
        </w:tc>
        <w:tc>
          <w:tcPr>
            <w:tcW w:w="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jc w:val="center"/>
              <w:ind w:right="284"/>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23"/>
        </w:trPr>
        <w:tc>
          <w:tcPr>
            <w:tcW w:w="4000" w:type="dxa"/>
            <w:vAlign w:val="bottom"/>
          </w:tcPr>
          <w:p>
            <w:pPr>
              <w:jc w:val="center"/>
              <w:ind w:left="103"/>
              <w:spacing w:after="0"/>
              <w:rPr>
                <w:sz w:val="20"/>
                <w:szCs w:val="20"/>
                <w:color w:val="auto"/>
              </w:rPr>
            </w:pPr>
            <w:r>
              <w:rPr>
                <w:rFonts w:ascii="Arial" w:cs="Arial" w:eastAsia="Arial" w:hAnsi="Arial"/>
                <w:sz w:val="16"/>
                <w:szCs w:val="16"/>
                <w:color w:val="auto"/>
                <w:w w:val="91"/>
              </w:rPr>
              <w:t>Common Stock, par value $0.01 per share</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40" w:type="dxa"/>
            <w:vAlign w:val="bottom"/>
            <w:gridSpan w:val="3"/>
          </w:tcPr>
          <w:p>
            <w:pPr>
              <w:jc w:val="center"/>
              <w:ind w:right="500"/>
              <w:spacing w:after="0"/>
              <w:rPr>
                <w:sz w:val="20"/>
                <w:szCs w:val="20"/>
                <w:color w:val="auto"/>
              </w:rPr>
            </w:pPr>
            <w:r>
              <w:rPr>
                <w:rFonts w:ascii="Arial" w:cs="Arial" w:eastAsia="Arial" w:hAnsi="Arial"/>
                <w:sz w:val="16"/>
                <w:szCs w:val="16"/>
                <w:color w:val="auto"/>
                <w:w w:val="84"/>
              </w:rPr>
              <w:t>SSSS</w:t>
            </w:r>
          </w:p>
        </w:tc>
        <w:tc>
          <w:tcPr>
            <w:tcW w:w="3980" w:type="dxa"/>
            <w:vAlign w:val="bottom"/>
          </w:tcPr>
          <w:p>
            <w:pPr>
              <w:jc w:val="center"/>
              <w:ind w:right="284"/>
              <w:spacing w:after="0"/>
              <w:rPr>
                <w:sz w:val="20"/>
                <w:szCs w:val="20"/>
                <w:color w:val="auto"/>
              </w:rPr>
            </w:pPr>
            <w:r>
              <w:rPr>
                <w:rFonts w:ascii="Arial" w:cs="Arial" w:eastAsia="Arial" w:hAnsi="Arial"/>
                <w:sz w:val="16"/>
                <w:szCs w:val="16"/>
                <w:color w:val="auto"/>
                <w:w w:val="92"/>
              </w:rPr>
              <w:t>Nasdaq Capital Market</w:t>
            </w:r>
          </w:p>
        </w:tc>
      </w:tr>
    </w:tbl>
    <w:p>
      <w:pPr>
        <w:spacing w:after="0" w:line="361" w:lineRule="exact"/>
        <w:rPr>
          <w:sz w:val="24"/>
          <w:szCs w:val="24"/>
          <w:color w:val="auto"/>
        </w:rPr>
      </w:pPr>
    </w:p>
    <w:p>
      <w:pPr>
        <w:ind w:right="40" w:firstLine="364"/>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periods as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210" w:lineRule="exact"/>
        <w:rPr>
          <w:sz w:val="24"/>
          <w:szCs w:val="24"/>
          <w:color w:val="auto"/>
        </w:rPr>
      </w:pPr>
    </w:p>
    <w:p>
      <w:pPr>
        <w:ind w:right="40" w:firstLine="364"/>
        <w:spacing w:after="0" w:line="20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9" w:lineRule="exact"/>
        <w:rPr>
          <w:sz w:val="24"/>
          <w:szCs w:val="24"/>
          <w:color w:val="auto"/>
        </w:rPr>
      </w:pPr>
    </w:p>
    <w:p>
      <w:pPr>
        <w:ind w:firstLine="364"/>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9" w:right="339" w:bottom="1440" w:gutter="0" w:footer="0" w:header="0"/>
        </w:sectPr>
      </w:pPr>
    </w:p>
    <w:p>
      <w:pPr>
        <w:spacing w:after="0" w:line="102" w:lineRule="exact"/>
        <w:rPr>
          <w:sz w:val="24"/>
          <w:szCs w:val="24"/>
          <w:color w:val="auto"/>
        </w:rPr>
      </w:pPr>
    </w:p>
    <w:p>
      <w:pPr>
        <w:ind w:left="360"/>
        <w:spacing w:after="0"/>
        <w:rPr>
          <w:sz w:val="20"/>
          <w:szCs w:val="20"/>
          <w:color w:val="auto"/>
        </w:rPr>
      </w:pPr>
      <w:r>
        <w:rPr>
          <w:rFonts w:ascii="Arial" w:cs="Arial" w:eastAsia="Arial" w:hAnsi="Arial"/>
          <w:sz w:val="14"/>
          <w:szCs w:val="14"/>
          <w:color w:val="auto"/>
        </w:rPr>
        <w:t>Large accelerated filer o</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 x</w:t>
      </w:r>
    </w:p>
    <w:p>
      <w:pPr>
        <w:spacing w:after="0" w:line="44" w:lineRule="exact"/>
        <w:rPr>
          <w:sz w:val="24"/>
          <w:szCs w:val="24"/>
          <w:color w:val="auto"/>
        </w:rPr>
      </w:pPr>
    </w:p>
    <w:p>
      <w:pPr>
        <w:sectPr>
          <w:pgSz w:w="11900" w:h="16838" w:orient="portrait"/>
          <w:cols w:equalWidth="0" w:num="2">
            <w:col w:w="7060" w:space="720"/>
            <w:col w:w="3460"/>
          </w:cols>
          <w:pgMar w:left="320" w:top="229" w:right="339" w:bottom="1440" w:gutter="0" w:footer="0" w:header="0"/>
          <w:type w:val="continuous"/>
        </w:sectPr>
      </w:pPr>
    </w:p>
    <w:p>
      <w:pPr>
        <w:ind w:left="360"/>
        <w:spacing w:after="0"/>
        <w:rPr>
          <w:sz w:val="20"/>
          <w:szCs w:val="20"/>
          <w:color w:val="auto"/>
        </w:rPr>
      </w:pPr>
      <w:r>
        <w:rPr>
          <w:rFonts w:ascii="Arial" w:cs="Arial" w:eastAsia="Arial" w:hAnsi="Arial"/>
          <w:sz w:val="14"/>
          <w:szCs w:val="14"/>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 o</w:t>
      </w:r>
    </w:p>
    <w:p>
      <w:pPr>
        <w:spacing w:after="0" w:line="96" w:lineRule="exact"/>
        <w:rPr>
          <w:sz w:val="24"/>
          <w:szCs w:val="24"/>
          <w:color w:val="auto"/>
        </w:rPr>
      </w:pPr>
    </w:p>
    <w:p>
      <w:pPr>
        <w:sectPr>
          <w:pgSz w:w="11900" w:h="16838" w:orient="portrait"/>
          <w:cols w:equalWidth="0" w:num="2">
            <w:col w:w="7060" w:space="720"/>
            <w:col w:w="3460"/>
          </w:cols>
          <w:pgMar w:left="320" w:top="229" w:right="339" w:bottom="1440" w:gutter="0" w:footer="0" w:header="0"/>
          <w:type w:val="continuous"/>
        </w:sectPr>
      </w:pPr>
    </w:p>
    <w:p>
      <w:pPr>
        <w:ind w:left="360"/>
        <w:spacing w:after="0"/>
        <w:rPr>
          <w:sz w:val="20"/>
          <w:szCs w:val="20"/>
          <w:color w:val="auto"/>
        </w:rPr>
      </w:pPr>
      <w:r>
        <w:rPr>
          <w:rFonts w:ascii="Arial" w:cs="Arial" w:eastAsia="Arial" w:hAnsi="Arial"/>
          <w:sz w:val="14"/>
          <w:szCs w:val="14"/>
          <w:color w:val="auto"/>
        </w:rPr>
        <w:t>Emerging growth company o</w:t>
      </w:r>
    </w:p>
    <w:p>
      <w:pPr>
        <w:sectPr>
          <w:pgSz w:w="11900" w:h="16838" w:orient="portrait"/>
          <w:cols w:equalWidth="0" w:num="1">
            <w:col w:w="11240"/>
          </w:cols>
          <w:pgMar w:left="320" w:top="229" w:right="339" w:bottom="1440" w:gutter="0" w:footer="0" w:header="0"/>
          <w:type w:val="continuous"/>
        </w:sectPr>
      </w:pPr>
    </w:p>
    <w:p>
      <w:pPr>
        <w:spacing w:after="0" w:line="123" w:lineRule="exact"/>
        <w:rPr>
          <w:sz w:val="24"/>
          <w:szCs w:val="24"/>
          <w:color w:val="auto"/>
        </w:rPr>
      </w:pPr>
    </w:p>
    <w:p>
      <w:pPr>
        <w:ind w:right="220" w:firstLine="364"/>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69" w:lineRule="exact"/>
        <w:rPr>
          <w:sz w:val="24"/>
          <w:szCs w:val="24"/>
          <w:color w:val="auto"/>
        </w:rPr>
      </w:pPr>
    </w:p>
    <w:p>
      <w:pPr>
        <w:ind w:left="34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w:t>
      </w:r>
    </w:p>
    <w:p>
      <w:pPr>
        <w:spacing w:after="0" w:line="278" w:lineRule="exact"/>
        <w:rPr>
          <w:sz w:val="24"/>
          <w:szCs w:val="24"/>
          <w:color w:val="auto"/>
        </w:rPr>
      </w:pPr>
    </w:p>
    <w:p>
      <w:pPr>
        <w:ind w:left="340"/>
        <w:spacing w:after="0"/>
        <w:rPr>
          <w:sz w:val="20"/>
          <w:szCs w:val="20"/>
          <w:color w:val="auto"/>
        </w:rPr>
      </w:pPr>
      <w:r>
        <w:rPr>
          <w:rFonts w:ascii="Arial" w:cs="Arial" w:eastAsia="Arial" w:hAnsi="Arial"/>
          <w:sz w:val="16"/>
          <w:szCs w:val="16"/>
          <w:color w:val="auto"/>
        </w:rPr>
        <w:t>The issuer had 16,754,590 shares of common stock, $0.01 par value per share, outstanding as of August 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151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SURO CAPITAL CORP.</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160" w:type="dxa"/>
            <w:vAlign w:val="bottom"/>
            <w:tcBorders>
              <w:bottom w:val="single" w:sz="8" w:color="CCEEFF"/>
            </w:tcBorders>
          </w:tcPr>
          <w:p>
            <w:pPr>
              <w:spacing w:after="0"/>
              <w:rPr>
                <w:sz w:val="16"/>
                <w:szCs w:val="16"/>
                <w:color w:val="auto"/>
              </w:rPr>
            </w:pPr>
          </w:p>
        </w:tc>
        <w:tc>
          <w:tcPr>
            <w:tcW w:w="46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36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PAGE</w:t>
            </w:r>
          </w:p>
        </w:tc>
      </w:tr>
      <w:tr>
        <w:trPr>
          <w:trHeight w:val="250"/>
        </w:trPr>
        <w:tc>
          <w:tcPr>
            <w:tcW w:w="10520" w:type="dxa"/>
            <w:vAlign w:val="bottom"/>
            <w:tcBorders>
              <w:bottom w:val="single" w:sz="8" w:color="CCEEFF"/>
            </w:tcBorders>
            <w:gridSpan w:val="10"/>
            <w:shd w:val="clear" w:color="auto" w:fill="CCEEFF"/>
          </w:tcPr>
          <w:p>
            <w:pPr>
              <w:ind w:left="20"/>
              <w:spacing w:after="0"/>
              <w:rPr>
                <w:sz w:val="20"/>
                <w:szCs w:val="20"/>
                <w:color w:val="auto"/>
              </w:rPr>
            </w:pPr>
            <w:r>
              <w:rPr>
                <w:rFonts w:ascii="Arial" w:cs="Arial" w:eastAsia="Arial" w:hAnsi="Arial"/>
                <w:sz w:val="18"/>
                <w:szCs w:val="18"/>
                <w:b w:val="1"/>
                <w:bCs w:val="1"/>
                <w:color w:val="auto"/>
              </w:rPr>
              <w:t>PART I. FINANCIAL INFORMATION</w:t>
            </w:r>
          </w:p>
        </w:tc>
        <w:tc>
          <w:tcPr>
            <w:tcW w:w="660" w:type="dxa"/>
            <w:vAlign w:val="bottom"/>
            <w:tcBorders>
              <w:bottom w:val="single" w:sz="8" w:color="CCEEFF"/>
            </w:tcBorders>
            <w:shd w:val="clear" w:color="auto" w:fill="CCEEFF"/>
          </w:tcPr>
          <w:p>
            <w:pPr>
              <w:spacing w:after="0"/>
              <w:rPr>
                <w:sz w:val="21"/>
                <w:szCs w:val="21"/>
                <w:color w:val="auto"/>
              </w:rPr>
            </w:pPr>
          </w:p>
        </w:tc>
      </w:tr>
      <w:tr>
        <w:trPr>
          <w:trHeight w:val="229"/>
        </w:trPr>
        <w:tc>
          <w:tcPr>
            <w:tcW w:w="1160" w:type="dxa"/>
            <w:vAlign w:val="bottom"/>
          </w:tcPr>
          <w:p>
            <w:pPr>
              <w:ind w:left="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Item 1.</w:t>
              </w:r>
            </w:hyperlink>
          </w:p>
        </w:tc>
        <w:tc>
          <w:tcPr>
            <w:tcW w:w="9360" w:type="dxa"/>
            <w:vAlign w:val="bottom"/>
            <w:gridSpan w:val="9"/>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Financial Statements</w:t>
              </w:r>
            </w:hyperlink>
          </w:p>
        </w:tc>
        <w:tc>
          <w:tcPr>
            <w:tcW w:w="66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1</w:t>
              </w:r>
            </w:hyperlink>
          </w:p>
        </w:tc>
      </w:tr>
      <w:tr>
        <w:trPr>
          <w:trHeight w:val="189"/>
        </w:trPr>
        <w:tc>
          <w:tcPr>
            <w:tcW w:w="1160" w:type="dxa"/>
            <w:vAlign w:val="bottom"/>
            <w:shd w:val="clear" w:color="auto" w:fill="CCEEFF"/>
          </w:tcPr>
          <w:p>
            <w:pPr>
              <w:spacing w:after="0"/>
              <w:rPr>
                <w:sz w:val="16"/>
                <w:szCs w:val="16"/>
                <w:color w:val="auto"/>
              </w:rPr>
            </w:pPr>
          </w:p>
        </w:tc>
        <w:tc>
          <w:tcPr>
            <w:tcW w:w="9360" w:type="dxa"/>
            <w:vAlign w:val="bottom"/>
            <w:gridSpan w:val="9"/>
            <w:shd w:val="clear" w:color="auto" w:fill="CCEEFF"/>
          </w:tcPr>
          <w:p>
            <w:pPr>
              <w:spacing w:after="0" w:line="189" w:lineRule="exact"/>
              <w:rPr>
                <w:rFonts w:ascii="Arial" w:cs="Arial" w:eastAsia="Arial" w:hAnsi="Arial"/>
                <w:sz w:val="18"/>
                <w:szCs w:val="18"/>
                <w:color w:val="0000FF"/>
                <w:w w:val="98"/>
              </w:rPr>
            </w:pPr>
            <w:hyperlink w:anchor="page3">
              <w:r>
                <w:rPr>
                  <w:rFonts w:ascii="Arial" w:cs="Arial" w:eastAsia="Arial" w:hAnsi="Arial"/>
                  <w:sz w:val="18"/>
                  <w:szCs w:val="18"/>
                  <w:color w:val="0000FF"/>
                  <w:w w:val="98"/>
                </w:rPr>
                <w:t xml:space="preserve">Condensed Consolidated Statements of Assets and Liabilities as of June 30, </w:t>
              </w:r>
              <w:r>
                <w:rPr>
                  <w:rFonts w:ascii="Arial" w:cs="Arial" w:eastAsia="Arial" w:hAnsi="Arial"/>
                  <w:sz w:val="18"/>
                  <w:szCs w:val="18"/>
                  <w:u w:val="single" w:color="auto"/>
                  <w:color w:val="0000FF"/>
                  <w:w w:val="98"/>
                </w:rPr>
                <w:t>2020 (Unaudited) and December 31, 2019</w:t>
              </w:r>
            </w:hyperlink>
          </w:p>
        </w:tc>
        <w:tc>
          <w:tcPr>
            <w:tcW w:w="660" w:type="dxa"/>
            <w:vAlign w:val="bottom"/>
            <w:shd w:val="clear" w:color="auto" w:fill="CCEEFF"/>
          </w:tcPr>
          <w:p>
            <w:pPr>
              <w:jc w:val="right"/>
              <w:spacing w:after="0" w:line="189" w:lineRule="exact"/>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1</w:t>
              </w:r>
            </w:hyperlink>
          </w:p>
        </w:tc>
      </w:tr>
      <w:tr>
        <w:trPr>
          <w:trHeight w:val="20"/>
        </w:trPr>
        <w:tc>
          <w:tcPr>
            <w:tcW w:w="1160" w:type="dxa"/>
            <w:vAlign w:val="bottom"/>
            <w:tcBorders>
              <w:top w:val="single" w:sz="8" w:color="CCEEFF"/>
            </w:tcBorders>
            <w:shd w:val="clear" w:color="auto" w:fill="CCEEFF"/>
          </w:tcPr>
          <w:p>
            <w:pPr>
              <w:spacing w:after="0" w:line="20" w:lineRule="exact"/>
              <w:rPr>
                <w:sz w:val="1"/>
                <w:szCs w:val="1"/>
                <w:color w:val="auto"/>
              </w:rPr>
            </w:pPr>
          </w:p>
        </w:tc>
        <w:tc>
          <w:tcPr>
            <w:tcW w:w="46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60" w:type="dxa"/>
            <w:vAlign w:val="bottom"/>
          </w:tcPr>
          <w:p>
            <w:pPr>
              <w:spacing w:after="0"/>
              <w:rPr>
                <w:sz w:val="16"/>
                <w:szCs w:val="16"/>
                <w:color w:val="auto"/>
              </w:rPr>
            </w:pPr>
          </w:p>
        </w:tc>
        <w:tc>
          <w:tcPr>
            <w:tcW w:w="9360" w:type="dxa"/>
            <w:vAlign w:val="bottom"/>
            <w:gridSpan w:val="9"/>
          </w:tcPr>
          <w:p>
            <w:pPr>
              <w:spacing w:after="0" w:line="189" w:lineRule="exact"/>
              <w:rPr>
                <w:rFonts w:ascii="Arial" w:cs="Arial" w:eastAsia="Arial" w:hAnsi="Arial"/>
                <w:sz w:val="18"/>
                <w:szCs w:val="18"/>
                <w:color w:val="0000FF"/>
                <w:w w:val="93"/>
              </w:rPr>
            </w:pPr>
            <w:hyperlink w:anchor="page3">
              <w:r>
                <w:rPr>
                  <w:rFonts w:ascii="Arial" w:cs="Arial" w:eastAsia="Arial" w:hAnsi="Arial"/>
                  <w:sz w:val="18"/>
                  <w:szCs w:val="18"/>
                  <w:u w:val="single" w:color="auto"/>
                  <w:color w:val="0000FF"/>
                  <w:w w:val="93"/>
                </w:rPr>
                <w:t>Condensed Consolidated Statements of Operations for the Three</w:t>
              </w:r>
              <w:r>
                <w:rPr>
                  <w:rFonts w:ascii="Arial" w:cs="Arial" w:eastAsia="Arial" w:hAnsi="Arial"/>
                  <w:sz w:val="18"/>
                  <w:szCs w:val="18"/>
                  <w:color w:val="0000FF"/>
                  <w:w w:val="93"/>
                </w:rPr>
                <w:t xml:space="preserve"> and Six Months Ended June 30, </w:t>
              </w:r>
              <w:r>
                <w:rPr>
                  <w:rFonts w:ascii="Arial" w:cs="Arial" w:eastAsia="Arial" w:hAnsi="Arial"/>
                  <w:sz w:val="18"/>
                  <w:szCs w:val="18"/>
                  <w:u w:val="single" w:color="auto"/>
                  <w:color w:val="0000FF"/>
                  <w:w w:val="93"/>
                </w:rPr>
                <w:t>2020 and 2019 (Unaudited)</w:t>
              </w:r>
            </w:hyperlink>
          </w:p>
        </w:tc>
        <w:tc>
          <w:tcPr>
            <w:tcW w:w="660" w:type="dxa"/>
            <w:vAlign w:val="bottom"/>
          </w:tcPr>
          <w:p>
            <w:pPr>
              <w:jc w:val="right"/>
              <w:spacing w:after="0" w:line="189" w:lineRule="exact"/>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2</w:t>
              </w:r>
            </w:hyperlink>
          </w:p>
        </w:tc>
      </w:tr>
      <w:tr>
        <w:trPr>
          <w:trHeight w:val="21"/>
        </w:trPr>
        <w:tc>
          <w:tcPr>
            <w:tcW w:w="11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89"/>
        </w:trPr>
        <w:tc>
          <w:tcPr>
            <w:tcW w:w="1160" w:type="dxa"/>
            <w:vAlign w:val="bottom"/>
            <w:shd w:val="clear" w:color="auto" w:fill="CCEEFF"/>
          </w:tcPr>
          <w:p>
            <w:pPr>
              <w:spacing w:after="0"/>
              <w:rPr>
                <w:sz w:val="16"/>
                <w:szCs w:val="16"/>
                <w:color w:val="auto"/>
              </w:rPr>
            </w:pPr>
          </w:p>
        </w:tc>
        <w:tc>
          <w:tcPr>
            <w:tcW w:w="9360" w:type="dxa"/>
            <w:vAlign w:val="bottom"/>
            <w:gridSpan w:val="9"/>
            <w:shd w:val="clear" w:color="auto" w:fill="CCEEFF"/>
          </w:tcPr>
          <w:p>
            <w:pPr>
              <w:spacing w:after="0" w:line="189" w:lineRule="exact"/>
              <w:rPr>
                <w:rFonts w:ascii="Arial" w:cs="Arial" w:eastAsia="Arial" w:hAnsi="Arial"/>
                <w:sz w:val="18"/>
                <w:szCs w:val="18"/>
                <w:color w:val="0000FF"/>
                <w:w w:val="92"/>
              </w:rPr>
            </w:pPr>
            <w:hyperlink w:anchor="page4">
              <w:r>
                <w:rPr>
                  <w:rFonts w:ascii="Arial" w:cs="Arial" w:eastAsia="Arial" w:hAnsi="Arial"/>
                  <w:sz w:val="18"/>
                  <w:szCs w:val="18"/>
                  <w:u w:val="single" w:color="auto"/>
                  <w:color w:val="0000FF"/>
                  <w:w w:val="92"/>
                </w:rPr>
                <w:t>Condensed Consolidated Statements of Changes in Net Assets for the</w:t>
              </w:r>
              <w:r>
                <w:rPr>
                  <w:rFonts w:ascii="Arial" w:cs="Arial" w:eastAsia="Arial" w:hAnsi="Arial"/>
                  <w:sz w:val="18"/>
                  <w:szCs w:val="18"/>
                  <w:color w:val="0000FF"/>
                  <w:w w:val="92"/>
                </w:rPr>
                <w:t xml:space="preserve"> Six Months Ended June 30, </w:t>
              </w:r>
              <w:r>
                <w:rPr>
                  <w:rFonts w:ascii="Arial" w:cs="Arial" w:eastAsia="Arial" w:hAnsi="Arial"/>
                  <w:sz w:val="18"/>
                  <w:szCs w:val="18"/>
                  <w:u w:val="single" w:color="auto"/>
                  <w:color w:val="0000FF"/>
                  <w:w w:val="92"/>
                </w:rPr>
                <w:t>2020 and 2019 (Unaudited)</w:t>
              </w:r>
            </w:hyperlink>
          </w:p>
        </w:tc>
        <w:tc>
          <w:tcPr>
            <w:tcW w:w="660" w:type="dxa"/>
            <w:vAlign w:val="bottom"/>
            <w:shd w:val="clear" w:color="auto" w:fill="CCEEFF"/>
          </w:tcPr>
          <w:p>
            <w:pPr>
              <w:jc w:val="right"/>
              <w:spacing w:after="0" w:line="189" w:lineRule="exact"/>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3</w:t>
              </w:r>
            </w:hyperlink>
          </w:p>
        </w:tc>
      </w:tr>
      <w:tr>
        <w:trPr>
          <w:trHeight w:val="21"/>
        </w:trPr>
        <w:tc>
          <w:tcPr>
            <w:tcW w:w="1160" w:type="dxa"/>
            <w:vAlign w:val="bottom"/>
            <w:tcBorders>
              <w:top w:val="single" w:sz="8" w:color="CCEEFF"/>
            </w:tcBorders>
            <w:shd w:val="clear" w:color="auto" w:fill="CCEEFF"/>
          </w:tcPr>
          <w:p>
            <w:pPr>
              <w:spacing w:after="0" w:line="20" w:lineRule="exact"/>
              <w:rPr>
                <w:sz w:val="1"/>
                <w:szCs w:val="1"/>
                <w:color w:val="auto"/>
              </w:rPr>
            </w:pPr>
          </w:p>
        </w:tc>
        <w:tc>
          <w:tcPr>
            <w:tcW w:w="4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60" w:type="dxa"/>
            <w:vAlign w:val="bottom"/>
          </w:tcPr>
          <w:p>
            <w:pPr>
              <w:spacing w:after="0"/>
              <w:rPr>
                <w:sz w:val="16"/>
                <w:szCs w:val="16"/>
                <w:color w:val="auto"/>
              </w:rPr>
            </w:pPr>
          </w:p>
        </w:tc>
        <w:tc>
          <w:tcPr>
            <w:tcW w:w="9360" w:type="dxa"/>
            <w:vAlign w:val="bottom"/>
            <w:gridSpan w:val="9"/>
          </w:tcPr>
          <w:p>
            <w:pPr>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 xml:space="preserve">Condensed Consolidated Statements of Cash Flows for the Six Months Ended June </w:t>
              </w:r>
            </w:hyperlink>
            <w:r>
              <w:rPr>
                <w:rFonts w:ascii="Arial" w:cs="Arial" w:eastAsia="Arial" w:hAnsi="Arial"/>
                <w:sz w:val="18"/>
                <w:szCs w:val="18"/>
                <w:color w:val="0000FF"/>
              </w:rPr>
              <w:t>30</w:t>
            </w:r>
            <w:hyperlink w:anchor="page5">
              <w:r>
                <w:rPr>
                  <w:rFonts w:ascii="Arial" w:cs="Arial" w:eastAsia="Arial" w:hAnsi="Arial"/>
                  <w:sz w:val="18"/>
                  <w:szCs w:val="18"/>
                  <w:color w:val="0000FF"/>
                </w:rPr>
                <w:t xml:space="preserve">, </w:t>
              </w:r>
              <w:r>
                <w:rPr>
                  <w:rFonts w:ascii="Arial" w:cs="Arial" w:eastAsia="Arial" w:hAnsi="Arial"/>
                  <w:sz w:val="18"/>
                  <w:szCs w:val="18"/>
                  <w:u w:val="single" w:color="auto"/>
                  <w:color w:val="0000FF"/>
                </w:rPr>
                <w:t>2020 and 2019 (Unaudited)</w:t>
              </w:r>
            </w:hyperlink>
          </w:p>
        </w:tc>
        <w:tc>
          <w:tcPr>
            <w:tcW w:w="660" w:type="dxa"/>
            <w:vAlign w:val="bottom"/>
          </w:tcPr>
          <w:p>
            <w:pPr>
              <w:jc w:val="right"/>
              <w:spacing w:after="0" w:line="189" w:lineRule="exact"/>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4</w:t>
              </w:r>
            </w:hyperlink>
          </w:p>
        </w:tc>
      </w:tr>
      <w:tr>
        <w:trPr>
          <w:trHeight w:val="20"/>
        </w:trPr>
        <w:tc>
          <w:tcPr>
            <w:tcW w:w="1160" w:type="dxa"/>
            <w:vAlign w:val="bottom"/>
          </w:tcPr>
          <w:p>
            <w:pPr>
              <w:spacing w:after="0" w:line="20" w:lineRule="exact"/>
              <w:rPr>
                <w:sz w:val="1"/>
                <w:szCs w:val="1"/>
                <w:color w:val="auto"/>
              </w:rPr>
            </w:pPr>
          </w:p>
        </w:tc>
        <w:tc>
          <w:tcPr>
            <w:tcW w:w="46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89"/>
        </w:trPr>
        <w:tc>
          <w:tcPr>
            <w:tcW w:w="1160" w:type="dxa"/>
            <w:vAlign w:val="bottom"/>
            <w:shd w:val="clear" w:color="auto" w:fill="CCEEFF"/>
          </w:tcPr>
          <w:p>
            <w:pPr>
              <w:spacing w:after="0"/>
              <w:rPr>
                <w:sz w:val="16"/>
                <w:szCs w:val="16"/>
                <w:color w:val="auto"/>
              </w:rPr>
            </w:pPr>
          </w:p>
        </w:tc>
        <w:tc>
          <w:tcPr>
            <w:tcW w:w="9360" w:type="dxa"/>
            <w:vAlign w:val="bottom"/>
            <w:gridSpan w:val="9"/>
            <w:shd w:val="clear" w:color="auto" w:fill="CCEEFF"/>
          </w:tcPr>
          <w:p>
            <w:pPr>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 xml:space="preserve">Condensed Consolidated Schedule of Investments as of June 30, </w:t>
              </w:r>
              <w:r>
                <w:rPr>
                  <w:rFonts w:ascii="Arial" w:cs="Arial" w:eastAsia="Arial" w:hAnsi="Arial"/>
                  <w:sz w:val="18"/>
                  <w:szCs w:val="18"/>
                  <w:u w:val="single" w:color="auto"/>
                  <w:color w:val="0000FF"/>
                </w:rPr>
                <w:t>2020 (Unaudited)</w:t>
              </w:r>
            </w:hyperlink>
          </w:p>
        </w:tc>
        <w:tc>
          <w:tcPr>
            <w:tcW w:w="660" w:type="dxa"/>
            <w:vAlign w:val="bottom"/>
            <w:shd w:val="clear" w:color="auto" w:fill="CCEEFF"/>
          </w:tcPr>
          <w:p>
            <w:pPr>
              <w:jc w:val="right"/>
              <w:spacing w:after="0" w:line="189" w:lineRule="exact"/>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5</w:t>
              </w:r>
            </w:hyperlink>
          </w:p>
        </w:tc>
      </w:tr>
      <w:tr>
        <w:trPr>
          <w:trHeight w:val="21"/>
        </w:trPr>
        <w:tc>
          <w:tcPr>
            <w:tcW w:w="1160" w:type="dxa"/>
            <w:vAlign w:val="bottom"/>
            <w:tcBorders>
              <w:top w:val="single" w:sz="8" w:color="CCEEFF"/>
            </w:tcBorders>
            <w:shd w:val="clear" w:color="auto" w:fill="CCEEFF"/>
          </w:tcPr>
          <w:p>
            <w:pPr>
              <w:spacing w:after="0" w:line="20" w:lineRule="exact"/>
              <w:rPr>
                <w:sz w:val="1"/>
                <w:szCs w:val="1"/>
                <w:color w:val="auto"/>
              </w:rPr>
            </w:pPr>
          </w:p>
        </w:tc>
        <w:tc>
          <w:tcPr>
            <w:tcW w:w="46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1160" w:type="dxa"/>
            <w:vAlign w:val="bottom"/>
          </w:tcPr>
          <w:p>
            <w:pPr>
              <w:spacing w:after="0"/>
              <w:rPr>
                <w:sz w:val="19"/>
                <w:szCs w:val="19"/>
                <w:color w:val="auto"/>
              </w:rPr>
            </w:pPr>
          </w:p>
        </w:tc>
        <w:tc>
          <w:tcPr>
            <w:tcW w:w="9360" w:type="dxa"/>
            <w:vAlign w:val="bottom"/>
            <w:gridSpan w:val="9"/>
          </w:tcPr>
          <w:p>
            <w:pPr>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Condensed Consolidated Schedule of Investments as of December 31, 2019</w:t>
              </w:r>
            </w:hyperlink>
          </w:p>
        </w:tc>
        <w:tc>
          <w:tcPr>
            <w:tcW w:w="660" w:type="dxa"/>
            <w:vAlign w:val="bottom"/>
          </w:tcPr>
          <w:p>
            <w:pPr>
              <w:jc w:val="right"/>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9</w:t>
              </w:r>
            </w:hyperlink>
          </w:p>
        </w:tc>
      </w:tr>
      <w:tr>
        <w:trPr>
          <w:trHeight w:val="189"/>
        </w:trPr>
        <w:tc>
          <w:tcPr>
            <w:tcW w:w="1160" w:type="dxa"/>
            <w:vAlign w:val="bottom"/>
            <w:shd w:val="clear" w:color="auto" w:fill="CCEEFF"/>
          </w:tcPr>
          <w:p>
            <w:pPr>
              <w:spacing w:after="0"/>
              <w:rPr>
                <w:sz w:val="16"/>
                <w:szCs w:val="16"/>
                <w:color w:val="auto"/>
              </w:rPr>
            </w:pPr>
          </w:p>
        </w:tc>
        <w:tc>
          <w:tcPr>
            <w:tcW w:w="9360" w:type="dxa"/>
            <w:vAlign w:val="bottom"/>
            <w:gridSpan w:val="9"/>
            <w:shd w:val="clear" w:color="auto" w:fill="CCEEFF"/>
          </w:tcPr>
          <w:p>
            <w:pPr>
              <w:spacing w:after="0" w:line="189" w:lineRule="exact"/>
              <w:rPr>
                <w:rFonts w:ascii="Arial" w:cs="Arial" w:eastAsia="Arial" w:hAnsi="Arial"/>
                <w:sz w:val="18"/>
                <w:szCs w:val="18"/>
                <w:color w:val="0000FF"/>
              </w:rPr>
            </w:pPr>
            <w:hyperlink w:anchor="page14">
              <w:r>
                <w:rPr>
                  <w:rFonts w:ascii="Arial" w:cs="Arial" w:eastAsia="Arial" w:hAnsi="Arial"/>
                  <w:sz w:val="18"/>
                  <w:szCs w:val="18"/>
                  <w:color w:val="0000FF"/>
                </w:rPr>
                <w:t xml:space="preserve">Notes to Condensed Consolidated Financial Statements as of June 30, </w:t>
              </w:r>
              <w:r>
                <w:rPr>
                  <w:rFonts w:ascii="Arial" w:cs="Arial" w:eastAsia="Arial" w:hAnsi="Arial"/>
                  <w:sz w:val="18"/>
                  <w:szCs w:val="18"/>
                  <w:u w:val="single" w:color="auto"/>
                  <w:color w:val="0000FF"/>
                </w:rPr>
                <w:t>2020 (Unaudited)</w:t>
              </w:r>
            </w:hyperlink>
          </w:p>
        </w:tc>
        <w:tc>
          <w:tcPr>
            <w:tcW w:w="660" w:type="dxa"/>
            <w:vAlign w:val="bottom"/>
            <w:shd w:val="clear" w:color="auto" w:fill="CCEEFF"/>
          </w:tcPr>
          <w:p>
            <w:pPr>
              <w:jc w:val="right"/>
              <w:spacing w:after="0" w:line="189" w:lineRule="exact"/>
              <w:rPr>
                <w:rFonts w:ascii="Arial" w:cs="Arial" w:eastAsia="Arial" w:hAnsi="Arial"/>
                <w:sz w:val="18"/>
                <w:szCs w:val="18"/>
                <w:u w:val="single" w:color="auto"/>
                <w:color w:val="0000FF"/>
              </w:rPr>
            </w:pPr>
            <w:hyperlink w:anchor="page14">
              <w:r>
                <w:rPr>
                  <w:rFonts w:ascii="Arial" w:cs="Arial" w:eastAsia="Arial" w:hAnsi="Arial"/>
                  <w:sz w:val="18"/>
                  <w:szCs w:val="18"/>
                  <w:u w:val="single" w:color="auto"/>
                  <w:color w:val="0000FF"/>
                </w:rPr>
                <w:t>13</w:t>
              </w:r>
            </w:hyperlink>
          </w:p>
        </w:tc>
      </w:tr>
      <w:tr>
        <w:trPr>
          <w:trHeight w:val="21"/>
        </w:trPr>
        <w:tc>
          <w:tcPr>
            <w:tcW w:w="1160" w:type="dxa"/>
            <w:vAlign w:val="bottom"/>
            <w:tcBorders>
              <w:top w:val="single" w:sz="8" w:color="CCEEFF"/>
            </w:tcBorders>
            <w:shd w:val="clear" w:color="auto" w:fill="CCEEFF"/>
          </w:tcPr>
          <w:p>
            <w:pPr>
              <w:spacing w:after="0" w:line="20" w:lineRule="exact"/>
              <w:rPr>
                <w:sz w:val="1"/>
                <w:szCs w:val="1"/>
                <w:color w:val="auto"/>
              </w:rPr>
            </w:pPr>
          </w:p>
        </w:tc>
        <w:tc>
          <w:tcPr>
            <w:tcW w:w="46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1160" w:type="dxa"/>
            <w:vAlign w:val="bottom"/>
          </w:tcPr>
          <w:p>
            <w:pPr>
              <w:ind w:left="2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Item 2.</w:t>
              </w:r>
            </w:hyperlink>
          </w:p>
        </w:tc>
        <w:tc>
          <w:tcPr>
            <w:tcW w:w="9360" w:type="dxa"/>
            <w:vAlign w:val="bottom"/>
            <w:gridSpan w:val="9"/>
          </w:tcPr>
          <w:p>
            <w:pPr>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Management’s Discussion and Analysis of Financial Condition and Results of Operations</w:t>
              </w:r>
            </w:hyperlink>
          </w:p>
        </w:tc>
        <w:tc>
          <w:tcPr>
            <w:tcW w:w="660" w:type="dxa"/>
            <w:vAlign w:val="bottom"/>
          </w:tcPr>
          <w:p>
            <w:pPr>
              <w:jc w:val="right"/>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54</w:t>
              </w:r>
            </w:hyperlink>
          </w:p>
        </w:tc>
      </w:tr>
      <w:tr>
        <w:trPr>
          <w:trHeight w:val="229"/>
        </w:trPr>
        <w:tc>
          <w:tcPr>
            <w:tcW w:w="1160" w:type="dxa"/>
            <w:vAlign w:val="bottom"/>
            <w:shd w:val="clear" w:color="auto" w:fill="CCEEFF"/>
          </w:tcPr>
          <w:p>
            <w:pPr>
              <w:ind w:left="20"/>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Item 3.</w:t>
              </w:r>
            </w:hyperlink>
          </w:p>
        </w:tc>
        <w:tc>
          <w:tcPr>
            <w:tcW w:w="9360" w:type="dxa"/>
            <w:vAlign w:val="bottom"/>
            <w:gridSpan w:val="9"/>
            <w:shd w:val="clear" w:color="auto" w:fill="CCEEFF"/>
          </w:tcPr>
          <w:p>
            <w:pPr>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Quantitative and Qualitative Disclosures About Market Risk</w:t>
              </w:r>
            </w:hyperlink>
          </w:p>
        </w:tc>
        <w:tc>
          <w:tcPr>
            <w:tcW w:w="660" w:type="dxa"/>
            <w:vAlign w:val="bottom"/>
            <w:shd w:val="clear" w:color="auto" w:fill="CCEEFF"/>
          </w:tcPr>
          <w:p>
            <w:pPr>
              <w:jc w:val="right"/>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67</w:t>
              </w:r>
            </w:hyperlink>
          </w:p>
        </w:tc>
      </w:tr>
      <w:tr>
        <w:trPr>
          <w:trHeight w:val="230"/>
        </w:trPr>
        <w:tc>
          <w:tcPr>
            <w:tcW w:w="1160" w:type="dxa"/>
            <w:vAlign w:val="bottom"/>
          </w:tcPr>
          <w:p>
            <w:pPr>
              <w:ind w:left="20"/>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Item 4.</w:t>
              </w:r>
            </w:hyperlink>
          </w:p>
        </w:tc>
        <w:tc>
          <w:tcPr>
            <w:tcW w:w="9360" w:type="dxa"/>
            <w:vAlign w:val="bottom"/>
            <w:gridSpan w:val="9"/>
          </w:tcPr>
          <w:p>
            <w:pPr>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Controls and Procedures</w:t>
              </w:r>
            </w:hyperlink>
          </w:p>
        </w:tc>
        <w:tc>
          <w:tcPr>
            <w:tcW w:w="660" w:type="dxa"/>
            <w:vAlign w:val="bottom"/>
          </w:tcPr>
          <w:p>
            <w:pPr>
              <w:jc w:val="right"/>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67</w:t>
              </w:r>
            </w:hyperlink>
          </w:p>
        </w:tc>
      </w:tr>
      <w:tr>
        <w:trPr>
          <w:trHeight w:val="263"/>
        </w:trPr>
        <w:tc>
          <w:tcPr>
            <w:tcW w:w="10520" w:type="dxa"/>
            <w:vAlign w:val="bottom"/>
            <w:tcBorders>
              <w:bottom w:val="single" w:sz="8" w:color="CCEEFF"/>
            </w:tcBorders>
            <w:gridSpan w:val="10"/>
            <w:shd w:val="clear" w:color="auto" w:fill="CCEEFF"/>
          </w:tcPr>
          <w:p>
            <w:pPr>
              <w:ind w:left="20"/>
              <w:spacing w:after="0"/>
              <w:rPr>
                <w:sz w:val="20"/>
                <w:szCs w:val="20"/>
                <w:color w:val="auto"/>
              </w:rPr>
            </w:pPr>
            <w:r>
              <w:rPr>
                <w:rFonts w:ascii="Arial" w:cs="Arial" w:eastAsia="Arial" w:hAnsi="Arial"/>
                <w:sz w:val="18"/>
                <w:szCs w:val="18"/>
                <w:b w:val="1"/>
                <w:bCs w:val="1"/>
                <w:color w:val="auto"/>
              </w:rPr>
              <w:t>PART II. OTHER INFORMATION</w:t>
            </w:r>
          </w:p>
        </w:tc>
        <w:tc>
          <w:tcPr>
            <w:tcW w:w="660" w:type="dxa"/>
            <w:vAlign w:val="bottom"/>
            <w:tcBorders>
              <w:bottom w:val="single" w:sz="8" w:color="CCEEFF"/>
            </w:tcBorders>
            <w:shd w:val="clear" w:color="auto" w:fill="CCEEFF"/>
          </w:tcPr>
          <w:p>
            <w:pPr>
              <w:spacing w:after="0"/>
              <w:rPr>
                <w:sz w:val="22"/>
                <w:szCs w:val="22"/>
                <w:color w:val="auto"/>
              </w:rPr>
            </w:pPr>
          </w:p>
        </w:tc>
      </w:tr>
      <w:tr>
        <w:trPr>
          <w:trHeight w:val="229"/>
        </w:trPr>
        <w:tc>
          <w:tcPr>
            <w:tcW w:w="1160" w:type="dxa"/>
            <w:vAlign w:val="bottom"/>
          </w:tcPr>
          <w:p>
            <w:pPr>
              <w:ind w:left="20"/>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Item 1.</w:t>
              </w:r>
            </w:hyperlink>
          </w:p>
        </w:tc>
        <w:tc>
          <w:tcPr>
            <w:tcW w:w="9360" w:type="dxa"/>
            <w:vAlign w:val="bottom"/>
            <w:gridSpan w:val="9"/>
          </w:tcPr>
          <w:p>
            <w:pPr>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Legal Proceedings</w:t>
              </w:r>
            </w:hyperlink>
          </w:p>
        </w:tc>
        <w:tc>
          <w:tcPr>
            <w:tcW w:w="660" w:type="dxa"/>
            <w:vAlign w:val="bottom"/>
          </w:tcPr>
          <w:p>
            <w:pPr>
              <w:jc w:val="right"/>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68</w:t>
              </w:r>
            </w:hyperlink>
          </w:p>
        </w:tc>
      </w:tr>
      <w:tr>
        <w:trPr>
          <w:trHeight w:val="230"/>
        </w:trPr>
        <w:tc>
          <w:tcPr>
            <w:tcW w:w="1160" w:type="dxa"/>
            <w:vAlign w:val="bottom"/>
            <w:shd w:val="clear" w:color="auto" w:fill="CCEEFF"/>
          </w:tcPr>
          <w:p>
            <w:pPr>
              <w:ind w:left="20"/>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Item 1A.</w:t>
              </w:r>
            </w:hyperlink>
          </w:p>
        </w:tc>
        <w:tc>
          <w:tcPr>
            <w:tcW w:w="9360" w:type="dxa"/>
            <w:vAlign w:val="bottom"/>
            <w:gridSpan w:val="9"/>
            <w:shd w:val="clear" w:color="auto" w:fill="CCEEFF"/>
          </w:tcPr>
          <w:p>
            <w:pPr>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Risk Factors</w:t>
              </w:r>
            </w:hyperlink>
          </w:p>
        </w:tc>
        <w:tc>
          <w:tcPr>
            <w:tcW w:w="660" w:type="dxa"/>
            <w:vAlign w:val="bottom"/>
            <w:shd w:val="clear" w:color="auto" w:fill="CCEEFF"/>
          </w:tcPr>
          <w:p>
            <w:pPr>
              <w:jc w:val="right"/>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68</w:t>
              </w:r>
            </w:hyperlink>
          </w:p>
        </w:tc>
      </w:tr>
      <w:tr>
        <w:trPr>
          <w:trHeight w:val="229"/>
        </w:trPr>
        <w:tc>
          <w:tcPr>
            <w:tcW w:w="1160" w:type="dxa"/>
            <w:vAlign w:val="bottom"/>
          </w:tcPr>
          <w:p>
            <w:pPr>
              <w:ind w:left="20"/>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Item 2.</w:t>
              </w:r>
            </w:hyperlink>
          </w:p>
        </w:tc>
        <w:tc>
          <w:tcPr>
            <w:tcW w:w="9360" w:type="dxa"/>
            <w:vAlign w:val="bottom"/>
            <w:gridSpan w:val="9"/>
          </w:tcPr>
          <w:p>
            <w:pPr>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Unregistered Sales of Equity Securities and Use of Proceeds</w:t>
              </w:r>
            </w:hyperlink>
          </w:p>
        </w:tc>
        <w:tc>
          <w:tcPr>
            <w:tcW w:w="660" w:type="dxa"/>
            <w:vAlign w:val="bottom"/>
          </w:tcPr>
          <w:p>
            <w:pPr>
              <w:jc w:val="right"/>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70</w:t>
              </w:r>
            </w:hyperlink>
          </w:p>
        </w:tc>
      </w:tr>
      <w:tr>
        <w:trPr>
          <w:trHeight w:val="229"/>
        </w:trPr>
        <w:tc>
          <w:tcPr>
            <w:tcW w:w="1160" w:type="dxa"/>
            <w:vAlign w:val="bottom"/>
            <w:shd w:val="clear" w:color="auto" w:fill="CCEEFF"/>
          </w:tcPr>
          <w:p>
            <w:pPr>
              <w:ind w:left="20"/>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Item 3.</w:t>
              </w:r>
            </w:hyperlink>
          </w:p>
        </w:tc>
        <w:tc>
          <w:tcPr>
            <w:tcW w:w="9360" w:type="dxa"/>
            <w:vAlign w:val="bottom"/>
            <w:gridSpan w:val="9"/>
            <w:shd w:val="clear" w:color="auto" w:fill="CCEEFF"/>
          </w:tcPr>
          <w:p>
            <w:pPr>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Defaults Upon Senior Securities</w:t>
              </w:r>
            </w:hyperlink>
          </w:p>
        </w:tc>
        <w:tc>
          <w:tcPr>
            <w:tcW w:w="660" w:type="dxa"/>
            <w:vAlign w:val="bottom"/>
            <w:shd w:val="clear" w:color="auto" w:fill="CCEEFF"/>
          </w:tcPr>
          <w:p>
            <w:pPr>
              <w:jc w:val="right"/>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71</w:t>
              </w:r>
            </w:hyperlink>
          </w:p>
        </w:tc>
      </w:tr>
      <w:tr>
        <w:trPr>
          <w:trHeight w:val="230"/>
        </w:trPr>
        <w:tc>
          <w:tcPr>
            <w:tcW w:w="1160" w:type="dxa"/>
            <w:vAlign w:val="bottom"/>
          </w:tcPr>
          <w:p>
            <w:pPr>
              <w:ind w:left="20"/>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Item 4.</w:t>
              </w:r>
            </w:hyperlink>
          </w:p>
        </w:tc>
        <w:tc>
          <w:tcPr>
            <w:tcW w:w="9360" w:type="dxa"/>
            <w:vAlign w:val="bottom"/>
            <w:gridSpan w:val="9"/>
          </w:tcPr>
          <w:p>
            <w:pPr>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Mine Safety Disclosures</w:t>
              </w:r>
            </w:hyperlink>
          </w:p>
        </w:tc>
        <w:tc>
          <w:tcPr>
            <w:tcW w:w="660" w:type="dxa"/>
            <w:vAlign w:val="bottom"/>
          </w:tcPr>
          <w:p>
            <w:pPr>
              <w:jc w:val="right"/>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71</w:t>
              </w:r>
            </w:hyperlink>
          </w:p>
        </w:tc>
      </w:tr>
      <w:tr>
        <w:trPr>
          <w:trHeight w:val="229"/>
        </w:trPr>
        <w:tc>
          <w:tcPr>
            <w:tcW w:w="1160" w:type="dxa"/>
            <w:vAlign w:val="bottom"/>
            <w:shd w:val="clear" w:color="auto" w:fill="CCEEFF"/>
          </w:tcPr>
          <w:p>
            <w:pPr>
              <w:ind w:left="20"/>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Item 5.</w:t>
              </w:r>
            </w:hyperlink>
          </w:p>
        </w:tc>
        <w:tc>
          <w:tcPr>
            <w:tcW w:w="9360" w:type="dxa"/>
            <w:vAlign w:val="bottom"/>
            <w:gridSpan w:val="9"/>
            <w:shd w:val="clear" w:color="auto" w:fill="CCEEFF"/>
          </w:tcPr>
          <w:p>
            <w:pPr>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Other Information</w:t>
              </w:r>
            </w:hyperlink>
          </w:p>
        </w:tc>
        <w:tc>
          <w:tcPr>
            <w:tcW w:w="660" w:type="dxa"/>
            <w:vAlign w:val="bottom"/>
            <w:shd w:val="clear" w:color="auto" w:fill="CCEEFF"/>
          </w:tcPr>
          <w:p>
            <w:pPr>
              <w:jc w:val="right"/>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71</w:t>
              </w:r>
            </w:hyperlink>
          </w:p>
        </w:tc>
      </w:tr>
      <w:tr>
        <w:trPr>
          <w:trHeight w:val="230"/>
        </w:trPr>
        <w:tc>
          <w:tcPr>
            <w:tcW w:w="1160" w:type="dxa"/>
            <w:vAlign w:val="bottom"/>
          </w:tcPr>
          <w:p>
            <w:pPr>
              <w:ind w:left="20"/>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Item 6.</w:t>
              </w:r>
            </w:hyperlink>
          </w:p>
        </w:tc>
        <w:tc>
          <w:tcPr>
            <w:tcW w:w="9360" w:type="dxa"/>
            <w:vAlign w:val="bottom"/>
            <w:gridSpan w:val="9"/>
          </w:tcPr>
          <w:p>
            <w:pPr>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Exhibits</w:t>
              </w:r>
            </w:hyperlink>
          </w:p>
        </w:tc>
        <w:tc>
          <w:tcPr>
            <w:tcW w:w="660" w:type="dxa"/>
            <w:vAlign w:val="bottom"/>
          </w:tcPr>
          <w:p>
            <w:pPr>
              <w:jc w:val="right"/>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72</w:t>
              </w:r>
            </w:hyperlink>
          </w:p>
        </w:tc>
      </w:tr>
      <w:tr>
        <w:trPr>
          <w:trHeight w:val="230"/>
        </w:trPr>
        <w:tc>
          <w:tcPr>
            <w:tcW w:w="1160" w:type="dxa"/>
            <w:vAlign w:val="bottom"/>
            <w:shd w:val="clear" w:color="auto" w:fill="CCEEFF"/>
          </w:tcPr>
          <w:p>
            <w:pPr>
              <w:ind w:left="20"/>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Signatures</w:t>
              </w:r>
            </w:hyperlink>
          </w:p>
        </w:tc>
        <w:tc>
          <w:tcPr>
            <w:tcW w:w="46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73</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-1490980</wp:posOffset>
            </wp:positionV>
            <wp:extent cx="6669405"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9405" cy="15430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-3128645</wp:posOffset>
            </wp:positionV>
            <wp:extent cx="66694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94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20"/>
          </w:cols>
          <w:pgMar w:left="320" w:top="121" w:right="359" w:bottom="1440" w:gutter="0" w:footer="0" w:header="0"/>
        </w:sectPr>
      </w:pPr>
    </w:p>
    <w:bookmarkStart w:id="2" w:name="page3"/>
    <w:bookmarkEnd w:id="2"/>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ASSETS AND LIABILITIES (UNAUDITED)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Pr>
          <w:p>
            <w:pPr>
              <w:spacing w:after="0"/>
              <w:rPr>
                <w:sz w:val="16"/>
                <w:szCs w:val="16"/>
                <w:color w:val="auto"/>
              </w:rPr>
            </w:pPr>
          </w:p>
        </w:tc>
        <w:tc>
          <w:tcPr>
            <w:tcW w:w="1500" w:type="dxa"/>
            <w:vAlign w:val="bottom"/>
          </w:tcPr>
          <w:p>
            <w:pPr>
              <w:jc w:val="right"/>
              <w:ind w:right="179"/>
              <w:spacing w:after="0"/>
              <w:rPr>
                <w:sz w:val="20"/>
                <w:szCs w:val="20"/>
                <w:color w:val="auto"/>
              </w:rPr>
            </w:pPr>
            <w:r>
              <w:rPr>
                <w:rFonts w:ascii="Arial" w:cs="Arial" w:eastAsia="Arial" w:hAnsi="Arial"/>
                <w:sz w:val="14"/>
                <w:szCs w:val="14"/>
                <w:b w:val="1"/>
                <w:bCs w:val="1"/>
                <w:color w:val="auto"/>
                <w:w w:val="96"/>
              </w:rPr>
              <w:t>December 31, 2019</w:t>
            </w:r>
          </w:p>
        </w:tc>
        <w:tc>
          <w:tcPr>
            <w:tcW w:w="0" w:type="dxa"/>
            <w:vAlign w:val="bottom"/>
          </w:tcPr>
          <w:p>
            <w:pPr>
              <w:spacing w:after="0"/>
              <w:rPr>
                <w:sz w:val="1"/>
                <w:szCs w:val="1"/>
                <w:color w:val="auto"/>
              </w:rPr>
            </w:pPr>
          </w:p>
        </w:tc>
      </w:tr>
      <w:tr>
        <w:trPr>
          <w:trHeight w:val="236"/>
        </w:trPr>
        <w:tc>
          <w:tcPr>
            <w:tcW w:w="7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5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760" w:type="dxa"/>
            <w:vAlign w:val="bottom"/>
          </w:tcPr>
          <w:p>
            <w:pPr>
              <w:ind w:left="20"/>
              <w:spacing w:after="0"/>
              <w:rPr>
                <w:sz w:val="20"/>
                <w:szCs w:val="20"/>
                <w:color w:val="auto"/>
              </w:rPr>
            </w:pPr>
            <w:r>
              <w:rPr>
                <w:rFonts w:ascii="Arial" w:cs="Arial" w:eastAsia="Arial" w:hAnsi="Arial"/>
                <w:sz w:val="16"/>
                <w:szCs w:val="16"/>
                <w:color w:val="auto"/>
              </w:rPr>
              <w:t>Investments at fair value:</w:t>
            </w: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Non-controlled/non-affiliate investments (cost of $99,121,577 and $90,567,041, respectively)</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168,700,422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152,866,112</w:t>
            </w:r>
          </w:p>
        </w:tc>
        <w:tc>
          <w:tcPr>
            <w:tcW w:w="0" w:type="dxa"/>
            <w:vAlign w:val="bottom"/>
          </w:tcPr>
          <w:p>
            <w:pPr>
              <w:spacing w:after="0"/>
              <w:rPr>
                <w:sz w:val="1"/>
                <w:szCs w:val="1"/>
                <w:color w:val="auto"/>
              </w:rPr>
            </w:pPr>
          </w:p>
        </w:tc>
      </w:tr>
      <w:tr>
        <w:trPr>
          <w:trHeight w:val="223"/>
        </w:trPr>
        <w:tc>
          <w:tcPr>
            <w:tcW w:w="7760" w:type="dxa"/>
            <w:vAlign w:val="bottom"/>
          </w:tcPr>
          <w:p>
            <w:pPr>
              <w:ind w:left="20"/>
              <w:spacing w:after="0"/>
              <w:rPr>
                <w:sz w:val="20"/>
                <w:szCs w:val="20"/>
                <w:color w:val="auto"/>
              </w:rPr>
            </w:pPr>
            <w:r>
              <w:rPr>
                <w:rFonts w:ascii="Arial" w:cs="Arial" w:eastAsia="Arial" w:hAnsi="Arial"/>
                <w:sz w:val="16"/>
                <w:szCs w:val="16"/>
                <w:color w:val="auto"/>
              </w:rPr>
              <w:t>Non-controlled/affiliate investments (cost of $52,857,243 and $52,857,243, respectively)</w:t>
            </w:r>
          </w:p>
        </w:tc>
        <w:tc>
          <w:tcPr>
            <w:tcW w:w="260" w:type="dxa"/>
            <w:vAlign w:val="bottom"/>
          </w:tcPr>
          <w:p>
            <w:pPr>
              <w:spacing w:after="0"/>
              <w:rPr>
                <w:sz w:val="19"/>
                <w:szCs w:val="19"/>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29,438,698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37,944,268</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Controlled investments (cost of $7,161,412 and $7,161,412, respectively)</w:t>
            </w:r>
          </w:p>
        </w:tc>
        <w:tc>
          <w:tcPr>
            <w:tcW w:w="2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860,198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775,198</w:t>
            </w:r>
          </w:p>
        </w:tc>
        <w:tc>
          <w:tcPr>
            <w:tcW w:w="0" w:type="dxa"/>
            <w:vAlign w:val="bottom"/>
          </w:tcPr>
          <w:p>
            <w:pPr>
              <w:spacing w:after="0"/>
              <w:rPr>
                <w:sz w:val="1"/>
                <w:szCs w:val="1"/>
                <w:color w:val="auto"/>
              </w:rPr>
            </w:pPr>
          </w:p>
        </w:tc>
      </w:tr>
      <w:tr>
        <w:trPr>
          <w:trHeight w:val="247"/>
        </w:trPr>
        <w:tc>
          <w:tcPr>
            <w:tcW w:w="7760" w:type="dxa"/>
            <w:vAlign w:val="bottom"/>
          </w:tcPr>
          <w:p>
            <w:pPr>
              <w:ind w:left="300"/>
              <w:spacing w:after="0"/>
              <w:rPr>
                <w:sz w:val="20"/>
                <w:szCs w:val="20"/>
                <w:color w:val="auto"/>
              </w:rPr>
            </w:pPr>
            <w:r>
              <w:rPr>
                <w:rFonts w:ascii="Arial" w:cs="Arial" w:eastAsia="Arial" w:hAnsi="Arial"/>
                <w:sz w:val="16"/>
                <w:szCs w:val="16"/>
                <w:color w:val="auto"/>
              </w:rPr>
              <w:t>Total Portfolio Investments</w:t>
            </w:r>
          </w:p>
        </w:tc>
        <w:tc>
          <w:tcPr>
            <w:tcW w:w="26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198,999,318</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191,585,578</w:t>
            </w:r>
          </w:p>
        </w:tc>
        <w:tc>
          <w:tcPr>
            <w:tcW w:w="0" w:type="dxa"/>
            <w:vAlign w:val="bottom"/>
          </w:tcPr>
          <w:p>
            <w:pPr>
              <w:spacing w:after="0"/>
              <w:rPr>
                <w:sz w:val="1"/>
                <w:szCs w:val="1"/>
                <w:color w:val="auto"/>
              </w:rPr>
            </w:pPr>
          </w:p>
        </w:tc>
      </w:tr>
      <w:tr>
        <w:trPr>
          <w:trHeight w:val="273"/>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Investments in U.S. Treasury bills (cost of $99,999,611 and $49,996,667, respectively)</w:t>
            </w: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100,000,000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50,000,000</w:t>
            </w:r>
          </w:p>
        </w:tc>
        <w:tc>
          <w:tcPr>
            <w:tcW w:w="0" w:type="dxa"/>
            <w:vAlign w:val="bottom"/>
          </w:tcPr>
          <w:p>
            <w:pPr>
              <w:spacing w:after="0"/>
              <w:rPr>
                <w:sz w:val="1"/>
                <w:szCs w:val="1"/>
                <w:color w:val="auto"/>
              </w:rPr>
            </w:pPr>
          </w:p>
        </w:tc>
      </w:tr>
      <w:tr>
        <w:trPr>
          <w:trHeight w:val="217"/>
        </w:trPr>
        <w:tc>
          <w:tcPr>
            <w:tcW w:w="7760" w:type="dxa"/>
            <w:vAlign w:val="bottom"/>
          </w:tcPr>
          <w:p>
            <w:pPr>
              <w:ind w:left="20"/>
              <w:spacing w:after="0"/>
              <w:rPr>
                <w:sz w:val="20"/>
                <w:szCs w:val="20"/>
                <w:color w:val="auto"/>
              </w:rPr>
            </w:pPr>
            <w:r>
              <w:rPr>
                <w:rFonts w:ascii="Arial" w:cs="Arial" w:eastAsia="Arial" w:hAnsi="Arial"/>
                <w:sz w:val="16"/>
                <w:szCs w:val="16"/>
                <w:color w:val="auto"/>
              </w:rPr>
              <w:t>Total Investments (cost of $259,139,843 and $200,582,363, respectively)</w:t>
            </w:r>
          </w:p>
        </w:tc>
        <w:tc>
          <w:tcPr>
            <w:tcW w:w="2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298,999,318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241,585,578</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23,285,073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44,861,263</w:t>
            </w:r>
          </w:p>
        </w:tc>
        <w:tc>
          <w:tcPr>
            <w:tcW w:w="0" w:type="dxa"/>
            <w:vAlign w:val="bottom"/>
          </w:tcPr>
          <w:p>
            <w:pPr>
              <w:spacing w:after="0"/>
              <w:rPr>
                <w:sz w:val="1"/>
                <w:szCs w:val="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Escrow proceeds receivable</w:t>
            </w:r>
          </w:p>
        </w:tc>
        <w:tc>
          <w:tcPr>
            <w:tcW w:w="260" w:type="dxa"/>
            <w:vAlign w:val="bottom"/>
          </w:tcPr>
          <w:p>
            <w:pPr>
              <w:spacing w:after="0"/>
              <w:rPr>
                <w:sz w:val="20"/>
                <w:szCs w:val="20"/>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67,135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265,303</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and dividends receivable</w:t>
            </w: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70,274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84,630</w:t>
            </w:r>
          </w:p>
        </w:tc>
        <w:tc>
          <w:tcPr>
            <w:tcW w:w="0" w:type="dxa"/>
            <w:vAlign w:val="bottom"/>
          </w:tcPr>
          <w:p>
            <w:pPr>
              <w:spacing w:after="0"/>
              <w:rPr>
                <w:sz w:val="1"/>
                <w:szCs w:val="1"/>
                <w:color w:val="auto"/>
              </w:rPr>
            </w:pPr>
          </w:p>
        </w:tc>
      </w:tr>
      <w:tr>
        <w:trPr>
          <w:trHeight w:val="223"/>
        </w:trPr>
        <w:tc>
          <w:tcPr>
            <w:tcW w:w="7760" w:type="dxa"/>
            <w:vAlign w:val="bottom"/>
          </w:tcPr>
          <w:p>
            <w:pPr>
              <w:ind w:left="20"/>
              <w:spacing w:after="0"/>
              <w:rPr>
                <w:sz w:val="20"/>
                <w:szCs w:val="20"/>
                <w:color w:val="auto"/>
              </w:rPr>
            </w:pPr>
            <w:r>
              <w:rPr>
                <w:rFonts w:ascii="Arial" w:cs="Arial" w:eastAsia="Arial" w:hAnsi="Arial"/>
                <w:sz w:val="16"/>
                <w:szCs w:val="16"/>
                <w:color w:val="auto"/>
              </w:rPr>
              <w:t>Deferred financing costs</w:t>
            </w:r>
          </w:p>
        </w:tc>
        <w:tc>
          <w:tcPr>
            <w:tcW w:w="260" w:type="dxa"/>
            <w:vAlign w:val="bottom"/>
          </w:tcPr>
          <w:p>
            <w:pPr>
              <w:spacing w:after="0"/>
              <w:rPr>
                <w:sz w:val="19"/>
                <w:szCs w:val="19"/>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11,382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11,382</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expenses and other assets</w:t>
            </w:r>
            <w:r>
              <w:rPr>
                <w:rFonts w:ascii="Arial" w:cs="Arial" w:eastAsia="Arial" w:hAnsi="Arial"/>
                <w:sz w:val="21"/>
                <w:szCs w:val="21"/>
                <w:color w:val="auto"/>
                <w:vertAlign w:val="superscript"/>
              </w:rPr>
              <w:t>(1)</w:t>
            </w:r>
          </w:p>
        </w:tc>
        <w:tc>
          <w:tcPr>
            <w:tcW w:w="26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1,197,711</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1,755,933</w:t>
            </w:r>
          </w:p>
        </w:tc>
        <w:tc>
          <w:tcPr>
            <w:tcW w:w="0" w:type="dxa"/>
            <w:vAlign w:val="bottom"/>
          </w:tcPr>
          <w:p>
            <w:pPr>
              <w:spacing w:after="0"/>
              <w:rPr>
                <w:sz w:val="1"/>
                <w:szCs w:val="1"/>
                <w:color w:val="auto"/>
              </w:rPr>
            </w:pPr>
          </w:p>
        </w:tc>
      </w:tr>
      <w:tr>
        <w:trPr>
          <w:trHeight w:val="217"/>
        </w:trPr>
        <w:tc>
          <w:tcPr>
            <w:tcW w:w="7760" w:type="dxa"/>
            <w:vAlign w:val="bottom"/>
          </w:tcPr>
          <w:p>
            <w:pPr>
              <w:ind w:left="340"/>
              <w:spacing w:after="0"/>
              <w:rPr>
                <w:sz w:val="20"/>
                <w:szCs w:val="20"/>
                <w:color w:val="auto"/>
              </w:rPr>
            </w:pPr>
            <w:r>
              <w:rPr>
                <w:rFonts w:ascii="Arial" w:cs="Arial" w:eastAsia="Arial" w:hAnsi="Arial"/>
                <w:sz w:val="16"/>
                <w:szCs w:val="16"/>
                <w:b w:val="1"/>
                <w:bCs w:val="1"/>
                <w:color w:val="auto"/>
              </w:rPr>
              <w:t>Total Assets</w:t>
            </w:r>
          </w:p>
        </w:tc>
        <w:tc>
          <w:tcPr>
            <w:tcW w:w="260" w:type="dxa"/>
            <w:vAlign w:val="bottom"/>
          </w:tcPr>
          <w:p>
            <w:pPr>
              <w:spacing w:after="0"/>
              <w:rPr>
                <w:sz w:val="18"/>
                <w:szCs w:val="18"/>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323,630,893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288,564,089</w:t>
            </w:r>
          </w:p>
        </w:tc>
        <w:tc>
          <w:tcPr>
            <w:tcW w:w="0" w:type="dxa"/>
            <w:vAlign w:val="bottom"/>
          </w:tcPr>
          <w:p>
            <w:pPr>
              <w:spacing w:after="0"/>
              <w:rPr>
                <w:sz w:val="1"/>
                <w:szCs w:val="1"/>
                <w:color w:val="auto"/>
              </w:rPr>
            </w:pPr>
          </w:p>
        </w:tc>
      </w:tr>
      <w:tr>
        <w:trPr>
          <w:trHeight w:val="33"/>
        </w:trPr>
        <w:tc>
          <w:tcPr>
            <w:tcW w:w="7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760" w:type="dxa"/>
            <w:vAlign w:val="bottom"/>
          </w:tcPr>
          <w:p>
            <w:pPr>
              <w:ind w:left="20"/>
              <w:spacing w:after="0"/>
              <w:rPr>
                <w:sz w:val="20"/>
                <w:szCs w:val="20"/>
                <w:color w:val="auto"/>
              </w:rPr>
            </w:pPr>
            <w:r>
              <w:rPr>
                <w:rFonts w:ascii="Arial" w:cs="Arial" w:eastAsia="Arial" w:hAnsi="Arial"/>
                <w:sz w:val="16"/>
                <w:szCs w:val="16"/>
                <w:color w:val="auto"/>
              </w:rPr>
              <w:t>Accounts payable and accrued expenses</w:t>
            </w:r>
            <w:r>
              <w:rPr>
                <w:rFonts w:ascii="Arial" w:cs="Arial" w:eastAsia="Arial" w:hAnsi="Arial"/>
                <w:sz w:val="21"/>
                <w:szCs w:val="21"/>
                <w:color w:val="auto"/>
                <w:vertAlign w:val="superscript"/>
              </w:rPr>
              <w:t>(1)</w:t>
            </w:r>
          </w:p>
        </w:tc>
        <w:tc>
          <w:tcPr>
            <w:tcW w:w="260" w:type="dxa"/>
            <w:vAlign w:val="bottom"/>
          </w:tcPr>
          <w:p>
            <w:pPr>
              <w:spacing w:after="0"/>
              <w:rPr>
                <w:sz w:val="22"/>
                <w:szCs w:val="22"/>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1,933,219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1,143,923</w:t>
            </w:r>
          </w:p>
        </w:tc>
        <w:tc>
          <w:tcPr>
            <w:tcW w:w="0" w:type="dxa"/>
            <w:vAlign w:val="bottom"/>
          </w:tcPr>
          <w:p>
            <w:pPr>
              <w:spacing w:after="0"/>
              <w:rPr>
                <w:sz w:val="1"/>
                <w:szCs w:val="1"/>
                <w:color w:val="auto"/>
              </w:rPr>
            </w:pPr>
          </w:p>
        </w:tc>
      </w:tr>
      <w:tr>
        <w:trPr>
          <w:trHeight w:val="236"/>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Payable to executive officers</w:t>
            </w:r>
          </w:p>
        </w:tc>
        <w:tc>
          <w:tcPr>
            <w:tcW w:w="2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1,369,873</w:t>
            </w:r>
          </w:p>
        </w:tc>
        <w:tc>
          <w:tcPr>
            <w:tcW w:w="0" w:type="dxa"/>
            <w:vAlign w:val="bottom"/>
          </w:tcPr>
          <w:p>
            <w:pPr>
              <w:spacing w:after="0"/>
              <w:rPr>
                <w:sz w:val="1"/>
                <w:szCs w:val="1"/>
                <w:color w:val="auto"/>
              </w:rPr>
            </w:pPr>
          </w:p>
        </w:tc>
      </w:tr>
      <w:tr>
        <w:trPr>
          <w:trHeight w:val="224"/>
        </w:trPr>
        <w:tc>
          <w:tcPr>
            <w:tcW w:w="7760" w:type="dxa"/>
            <w:vAlign w:val="bottom"/>
          </w:tcPr>
          <w:p>
            <w:pPr>
              <w:ind w:left="20"/>
              <w:spacing w:after="0"/>
              <w:rPr>
                <w:sz w:val="20"/>
                <w:szCs w:val="20"/>
                <w:color w:val="auto"/>
              </w:rPr>
            </w:pPr>
            <w:r>
              <w:rPr>
                <w:rFonts w:ascii="Arial" w:cs="Arial" w:eastAsia="Arial" w:hAnsi="Arial"/>
                <w:sz w:val="16"/>
                <w:szCs w:val="16"/>
                <w:color w:val="auto"/>
              </w:rPr>
              <w:t>Accrued interest payable</w:t>
            </w:r>
          </w:p>
        </w:tc>
        <w:tc>
          <w:tcPr>
            <w:tcW w:w="260" w:type="dxa"/>
            <w:vAlign w:val="bottom"/>
          </w:tcPr>
          <w:p>
            <w:pPr>
              <w:spacing w:after="0"/>
              <w:rPr>
                <w:sz w:val="19"/>
                <w:szCs w:val="19"/>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475,000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475,000</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Dividends payable</w:t>
            </w:r>
          </w:p>
        </w:tc>
        <w:tc>
          <w:tcPr>
            <w:tcW w:w="2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2,107,709</w:t>
            </w:r>
          </w:p>
        </w:tc>
        <w:tc>
          <w:tcPr>
            <w:tcW w:w="0" w:type="dxa"/>
            <w:vAlign w:val="bottom"/>
          </w:tcPr>
          <w:p>
            <w:pPr>
              <w:spacing w:after="0"/>
              <w:rPr>
                <w:sz w:val="1"/>
                <w:szCs w:val="1"/>
                <w:color w:val="auto"/>
              </w:rPr>
            </w:pPr>
          </w:p>
        </w:tc>
      </w:tr>
      <w:tr>
        <w:trPr>
          <w:trHeight w:val="223"/>
        </w:trPr>
        <w:tc>
          <w:tcPr>
            <w:tcW w:w="7760" w:type="dxa"/>
            <w:vAlign w:val="bottom"/>
          </w:tcPr>
          <w:p>
            <w:pPr>
              <w:ind w:left="20"/>
              <w:spacing w:after="0"/>
              <w:rPr>
                <w:sz w:val="20"/>
                <w:szCs w:val="20"/>
                <w:color w:val="auto"/>
              </w:rPr>
            </w:pPr>
            <w:r>
              <w:rPr>
                <w:rFonts w:ascii="Arial" w:cs="Arial" w:eastAsia="Arial" w:hAnsi="Arial"/>
                <w:sz w:val="16"/>
                <w:szCs w:val="16"/>
                <w:color w:val="auto"/>
              </w:rPr>
              <w:t>Payable for securities purchased</w:t>
            </w:r>
          </w:p>
        </w:tc>
        <w:tc>
          <w:tcPr>
            <w:tcW w:w="260" w:type="dxa"/>
            <w:vAlign w:val="bottom"/>
          </w:tcPr>
          <w:p>
            <w:pPr>
              <w:spacing w:after="0"/>
              <w:rPr>
                <w:sz w:val="19"/>
                <w:szCs w:val="19"/>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89,499,611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44,746,660</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payable</w:t>
            </w:r>
          </w:p>
        </w:tc>
        <w:tc>
          <w:tcPr>
            <w:tcW w:w="2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38,965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7760" w:type="dxa"/>
            <w:vAlign w:val="bottom"/>
            <w:tcBorders>
              <w:bottom w:val="single" w:sz="8" w:color="CCEEFF"/>
            </w:tcBorders>
          </w:tcPr>
          <w:p>
            <w:pPr>
              <w:ind w:left="20"/>
              <w:spacing w:after="0" w:line="237" w:lineRule="exact"/>
              <w:rPr>
                <w:sz w:val="20"/>
                <w:szCs w:val="20"/>
                <w:color w:val="auto"/>
              </w:rPr>
            </w:pPr>
            <w:r>
              <w:rPr>
                <w:rFonts w:ascii="Arial" w:cs="Arial" w:eastAsia="Arial" w:hAnsi="Arial"/>
                <w:sz w:val="16"/>
                <w:szCs w:val="16"/>
                <w:color w:val="auto"/>
              </w:rPr>
              <w:t>4.75% Convertible Senior Notes due March 28, 2023</w:t>
            </w:r>
            <w:r>
              <w:rPr>
                <w:rFonts w:ascii="Arial" w:cs="Arial" w:eastAsia="Arial" w:hAnsi="Arial"/>
                <w:sz w:val="21"/>
                <w:szCs w:val="21"/>
                <w:color w:val="auto"/>
                <w:vertAlign w:val="superscript"/>
              </w:rPr>
              <w:t>(2)</w:t>
            </w: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38,991,657</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38,803,635</w:t>
            </w:r>
          </w:p>
        </w:tc>
        <w:tc>
          <w:tcPr>
            <w:tcW w:w="0" w:type="dxa"/>
            <w:vAlign w:val="bottom"/>
          </w:tcPr>
          <w:p>
            <w:pPr>
              <w:spacing w:after="0"/>
              <w:rPr>
                <w:sz w:val="1"/>
                <w:szCs w:val="1"/>
                <w:color w:val="auto"/>
              </w:rPr>
            </w:pPr>
          </w:p>
        </w:tc>
      </w:tr>
      <w:tr>
        <w:trPr>
          <w:trHeight w:val="250"/>
        </w:trPr>
        <w:tc>
          <w:tcPr>
            <w:tcW w:w="7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b w:val="1"/>
                <w:bCs w:val="1"/>
                <w:color w:val="auto"/>
              </w:rPr>
              <w:t>Total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130,938,452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88,646,800</w:t>
            </w:r>
          </w:p>
        </w:tc>
        <w:tc>
          <w:tcPr>
            <w:tcW w:w="0" w:type="dxa"/>
            <w:vAlign w:val="bottom"/>
          </w:tcPr>
          <w:p>
            <w:pPr>
              <w:spacing w:after="0"/>
              <w:rPr>
                <w:sz w:val="1"/>
                <w:szCs w:val="1"/>
                <w:color w:val="auto"/>
              </w:rPr>
            </w:pPr>
          </w:p>
        </w:tc>
      </w:tr>
      <w:tr>
        <w:trPr>
          <w:trHeight w:val="217"/>
        </w:trPr>
        <w:tc>
          <w:tcPr>
            <w:tcW w:w="7760" w:type="dxa"/>
            <w:vAlign w:val="bottom"/>
          </w:tcPr>
          <w:p>
            <w:pPr>
              <w:ind w:left="20"/>
              <w:spacing w:after="0"/>
              <w:rPr>
                <w:sz w:val="20"/>
                <w:szCs w:val="20"/>
                <w:color w:val="auto"/>
              </w:rPr>
            </w:pPr>
            <w:r>
              <w:rPr>
                <w:rFonts w:ascii="Arial" w:cs="Arial" w:eastAsia="Arial" w:hAnsi="Arial"/>
                <w:sz w:val="16"/>
                <w:szCs w:val="16"/>
                <w:b w:val="1"/>
                <w:bCs w:val="1"/>
                <w:color w:val="auto"/>
              </w:rPr>
              <w:t>Commitments and contingencies (Notes 7 and 10)</w:t>
            </w:r>
          </w:p>
        </w:tc>
        <w:tc>
          <w:tcPr>
            <w:tcW w:w="2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9"/>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192,692,441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199,917,289</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NET ASSETS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7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7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9"/>
              </w:rPr>
              <w:t>Common stock, par value $0.01 per share (100,000,000 authorized; 16,279,679 and 17,564,244 issued and</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outstanding, respectively)</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162,797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175,642</w:t>
            </w:r>
          </w:p>
        </w:tc>
        <w:tc>
          <w:tcPr>
            <w:tcW w:w="0" w:type="dxa"/>
            <w:vAlign w:val="bottom"/>
          </w:tcPr>
          <w:p>
            <w:pPr>
              <w:spacing w:after="0"/>
              <w:rPr>
                <w:sz w:val="1"/>
                <w:szCs w:val="1"/>
                <w:color w:val="auto"/>
              </w:rPr>
            </w:pPr>
          </w:p>
        </w:tc>
      </w:tr>
      <w:tr>
        <w:trPr>
          <w:trHeight w:val="223"/>
        </w:trPr>
        <w:tc>
          <w:tcPr>
            <w:tcW w:w="7760" w:type="dxa"/>
            <w:vAlign w:val="bottom"/>
          </w:tcPr>
          <w:p>
            <w:pPr>
              <w:ind w:left="20"/>
              <w:spacing w:after="0"/>
              <w:rPr>
                <w:sz w:val="20"/>
                <w:szCs w:val="20"/>
                <w:color w:val="auto"/>
              </w:rPr>
            </w:pPr>
            <w:r>
              <w:rPr>
                <w:rFonts w:ascii="Arial" w:cs="Arial" w:eastAsia="Arial" w:hAnsi="Arial"/>
                <w:sz w:val="16"/>
                <w:szCs w:val="16"/>
                <w:color w:val="auto"/>
              </w:rPr>
              <w:t>Paid-in capital in excess of par</w:t>
            </w:r>
          </w:p>
        </w:tc>
        <w:tc>
          <w:tcPr>
            <w:tcW w:w="260" w:type="dxa"/>
            <w:vAlign w:val="bottom"/>
          </w:tcPr>
          <w:p>
            <w:pPr>
              <w:spacing w:after="0"/>
              <w:rPr>
                <w:sz w:val="19"/>
                <w:szCs w:val="19"/>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173,199,798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178,550,374</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Accumulated net investment loss</w:t>
            </w: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(33,351,303)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(25,679,362)</w:t>
            </w:r>
          </w:p>
        </w:tc>
        <w:tc>
          <w:tcPr>
            <w:tcW w:w="0" w:type="dxa"/>
            <w:vAlign w:val="bottom"/>
          </w:tcPr>
          <w:p>
            <w:pPr>
              <w:spacing w:after="0"/>
              <w:rPr>
                <w:sz w:val="1"/>
                <w:szCs w:val="1"/>
                <w:color w:val="auto"/>
              </w:rPr>
            </w:pPr>
          </w:p>
        </w:tc>
      </w:tr>
      <w:tr>
        <w:trPr>
          <w:trHeight w:val="223"/>
        </w:trPr>
        <w:tc>
          <w:tcPr>
            <w:tcW w:w="7760" w:type="dxa"/>
            <w:vAlign w:val="bottom"/>
          </w:tcPr>
          <w:p>
            <w:pPr>
              <w:ind w:left="20"/>
              <w:spacing w:after="0"/>
              <w:rPr>
                <w:sz w:val="20"/>
                <w:szCs w:val="20"/>
                <w:color w:val="auto"/>
              </w:rPr>
            </w:pPr>
            <w:r>
              <w:rPr>
                <w:rFonts w:ascii="Arial" w:cs="Arial" w:eastAsia="Arial" w:hAnsi="Arial"/>
                <w:sz w:val="16"/>
                <w:szCs w:val="16"/>
                <w:color w:val="auto"/>
              </w:rPr>
              <w:t>Accumulated net realized gain on investments</w:t>
            </w:r>
          </w:p>
        </w:tc>
        <w:tc>
          <w:tcPr>
            <w:tcW w:w="260" w:type="dxa"/>
            <w:vAlign w:val="bottom"/>
          </w:tcPr>
          <w:p>
            <w:pPr>
              <w:spacing w:after="0"/>
              <w:rPr>
                <w:sz w:val="19"/>
                <w:szCs w:val="19"/>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12,821,670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5,867,417</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Accumulated net unrealized appreciation/(depreciation) of investments</w:t>
            </w:r>
          </w:p>
        </w:tc>
        <w:tc>
          <w:tcPr>
            <w:tcW w:w="2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39,859,479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41,003,218</w:t>
            </w:r>
          </w:p>
        </w:tc>
        <w:tc>
          <w:tcPr>
            <w:tcW w:w="0" w:type="dxa"/>
            <w:vAlign w:val="bottom"/>
          </w:tcPr>
          <w:p>
            <w:pPr>
              <w:spacing w:after="0"/>
              <w:rPr>
                <w:sz w:val="1"/>
                <w:szCs w:val="1"/>
                <w:color w:val="auto"/>
              </w:rPr>
            </w:pPr>
          </w:p>
        </w:tc>
      </w:tr>
      <w:tr>
        <w:trPr>
          <w:trHeight w:val="247"/>
        </w:trPr>
        <w:tc>
          <w:tcPr>
            <w:tcW w:w="7760" w:type="dxa"/>
            <w:vAlign w:val="bottom"/>
          </w:tcPr>
          <w:p>
            <w:pPr>
              <w:ind w:left="340"/>
              <w:spacing w:after="0"/>
              <w:rPr>
                <w:sz w:val="20"/>
                <w:szCs w:val="20"/>
                <w:color w:val="auto"/>
              </w:rPr>
            </w:pPr>
            <w:r>
              <w:rPr>
                <w:rFonts w:ascii="Arial" w:cs="Arial" w:eastAsia="Arial" w:hAnsi="Arial"/>
                <w:sz w:val="16"/>
                <w:szCs w:val="16"/>
                <w:b w:val="1"/>
                <w:bCs w:val="1"/>
                <w:color w:val="auto"/>
              </w:rPr>
              <w:t>Net Assets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192,692,441</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199,917,289</w:t>
            </w:r>
          </w:p>
        </w:tc>
        <w:tc>
          <w:tcPr>
            <w:tcW w:w="0" w:type="dxa"/>
            <w:vAlign w:val="bottom"/>
          </w:tcPr>
          <w:p>
            <w:pPr>
              <w:spacing w:after="0"/>
              <w:rPr>
                <w:sz w:val="1"/>
                <w:szCs w:val="1"/>
                <w:color w:val="auto"/>
              </w:rPr>
            </w:pP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7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b w:val="1"/>
                <w:bCs w:val="1"/>
                <w:color w:val="auto"/>
              </w:rPr>
              <w:t>Net Asset Value Per Share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11.84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11.38</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-4851400</wp:posOffset>
            </wp:positionV>
            <wp:extent cx="4920615" cy="1797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20615"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-5674360</wp:posOffset>
            </wp:positionV>
            <wp:extent cx="49206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20615" cy="8255"/>
                    </a:xfrm>
                    <a:prstGeom prst="rect">
                      <a:avLst/>
                    </a:prstGeom>
                    <a:noFill/>
                  </pic:spPr>
                </pic:pic>
              </a:graphicData>
            </a:graphic>
          </wp:anchor>
        </w:drawing>
      </w:r>
    </w:p>
    <w:p>
      <w:pPr>
        <w:spacing w:after="0" w:line="42" w:lineRule="exact"/>
        <w:rPr>
          <w:sz w:val="20"/>
          <w:szCs w:val="20"/>
          <w:color w:val="auto"/>
        </w:rPr>
      </w:pPr>
    </w:p>
    <w:p>
      <w:pPr>
        <w:ind w:left="3520"/>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w:t>
      </w:r>
    </w:p>
    <w:p>
      <w:pPr>
        <w:spacing w:after="0" w:line="1" w:lineRule="exact"/>
        <w:rPr>
          <w:sz w:val="20"/>
          <w:szCs w:val="20"/>
          <w:color w:val="auto"/>
        </w:rPr>
      </w:pPr>
    </w:p>
    <w:p>
      <w:pPr>
        <w:ind w:left="340" w:hanging="332"/>
        <w:spacing w:after="0" w:line="241" w:lineRule="auto"/>
        <w:tabs>
          <w:tab w:leader="none" w:pos="237" w:val="left"/>
        </w:tabs>
        <w:numPr>
          <w:ilvl w:val="0"/>
          <w:numId w:val="2"/>
        </w:numPr>
        <w:rPr>
          <w:rFonts w:ascii="Arial" w:cs="Arial" w:eastAsia="Arial" w:hAnsi="Arial"/>
          <w:sz w:val="14"/>
          <w:szCs w:val="14"/>
          <w:color w:val="auto"/>
        </w:rPr>
      </w:pPr>
      <w:r>
        <w:rPr>
          <w:rFonts w:ascii="Arial" w:cs="Arial" w:eastAsia="Arial" w:hAnsi="Arial"/>
          <w:sz w:val="14"/>
          <w:szCs w:val="14"/>
          <w:color w:val="auto"/>
        </w:rPr>
        <w:t>This balance includes a right of use asset and corresponding operating lease liability, respectively. Refer to "Note 7—Commitments and Contingencies—</w:t>
      </w:r>
      <w:r>
        <w:rPr>
          <w:rFonts w:ascii="Arial" w:cs="Arial" w:eastAsia="Arial" w:hAnsi="Arial"/>
          <w:sz w:val="14"/>
          <w:szCs w:val="14"/>
          <w:i w:val="1"/>
          <w:iCs w:val="1"/>
          <w:color w:val="auto"/>
        </w:rPr>
        <w:t>Operating Leases and Related</w:t>
      </w:r>
      <w:r>
        <w:rPr>
          <w:rFonts w:ascii="Arial" w:cs="Arial" w:eastAsia="Arial" w:hAnsi="Arial"/>
          <w:sz w:val="14"/>
          <w:szCs w:val="14"/>
          <w:color w:val="auto"/>
        </w:rPr>
        <w:t xml:space="preserve"> </w:t>
      </w:r>
      <w:r>
        <w:rPr>
          <w:rFonts w:ascii="Arial" w:cs="Arial" w:eastAsia="Arial" w:hAnsi="Arial"/>
          <w:sz w:val="14"/>
          <w:szCs w:val="14"/>
          <w:i w:val="1"/>
          <w:iCs w:val="1"/>
          <w:color w:val="auto"/>
        </w:rPr>
        <w:t>Deposits</w:t>
      </w:r>
      <w:r>
        <w:rPr>
          <w:rFonts w:ascii="Arial" w:cs="Arial" w:eastAsia="Arial" w:hAnsi="Arial"/>
          <w:sz w:val="14"/>
          <w:szCs w:val="14"/>
          <w:color w:val="auto"/>
        </w:rPr>
        <w:t>" for more detail.</w:t>
      </w:r>
    </w:p>
    <w:p>
      <w:pPr>
        <w:ind w:left="340" w:right="20" w:hanging="332"/>
        <w:spacing w:after="0" w:line="255" w:lineRule="auto"/>
        <w:tabs>
          <w:tab w:leader="none" w:pos="221" w:val="left"/>
        </w:tabs>
        <w:numPr>
          <w:ilvl w:val="0"/>
          <w:numId w:val="2"/>
        </w:numPr>
        <w:rPr>
          <w:rFonts w:ascii="Arial" w:cs="Arial" w:eastAsia="Arial" w:hAnsi="Arial"/>
          <w:sz w:val="14"/>
          <w:szCs w:val="14"/>
          <w:color w:val="auto"/>
        </w:rPr>
      </w:pPr>
      <w:r>
        <w:rPr>
          <w:rFonts w:ascii="Arial" w:cs="Arial" w:eastAsia="Arial" w:hAnsi="Arial"/>
          <w:sz w:val="14"/>
          <w:szCs w:val="14"/>
          <w:color w:val="auto"/>
        </w:rPr>
        <w:t>As of June 30, 2020 and December 31, 2019, the 4.75% Convertible Senior Notes due March 28, 2023 had a face value of $40,000,000. Refer to “Note 10—Debt Capital Activities” for a reconciliation of the carrying value to the face value.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2460" w:type="dxa"/>
            <w:vAlign w:val="bottom"/>
            <w:gridSpan w:val="4"/>
          </w:tcPr>
          <w:p>
            <w:pPr>
              <w:jc w:val="right"/>
              <w:ind w:right="439"/>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56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INVESTMENT INCOME</w:t>
            </w:r>
          </w:p>
        </w:tc>
        <w:tc>
          <w:tcPr>
            <w:tcW w:w="2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680" w:type="dxa"/>
            <w:vAlign w:val="bottom"/>
          </w:tcPr>
          <w:p>
            <w:pPr>
              <w:ind w:left="20"/>
              <w:spacing w:after="0"/>
              <w:rPr>
                <w:sz w:val="20"/>
                <w:szCs w:val="20"/>
                <w:color w:val="auto"/>
              </w:rPr>
            </w:pPr>
            <w:r>
              <w:rPr>
                <w:rFonts w:ascii="Arial" w:cs="Arial" w:eastAsia="Arial" w:hAnsi="Arial"/>
                <w:sz w:val="16"/>
                <w:szCs w:val="16"/>
                <w:color w:val="auto"/>
              </w:rPr>
              <w:t>Non-controlled/non-affiliate investments:</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Interest income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61,126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198,175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216,211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336,672</w:t>
            </w:r>
          </w:p>
        </w:tc>
        <w:tc>
          <w:tcPr>
            <w:tcW w:w="0" w:type="dxa"/>
            <w:vAlign w:val="bottom"/>
          </w:tcPr>
          <w:p>
            <w:pPr>
              <w:spacing w:after="0"/>
              <w:rPr>
                <w:sz w:val="1"/>
                <w:szCs w:val="1"/>
                <w:color w:val="auto"/>
              </w:rPr>
            </w:pPr>
          </w:p>
        </w:tc>
      </w:tr>
      <w:tr>
        <w:trPr>
          <w:trHeight w:val="223"/>
        </w:trPr>
        <w:tc>
          <w:tcPr>
            <w:tcW w:w="5680" w:type="dxa"/>
            <w:vAlign w:val="bottom"/>
          </w:tcPr>
          <w:p>
            <w:pPr>
              <w:ind w:left="340"/>
              <w:spacing w:after="0"/>
              <w:rPr>
                <w:sz w:val="20"/>
                <w:szCs w:val="20"/>
                <w:color w:val="auto"/>
              </w:rPr>
            </w:pPr>
            <w:r>
              <w:rPr>
                <w:rFonts w:ascii="Arial" w:cs="Arial" w:eastAsia="Arial" w:hAnsi="Arial"/>
                <w:sz w:val="16"/>
                <w:szCs w:val="16"/>
                <w:color w:val="auto"/>
              </w:rPr>
              <w:t>Dividend income</w:t>
            </w:r>
          </w:p>
        </w:tc>
        <w:tc>
          <w:tcPr>
            <w:tcW w:w="26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50,000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Non-controlled/affiliate investments:</w:t>
            </w: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680" w:type="dxa"/>
            <w:vAlign w:val="bottom"/>
          </w:tcPr>
          <w:p>
            <w:pPr>
              <w:ind w:left="340"/>
              <w:spacing w:after="0"/>
              <w:rPr>
                <w:sz w:val="20"/>
                <w:szCs w:val="20"/>
                <w:color w:val="auto"/>
              </w:rPr>
            </w:pPr>
            <w:r>
              <w:rPr>
                <w:rFonts w:ascii="Arial" w:cs="Arial" w:eastAsia="Arial" w:hAnsi="Arial"/>
                <w:sz w:val="16"/>
                <w:szCs w:val="16"/>
                <w:color w:val="auto"/>
              </w:rPr>
              <w:t>Interest income/(reversal of interest income accrual)</w:t>
            </w:r>
          </w:p>
        </w:tc>
        <w:tc>
          <w:tcPr>
            <w:tcW w:w="260" w:type="dxa"/>
            <w:vAlign w:val="bottom"/>
          </w:tcPr>
          <w:p>
            <w:pPr>
              <w:spacing w:after="0"/>
              <w:rPr>
                <w:sz w:val="19"/>
                <w:szCs w:val="19"/>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(49,612)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60,127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(29,184)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119,593</w:t>
            </w:r>
          </w:p>
        </w:tc>
        <w:tc>
          <w:tcPr>
            <w:tcW w:w="0" w:type="dxa"/>
            <w:vAlign w:val="bottom"/>
          </w:tcPr>
          <w:p>
            <w:pPr>
              <w:spacing w:after="0"/>
              <w:rPr>
                <w:sz w:val="1"/>
                <w:szCs w:val="1"/>
                <w:color w:val="auto"/>
              </w:rPr>
            </w:pPr>
          </w:p>
        </w:tc>
      </w:tr>
      <w:tr>
        <w:trPr>
          <w:trHeight w:val="33"/>
        </w:trPr>
        <w:tc>
          <w:tcPr>
            <w:tcW w:w="5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Dividend income</w:t>
            </w: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30,000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56,250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5680" w:type="dxa"/>
            <w:vAlign w:val="bottom"/>
          </w:tcPr>
          <w:p>
            <w:pPr>
              <w:ind w:left="20"/>
              <w:spacing w:after="0"/>
              <w:rPr>
                <w:sz w:val="20"/>
                <w:szCs w:val="20"/>
                <w:color w:val="auto"/>
              </w:rPr>
            </w:pPr>
            <w:r>
              <w:rPr>
                <w:rFonts w:ascii="Arial" w:cs="Arial" w:eastAsia="Arial" w:hAnsi="Arial"/>
                <w:sz w:val="16"/>
                <w:szCs w:val="16"/>
                <w:color w:val="auto"/>
              </w:rPr>
              <w:t>Controlled investments:</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Interest income</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29,650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58,937</w:t>
            </w:r>
          </w:p>
        </w:tc>
        <w:tc>
          <w:tcPr>
            <w:tcW w:w="0" w:type="dxa"/>
            <w:vAlign w:val="bottom"/>
          </w:tcPr>
          <w:p>
            <w:pPr>
              <w:spacing w:after="0"/>
              <w:rPr>
                <w:sz w:val="1"/>
                <w:szCs w:val="1"/>
                <w:color w:val="auto"/>
              </w:rPr>
            </w:pPr>
          </w:p>
        </w:tc>
      </w:tr>
      <w:tr>
        <w:trPr>
          <w:trHeight w:val="224"/>
        </w:trPr>
        <w:tc>
          <w:tcPr>
            <w:tcW w:w="5680" w:type="dxa"/>
            <w:vAlign w:val="bottom"/>
          </w:tcPr>
          <w:p>
            <w:pPr>
              <w:ind w:left="340"/>
              <w:spacing w:after="0"/>
              <w:rPr>
                <w:sz w:val="20"/>
                <w:szCs w:val="20"/>
                <w:color w:val="auto"/>
              </w:rPr>
            </w:pPr>
            <w:r>
              <w:rPr>
                <w:rFonts w:ascii="Arial" w:cs="Arial" w:eastAsia="Arial" w:hAnsi="Arial"/>
                <w:sz w:val="16"/>
                <w:szCs w:val="16"/>
                <w:color w:val="auto"/>
              </w:rPr>
              <w:t>Dividend income</w:t>
            </w:r>
          </w:p>
        </w:tc>
        <w:tc>
          <w:tcPr>
            <w:tcW w:w="260" w:type="dxa"/>
            <w:vAlign w:val="bottom"/>
          </w:tcPr>
          <w:p>
            <w:pPr>
              <w:spacing w:after="0"/>
              <w:rPr>
                <w:sz w:val="19"/>
                <w:szCs w:val="19"/>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200,000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200,000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200,000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200,000</w:t>
            </w:r>
          </w:p>
        </w:tc>
        <w:tc>
          <w:tcPr>
            <w:tcW w:w="0" w:type="dxa"/>
            <w:vAlign w:val="bottom"/>
          </w:tcPr>
          <w:p>
            <w:pPr>
              <w:spacing w:after="0"/>
              <w:rPr>
                <w:sz w:val="1"/>
                <w:szCs w:val="1"/>
                <w:color w:val="auto"/>
              </w:rPr>
            </w:pPr>
          </w:p>
        </w:tc>
      </w:tr>
      <w:tr>
        <w:trPr>
          <w:trHeight w:val="33"/>
        </w:trPr>
        <w:tc>
          <w:tcPr>
            <w:tcW w:w="5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Total Investment Income</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241,514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487,952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493,277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715,202</w:t>
            </w:r>
          </w:p>
        </w:tc>
        <w:tc>
          <w:tcPr>
            <w:tcW w:w="0" w:type="dxa"/>
            <w:vAlign w:val="bottom"/>
          </w:tcPr>
          <w:p>
            <w:pPr>
              <w:spacing w:after="0"/>
              <w:rPr>
                <w:sz w:val="1"/>
                <w:szCs w:val="1"/>
                <w:color w:val="auto"/>
              </w:rPr>
            </w:pPr>
          </w:p>
        </w:tc>
      </w:tr>
      <w:tr>
        <w:trPr>
          <w:trHeight w:val="217"/>
        </w:trPr>
        <w:tc>
          <w:tcPr>
            <w:tcW w:w="5680" w:type="dxa"/>
            <w:vAlign w:val="bottom"/>
            <w:tcBorders>
              <w:top w:val="single" w:sz="8" w:color="CCEEFF"/>
            </w:tcBorders>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Management fees</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848,723</w:t>
            </w:r>
          </w:p>
        </w:tc>
        <w:tc>
          <w:tcPr>
            <w:tcW w:w="0" w:type="dxa"/>
            <w:vAlign w:val="bottom"/>
          </w:tcPr>
          <w:p>
            <w:pPr>
              <w:spacing w:after="0"/>
              <w:rPr>
                <w:sz w:val="1"/>
                <w:szCs w:val="1"/>
                <w:color w:val="auto"/>
              </w:rPr>
            </w:pPr>
          </w:p>
        </w:tc>
      </w:tr>
      <w:tr>
        <w:trPr>
          <w:trHeight w:val="257"/>
        </w:trPr>
        <w:tc>
          <w:tcPr>
            <w:tcW w:w="5680" w:type="dxa"/>
            <w:vAlign w:val="bottom"/>
          </w:tcPr>
          <w:p>
            <w:pPr>
              <w:ind w:left="20"/>
              <w:spacing w:after="0"/>
              <w:rPr>
                <w:sz w:val="20"/>
                <w:szCs w:val="20"/>
                <w:color w:val="auto"/>
              </w:rPr>
            </w:pPr>
            <w:r>
              <w:rPr>
                <w:rFonts w:ascii="Arial" w:cs="Arial" w:eastAsia="Arial" w:hAnsi="Arial"/>
                <w:sz w:val="16"/>
                <w:szCs w:val="16"/>
                <w:color w:val="auto"/>
              </w:rPr>
              <w:t>Reversal of incentive fee accrual</w:t>
            </w:r>
            <w:r>
              <w:rPr>
                <w:rFonts w:ascii="Arial" w:cs="Arial" w:eastAsia="Arial" w:hAnsi="Arial"/>
                <w:sz w:val="21"/>
                <w:szCs w:val="21"/>
                <w:color w:val="auto"/>
                <w:vertAlign w:val="superscript"/>
              </w:rPr>
              <w:t>(1)</w:t>
            </w:r>
          </w:p>
        </w:tc>
        <w:tc>
          <w:tcPr>
            <w:tcW w:w="260" w:type="dxa"/>
            <w:vAlign w:val="bottom"/>
          </w:tcPr>
          <w:p>
            <w:pPr>
              <w:spacing w:after="0"/>
              <w:rPr>
                <w:sz w:val="22"/>
                <w:szCs w:val="22"/>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(4,660,472)</w:t>
            </w:r>
          </w:p>
        </w:tc>
        <w:tc>
          <w:tcPr>
            <w:tcW w:w="0" w:type="dxa"/>
            <w:vAlign w:val="bottom"/>
          </w:tcPr>
          <w:p>
            <w:pPr>
              <w:spacing w:after="0"/>
              <w:rPr>
                <w:sz w:val="1"/>
                <w:szCs w:val="1"/>
                <w:color w:val="auto"/>
              </w:rPr>
            </w:pPr>
          </w:p>
        </w:tc>
      </w:tr>
      <w:tr>
        <w:trPr>
          <w:trHeight w:val="256"/>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 incurred under Administration Agreement</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306,084</w:t>
            </w:r>
          </w:p>
        </w:tc>
        <w:tc>
          <w:tcPr>
            <w:tcW w:w="0" w:type="dxa"/>
            <w:vAlign w:val="bottom"/>
          </w:tcPr>
          <w:p>
            <w:pPr>
              <w:spacing w:after="0"/>
              <w:rPr>
                <w:sz w:val="1"/>
                <w:szCs w:val="1"/>
                <w:color w:val="auto"/>
              </w:rPr>
            </w:pPr>
          </w:p>
        </w:tc>
      </w:tr>
      <w:tr>
        <w:trPr>
          <w:trHeight w:val="257"/>
        </w:trPr>
        <w:tc>
          <w:tcPr>
            <w:tcW w:w="5680" w:type="dxa"/>
            <w:vAlign w:val="bottom"/>
          </w:tcPr>
          <w:p>
            <w:pPr>
              <w:ind w:left="20"/>
              <w:spacing w:after="0"/>
              <w:rPr>
                <w:sz w:val="20"/>
                <w:szCs w:val="20"/>
                <w:color w:val="auto"/>
              </w:rPr>
            </w:pPr>
            <w:r>
              <w:rPr>
                <w:rFonts w:ascii="Arial" w:cs="Arial" w:eastAsia="Arial" w:hAnsi="Arial"/>
                <w:sz w:val="16"/>
                <w:szCs w:val="16"/>
                <w:color w:val="auto"/>
              </w:rPr>
              <w:t>Compensation expense</w:t>
            </w:r>
            <w:r>
              <w:rPr>
                <w:rFonts w:ascii="Arial" w:cs="Arial" w:eastAsia="Arial" w:hAnsi="Arial"/>
                <w:sz w:val="21"/>
                <w:szCs w:val="21"/>
                <w:color w:val="auto"/>
                <w:vertAlign w:val="superscript"/>
              </w:rPr>
              <w:t>(2)</w:t>
            </w:r>
          </w:p>
        </w:tc>
        <w:tc>
          <w:tcPr>
            <w:tcW w:w="260" w:type="dxa"/>
            <w:vAlign w:val="bottom"/>
          </w:tcPr>
          <w:p>
            <w:pPr>
              <w:spacing w:after="0"/>
              <w:rPr>
                <w:sz w:val="22"/>
                <w:szCs w:val="22"/>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3,005,524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469,944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3,930,440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632,108</w:t>
            </w:r>
          </w:p>
        </w:tc>
        <w:tc>
          <w:tcPr>
            <w:tcW w:w="0" w:type="dxa"/>
            <w:vAlign w:val="bottom"/>
          </w:tcPr>
          <w:p>
            <w:pPr>
              <w:spacing w:after="0"/>
              <w:rPr>
                <w:sz w:val="1"/>
                <w:szCs w:val="1"/>
                <w:color w:val="auto"/>
              </w:rPr>
            </w:pPr>
          </w:p>
        </w:tc>
      </w:tr>
      <w:tr>
        <w:trPr>
          <w:trHeight w:val="237"/>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Directors’ fees</w:t>
            </w: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111,250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86,250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222,500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172,500</w:t>
            </w:r>
          </w:p>
        </w:tc>
        <w:tc>
          <w:tcPr>
            <w:tcW w:w="0" w:type="dxa"/>
            <w:vAlign w:val="bottom"/>
          </w:tcPr>
          <w:p>
            <w:pPr>
              <w:spacing w:after="0"/>
              <w:rPr>
                <w:sz w:val="1"/>
                <w:szCs w:val="1"/>
                <w:color w:val="auto"/>
              </w:rPr>
            </w:pPr>
          </w:p>
        </w:tc>
      </w:tr>
      <w:tr>
        <w:trPr>
          <w:trHeight w:val="224"/>
        </w:trPr>
        <w:tc>
          <w:tcPr>
            <w:tcW w:w="5680" w:type="dxa"/>
            <w:vAlign w:val="bottom"/>
          </w:tcPr>
          <w:p>
            <w:pPr>
              <w:ind w:left="20"/>
              <w:spacing w:after="0"/>
              <w:rPr>
                <w:sz w:val="20"/>
                <w:szCs w:val="20"/>
                <w:color w:val="auto"/>
              </w:rPr>
            </w:pPr>
            <w:r>
              <w:rPr>
                <w:rFonts w:ascii="Arial" w:cs="Arial" w:eastAsia="Arial" w:hAnsi="Arial"/>
                <w:sz w:val="16"/>
                <w:szCs w:val="16"/>
                <w:color w:val="auto"/>
              </w:rPr>
              <w:t>Professional fees</w:t>
            </w:r>
          </w:p>
        </w:tc>
        <w:tc>
          <w:tcPr>
            <w:tcW w:w="260" w:type="dxa"/>
            <w:vAlign w:val="bottom"/>
          </w:tcPr>
          <w:p>
            <w:pPr>
              <w:spacing w:after="0"/>
              <w:rPr>
                <w:sz w:val="19"/>
                <w:szCs w:val="19"/>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678,472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1,310,028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1,817,838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3,371,950</w:t>
            </w:r>
          </w:p>
        </w:tc>
        <w:tc>
          <w:tcPr>
            <w:tcW w:w="0" w:type="dxa"/>
            <w:vAlign w:val="bottom"/>
          </w:tcPr>
          <w:p>
            <w:pPr>
              <w:spacing w:after="0"/>
              <w:rPr>
                <w:sz w:val="1"/>
                <w:szCs w:val="1"/>
                <w:color w:val="auto"/>
              </w:rPr>
            </w:pPr>
          </w:p>
        </w:tc>
      </w:tr>
      <w:tr>
        <w:trPr>
          <w:trHeight w:val="33"/>
        </w:trPr>
        <w:tc>
          <w:tcPr>
            <w:tcW w:w="5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568,627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600,205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1,142,027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1,204,373</w:t>
            </w:r>
          </w:p>
        </w:tc>
        <w:tc>
          <w:tcPr>
            <w:tcW w:w="0" w:type="dxa"/>
            <w:vAlign w:val="bottom"/>
          </w:tcPr>
          <w:p>
            <w:pPr>
              <w:spacing w:after="0"/>
              <w:rPr>
                <w:sz w:val="1"/>
                <w:szCs w:val="1"/>
                <w:color w:val="auto"/>
              </w:rPr>
            </w:pPr>
          </w:p>
        </w:tc>
      </w:tr>
      <w:tr>
        <w:trPr>
          <w:trHeight w:val="223"/>
        </w:trPr>
        <w:tc>
          <w:tcPr>
            <w:tcW w:w="568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260" w:type="dxa"/>
            <w:vAlign w:val="bottom"/>
          </w:tcPr>
          <w:p>
            <w:pPr>
              <w:spacing w:after="0"/>
              <w:rPr>
                <w:sz w:val="19"/>
                <w:szCs w:val="19"/>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39,590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29,949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48,255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33,712</w:t>
            </w:r>
          </w:p>
        </w:tc>
        <w:tc>
          <w:tcPr>
            <w:tcW w:w="0" w:type="dxa"/>
            <w:vAlign w:val="bottom"/>
          </w:tcPr>
          <w:p>
            <w:pPr>
              <w:spacing w:after="0"/>
              <w:rPr>
                <w:sz w:val="1"/>
                <w:szCs w:val="1"/>
                <w:color w:val="auto"/>
              </w:rPr>
            </w:pPr>
          </w:p>
        </w:tc>
      </w:tr>
      <w:tr>
        <w:trPr>
          <w:trHeight w:val="33"/>
        </w:trPr>
        <w:tc>
          <w:tcPr>
            <w:tcW w:w="5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expenses</w:t>
            </w:r>
          </w:p>
        </w:tc>
        <w:tc>
          <w:tcPr>
            <w:tcW w:w="2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505,439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796,807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1,004,158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991,753</w:t>
            </w:r>
          </w:p>
        </w:tc>
        <w:tc>
          <w:tcPr>
            <w:tcW w:w="0" w:type="dxa"/>
            <w:vAlign w:val="bottom"/>
          </w:tcPr>
          <w:p>
            <w:pPr>
              <w:spacing w:after="0"/>
              <w:rPr>
                <w:sz w:val="1"/>
                <w:szCs w:val="1"/>
                <w:color w:val="auto"/>
              </w:rPr>
            </w:pPr>
          </w:p>
        </w:tc>
      </w:tr>
      <w:tr>
        <w:trPr>
          <w:trHeight w:val="217"/>
        </w:trPr>
        <w:tc>
          <w:tcPr>
            <w:tcW w:w="5680" w:type="dxa"/>
            <w:vAlign w:val="bottom"/>
          </w:tcPr>
          <w:p>
            <w:pPr>
              <w:ind w:left="12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4,908,902</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3,293,183</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8,165,218</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2,900,731</w:t>
            </w:r>
          </w:p>
        </w:tc>
        <w:tc>
          <w:tcPr>
            <w:tcW w:w="0" w:type="dxa"/>
            <w:vAlign w:val="bottom"/>
          </w:tcPr>
          <w:p>
            <w:pPr>
              <w:spacing w:after="0"/>
              <w:rPr>
                <w:sz w:val="1"/>
                <w:szCs w:val="1"/>
                <w:color w:val="auto"/>
              </w:rPr>
            </w:pPr>
          </w:p>
        </w:tc>
      </w:tr>
      <w:tr>
        <w:trPr>
          <w:trHeight w:val="33"/>
        </w:trPr>
        <w:tc>
          <w:tcPr>
            <w:tcW w:w="5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Net Investment Loss</w:t>
            </w: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(4,667,388)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(2,805,231)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(7,671,941)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(2,185,529)</w:t>
            </w:r>
          </w:p>
        </w:tc>
        <w:tc>
          <w:tcPr>
            <w:tcW w:w="0" w:type="dxa"/>
            <w:vAlign w:val="bottom"/>
          </w:tcPr>
          <w:p>
            <w:pPr>
              <w:spacing w:after="0"/>
              <w:rPr>
                <w:sz w:val="1"/>
                <w:szCs w:val="1"/>
                <w:color w:val="auto"/>
              </w:rPr>
            </w:pPr>
          </w:p>
        </w:tc>
      </w:tr>
      <w:tr>
        <w:trPr>
          <w:trHeight w:val="237"/>
        </w:trPr>
        <w:tc>
          <w:tcPr>
            <w:tcW w:w="5680" w:type="dxa"/>
            <w:vAlign w:val="bottom"/>
          </w:tcPr>
          <w:p>
            <w:pPr>
              <w:ind w:left="20"/>
              <w:spacing w:after="0"/>
              <w:rPr>
                <w:sz w:val="20"/>
                <w:szCs w:val="20"/>
                <w:color w:val="auto"/>
              </w:rPr>
            </w:pPr>
            <w:r>
              <w:rPr>
                <w:rFonts w:ascii="Arial" w:cs="Arial" w:eastAsia="Arial" w:hAnsi="Arial"/>
                <w:sz w:val="16"/>
                <w:szCs w:val="16"/>
                <w:b w:val="1"/>
                <w:bCs w:val="1"/>
                <w:color w:val="auto"/>
              </w:rPr>
              <w:t>Realized Gains/(Losses) on Investments:</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Non-controlled/non-affiliated investments</w:t>
            </w: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(23,987)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13,590,233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6,954,253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21,859,371</w:t>
            </w:r>
          </w:p>
        </w:tc>
        <w:tc>
          <w:tcPr>
            <w:tcW w:w="0" w:type="dxa"/>
            <w:vAlign w:val="bottom"/>
          </w:tcPr>
          <w:p>
            <w:pPr>
              <w:spacing w:after="0"/>
              <w:rPr>
                <w:sz w:val="1"/>
                <w:szCs w:val="1"/>
                <w:color w:val="auto"/>
              </w:rPr>
            </w:pPr>
          </w:p>
        </w:tc>
      </w:tr>
      <w:tr>
        <w:trPr>
          <w:trHeight w:val="223"/>
        </w:trPr>
        <w:tc>
          <w:tcPr>
            <w:tcW w:w="5680" w:type="dxa"/>
            <w:vAlign w:val="bottom"/>
          </w:tcPr>
          <w:p>
            <w:pPr>
              <w:ind w:left="20"/>
              <w:spacing w:after="0"/>
              <w:rPr>
                <w:sz w:val="20"/>
                <w:szCs w:val="20"/>
                <w:color w:val="auto"/>
              </w:rPr>
            </w:pPr>
            <w:r>
              <w:rPr>
                <w:rFonts w:ascii="Arial" w:cs="Arial" w:eastAsia="Arial" w:hAnsi="Arial"/>
                <w:sz w:val="16"/>
                <w:szCs w:val="16"/>
                <w:color w:val="auto"/>
              </w:rPr>
              <w:t>Non-controlled/affiliate investments</w:t>
            </w:r>
          </w:p>
        </w:tc>
        <w:tc>
          <w:tcPr>
            <w:tcW w:w="26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(12,334,831)</w:t>
            </w:r>
          </w:p>
        </w:tc>
        <w:tc>
          <w:tcPr>
            <w:tcW w:w="0" w:type="dxa"/>
            <w:vAlign w:val="bottom"/>
          </w:tcPr>
          <w:p>
            <w:pPr>
              <w:spacing w:after="0"/>
              <w:rPr>
                <w:sz w:val="1"/>
                <w:szCs w:val="1"/>
                <w:color w:val="auto"/>
              </w:rPr>
            </w:pPr>
          </w:p>
        </w:tc>
      </w:tr>
      <w:tr>
        <w:trPr>
          <w:trHeight w:val="33"/>
        </w:trPr>
        <w:tc>
          <w:tcPr>
            <w:tcW w:w="5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Net Realized Gain/(Loss) on Investments</w:t>
            </w: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(23,987)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13,590,233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6,954,253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9,524,540</w:t>
            </w:r>
          </w:p>
        </w:tc>
        <w:tc>
          <w:tcPr>
            <w:tcW w:w="0" w:type="dxa"/>
            <w:vAlign w:val="bottom"/>
          </w:tcPr>
          <w:p>
            <w:pPr>
              <w:spacing w:after="0"/>
              <w:rPr>
                <w:sz w:val="1"/>
                <w:szCs w:val="1"/>
                <w:color w:val="auto"/>
              </w:rPr>
            </w:pPr>
          </w:p>
        </w:tc>
      </w:tr>
      <w:tr>
        <w:trPr>
          <w:trHeight w:val="223"/>
        </w:trPr>
        <w:tc>
          <w:tcPr>
            <w:tcW w:w="5680" w:type="dxa"/>
            <w:vAlign w:val="bottom"/>
          </w:tcPr>
          <w:p>
            <w:pPr>
              <w:ind w:left="20"/>
              <w:spacing w:after="0"/>
              <w:rPr>
                <w:sz w:val="20"/>
                <w:szCs w:val="20"/>
                <w:color w:val="auto"/>
              </w:rPr>
            </w:pPr>
            <w:r>
              <w:rPr>
                <w:rFonts w:ascii="Arial" w:cs="Arial" w:eastAsia="Arial" w:hAnsi="Arial"/>
                <w:sz w:val="16"/>
                <w:szCs w:val="16"/>
                <w:b w:val="1"/>
                <w:bCs w:val="1"/>
                <w:color w:val="auto"/>
              </w:rPr>
              <w:t>Change in Unrealized Appreciation/(Depreciation) of Investments:</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Non-controlled/non-affiliated investments</w:t>
            </w: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24,821,654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(6,751,196)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7,276,832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10,277,147</w:t>
            </w:r>
          </w:p>
        </w:tc>
        <w:tc>
          <w:tcPr>
            <w:tcW w:w="0" w:type="dxa"/>
            <w:vAlign w:val="bottom"/>
          </w:tcPr>
          <w:p>
            <w:pPr>
              <w:spacing w:after="0"/>
              <w:rPr>
                <w:sz w:val="1"/>
                <w:szCs w:val="1"/>
                <w:color w:val="auto"/>
              </w:rPr>
            </w:pPr>
          </w:p>
        </w:tc>
      </w:tr>
      <w:tr>
        <w:trPr>
          <w:trHeight w:val="223"/>
        </w:trPr>
        <w:tc>
          <w:tcPr>
            <w:tcW w:w="5680" w:type="dxa"/>
            <w:vAlign w:val="bottom"/>
          </w:tcPr>
          <w:p>
            <w:pPr>
              <w:ind w:left="20"/>
              <w:spacing w:after="0"/>
              <w:rPr>
                <w:sz w:val="20"/>
                <w:szCs w:val="20"/>
                <w:color w:val="auto"/>
              </w:rPr>
            </w:pPr>
            <w:r>
              <w:rPr>
                <w:rFonts w:ascii="Arial" w:cs="Arial" w:eastAsia="Arial" w:hAnsi="Arial"/>
                <w:sz w:val="16"/>
                <w:szCs w:val="16"/>
                <w:color w:val="auto"/>
              </w:rPr>
              <w:t>Non-controlled/affiliate investments</w:t>
            </w:r>
          </w:p>
        </w:tc>
        <w:tc>
          <w:tcPr>
            <w:tcW w:w="260" w:type="dxa"/>
            <w:vAlign w:val="bottom"/>
          </w:tcPr>
          <w:p>
            <w:pPr>
              <w:spacing w:after="0"/>
              <w:rPr>
                <w:sz w:val="19"/>
                <w:szCs w:val="19"/>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1,569,843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(1,220,012)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(8,505,571)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7,802,636</w:t>
            </w:r>
          </w:p>
        </w:tc>
        <w:tc>
          <w:tcPr>
            <w:tcW w:w="0" w:type="dxa"/>
            <w:vAlign w:val="bottom"/>
          </w:tcPr>
          <w:p>
            <w:pPr>
              <w:spacing w:after="0"/>
              <w:rPr>
                <w:sz w:val="1"/>
                <w:szCs w:val="1"/>
                <w:color w:val="auto"/>
              </w:rPr>
            </w:pPr>
          </w:p>
        </w:tc>
      </w:tr>
      <w:tr>
        <w:trPr>
          <w:trHeight w:val="33"/>
        </w:trPr>
        <w:tc>
          <w:tcPr>
            <w:tcW w:w="5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Controlled investments</w:t>
            </w:r>
          </w:p>
        </w:tc>
        <w:tc>
          <w:tcPr>
            <w:tcW w:w="2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130,698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(4,469,112)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85,000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(9,820,352)</w:t>
            </w:r>
          </w:p>
        </w:tc>
        <w:tc>
          <w:tcPr>
            <w:tcW w:w="0" w:type="dxa"/>
            <w:vAlign w:val="bottom"/>
          </w:tcPr>
          <w:p>
            <w:pPr>
              <w:spacing w:after="0"/>
              <w:rPr>
                <w:sz w:val="1"/>
                <w:szCs w:val="1"/>
                <w:color w:val="auto"/>
              </w:rPr>
            </w:pPr>
          </w:p>
        </w:tc>
      </w:tr>
      <w:tr>
        <w:trPr>
          <w:trHeight w:val="247"/>
        </w:trPr>
        <w:tc>
          <w:tcPr>
            <w:tcW w:w="5680" w:type="dxa"/>
            <w:vAlign w:val="bottom"/>
            <w:tcBorders>
              <w:top w:val="single" w:sz="8" w:color="CCEEFF"/>
            </w:tcBorders>
          </w:tcPr>
          <w:p>
            <w:pPr>
              <w:ind w:left="140"/>
              <w:spacing w:after="0"/>
              <w:rPr>
                <w:sz w:val="20"/>
                <w:szCs w:val="20"/>
                <w:color w:val="auto"/>
              </w:rPr>
            </w:pPr>
            <w:r>
              <w:rPr>
                <w:rFonts w:ascii="Arial" w:cs="Arial" w:eastAsia="Arial" w:hAnsi="Arial"/>
                <w:sz w:val="16"/>
                <w:szCs w:val="16"/>
                <w:b w:val="1"/>
                <w:bCs w:val="1"/>
                <w:color w:val="auto"/>
              </w:rPr>
              <w:t>Net Change in Unrealized Appreciation/(Depreciation) of Investments</w:t>
            </w:r>
          </w:p>
        </w:tc>
        <w:tc>
          <w:tcPr>
            <w:tcW w:w="2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26,522,195</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(12,440,320)</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(1,143,739)</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8,259,431</w:t>
            </w:r>
          </w:p>
        </w:tc>
        <w:tc>
          <w:tcPr>
            <w:tcW w:w="0" w:type="dxa"/>
            <w:vAlign w:val="bottom"/>
          </w:tcPr>
          <w:p>
            <w:pPr>
              <w:spacing w:after="0"/>
              <w:rPr>
                <w:sz w:val="1"/>
                <w:szCs w:val="1"/>
                <w:color w:val="auto"/>
              </w:rPr>
            </w:pPr>
          </w:p>
        </w:tc>
      </w:tr>
      <w:tr>
        <w:trPr>
          <w:trHeight w:val="260"/>
        </w:trPr>
        <w:tc>
          <w:tcPr>
            <w:tcW w:w="5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Provision for taxes on unrealized appreciation of investments</w:t>
            </w: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979,713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885,566</w:t>
            </w:r>
          </w:p>
        </w:tc>
        <w:tc>
          <w:tcPr>
            <w:tcW w:w="0" w:type="dxa"/>
            <w:vAlign w:val="bottom"/>
          </w:tcPr>
          <w:p>
            <w:pPr>
              <w:spacing w:after="0"/>
              <w:rPr>
                <w:sz w:val="1"/>
                <w:szCs w:val="1"/>
                <w:color w:val="auto"/>
              </w:rPr>
            </w:pPr>
          </w:p>
        </w:tc>
      </w:tr>
      <w:tr>
        <w:trPr>
          <w:trHeight w:val="247"/>
        </w:trPr>
        <w:tc>
          <w:tcPr>
            <w:tcW w:w="5680" w:type="dxa"/>
            <w:vAlign w:val="bottom"/>
          </w:tcPr>
          <w:p>
            <w:pPr>
              <w:ind w:left="120"/>
              <w:spacing w:after="0"/>
              <w:rPr>
                <w:sz w:val="20"/>
                <w:szCs w:val="20"/>
                <w:color w:val="auto"/>
              </w:rPr>
            </w:pPr>
            <w:r>
              <w:rPr>
                <w:rFonts w:ascii="Arial" w:cs="Arial" w:eastAsia="Arial" w:hAnsi="Arial"/>
                <w:sz w:val="16"/>
                <w:szCs w:val="16"/>
                <w:b w:val="1"/>
                <w:bCs w:val="1"/>
                <w:color w:val="auto"/>
              </w:rPr>
              <w:t>Net Change in Net Assets Resulting from Operations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21,830,820</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(675,605)</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(1,861,427)</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16,484,008</w:t>
            </w:r>
          </w:p>
        </w:tc>
        <w:tc>
          <w:tcPr>
            <w:tcW w:w="0" w:type="dxa"/>
            <w:vAlign w:val="bottom"/>
          </w:tcPr>
          <w:p>
            <w:pPr>
              <w:spacing w:after="0"/>
              <w:rPr>
                <w:sz w:val="1"/>
                <w:szCs w:val="1"/>
                <w:color w:val="auto"/>
              </w:rPr>
            </w:pP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Change in Net Assets Resulting from Operations per Common Share:</w:t>
            </w:r>
          </w:p>
        </w:tc>
        <w:tc>
          <w:tcPr>
            <w:tcW w:w="2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5680" w:type="dxa"/>
            <w:vAlign w:val="bottom"/>
          </w:tcPr>
          <w:p>
            <w:pPr>
              <w:ind w:left="34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(0.03)</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(0.11)</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0.84</w:t>
            </w:r>
          </w:p>
        </w:tc>
        <w:tc>
          <w:tcPr>
            <w:tcW w:w="0" w:type="dxa"/>
            <w:vAlign w:val="bottom"/>
          </w:tcPr>
          <w:p>
            <w:pPr>
              <w:spacing w:after="0"/>
              <w:rPr>
                <w:sz w:val="1"/>
                <w:szCs w:val="1"/>
                <w:color w:val="auto"/>
              </w:rPr>
            </w:pP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5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Diluted</w:t>
            </w:r>
            <w:r>
              <w:rPr>
                <w:rFonts w:ascii="Arial" w:cs="Arial" w:eastAsia="Arial" w:hAnsi="Arial"/>
                <w:sz w:val="21"/>
                <w:szCs w:val="21"/>
                <w:color w:val="auto"/>
                <w:vertAlign w:val="superscript"/>
              </w:rPr>
              <w:t>(3)</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1.10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(0.11)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0.75</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Weighted-Average Common Shares Outstanding</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5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16,383,188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19,719,706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16,912,091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19,741,058</w:t>
            </w:r>
          </w:p>
        </w:tc>
        <w:tc>
          <w:tcPr>
            <w:tcW w:w="0" w:type="dxa"/>
            <w:vAlign w:val="bottom"/>
          </w:tcPr>
          <w:p>
            <w:pPr>
              <w:spacing w:after="0"/>
              <w:rPr>
                <w:sz w:val="1"/>
                <w:szCs w:val="1"/>
                <w:color w:val="auto"/>
              </w:rPr>
            </w:pPr>
          </w:p>
        </w:tc>
      </w:tr>
      <w:tr>
        <w:trPr>
          <w:trHeight w:val="319"/>
        </w:trPr>
        <w:tc>
          <w:tcPr>
            <w:tcW w:w="5680" w:type="dxa"/>
            <w:vAlign w:val="bottom"/>
          </w:tcPr>
          <w:p>
            <w:pPr>
              <w:ind w:left="360"/>
              <w:spacing w:after="0"/>
              <w:rPr>
                <w:sz w:val="20"/>
                <w:szCs w:val="20"/>
                <w:color w:val="auto"/>
              </w:rPr>
            </w:pPr>
            <w:r>
              <w:rPr>
                <w:rFonts w:ascii="Arial" w:cs="Arial" w:eastAsia="Arial" w:hAnsi="Arial"/>
                <w:sz w:val="16"/>
                <w:szCs w:val="16"/>
                <w:color w:val="auto"/>
              </w:rPr>
              <w:t>Diluted</w:t>
            </w:r>
            <w:r>
              <w:rPr>
                <w:rFonts w:ascii="Arial" w:cs="Arial" w:eastAsia="Arial" w:hAnsi="Arial"/>
                <w:sz w:val="21"/>
                <w:szCs w:val="21"/>
                <w:color w:val="auto"/>
                <w:vertAlign w:val="superscript"/>
              </w:rPr>
              <w:t>(3)</w:t>
            </w:r>
          </w:p>
        </w:tc>
        <w:tc>
          <w:tcPr>
            <w:tcW w:w="260" w:type="dxa"/>
            <w:vAlign w:val="bottom"/>
          </w:tcPr>
          <w:p>
            <w:pPr>
              <w:spacing w:after="0"/>
              <w:rPr>
                <w:sz w:val="24"/>
                <w:szCs w:val="24"/>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20,300,980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19,719,706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16,912,091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23,472,402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-5259705</wp:posOffset>
            </wp:positionV>
            <wp:extent cx="360045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00450" cy="17145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pacing w:after="0" w:line="7" w:lineRule="exact"/>
        <w:rPr>
          <w:sz w:val="20"/>
          <w:szCs w:val="20"/>
          <w:color w:val="auto"/>
        </w:rPr>
      </w:pPr>
    </w:p>
    <w:p>
      <w:pPr>
        <w:spacing w:after="0"/>
        <w:rPr>
          <w:sz w:val="20"/>
          <w:szCs w:val="20"/>
          <w:color w:val="auto"/>
        </w:rPr>
      </w:pPr>
      <w:r>
        <w:rPr>
          <w:rFonts w:ascii="Arial" w:cs="Arial" w:eastAsia="Arial" w:hAnsi="Arial"/>
          <w:sz w:val="4"/>
          <w:szCs w:val="4"/>
          <w:color w:val="auto"/>
        </w:rPr>
        <w:t>____________________________________________________________________________________________________________________________</w:t>
      </w:r>
    </w:p>
    <w:p>
      <w:pPr>
        <w:ind w:left="200" w:hanging="192"/>
        <w:spacing w:after="0"/>
        <w:tabs>
          <w:tab w:leader="none" w:pos="20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This balance references a related-party transaction. Refer to “Note 3—Related-Party Arrangements” for more detail.</w:t>
      </w:r>
    </w:p>
    <w:p>
      <w:pPr>
        <w:spacing w:after="0" w:line="1" w:lineRule="exact"/>
        <w:rPr>
          <w:rFonts w:ascii="Arial" w:cs="Arial" w:eastAsia="Arial" w:hAnsi="Arial"/>
          <w:sz w:val="14"/>
          <w:szCs w:val="14"/>
          <w:color w:val="auto"/>
        </w:rPr>
      </w:pPr>
    </w:p>
    <w:p>
      <w:pPr>
        <w:ind w:left="340" w:hanging="332"/>
        <w:spacing w:after="0" w:line="241" w:lineRule="auto"/>
        <w:tabs>
          <w:tab w:leader="none" w:pos="268" w:val="left"/>
        </w:tabs>
        <w:numPr>
          <w:ilvl w:val="0"/>
          <w:numId w:val="3"/>
        </w:numPr>
        <w:rPr>
          <w:rFonts w:ascii="Arial" w:cs="Arial" w:eastAsia="Arial" w:hAnsi="Arial"/>
          <w:sz w:val="14"/>
          <w:szCs w:val="14"/>
          <w:color w:val="auto"/>
        </w:rPr>
      </w:pPr>
      <w:r>
        <w:rPr>
          <w:rFonts w:ascii="Arial" w:cs="Arial" w:eastAsia="Arial" w:hAnsi="Arial"/>
          <w:sz w:val="14"/>
          <w:szCs w:val="14"/>
          <w:color w:val="auto"/>
        </w:rPr>
        <w:t>For the three and six months ended June 30, 2020, this balance includes $1,962,431 of accelerated recognition of compensation cost related to the cancellation of unvested options on April 28, 2020. Refer to "Note 11— Stock-Based Compensation" for more detail.</w:t>
      </w:r>
    </w:p>
    <w:p>
      <w:pPr>
        <w:ind w:left="340" w:hanging="332"/>
        <w:spacing w:after="0" w:line="248" w:lineRule="auto"/>
        <w:tabs>
          <w:tab w:leader="none" w:pos="238" w:val="left"/>
        </w:tabs>
        <w:numPr>
          <w:ilvl w:val="0"/>
          <w:numId w:val="3"/>
        </w:numPr>
        <w:rPr>
          <w:rFonts w:ascii="Arial" w:cs="Arial" w:eastAsia="Arial" w:hAnsi="Arial"/>
          <w:sz w:val="14"/>
          <w:szCs w:val="14"/>
          <w:color w:val="auto"/>
        </w:rPr>
      </w:pPr>
      <w:r>
        <w:rPr>
          <w:rFonts w:ascii="Arial" w:cs="Arial" w:eastAsia="Arial" w:hAnsi="Arial"/>
          <w:sz w:val="14"/>
          <w:szCs w:val="14"/>
          <w:color w:val="auto"/>
        </w:rPr>
        <w:t>For the six months ended June 30, 2020 and the three months ended June 30, 2019, 3,917,792 and 3,731,344 potentially dilutive common shares, respectively, were excluded from the weighted-average common shares outstanding for diluted net increase in net assets resulting from operations per common share because the effect of these shares would have been anti-dilutive. Refer to “Note 6—Net Change in Net Assets Resulting from Operations per Common Share—Basic and Diluted”.</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40"/>
          </w:cols>
          <w:pgMar w:left="320" w:top="122" w:right="339" w:bottom="1440" w:gutter="0" w:footer="0" w:header="0"/>
          <w:type w:val="continuous"/>
        </w:sectPr>
      </w:pPr>
    </w:p>
    <w:bookmarkStart w:id="4" w:name="page5"/>
    <w:bookmarkEnd w:id="4"/>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SURO CAPITAL CORP.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CHANGES IN NET ASSETS (UNAUDITED)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77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2019</w:t>
            </w:r>
          </w:p>
        </w:tc>
      </w:tr>
      <w:tr>
        <w:trPr>
          <w:trHeight w:val="236"/>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Assets at Beginning of Year</w:t>
            </w:r>
          </w:p>
        </w:tc>
        <w:tc>
          <w:tcPr>
            <w:tcW w:w="380" w:type="dxa"/>
            <w:vAlign w:val="bottom"/>
            <w:tcBorders>
              <w:bottom w:val="single" w:sz="8" w:color="CCEEFF"/>
            </w:tcBorders>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199,917,289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195,378,159</w:t>
            </w:r>
          </w:p>
        </w:tc>
      </w:tr>
      <w:tr>
        <w:trPr>
          <w:trHeight w:val="162"/>
        </w:trPr>
        <w:tc>
          <w:tcPr>
            <w:tcW w:w="7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37"/>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Change in Net Assets Resulting from Operations</w:t>
            </w: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24"/>
        </w:trPr>
        <w:tc>
          <w:tcPr>
            <w:tcW w:w="7780" w:type="dxa"/>
            <w:vAlign w:val="bottom"/>
          </w:tcPr>
          <w:p>
            <w:pPr>
              <w:ind w:left="120"/>
              <w:spacing w:after="0"/>
              <w:rPr>
                <w:sz w:val="20"/>
                <w:szCs w:val="20"/>
                <w:color w:val="auto"/>
              </w:rPr>
            </w:pPr>
            <w:r>
              <w:rPr>
                <w:rFonts w:ascii="Arial" w:cs="Arial" w:eastAsia="Arial" w:hAnsi="Arial"/>
                <w:sz w:val="16"/>
                <w:szCs w:val="16"/>
                <w:color w:val="auto"/>
              </w:rPr>
              <w:t>Net investment income/(loss)</w:t>
            </w:r>
          </w:p>
        </w:tc>
        <w:tc>
          <w:tcPr>
            <w:tcW w:w="38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(3,004,553)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619,702</w:t>
            </w:r>
          </w:p>
        </w:tc>
      </w:tr>
      <w:tr>
        <w:trPr>
          <w:trHeight w:val="33"/>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7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realized gain/(loss) on investments</w:t>
            </w: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6,978,240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(4,065,693)</w:t>
            </w:r>
          </w:p>
        </w:tc>
      </w:tr>
      <w:tr>
        <w:trPr>
          <w:trHeight w:val="223"/>
        </w:trPr>
        <w:tc>
          <w:tcPr>
            <w:tcW w:w="7780" w:type="dxa"/>
            <w:vAlign w:val="bottom"/>
          </w:tcPr>
          <w:p>
            <w:pPr>
              <w:ind w:left="120"/>
              <w:spacing w:after="0"/>
              <w:rPr>
                <w:sz w:val="20"/>
                <w:szCs w:val="20"/>
                <w:color w:val="auto"/>
              </w:rPr>
            </w:pPr>
            <w:r>
              <w:rPr>
                <w:rFonts w:ascii="Arial" w:cs="Arial" w:eastAsia="Arial" w:hAnsi="Arial"/>
                <w:sz w:val="16"/>
                <w:szCs w:val="16"/>
                <w:color w:val="auto"/>
              </w:rPr>
              <w:t>Net change in unrealized appreciation/(depreciation) of investments</w:t>
            </w:r>
          </w:p>
        </w:tc>
        <w:tc>
          <w:tcPr>
            <w:tcW w:w="38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(27,665,934)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20,699,751</w:t>
            </w:r>
          </w:p>
        </w:tc>
      </w:tr>
      <w:tr>
        <w:trPr>
          <w:trHeight w:val="33"/>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6"/>
        </w:trPr>
        <w:tc>
          <w:tcPr>
            <w:tcW w:w="7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Benefit from taxes on unrealized depreciation of investments</w:t>
            </w:r>
          </w:p>
        </w:tc>
        <w:tc>
          <w:tcPr>
            <w:tcW w:w="3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(94,147)</w:t>
            </w:r>
          </w:p>
        </w:tc>
      </w:tr>
      <w:tr>
        <w:trPr>
          <w:trHeight w:val="217"/>
        </w:trPr>
        <w:tc>
          <w:tcPr>
            <w:tcW w:w="7780" w:type="dxa"/>
            <w:vAlign w:val="bottom"/>
          </w:tcPr>
          <w:p>
            <w:pPr>
              <w:ind w:left="220"/>
              <w:spacing w:after="0"/>
              <w:rPr>
                <w:sz w:val="20"/>
                <w:szCs w:val="20"/>
                <w:color w:val="auto"/>
              </w:rPr>
            </w:pPr>
            <w:r>
              <w:rPr>
                <w:rFonts w:ascii="Arial" w:cs="Arial" w:eastAsia="Arial" w:hAnsi="Arial"/>
                <w:sz w:val="16"/>
                <w:szCs w:val="16"/>
                <w:b w:val="1"/>
                <w:bCs w:val="1"/>
                <w:color w:val="auto"/>
              </w:rPr>
              <w:t>Net Change in Net Assets Resulting from Operations</w:t>
            </w:r>
          </w:p>
        </w:tc>
        <w:tc>
          <w:tcPr>
            <w:tcW w:w="3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(23,692,247)</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17,159,613</w:t>
            </w:r>
          </w:p>
        </w:tc>
      </w:tr>
      <w:tr>
        <w:trPr>
          <w:trHeight w:val="33"/>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Change in Net Assets Resulting from Capital Transactions</w:t>
            </w: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24"/>
        </w:trPr>
        <w:tc>
          <w:tcPr>
            <w:tcW w:w="7780" w:type="dxa"/>
            <w:vAlign w:val="bottom"/>
          </w:tcPr>
          <w:p>
            <w:pPr>
              <w:ind w:left="120"/>
              <w:spacing w:after="0"/>
              <w:rPr>
                <w:sz w:val="20"/>
                <w:szCs w:val="20"/>
                <w:color w:val="auto"/>
              </w:rPr>
            </w:pPr>
            <w:r>
              <w:rPr>
                <w:rFonts w:ascii="Arial" w:cs="Arial" w:eastAsia="Arial" w:hAnsi="Arial"/>
                <w:sz w:val="16"/>
                <w:szCs w:val="16"/>
                <w:color w:val="auto"/>
              </w:rPr>
              <w:t>Repurchases of common stock</w:t>
            </w:r>
          </w:p>
        </w:tc>
        <w:tc>
          <w:tcPr>
            <w:tcW w:w="38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(3,709,244)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7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b w:val="1"/>
                <w:bCs w:val="1"/>
                <w:color w:val="auto"/>
              </w:rPr>
              <w:t>Net Change in Net Assets Resulting from Capital Transactions</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(3,709,244)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17"/>
        </w:trPr>
        <w:tc>
          <w:tcPr>
            <w:tcW w:w="7780" w:type="dxa"/>
            <w:vAlign w:val="bottom"/>
          </w:tcPr>
          <w:p>
            <w:pPr>
              <w:ind w:left="20"/>
              <w:spacing w:after="0"/>
              <w:rPr>
                <w:sz w:val="20"/>
                <w:szCs w:val="20"/>
                <w:color w:val="auto"/>
              </w:rPr>
            </w:pPr>
            <w:r>
              <w:rPr>
                <w:rFonts w:ascii="Arial" w:cs="Arial" w:eastAsia="Arial" w:hAnsi="Arial"/>
                <w:sz w:val="16"/>
                <w:szCs w:val="16"/>
                <w:b w:val="1"/>
                <w:bCs w:val="1"/>
                <w:color w:val="auto"/>
              </w:rPr>
              <w:t>Total Change in Net Assets</w:t>
            </w:r>
          </w:p>
        </w:tc>
        <w:tc>
          <w:tcPr>
            <w:tcW w:w="3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(27,401,491)</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17,159,613</w:t>
            </w:r>
          </w:p>
        </w:tc>
      </w:tr>
      <w:tr>
        <w:trPr>
          <w:trHeight w:val="33"/>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8"/>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Assets at March 31</w:t>
            </w:r>
          </w:p>
        </w:tc>
        <w:tc>
          <w:tcPr>
            <w:tcW w:w="380" w:type="dxa"/>
            <w:vAlign w:val="bottom"/>
            <w:tcBorders>
              <w:bottom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172,515,798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212,537,772</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20"/>
        </w:trPr>
        <w:tc>
          <w:tcPr>
            <w:tcW w:w="7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7"/>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Change in Net Assets Resulting from Operations</w:t>
            </w: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23"/>
        </w:trPr>
        <w:tc>
          <w:tcPr>
            <w:tcW w:w="7780" w:type="dxa"/>
            <w:vAlign w:val="bottom"/>
          </w:tcPr>
          <w:p>
            <w:pPr>
              <w:ind w:left="120"/>
              <w:spacing w:after="0"/>
              <w:rPr>
                <w:sz w:val="20"/>
                <w:szCs w:val="20"/>
                <w:color w:val="auto"/>
              </w:rPr>
            </w:pPr>
            <w:r>
              <w:rPr>
                <w:rFonts w:ascii="Arial" w:cs="Arial" w:eastAsia="Arial" w:hAnsi="Arial"/>
                <w:sz w:val="16"/>
                <w:szCs w:val="16"/>
                <w:color w:val="auto"/>
              </w:rPr>
              <w:t>Net investment income/(loss)</w:t>
            </w: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(4,667,388)</w:t>
            </w:r>
          </w:p>
        </w:tc>
        <w:tc>
          <w:tcPr>
            <w:tcW w:w="100" w:type="dxa"/>
            <w:vAlign w:val="bottom"/>
          </w:tcPr>
          <w:p>
            <w:pPr>
              <w:spacing w:after="0"/>
              <w:rPr>
                <w:sz w:val="19"/>
                <w:szCs w:val="19"/>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(2,805,231)</w:t>
            </w:r>
          </w:p>
        </w:tc>
      </w:tr>
      <w:tr>
        <w:trPr>
          <w:trHeight w:val="33"/>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7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realized gain/(loss) on investments</w:t>
            </w: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(23,987)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13,590,233</w:t>
            </w:r>
          </w:p>
        </w:tc>
      </w:tr>
      <w:tr>
        <w:trPr>
          <w:trHeight w:val="224"/>
        </w:trPr>
        <w:tc>
          <w:tcPr>
            <w:tcW w:w="7780" w:type="dxa"/>
            <w:vAlign w:val="bottom"/>
          </w:tcPr>
          <w:p>
            <w:pPr>
              <w:ind w:left="120"/>
              <w:spacing w:after="0"/>
              <w:rPr>
                <w:sz w:val="20"/>
                <w:szCs w:val="20"/>
                <w:color w:val="auto"/>
              </w:rPr>
            </w:pPr>
            <w:r>
              <w:rPr>
                <w:rFonts w:ascii="Arial" w:cs="Arial" w:eastAsia="Arial" w:hAnsi="Arial"/>
                <w:sz w:val="16"/>
                <w:szCs w:val="16"/>
                <w:color w:val="auto"/>
              </w:rPr>
              <w:t>Net change in unrealized appreciation/(depreciation) of investments</w:t>
            </w:r>
          </w:p>
        </w:tc>
        <w:tc>
          <w:tcPr>
            <w:tcW w:w="380" w:type="dxa"/>
            <w:vAlign w:val="bottom"/>
          </w:tcPr>
          <w:p>
            <w:pPr>
              <w:spacing w:after="0"/>
              <w:rPr>
                <w:sz w:val="19"/>
                <w:szCs w:val="19"/>
                <w:color w:val="auto"/>
              </w:rPr>
            </w:pPr>
          </w:p>
        </w:tc>
        <w:tc>
          <w:tcPr>
            <w:tcW w:w="1280" w:type="dxa"/>
            <w:vAlign w:val="bottom"/>
          </w:tcPr>
          <w:p>
            <w:pPr>
              <w:jc w:val="right"/>
              <w:ind w:right="80"/>
              <w:spacing w:after="0"/>
              <w:rPr>
                <w:sz w:val="20"/>
                <w:szCs w:val="20"/>
                <w:color w:val="auto"/>
              </w:rPr>
            </w:pPr>
            <w:r>
              <w:rPr>
                <w:rFonts w:ascii="Arial" w:cs="Arial" w:eastAsia="Arial" w:hAnsi="Arial"/>
                <w:sz w:val="16"/>
                <w:szCs w:val="16"/>
                <w:color w:val="auto"/>
              </w:rPr>
              <w:t>26,522,195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(12,440,320)</w:t>
            </w:r>
          </w:p>
        </w:tc>
      </w:tr>
      <w:tr>
        <w:trPr>
          <w:trHeight w:val="33"/>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7"/>
        </w:trPr>
        <w:tc>
          <w:tcPr>
            <w:tcW w:w="7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Benefit from taxes on unrealized depreciation of investments</w:t>
            </w:r>
          </w:p>
        </w:tc>
        <w:tc>
          <w:tcPr>
            <w:tcW w:w="3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979,713</w:t>
            </w:r>
          </w:p>
        </w:tc>
      </w:tr>
      <w:tr>
        <w:trPr>
          <w:trHeight w:val="217"/>
        </w:trPr>
        <w:tc>
          <w:tcPr>
            <w:tcW w:w="7780" w:type="dxa"/>
            <w:vAlign w:val="bottom"/>
          </w:tcPr>
          <w:p>
            <w:pPr>
              <w:ind w:left="220"/>
              <w:spacing w:after="0"/>
              <w:rPr>
                <w:sz w:val="20"/>
                <w:szCs w:val="20"/>
                <w:color w:val="auto"/>
              </w:rPr>
            </w:pPr>
            <w:r>
              <w:rPr>
                <w:rFonts w:ascii="Arial" w:cs="Arial" w:eastAsia="Arial" w:hAnsi="Arial"/>
                <w:sz w:val="16"/>
                <w:szCs w:val="16"/>
                <w:b w:val="1"/>
                <w:bCs w:val="1"/>
                <w:color w:val="auto"/>
              </w:rPr>
              <w:t>Net Change in Net Assets Resulting from Operations</w:t>
            </w:r>
          </w:p>
        </w:tc>
        <w:tc>
          <w:tcPr>
            <w:tcW w:w="3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21,830,820</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(675,605)</w:t>
            </w:r>
          </w:p>
        </w:tc>
      </w:tr>
      <w:tr>
        <w:trPr>
          <w:trHeight w:val="33"/>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6"/>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Change in Net Assets Resulting from Capital Transactions</w:t>
            </w: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23"/>
        </w:trPr>
        <w:tc>
          <w:tcPr>
            <w:tcW w:w="7780" w:type="dxa"/>
            <w:vAlign w:val="bottom"/>
          </w:tcPr>
          <w:p>
            <w:pPr>
              <w:ind w:left="120"/>
              <w:spacing w:after="0"/>
              <w:rPr>
                <w:sz w:val="20"/>
                <w:szCs w:val="20"/>
                <w:color w:val="auto"/>
              </w:rPr>
            </w:pPr>
            <w:r>
              <w:rPr>
                <w:rFonts w:ascii="Arial" w:cs="Arial" w:eastAsia="Arial" w:hAnsi="Arial"/>
                <w:sz w:val="16"/>
                <w:szCs w:val="16"/>
                <w:color w:val="auto"/>
              </w:rPr>
              <w:t>Stock-based compensation</w:t>
            </w:r>
          </w:p>
        </w:tc>
        <w:tc>
          <w:tcPr>
            <w:tcW w:w="380" w:type="dxa"/>
            <w:vAlign w:val="bottom"/>
          </w:tcPr>
          <w:p>
            <w:pPr>
              <w:spacing w:after="0"/>
              <w:rPr>
                <w:sz w:val="19"/>
                <w:szCs w:val="19"/>
                <w:color w:val="auto"/>
              </w:rPr>
            </w:pPr>
          </w:p>
        </w:tc>
        <w:tc>
          <w:tcPr>
            <w:tcW w:w="1280" w:type="dxa"/>
            <w:vAlign w:val="bottom"/>
          </w:tcPr>
          <w:p>
            <w:pPr>
              <w:jc w:val="right"/>
              <w:ind w:right="80"/>
              <w:spacing w:after="0"/>
              <w:rPr>
                <w:sz w:val="20"/>
                <w:szCs w:val="20"/>
                <w:color w:val="auto"/>
              </w:rPr>
            </w:pPr>
            <w:r>
              <w:rPr>
                <w:rFonts w:ascii="Arial" w:cs="Arial" w:eastAsia="Arial" w:hAnsi="Arial"/>
                <w:sz w:val="16"/>
                <w:szCs w:val="16"/>
                <w:color w:val="auto"/>
              </w:rPr>
              <w:t>1,962,431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6"/>
        </w:trPr>
        <w:tc>
          <w:tcPr>
            <w:tcW w:w="7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Repurchases of common stock</w:t>
            </w: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(3,616,608)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(737,119)</w:t>
            </w:r>
          </w:p>
        </w:tc>
      </w:tr>
      <w:tr>
        <w:trPr>
          <w:trHeight w:val="217"/>
        </w:trPr>
        <w:tc>
          <w:tcPr>
            <w:tcW w:w="7780" w:type="dxa"/>
            <w:vAlign w:val="bottom"/>
            <w:tcBorders>
              <w:top w:val="single" w:sz="8" w:color="CCEEFF"/>
            </w:tcBorders>
          </w:tcPr>
          <w:p>
            <w:pPr>
              <w:ind w:left="220"/>
              <w:spacing w:after="0"/>
              <w:rPr>
                <w:sz w:val="20"/>
                <w:szCs w:val="20"/>
                <w:color w:val="auto"/>
              </w:rPr>
            </w:pPr>
            <w:r>
              <w:rPr>
                <w:rFonts w:ascii="Arial" w:cs="Arial" w:eastAsia="Arial" w:hAnsi="Arial"/>
                <w:sz w:val="16"/>
                <w:szCs w:val="16"/>
                <w:b w:val="1"/>
                <w:bCs w:val="1"/>
                <w:color w:val="auto"/>
              </w:rPr>
              <w:t>Net Decrease in Net Assets Resulting from Capital Transactions</w:t>
            </w:r>
          </w:p>
        </w:tc>
        <w:tc>
          <w:tcPr>
            <w:tcW w:w="3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(1,654,177)</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(737,119)</w:t>
            </w:r>
          </w:p>
        </w:tc>
      </w:tr>
      <w:tr>
        <w:trPr>
          <w:trHeight w:val="33"/>
        </w:trPr>
        <w:tc>
          <w:tcPr>
            <w:tcW w:w="7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Change in Net Assets</w:t>
            </w: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20,176,643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(1,412,724)</w:t>
            </w:r>
          </w:p>
        </w:tc>
      </w:tr>
      <w:tr>
        <w:trPr>
          <w:trHeight w:val="253"/>
        </w:trPr>
        <w:tc>
          <w:tcPr>
            <w:tcW w:w="7780" w:type="dxa"/>
            <w:vAlign w:val="bottom"/>
          </w:tcPr>
          <w:p>
            <w:pPr>
              <w:ind w:left="20"/>
              <w:spacing w:after="0"/>
              <w:rPr>
                <w:sz w:val="20"/>
                <w:szCs w:val="20"/>
                <w:color w:val="auto"/>
              </w:rPr>
            </w:pPr>
            <w:r>
              <w:rPr>
                <w:rFonts w:ascii="Arial" w:cs="Arial" w:eastAsia="Arial" w:hAnsi="Arial"/>
                <w:sz w:val="16"/>
                <w:szCs w:val="16"/>
                <w:b w:val="1"/>
                <w:bCs w:val="1"/>
                <w:color w:val="auto"/>
              </w:rPr>
              <w:t>Net Assets at June 30</w:t>
            </w:r>
          </w:p>
        </w:tc>
        <w:tc>
          <w:tcPr>
            <w:tcW w:w="38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192,692,441</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211,125,048</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40"/>
        </w:trPr>
        <w:tc>
          <w:tcPr>
            <w:tcW w:w="77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4"/>
        </w:trPr>
        <w:tc>
          <w:tcPr>
            <w:tcW w:w="7780" w:type="dxa"/>
            <w:vAlign w:val="bottom"/>
          </w:tcPr>
          <w:p>
            <w:pPr>
              <w:ind w:left="20"/>
              <w:spacing w:after="0"/>
              <w:rPr>
                <w:sz w:val="20"/>
                <w:szCs w:val="20"/>
                <w:color w:val="auto"/>
              </w:rPr>
            </w:pPr>
            <w:r>
              <w:rPr>
                <w:rFonts w:ascii="Arial" w:cs="Arial" w:eastAsia="Arial" w:hAnsi="Arial"/>
                <w:sz w:val="16"/>
                <w:szCs w:val="16"/>
                <w:b w:val="1"/>
                <w:bCs w:val="1"/>
                <w:color w:val="auto"/>
              </w:rPr>
              <w:t>Capital Share Activity</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3"/>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7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Shares outstanding at beginning of year</w:t>
            </w: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17,564,244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19,762,647</w:t>
            </w:r>
          </w:p>
        </w:tc>
      </w:tr>
      <w:tr>
        <w:trPr>
          <w:trHeight w:val="223"/>
        </w:trPr>
        <w:tc>
          <w:tcPr>
            <w:tcW w:w="7780" w:type="dxa"/>
            <w:vAlign w:val="bottom"/>
          </w:tcPr>
          <w:p>
            <w:pPr>
              <w:ind w:left="120"/>
              <w:spacing w:after="0"/>
              <w:rPr>
                <w:sz w:val="20"/>
                <w:szCs w:val="20"/>
                <w:color w:val="auto"/>
              </w:rPr>
            </w:pPr>
            <w:r>
              <w:rPr>
                <w:rFonts w:ascii="Arial" w:cs="Arial" w:eastAsia="Arial" w:hAnsi="Arial"/>
                <w:sz w:val="16"/>
                <w:szCs w:val="16"/>
                <w:color w:val="auto"/>
              </w:rPr>
              <w:t>Shares issued</w:t>
            </w:r>
          </w:p>
        </w:tc>
        <w:tc>
          <w:tcPr>
            <w:tcW w:w="38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7"/>
        </w:trPr>
        <w:tc>
          <w:tcPr>
            <w:tcW w:w="7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Shares repurchased</w:t>
            </w: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(1,284,565)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(115,801)</w:t>
            </w:r>
          </w:p>
        </w:tc>
      </w:tr>
      <w:tr>
        <w:trPr>
          <w:trHeight w:val="247"/>
        </w:trPr>
        <w:tc>
          <w:tcPr>
            <w:tcW w:w="7780" w:type="dxa"/>
            <w:vAlign w:val="bottom"/>
            <w:tcBorders>
              <w:top w:val="single" w:sz="8" w:color="CCEEFF"/>
            </w:tcBorders>
          </w:tcPr>
          <w:p>
            <w:pPr>
              <w:ind w:left="20"/>
              <w:spacing w:after="0"/>
              <w:rPr>
                <w:sz w:val="20"/>
                <w:szCs w:val="20"/>
                <w:color w:val="auto"/>
              </w:rPr>
            </w:pPr>
            <w:r>
              <w:rPr>
                <w:rFonts w:ascii="Arial" w:cs="Arial" w:eastAsia="Arial" w:hAnsi="Arial"/>
                <w:sz w:val="16"/>
                <w:szCs w:val="16"/>
                <w:b w:val="1"/>
                <w:bCs w:val="1"/>
                <w:color w:val="auto"/>
              </w:rPr>
              <w:t>Shares Outstanding at End of Period</w:t>
            </w:r>
          </w:p>
        </w:tc>
        <w:tc>
          <w:tcPr>
            <w:tcW w:w="38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16,279,679</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19,646,846</w:t>
            </w:r>
          </w:p>
        </w:tc>
      </w:tr>
      <w:tr>
        <w:trPr>
          <w:trHeight w:val="23"/>
        </w:trPr>
        <w:tc>
          <w:tcPr>
            <w:tcW w:w="77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-1550670</wp:posOffset>
            </wp:positionV>
            <wp:extent cx="492887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2887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-3548380</wp:posOffset>
            </wp:positionV>
            <wp:extent cx="4928870" cy="1797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28870" cy="17970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320" w:top="122" w:right="379" w:bottom="1440" w:gutter="0" w:footer="0" w:header="0"/>
        </w:sectPr>
      </w:pPr>
    </w:p>
    <w:bookmarkStart w:id="5" w:name="page6"/>
    <w:bookmarkEnd w:id="5"/>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839"/>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77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4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2019</w:t>
            </w:r>
          </w:p>
        </w:tc>
      </w:tr>
      <w:tr>
        <w:trPr>
          <w:trHeight w:val="223"/>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4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r>
      <w:tr>
        <w:trPr>
          <w:trHeight w:val="224"/>
        </w:trPr>
        <w:tc>
          <w:tcPr>
            <w:tcW w:w="7720" w:type="dxa"/>
            <w:vAlign w:val="bottom"/>
          </w:tcPr>
          <w:p>
            <w:pPr>
              <w:ind w:left="20"/>
              <w:spacing w:after="0"/>
              <w:rPr>
                <w:sz w:val="20"/>
                <w:szCs w:val="20"/>
                <w:color w:val="auto"/>
              </w:rPr>
            </w:pPr>
            <w:r>
              <w:rPr>
                <w:rFonts w:ascii="Arial" w:cs="Arial" w:eastAsia="Arial" w:hAnsi="Arial"/>
                <w:sz w:val="16"/>
                <w:szCs w:val="16"/>
                <w:color w:val="auto"/>
              </w:rPr>
              <w:t>Net change in net assets resulting from operations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(1,861,427)</w:t>
            </w:r>
          </w:p>
        </w:tc>
        <w:tc>
          <w:tcPr>
            <w:tcW w:w="10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16,484,008</w:t>
            </w:r>
          </w:p>
        </w:tc>
      </w:tr>
      <w:tr>
        <w:trPr>
          <w:trHeight w:val="33"/>
        </w:trPr>
        <w:tc>
          <w:tcPr>
            <w:tcW w:w="7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66"/>
        </w:trPr>
        <w:tc>
          <w:tcPr>
            <w:tcW w:w="772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w w:val="91"/>
              </w:rPr>
              <w:t>Adjustments to reconcile net change in net assets resulting from operations to net cash provided by/(used in) operating</w:t>
            </w: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212"/>
        </w:trPr>
        <w:tc>
          <w:tcPr>
            <w:tcW w:w="7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activities:</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3"/>
        </w:trPr>
        <w:tc>
          <w:tcPr>
            <w:tcW w:w="7720" w:type="dxa"/>
            <w:vAlign w:val="bottom"/>
          </w:tcPr>
          <w:p>
            <w:pPr>
              <w:ind w:left="120"/>
              <w:spacing w:after="0"/>
              <w:rPr>
                <w:sz w:val="20"/>
                <w:szCs w:val="20"/>
                <w:color w:val="auto"/>
              </w:rPr>
            </w:pPr>
            <w:r>
              <w:rPr>
                <w:rFonts w:ascii="Arial" w:cs="Arial" w:eastAsia="Arial" w:hAnsi="Arial"/>
                <w:sz w:val="16"/>
                <w:szCs w:val="16"/>
                <w:color w:val="auto"/>
              </w:rPr>
              <w:t>Net realized gain on investments</w:t>
            </w:r>
          </w:p>
        </w:tc>
        <w:tc>
          <w:tcPr>
            <w:tcW w:w="40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(6,954,253)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(9,524,540)</w:t>
            </w:r>
          </w:p>
        </w:tc>
      </w:tr>
      <w:tr>
        <w:trPr>
          <w:trHeight w:val="33"/>
        </w:trPr>
        <w:tc>
          <w:tcPr>
            <w:tcW w:w="7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7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change in unrealized (appreciation)/depreciation of investments</w:t>
            </w: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1,143,739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(8,259,431)</w:t>
            </w:r>
          </w:p>
        </w:tc>
      </w:tr>
      <w:tr>
        <w:trPr>
          <w:trHeight w:val="224"/>
        </w:trPr>
        <w:tc>
          <w:tcPr>
            <w:tcW w:w="7720" w:type="dxa"/>
            <w:vAlign w:val="bottom"/>
          </w:tcPr>
          <w:p>
            <w:pPr>
              <w:ind w:left="120"/>
              <w:spacing w:after="0"/>
              <w:rPr>
                <w:sz w:val="20"/>
                <w:szCs w:val="20"/>
                <w:color w:val="auto"/>
              </w:rPr>
            </w:pPr>
            <w:r>
              <w:rPr>
                <w:rFonts w:ascii="Arial" w:cs="Arial" w:eastAsia="Arial" w:hAnsi="Arial"/>
                <w:sz w:val="16"/>
                <w:szCs w:val="16"/>
                <w:color w:val="auto"/>
              </w:rPr>
              <w:t>Change in deferred tax liability</w:t>
            </w:r>
          </w:p>
        </w:tc>
        <w:tc>
          <w:tcPr>
            <w:tcW w:w="40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(885,566)</w:t>
            </w:r>
          </w:p>
        </w:tc>
      </w:tr>
      <w:tr>
        <w:trPr>
          <w:trHeight w:val="33"/>
        </w:trPr>
        <w:tc>
          <w:tcPr>
            <w:tcW w:w="7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7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Income tax payable</w:t>
            </w: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38,965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3"/>
        </w:trPr>
        <w:tc>
          <w:tcPr>
            <w:tcW w:w="7720" w:type="dxa"/>
            <w:vAlign w:val="bottom"/>
          </w:tcPr>
          <w:p>
            <w:pPr>
              <w:ind w:left="120"/>
              <w:spacing w:after="0"/>
              <w:rPr>
                <w:sz w:val="20"/>
                <w:szCs w:val="20"/>
                <w:color w:val="auto"/>
              </w:rPr>
            </w:pPr>
            <w:r>
              <w:rPr>
                <w:rFonts w:ascii="Arial" w:cs="Arial" w:eastAsia="Arial" w:hAnsi="Arial"/>
                <w:sz w:val="16"/>
                <w:szCs w:val="16"/>
                <w:color w:val="auto"/>
              </w:rPr>
              <w:t>Amortization of discount on 4.75% Convertible Senior Notes due 2023</w:t>
            </w:r>
          </w:p>
        </w:tc>
        <w:tc>
          <w:tcPr>
            <w:tcW w:w="400" w:type="dxa"/>
            <w:vAlign w:val="bottom"/>
          </w:tcPr>
          <w:p>
            <w:pPr>
              <w:spacing w:after="0"/>
              <w:rPr>
                <w:sz w:val="19"/>
                <w:szCs w:val="19"/>
                <w:color w:val="auto"/>
              </w:rPr>
            </w:pPr>
          </w:p>
        </w:tc>
        <w:tc>
          <w:tcPr>
            <w:tcW w:w="1320" w:type="dxa"/>
            <w:vAlign w:val="bottom"/>
          </w:tcPr>
          <w:p>
            <w:pPr>
              <w:jc w:val="right"/>
              <w:ind w:right="80"/>
              <w:spacing w:after="0"/>
              <w:rPr>
                <w:sz w:val="20"/>
                <w:szCs w:val="20"/>
                <w:color w:val="auto"/>
              </w:rPr>
            </w:pPr>
            <w:r>
              <w:rPr>
                <w:rFonts w:ascii="Arial" w:cs="Arial" w:eastAsia="Arial" w:hAnsi="Arial"/>
                <w:sz w:val="16"/>
                <w:szCs w:val="16"/>
                <w:color w:val="auto"/>
              </w:rPr>
              <w:t>188,022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183,045</w:t>
            </w:r>
          </w:p>
        </w:tc>
      </w:tr>
      <w:tr>
        <w:trPr>
          <w:trHeight w:val="33"/>
        </w:trPr>
        <w:tc>
          <w:tcPr>
            <w:tcW w:w="7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7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Amortization of fixed income security premiums and discounts</w:t>
            </w:r>
          </w:p>
        </w:tc>
        <w:tc>
          <w:tcPr>
            <w:tcW w:w="4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(2,433)</w:t>
            </w:r>
          </w:p>
        </w:tc>
      </w:tr>
      <w:tr>
        <w:trPr>
          <w:trHeight w:val="257"/>
        </w:trPr>
        <w:tc>
          <w:tcPr>
            <w:tcW w:w="7720" w:type="dxa"/>
            <w:vAlign w:val="bottom"/>
          </w:tcPr>
          <w:p>
            <w:pPr>
              <w:ind w:left="140"/>
              <w:spacing w:after="0"/>
              <w:rPr>
                <w:sz w:val="20"/>
                <w:szCs w:val="20"/>
                <w:color w:val="auto"/>
              </w:rPr>
            </w:pPr>
            <w:r>
              <w:rPr>
                <w:rFonts w:ascii="Arial" w:cs="Arial" w:eastAsia="Arial" w:hAnsi="Arial"/>
                <w:sz w:val="16"/>
                <w:szCs w:val="16"/>
                <w:color w:val="auto"/>
              </w:rPr>
              <w:t>Stock-based compensation</w:t>
            </w:r>
            <w:r>
              <w:rPr>
                <w:rFonts w:ascii="Arial" w:cs="Arial" w:eastAsia="Arial" w:hAnsi="Arial"/>
                <w:sz w:val="21"/>
                <w:szCs w:val="21"/>
                <w:color w:val="auto"/>
                <w:vertAlign w:val="superscript"/>
              </w:rPr>
              <w:t>(1)</w:t>
            </w:r>
          </w:p>
        </w:tc>
        <w:tc>
          <w:tcPr>
            <w:tcW w:w="400" w:type="dxa"/>
            <w:vAlign w:val="bottom"/>
          </w:tcPr>
          <w:p>
            <w:pPr>
              <w:spacing w:after="0"/>
              <w:rPr>
                <w:sz w:val="22"/>
                <w:szCs w:val="22"/>
                <w:color w:val="auto"/>
              </w:rPr>
            </w:pPr>
          </w:p>
        </w:tc>
        <w:tc>
          <w:tcPr>
            <w:tcW w:w="1320" w:type="dxa"/>
            <w:vAlign w:val="bottom"/>
          </w:tcPr>
          <w:p>
            <w:pPr>
              <w:jc w:val="right"/>
              <w:ind w:right="80"/>
              <w:spacing w:after="0"/>
              <w:rPr>
                <w:sz w:val="20"/>
                <w:szCs w:val="20"/>
                <w:color w:val="auto"/>
              </w:rPr>
            </w:pPr>
            <w:r>
              <w:rPr>
                <w:rFonts w:ascii="Arial" w:cs="Arial" w:eastAsia="Arial" w:hAnsi="Arial"/>
                <w:sz w:val="16"/>
                <w:szCs w:val="16"/>
                <w:color w:val="auto"/>
              </w:rPr>
              <w:t>1,962,431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37"/>
        </w:trPr>
        <w:tc>
          <w:tcPr>
            <w:tcW w:w="7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Adjustments to escrow proceeds receivable</w:t>
            </w: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75,840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14,891</w:t>
            </w:r>
          </w:p>
        </w:tc>
      </w:tr>
      <w:tr>
        <w:trPr>
          <w:trHeight w:val="223"/>
        </w:trPr>
        <w:tc>
          <w:tcPr>
            <w:tcW w:w="7720" w:type="dxa"/>
            <w:vAlign w:val="bottom"/>
          </w:tcPr>
          <w:p>
            <w:pPr>
              <w:ind w:left="120"/>
              <w:spacing w:after="0"/>
              <w:rPr>
                <w:sz w:val="20"/>
                <w:szCs w:val="20"/>
                <w:color w:val="auto"/>
              </w:rPr>
            </w:pPr>
            <w:r>
              <w:rPr>
                <w:rFonts w:ascii="Arial" w:cs="Arial" w:eastAsia="Arial" w:hAnsi="Arial"/>
                <w:sz w:val="16"/>
                <w:szCs w:val="16"/>
                <w:color w:val="auto"/>
              </w:rPr>
              <w:t>Purchases of investments in:</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33"/>
        </w:trPr>
        <w:tc>
          <w:tcPr>
            <w:tcW w:w="7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6"/>
        </w:trPr>
        <w:tc>
          <w:tcPr>
            <w:tcW w:w="7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Portfolio investments</w:t>
            </w: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(12,555,520)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(10,008,040)</w:t>
            </w:r>
          </w:p>
        </w:tc>
      </w:tr>
      <w:tr>
        <w:trPr>
          <w:trHeight w:val="224"/>
        </w:trPr>
        <w:tc>
          <w:tcPr>
            <w:tcW w:w="7720" w:type="dxa"/>
            <w:vAlign w:val="bottom"/>
          </w:tcPr>
          <w:p>
            <w:pPr>
              <w:ind w:left="340"/>
              <w:spacing w:after="0"/>
              <w:rPr>
                <w:sz w:val="20"/>
                <w:szCs w:val="20"/>
                <w:color w:val="auto"/>
              </w:rPr>
            </w:pPr>
            <w:r>
              <w:rPr>
                <w:rFonts w:ascii="Arial" w:cs="Arial" w:eastAsia="Arial" w:hAnsi="Arial"/>
                <w:sz w:val="16"/>
                <w:szCs w:val="16"/>
                <w:color w:val="auto"/>
              </w:rPr>
              <w:t>U.S. Treasury bills</w:t>
            </w:r>
          </w:p>
        </w:tc>
        <w:tc>
          <w:tcPr>
            <w:tcW w:w="40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(150,000,167)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(199,940,333)</w:t>
            </w:r>
          </w:p>
        </w:tc>
      </w:tr>
      <w:tr>
        <w:trPr>
          <w:trHeight w:val="33"/>
        </w:trPr>
        <w:tc>
          <w:tcPr>
            <w:tcW w:w="7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7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Proceeds from sales or maturity of investments in:</w:t>
            </w: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24"/>
        </w:trPr>
        <w:tc>
          <w:tcPr>
            <w:tcW w:w="7720" w:type="dxa"/>
            <w:vAlign w:val="bottom"/>
          </w:tcPr>
          <w:p>
            <w:pPr>
              <w:ind w:left="340"/>
              <w:spacing w:after="0"/>
              <w:rPr>
                <w:sz w:val="20"/>
                <w:szCs w:val="20"/>
                <w:color w:val="auto"/>
              </w:rPr>
            </w:pPr>
            <w:r>
              <w:rPr>
                <w:rFonts w:ascii="Arial" w:cs="Arial" w:eastAsia="Arial" w:hAnsi="Arial"/>
                <w:sz w:val="16"/>
                <w:szCs w:val="16"/>
                <w:color w:val="auto"/>
              </w:rPr>
              <w:t>Portfolio investments</w:t>
            </w:r>
          </w:p>
        </w:tc>
        <w:tc>
          <w:tcPr>
            <w:tcW w:w="400" w:type="dxa"/>
            <w:vAlign w:val="bottom"/>
          </w:tcPr>
          <w:p>
            <w:pPr>
              <w:spacing w:after="0"/>
              <w:rPr>
                <w:sz w:val="19"/>
                <w:szCs w:val="19"/>
                <w:color w:val="auto"/>
              </w:rPr>
            </w:pPr>
          </w:p>
        </w:tc>
        <w:tc>
          <w:tcPr>
            <w:tcW w:w="1320" w:type="dxa"/>
            <w:vAlign w:val="bottom"/>
          </w:tcPr>
          <w:p>
            <w:pPr>
              <w:jc w:val="right"/>
              <w:ind w:right="80"/>
              <w:spacing w:after="0"/>
              <w:rPr>
                <w:sz w:val="20"/>
                <w:szCs w:val="20"/>
                <w:color w:val="auto"/>
              </w:rPr>
            </w:pPr>
            <w:r>
              <w:rPr>
                <w:rFonts w:ascii="Arial" w:cs="Arial" w:eastAsia="Arial" w:hAnsi="Arial"/>
                <w:sz w:val="16"/>
                <w:szCs w:val="16"/>
                <w:color w:val="auto"/>
              </w:rPr>
              <w:t>10,876,621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43,119,593</w:t>
            </w:r>
          </w:p>
        </w:tc>
      </w:tr>
      <w:tr>
        <w:trPr>
          <w:trHeight w:val="33"/>
        </w:trPr>
        <w:tc>
          <w:tcPr>
            <w:tcW w:w="7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6"/>
        </w:trPr>
        <w:tc>
          <w:tcPr>
            <w:tcW w:w="7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U.S. Treasury bills</w:t>
            </w: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100,000,000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200,000,000</w:t>
            </w:r>
          </w:p>
        </w:tc>
      </w:tr>
      <w:tr>
        <w:trPr>
          <w:trHeight w:val="224"/>
        </w:trPr>
        <w:tc>
          <w:tcPr>
            <w:tcW w:w="7720" w:type="dxa"/>
            <w:vAlign w:val="bottom"/>
          </w:tcPr>
          <w:p>
            <w:pPr>
              <w:ind w:left="20"/>
              <w:spacing w:after="0"/>
              <w:rPr>
                <w:sz w:val="20"/>
                <w:szCs w:val="20"/>
                <w:color w:val="auto"/>
              </w:rPr>
            </w:pPr>
            <w:r>
              <w:rPr>
                <w:rFonts w:ascii="Arial" w:cs="Arial" w:eastAsia="Arial" w:hAnsi="Arial"/>
                <w:sz w:val="16"/>
                <w:szCs w:val="16"/>
                <w:color w:val="auto"/>
              </w:rPr>
              <w:t>Change in operating assets and liabilities:</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33"/>
        </w:trPr>
        <w:tc>
          <w:tcPr>
            <w:tcW w:w="7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7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Prepaid expenses and other assets</w:t>
            </w: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558,222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(1,295,152)</w:t>
            </w:r>
          </w:p>
        </w:tc>
      </w:tr>
      <w:tr>
        <w:trPr>
          <w:trHeight w:val="223"/>
        </w:trPr>
        <w:tc>
          <w:tcPr>
            <w:tcW w:w="7720" w:type="dxa"/>
            <w:vAlign w:val="bottom"/>
          </w:tcPr>
          <w:p>
            <w:pPr>
              <w:ind w:left="120"/>
              <w:spacing w:after="0"/>
              <w:rPr>
                <w:sz w:val="20"/>
                <w:szCs w:val="20"/>
                <w:color w:val="auto"/>
              </w:rPr>
            </w:pPr>
            <w:r>
              <w:rPr>
                <w:rFonts w:ascii="Arial" w:cs="Arial" w:eastAsia="Arial" w:hAnsi="Arial"/>
                <w:sz w:val="16"/>
                <w:szCs w:val="16"/>
                <w:color w:val="auto"/>
              </w:rPr>
              <w:t>Interest and dividends receivable</w:t>
            </w:r>
          </w:p>
        </w:tc>
        <w:tc>
          <w:tcPr>
            <w:tcW w:w="400" w:type="dxa"/>
            <w:vAlign w:val="bottom"/>
          </w:tcPr>
          <w:p>
            <w:pPr>
              <w:spacing w:after="0"/>
              <w:rPr>
                <w:sz w:val="19"/>
                <w:szCs w:val="19"/>
                <w:color w:val="auto"/>
              </w:rPr>
            </w:pPr>
          </w:p>
        </w:tc>
        <w:tc>
          <w:tcPr>
            <w:tcW w:w="1320" w:type="dxa"/>
            <w:vAlign w:val="bottom"/>
          </w:tcPr>
          <w:p>
            <w:pPr>
              <w:jc w:val="right"/>
              <w:ind w:right="80"/>
              <w:spacing w:after="0"/>
              <w:rPr>
                <w:sz w:val="20"/>
                <w:szCs w:val="20"/>
                <w:color w:val="auto"/>
              </w:rPr>
            </w:pPr>
            <w:r>
              <w:rPr>
                <w:rFonts w:ascii="Arial" w:cs="Arial" w:eastAsia="Arial" w:hAnsi="Arial"/>
                <w:sz w:val="16"/>
                <w:szCs w:val="16"/>
                <w:color w:val="auto"/>
              </w:rPr>
              <w:t>14,356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(171,325)</w:t>
            </w:r>
          </w:p>
        </w:tc>
      </w:tr>
      <w:tr>
        <w:trPr>
          <w:trHeight w:val="33"/>
        </w:trPr>
        <w:tc>
          <w:tcPr>
            <w:tcW w:w="7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6"/>
        </w:trPr>
        <w:tc>
          <w:tcPr>
            <w:tcW w:w="7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Deferred financing costs</w:t>
            </w:r>
          </w:p>
        </w:tc>
        <w:tc>
          <w:tcPr>
            <w:tcW w:w="4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267,541</w:t>
            </w:r>
          </w:p>
        </w:tc>
      </w:tr>
      <w:tr>
        <w:trPr>
          <w:trHeight w:val="223"/>
        </w:trPr>
        <w:tc>
          <w:tcPr>
            <w:tcW w:w="7720" w:type="dxa"/>
            <w:vAlign w:val="bottom"/>
          </w:tcPr>
          <w:p>
            <w:pPr>
              <w:ind w:left="120"/>
              <w:spacing w:after="0"/>
              <w:rPr>
                <w:sz w:val="20"/>
                <w:szCs w:val="20"/>
                <w:color w:val="auto"/>
              </w:rPr>
            </w:pPr>
            <w:r>
              <w:rPr>
                <w:rFonts w:ascii="Arial" w:cs="Arial" w:eastAsia="Arial" w:hAnsi="Arial"/>
                <w:sz w:val="16"/>
                <w:szCs w:val="16"/>
                <w:color w:val="auto"/>
              </w:rPr>
              <w:t>Escrow proceeds receivable</w:t>
            </w:r>
          </w:p>
        </w:tc>
        <w:tc>
          <w:tcPr>
            <w:tcW w:w="400" w:type="dxa"/>
            <w:vAlign w:val="bottom"/>
          </w:tcPr>
          <w:p>
            <w:pPr>
              <w:spacing w:after="0"/>
              <w:rPr>
                <w:sz w:val="19"/>
                <w:szCs w:val="19"/>
                <w:color w:val="auto"/>
              </w:rPr>
            </w:pPr>
          </w:p>
        </w:tc>
        <w:tc>
          <w:tcPr>
            <w:tcW w:w="1320" w:type="dxa"/>
            <w:vAlign w:val="bottom"/>
          </w:tcPr>
          <w:p>
            <w:pPr>
              <w:jc w:val="right"/>
              <w:ind w:right="80"/>
              <w:spacing w:after="0"/>
              <w:rPr>
                <w:sz w:val="20"/>
                <w:szCs w:val="20"/>
                <w:color w:val="auto"/>
              </w:rPr>
            </w:pPr>
            <w:r>
              <w:rPr>
                <w:rFonts w:ascii="Arial" w:cs="Arial" w:eastAsia="Arial" w:hAnsi="Arial"/>
                <w:sz w:val="16"/>
                <w:szCs w:val="16"/>
                <w:color w:val="auto"/>
              </w:rPr>
              <w:t>198,168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419,762</w:t>
            </w:r>
          </w:p>
        </w:tc>
      </w:tr>
      <w:tr>
        <w:trPr>
          <w:trHeight w:val="33"/>
        </w:trPr>
        <w:tc>
          <w:tcPr>
            <w:tcW w:w="7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6"/>
        </w:trPr>
        <w:tc>
          <w:tcPr>
            <w:tcW w:w="7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Receivable from unsettled trades</w:t>
            </w:r>
          </w:p>
        </w:tc>
        <w:tc>
          <w:tcPr>
            <w:tcW w:w="4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(51,511)</w:t>
            </w:r>
          </w:p>
        </w:tc>
      </w:tr>
      <w:tr>
        <w:trPr>
          <w:trHeight w:val="223"/>
        </w:trPr>
        <w:tc>
          <w:tcPr>
            <w:tcW w:w="7720" w:type="dxa"/>
            <w:vAlign w:val="bottom"/>
          </w:tcPr>
          <w:p>
            <w:pPr>
              <w:ind w:left="120"/>
              <w:spacing w:after="0"/>
              <w:rPr>
                <w:sz w:val="20"/>
                <w:szCs w:val="20"/>
                <w:color w:val="auto"/>
              </w:rPr>
            </w:pPr>
            <w:r>
              <w:rPr>
                <w:rFonts w:ascii="Arial" w:cs="Arial" w:eastAsia="Arial" w:hAnsi="Arial"/>
                <w:sz w:val="16"/>
                <w:szCs w:val="16"/>
                <w:color w:val="auto"/>
              </w:rPr>
              <w:t>Payable for securities purchased</w:t>
            </w:r>
          </w:p>
        </w:tc>
        <w:tc>
          <w:tcPr>
            <w:tcW w:w="400" w:type="dxa"/>
            <w:vAlign w:val="bottom"/>
          </w:tcPr>
          <w:p>
            <w:pPr>
              <w:spacing w:after="0"/>
              <w:rPr>
                <w:sz w:val="19"/>
                <w:szCs w:val="19"/>
                <w:color w:val="auto"/>
              </w:rPr>
            </w:pPr>
          </w:p>
        </w:tc>
        <w:tc>
          <w:tcPr>
            <w:tcW w:w="1320" w:type="dxa"/>
            <w:vAlign w:val="bottom"/>
          </w:tcPr>
          <w:p>
            <w:pPr>
              <w:jc w:val="right"/>
              <w:ind w:right="80"/>
              <w:spacing w:after="0"/>
              <w:rPr>
                <w:sz w:val="20"/>
                <w:szCs w:val="20"/>
                <w:color w:val="auto"/>
              </w:rPr>
            </w:pPr>
            <w:r>
              <w:rPr>
                <w:rFonts w:ascii="Arial" w:cs="Arial" w:eastAsia="Arial" w:hAnsi="Arial"/>
                <w:sz w:val="16"/>
                <w:szCs w:val="16"/>
                <w:color w:val="auto"/>
              </w:rPr>
              <w:t>44,752,951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(2,451)</w:t>
            </w:r>
          </w:p>
        </w:tc>
      </w:tr>
      <w:tr>
        <w:trPr>
          <w:trHeight w:val="33"/>
        </w:trPr>
        <w:tc>
          <w:tcPr>
            <w:tcW w:w="7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6"/>
        </w:trPr>
        <w:tc>
          <w:tcPr>
            <w:tcW w:w="7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Accounts payable and accrued expenses</w:t>
            </w: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789,296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1,698,680</w:t>
            </w:r>
          </w:p>
        </w:tc>
      </w:tr>
      <w:tr>
        <w:trPr>
          <w:trHeight w:val="224"/>
        </w:trPr>
        <w:tc>
          <w:tcPr>
            <w:tcW w:w="7720" w:type="dxa"/>
            <w:vAlign w:val="bottom"/>
          </w:tcPr>
          <w:p>
            <w:pPr>
              <w:ind w:left="120"/>
              <w:spacing w:after="0"/>
              <w:rPr>
                <w:sz w:val="20"/>
                <w:szCs w:val="20"/>
                <w:color w:val="auto"/>
              </w:rPr>
            </w:pPr>
            <w:r>
              <w:rPr>
                <w:rFonts w:ascii="Arial" w:cs="Arial" w:eastAsia="Arial" w:hAnsi="Arial"/>
                <w:sz w:val="16"/>
                <w:szCs w:val="16"/>
                <w:color w:val="auto"/>
              </w:rPr>
              <w:t>Payable to executive officers</w:t>
            </w:r>
          </w:p>
        </w:tc>
        <w:tc>
          <w:tcPr>
            <w:tcW w:w="40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(1,369,873)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7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6"/>
        </w:trPr>
        <w:tc>
          <w:tcPr>
            <w:tcW w:w="7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incentive fees</w:t>
            </w:r>
            <w:r>
              <w:rPr>
                <w:rFonts w:ascii="Arial" w:cs="Arial" w:eastAsia="Arial" w:hAnsi="Arial"/>
                <w:sz w:val="21"/>
                <w:szCs w:val="21"/>
                <w:color w:val="auto"/>
                <w:vertAlign w:val="superscript"/>
              </w:rPr>
              <w:t>(2)</w:t>
            </w:r>
          </w:p>
        </w:tc>
        <w:tc>
          <w:tcPr>
            <w:tcW w:w="40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(4,660,472)</w:t>
            </w:r>
          </w:p>
        </w:tc>
      </w:tr>
      <w:tr>
        <w:trPr>
          <w:trHeight w:val="257"/>
        </w:trPr>
        <w:tc>
          <w:tcPr>
            <w:tcW w:w="7720" w:type="dxa"/>
            <w:vAlign w:val="bottom"/>
          </w:tcPr>
          <w:p>
            <w:pPr>
              <w:ind w:left="140"/>
              <w:spacing w:after="0"/>
              <w:rPr>
                <w:sz w:val="20"/>
                <w:szCs w:val="20"/>
                <w:color w:val="auto"/>
              </w:rPr>
            </w:pPr>
            <w:r>
              <w:rPr>
                <w:rFonts w:ascii="Arial" w:cs="Arial" w:eastAsia="Arial" w:hAnsi="Arial"/>
                <w:sz w:val="16"/>
                <w:szCs w:val="16"/>
                <w:color w:val="auto"/>
              </w:rPr>
              <w:t>Accrued management fees</w:t>
            </w:r>
            <w:r>
              <w:rPr>
                <w:rFonts w:ascii="Arial" w:cs="Arial" w:eastAsia="Arial" w:hAnsi="Arial"/>
                <w:sz w:val="21"/>
                <w:szCs w:val="21"/>
                <w:color w:val="auto"/>
                <w:vertAlign w:val="superscript"/>
              </w:rPr>
              <w:t>(2)</w:t>
            </w:r>
          </w:p>
        </w:tc>
        <w:tc>
          <w:tcPr>
            <w:tcW w:w="400" w:type="dxa"/>
            <w:vAlign w:val="bottom"/>
          </w:tcPr>
          <w:p>
            <w:pPr>
              <w:spacing w:after="0"/>
              <w:rPr>
                <w:sz w:val="22"/>
                <w:szCs w:val="22"/>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(415,056)</w:t>
            </w:r>
          </w:p>
        </w:tc>
      </w:tr>
      <w:tr>
        <w:trPr>
          <w:trHeight w:val="250"/>
        </w:trPr>
        <w:tc>
          <w:tcPr>
            <w:tcW w:w="7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by/(Used in) Operating Activities</w:t>
            </w: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(12,142,629)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26,971,210</w:t>
            </w:r>
          </w:p>
        </w:tc>
      </w:tr>
      <w:tr>
        <w:trPr>
          <w:trHeight w:val="217"/>
        </w:trPr>
        <w:tc>
          <w:tcPr>
            <w:tcW w:w="7720" w:type="dxa"/>
            <w:vAlign w:val="bottom"/>
            <w:tcBorders>
              <w:top w:val="single" w:sz="8" w:color="CCEEFF"/>
            </w:tcBorders>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4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r>
      <w:tr>
        <w:trPr>
          <w:trHeight w:val="33"/>
        </w:trPr>
        <w:tc>
          <w:tcPr>
            <w:tcW w:w="7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6"/>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Repurchases of common stock</w:t>
            </w: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(7,325,852)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(737,119)</w:t>
            </w:r>
          </w:p>
        </w:tc>
      </w:tr>
      <w:tr>
        <w:trPr>
          <w:trHeight w:val="237"/>
        </w:trPr>
        <w:tc>
          <w:tcPr>
            <w:tcW w:w="7720" w:type="dxa"/>
            <w:vAlign w:val="bottom"/>
          </w:tcPr>
          <w:p>
            <w:pPr>
              <w:ind w:left="20"/>
              <w:spacing w:after="0"/>
              <w:rPr>
                <w:sz w:val="20"/>
                <w:szCs w:val="20"/>
                <w:color w:val="auto"/>
              </w:rPr>
            </w:pPr>
            <w:r>
              <w:rPr>
                <w:rFonts w:ascii="Arial" w:cs="Arial" w:eastAsia="Arial" w:hAnsi="Arial"/>
                <w:sz w:val="16"/>
                <w:szCs w:val="16"/>
                <w:color w:val="auto"/>
              </w:rPr>
              <w:t>Dividends paid</w:t>
            </w:r>
          </w:p>
        </w:tc>
        <w:tc>
          <w:tcPr>
            <w:tcW w:w="40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(2,107,709)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77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(9,433,561)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(737,119)</w:t>
            </w:r>
          </w:p>
        </w:tc>
      </w:tr>
      <w:tr>
        <w:trPr>
          <w:trHeight w:val="21"/>
        </w:trPr>
        <w:tc>
          <w:tcPr>
            <w:tcW w:w="7720" w:type="dxa"/>
            <w:vAlign w:val="bottom"/>
            <w:tcBorders>
              <w:top w:val="single" w:sz="8" w:color="CCEEFF"/>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Increase/(Decrease) in Cash Balance</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(21,576,190)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26,234,091</w:t>
            </w:r>
          </w:p>
        </w:tc>
      </w:tr>
      <w:tr>
        <w:trPr>
          <w:trHeight w:val="223"/>
        </w:trPr>
        <w:tc>
          <w:tcPr>
            <w:tcW w:w="7720" w:type="dxa"/>
            <w:vAlign w:val="bottom"/>
          </w:tcPr>
          <w:p>
            <w:pPr>
              <w:ind w:left="20"/>
              <w:spacing w:after="0"/>
              <w:rPr>
                <w:sz w:val="20"/>
                <w:szCs w:val="20"/>
                <w:color w:val="auto"/>
              </w:rPr>
            </w:pPr>
            <w:r>
              <w:rPr>
                <w:rFonts w:ascii="Arial" w:cs="Arial" w:eastAsia="Arial" w:hAnsi="Arial"/>
                <w:sz w:val="16"/>
                <w:szCs w:val="16"/>
                <w:color w:val="auto"/>
              </w:rPr>
              <w:t>Cash Balances at Beginning of Year</w:t>
            </w:r>
          </w:p>
        </w:tc>
        <w:tc>
          <w:tcPr>
            <w:tcW w:w="400" w:type="dxa"/>
            <w:vAlign w:val="bottom"/>
          </w:tcPr>
          <w:p>
            <w:pPr>
              <w:spacing w:after="0"/>
              <w:rPr>
                <w:sz w:val="19"/>
                <w:szCs w:val="19"/>
                <w:color w:val="auto"/>
              </w:rPr>
            </w:pPr>
          </w:p>
        </w:tc>
        <w:tc>
          <w:tcPr>
            <w:tcW w:w="1320" w:type="dxa"/>
            <w:vAlign w:val="bottom"/>
          </w:tcPr>
          <w:p>
            <w:pPr>
              <w:jc w:val="right"/>
              <w:ind w:right="80"/>
              <w:spacing w:after="0"/>
              <w:rPr>
                <w:sz w:val="20"/>
                <w:szCs w:val="20"/>
                <w:color w:val="auto"/>
              </w:rPr>
            </w:pPr>
            <w:r>
              <w:rPr>
                <w:rFonts w:ascii="Arial" w:cs="Arial" w:eastAsia="Arial" w:hAnsi="Arial"/>
                <w:sz w:val="16"/>
                <w:szCs w:val="16"/>
                <w:color w:val="auto"/>
              </w:rPr>
              <w:t>44,861,263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28,184,163</w:t>
            </w:r>
          </w:p>
        </w:tc>
      </w:tr>
      <w:tr>
        <w:trPr>
          <w:trHeight w:val="33"/>
        </w:trPr>
        <w:tc>
          <w:tcPr>
            <w:tcW w:w="77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Balances at End of Period</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23,285,073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54,418,254</w:t>
            </w:r>
          </w:p>
        </w:tc>
      </w:tr>
      <w:tr>
        <w:trPr>
          <w:trHeight w:val="237"/>
        </w:trPr>
        <w:tc>
          <w:tcPr>
            <w:tcW w:w="77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r>
      <w:tr>
        <w:trPr>
          <w:trHeight w:val="236"/>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Information:</w:t>
            </w: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24"/>
        </w:trPr>
        <w:tc>
          <w:tcPr>
            <w:tcW w:w="7720" w:type="dxa"/>
            <w:vAlign w:val="bottom"/>
          </w:tcPr>
          <w:p>
            <w:pPr>
              <w:ind w:left="20"/>
              <w:spacing w:after="0"/>
              <w:rPr>
                <w:sz w:val="20"/>
                <w:szCs w:val="20"/>
                <w:color w:val="auto"/>
              </w:rPr>
            </w:pPr>
            <w:r>
              <w:rPr>
                <w:rFonts w:ascii="Arial" w:cs="Arial" w:eastAsia="Arial" w:hAnsi="Arial"/>
                <w:sz w:val="16"/>
                <w:szCs w:val="16"/>
                <w:color w:val="auto"/>
              </w:rPr>
              <w:t>Interest paid</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80"/>
              <w:spacing w:after="0"/>
              <w:rPr>
                <w:sz w:val="20"/>
                <w:szCs w:val="20"/>
                <w:color w:val="auto"/>
              </w:rPr>
            </w:pPr>
            <w:r>
              <w:rPr>
                <w:rFonts w:ascii="Arial" w:cs="Arial" w:eastAsia="Arial" w:hAnsi="Arial"/>
                <w:sz w:val="16"/>
                <w:szCs w:val="16"/>
                <w:color w:val="auto"/>
              </w:rPr>
              <w:t>957,607</w:t>
            </w:r>
          </w:p>
        </w:tc>
        <w:tc>
          <w:tcPr>
            <w:tcW w:w="10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1,024,911</w:t>
            </w:r>
          </w:p>
        </w:tc>
      </w:tr>
      <w:tr>
        <w:trPr>
          <w:trHeight w:val="33"/>
        </w:trPr>
        <w:tc>
          <w:tcPr>
            <w:tcW w:w="7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4"/>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Taxes paid</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9,290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14,726</w:t>
            </w:r>
          </w:p>
        </w:tc>
      </w:tr>
      <w:tr>
        <w:trPr>
          <w:trHeight w:val="33"/>
        </w:trPr>
        <w:tc>
          <w:tcPr>
            <w:tcW w:w="77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62"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w:t>
      </w:r>
    </w:p>
    <w:p>
      <w:pPr>
        <w:spacing w:after="0" w:line="1" w:lineRule="exact"/>
        <w:rPr>
          <w:sz w:val="20"/>
          <w:szCs w:val="20"/>
          <w:color w:val="auto"/>
        </w:rPr>
      </w:pPr>
    </w:p>
    <w:p>
      <w:pPr>
        <w:ind w:left="340" w:hanging="332"/>
        <w:spacing w:after="0" w:line="241" w:lineRule="auto"/>
        <w:tabs>
          <w:tab w:leader="none" w:pos="220" w:val="left"/>
        </w:tabs>
        <w:numPr>
          <w:ilvl w:val="0"/>
          <w:numId w:val="4"/>
        </w:numPr>
        <w:rPr>
          <w:rFonts w:ascii="Arial" w:cs="Arial" w:eastAsia="Arial" w:hAnsi="Arial"/>
          <w:sz w:val="14"/>
          <w:szCs w:val="14"/>
          <w:color w:val="auto"/>
        </w:rPr>
      </w:pPr>
      <w:r>
        <w:rPr>
          <w:rFonts w:ascii="Arial" w:cs="Arial" w:eastAsia="Arial" w:hAnsi="Arial"/>
          <w:sz w:val="14"/>
          <w:szCs w:val="14"/>
          <w:color w:val="auto"/>
        </w:rPr>
        <w:t>For the three and six months ended June 30, 2020, this balance includes $1,962,431 of accelerated recognition of compensation cost related to the cancellation of unvested options on April 28, 2020. Refer to "Note 11— Stock-Based Compensation" for more detail.</w:t>
      </w:r>
    </w:p>
    <w:p>
      <w:pPr>
        <w:ind w:left="200" w:hanging="192"/>
        <w:spacing w:after="0"/>
        <w:tabs>
          <w:tab w:leader="none" w:pos="20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This balance references a related-party transaction. Refer to “Note 3—Related-Party Arrangements” for more detail.</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340" w:right="2320"/>
        <w:spacing w:after="0" w:line="275" w:lineRule="auto"/>
        <w:rPr>
          <w:sz w:val="20"/>
          <w:szCs w:val="20"/>
          <w:color w:val="auto"/>
        </w:rPr>
      </w:pPr>
      <w:r>
        <w:rPr>
          <w:rFonts w:ascii="Arial" w:cs="Arial" w:eastAsia="Arial" w:hAnsi="Arial"/>
          <w:sz w:val="18"/>
          <w:szCs w:val="18"/>
          <w:b w:val="1"/>
          <w:bCs w:val="1"/>
          <w:color w:val="auto"/>
        </w:rPr>
        <w:t>SURO CAPITAL CORP. AND SUBSIDIARIES CONDENSED CONSOLIDATED SCHEDULE OF INVESTMENTS (UNAUDITED) June 30, 2020</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80" w:type="dxa"/>
            <w:vAlign w:val="bottom"/>
            <w:gridSpan w:val="17"/>
            <w:vMerge w:val="restart"/>
          </w:tcPr>
          <w:p>
            <w:pPr>
              <w:spacing w:after="0"/>
              <w:rPr>
                <w:sz w:val="20"/>
                <w:szCs w:val="20"/>
                <w:color w:val="auto"/>
              </w:rPr>
            </w:pPr>
            <w:r>
              <w:rPr>
                <w:rFonts w:ascii="Arial" w:cs="Arial" w:eastAsia="Arial" w:hAnsi="Arial"/>
                <w:sz w:val="14"/>
                <w:szCs w:val="14"/>
                <w:b w:val="1"/>
                <w:bCs w:val="1"/>
                <w:color w:val="auto"/>
              </w:rPr>
              <w:t>Portfolio Investments*</w:t>
            </w:r>
          </w:p>
        </w:tc>
        <w:tc>
          <w:tcPr>
            <w:tcW w:w="120" w:type="dxa"/>
            <w:vAlign w:val="bottom"/>
          </w:tcPr>
          <w:p>
            <w:pPr>
              <w:spacing w:after="0"/>
              <w:rPr>
                <w:sz w:val="14"/>
                <w:szCs w:val="14"/>
                <w:color w:val="auto"/>
              </w:rPr>
            </w:pPr>
          </w:p>
        </w:tc>
        <w:tc>
          <w:tcPr>
            <w:tcW w:w="2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Headquarters/</w:t>
            </w: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Date of Initial</w:t>
            </w:r>
          </w:p>
        </w:tc>
        <w:tc>
          <w:tcPr>
            <w:tcW w:w="12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Shares/</w:t>
            </w:r>
          </w:p>
        </w:tc>
        <w:tc>
          <w:tcPr>
            <w:tcW w:w="180" w:type="dxa"/>
            <w:vAlign w:val="bottom"/>
          </w:tcPr>
          <w:p>
            <w:pPr>
              <w:spacing w:after="0"/>
              <w:rPr>
                <w:sz w:val="14"/>
                <w:szCs w:val="14"/>
                <w:color w:val="auto"/>
              </w:rPr>
            </w:pPr>
          </w:p>
        </w:tc>
        <w:tc>
          <w:tcPr>
            <w:tcW w:w="10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84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92"/>
        </w:trPr>
        <w:tc>
          <w:tcPr>
            <w:tcW w:w="3580" w:type="dxa"/>
            <w:vAlign w:val="bottom"/>
            <w:gridSpan w:val="17"/>
            <w:vMerge w:val="continue"/>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Industry</w:t>
            </w: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Investment</w:t>
            </w:r>
          </w:p>
        </w:tc>
        <w:tc>
          <w:tcPr>
            <w:tcW w:w="12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Principal</w:t>
            </w:r>
          </w:p>
        </w:tc>
        <w:tc>
          <w:tcPr>
            <w:tcW w:w="1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580" w:type="dxa"/>
            <w:vAlign w:val="bottom"/>
            <w:tcBorders>
              <w:top w:val="single" w:sz="8" w:color="auto"/>
            </w:tcBorders>
            <w:gridSpan w:val="17"/>
            <w:shd w:val="clear" w:color="auto" w:fill="CCEEFF"/>
          </w:tcPr>
          <w:p>
            <w:pPr>
              <w:spacing w:after="0"/>
              <w:rPr>
                <w:sz w:val="20"/>
                <w:szCs w:val="20"/>
                <w:color w:val="auto"/>
              </w:rPr>
            </w:pPr>
            <w:r>
              <w:rPr>
                <w:rFonts w:ascii="Arial" w:cs="Arial" w:eastAsia="Arial" w:hAnsi="Arial"/>
                <w:sz w:val="14"/>
                <w:szCs w:val="14"/>
                <w:b w:val="1"/>
                <w:bCs w:val="1"/>
                <w:color w:val="auto"/>
              </w:rPr>
              <w:t>NON-CONTROLLED/NON-AFFILIATE</w:t>
            </w:r>
          </w:p>
        </w:tc>
        <w:tc>
          <w:tcPr>
            <w:tcW w:w="120" w:type="dxa"/>
            <w:vAlign w:val="bottom"/>
            <w:tcBorders>
              <w:top w:val="single" w:sz="8" w:color="CCEEFF"/>
            </w:tcBorders>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580" w:type="dxa"/>
            <w:vAlign w:val="bottom"/>
            <w:gridSpan w:val="17"/>
          </w:tcPr>
          <w:p>
            <w:pPr>
              <w:spacing w:after="0"/>
              <w:rPr>
                <w:sz w:val="20"/>
                <w:szCs w:val="20"/>
                <w:color w:val="auto"/>
              </w:rPr>
            </w:pPr>
            <w:r>
              <w:rPr>
                <w:rFonts w:ascii="Arial" w:cs="Arial" w:eastAsia="Arial" w:hAnsi="Arial"/>
                <w:sz w:val="14"/>
                <w:szCs w:val="14"/>
                <w:b w:val="1"/>
                <w:bCs w:val="1"/>
                <w:color w:val="auto"/>
              </w:rPr>
              <w:t>Coursera, Inc.</w:t>
            </w:r>
          </w:p>
        </w:tc>
        <w:tc>
          <w:tcPr>
            <w:tcW w:w="120" w:type="dxa"/>
            <w:vAlign w:val="bottom"/>
          </w:tcPr>
          <w:p>
            <w:pPr>
              <w:spacing w:after="0"/>
              <w:rPr>
                <w:sz w:val="14"/>
                <w:szCs w:val="14"/>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Mountain View, CA</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580" w:type="dxa"/>
            <w:vAlign w:val="bottom"/>
            <w:gridSpan w:val="17"/>
            <w:shd w:val="clear" w:color="auto" w:fill="CCEEFF"/>
          </w:tcPr>
          <w:p>
            <w:pPr>
              <w:spacing w:after="0"/>
              <w:rPr>
                <w:sz w:val="20"/>
                <w:szCs w:val="20"/>
                <w:color w:val="auto"/>
              </w:rPr>
            </w:pPr>
            <w:r>
              <w:rPr>
                <w:rFonts w:ascii="Arial" w:cs="Arial" w:eastAsia="Arial" w:hAnsi="Arial"/>
                <w:sz w:val="14"/>
                <w:szCs w:val="14"/>
                <w:color w:val="auto"/>
              </w:rPr>
              <w:t>Preferred shares, Series B 8%</w:t>
            </w:r>
          </w:p>
        </w:tc>
        <w:tc>
          <w:tcPr>
            <w:tcW w:w="12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5"/>
              </w:rPr>
              <w:t>Online Education</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6/9/2013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2,961,399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14,519,519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49,868,841</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25.88</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580" w:type="dxa"/>
            <w:vAlign w:val="bottom"/>
            <w:gridSpan w:val="17"/>
          </w:tcPr>
          <w:p>
            <w:pPr>
              <w:spacing w:after="0"/>
              <w:rPr>
                <w:sz w:val="20"/>
                <w:szCs w:val="20"/>
                <w:color w:val="auto"/>
              </w:rPr>
            </w:pPr>
            <w:r>
              <w:rPr>
                <w:rFonts w:ascii="Arial" w:cs="Arial" w:eastAsia="Arial" w:hAnsi="Arial"/>
                <w:sz w:val="14"/>
                <w:szCs w:val="14"/>
                <w:b w:val="1"/>
                <w:bCs w:val="1"/>
                <w:color w:val="auto"/>
              </w:rPr>
              <w:t>Course Hero, Inc.</w:t>
            </w:r>
          </w:p>
        </w:tc>
        <w:tc>
          <w:tcPr>
            <w:tcW w:w="120" w:type="dxa"/>
            <w:vAlign w:val="bottom"/>
          </w:tcPr>
          <w:p>
            <w:pPr>
              <w:spacing w:after="0"/>
              <w:rPr>
                <w:sz w:val="14"/>
                <w:szCs w:val="14"/>
                <w:color w:val="auto"/>
              </w:rPr>
            </w:pPr>
          </w:p>
        </w:tc>
        <w:tc>
          <w:tcPr>
            <w:tcW w:w="2080" w:type="dxa"/>
            <w:vAlign w:val="bottom"/>
            <w:gridSpan w:val="2"/>
          </w:tcPr>
          <w:p>
            <w:pPr>
              <w:jc w:val="center"/>
              <w:ind w:right="140"/>
              <w:spacing w:after="0"/>
              <w:rPr>
                <w:sz w:val="20"/>
                <w:szCs w:val="20"/>
                <w:color w:val="auto"/>
              </w:rPr>
            </w:pPr>
            <w:r>
              <w:rPr>
                <w:rFonts w:ascii="Arial" w:cs="Arial" w:eastAsia="Arial" w:hAnsi="Arial"/>
                <w:sz w:val="14"/>
                <w:szCs w:val="14"/>
                <w:color w:val="auto"/>
                <w:w w:val="96"/>
              </w:rPr>
              <w:t>Redwood City, CA</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580" w:type="dxa"/>
            <w:vAlign w:val="bottom"/>
            <w:gridSpan w:val="17"/>
            <w:shd w:val="clear" w:color="auto" w:fill="CCEEFF"/>
          </w:tcPr>
          <w:p>
            <w:pPr>
              <w:spacing w:after="0"/>
              <w:rPr>
                <w:sz w:val="20"/>
                <w:szCs w:val="20"/>
                <w:color w:val="auto"/>
              </w:rPr>
            </w:pPr>
            <w:r>
              <w:rPr>
                <w:rFonts w:ascii="Arial" w:cs="Arial" w:eastAsia="Arial" w:hAnsi="Arial"/>
                <w:sz w:val="14"/>
                <w:szCs w:val="14"/>
                <w:color w:val="auto"/>
              </w:rPr>
              <w:t>Preferred shares, Series A 8%</w:t>
            </w:r>
          </w:p>
        </w:tc>
        <w:tc>
          <w:tcPr>
            <w:tcW w:w="12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5"/>
              </w:rPr>
              <w:t>Online Education</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9/18/2014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2,145,509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5,000,001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33,231,041</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17.25</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580" w:type="dxa"/>
            <w:vAlign w:val="bottom"/>
            <w:gridSpan w:val="17"/>
          </w:tcPr>
          <w:p>
            <w:pPr>
              <w:spacing w:after="0"/>
              <w:rPr>
                <w:sz w:val="20"/>
                <w:szCs w:val="20"/>
                <w:color w:val="auto"/>
              </w:rPr>
            </w:pPr>
            <w:r>
              <w:rPr>
                <w:rFonts w:ascii="Arial" w:cs="Arial" w:eastAsia="Arial" w:hAnsi="Arial"/>
                <w:sz w:val="14"/>
                <w:szCs w:val="14"/>
                <w:b w:val="1"/>
                <w:bCs w:val="1"/>
                <w:color w:val="auto"/>
              </w:rPr>
              <w:t>Palantir Technologies, Inc.</w:t>
            </w:r>
          </w:p>
        </w:tc>
        <w:tc>
          <w:tcPr>
            <w:tcW w:w="120" w:type="dxa"/>
            <w:vAlign w:val="bottom"/>
          </w:tcPr>
          <w:p>
            <w:pPr>
              <w:spacing w:after="0"/>
              <w:rPr>
                <w:sz w:val="14"/>
                <w:szCs w:val="14"/>
                <w:color w:val="auto"/>
              </w:rPr>
            </w:pPr>
          </w:p>
        </w:tc>
        <w:tc>
          <w:tcPr>
            <w:tcW w:w="208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Palo Alto, CA</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580" w:type="dxa"/>
            <w:vAlign w:val="bottom"/>
            <w:gridSpan w:val="17"/>
            <w:shd w:val="clear" w:color="auto" w:fill="CCEEFF"/>
          </w:tcPr>
          <w:p>
            <w:pPr>
              <w:spacing w:after="0"/>
              <w:rPr>
                <w:sz w:val="20"/>
                <w:szCs w:val="20"/>
                <w:color w:val="auto"/>
              </w:rPr>
            </w:pPr>
            <w:r>
              <w:rPr>
                <w:rFonts w:ascii="Arial" w:cs="Arial" w:eastAsia="Arial" w:hAnsi="Arial"/>
                <w:sz w:val="14"/>
                <w:szCs w:val="14"/>
                <w:color w:val="auto"/>
              </w:rPr>
              <w:t>Common shares, Class A</w:t>
            </w:r>
          </w:p>
        </w:tc>
        <w:tc>
          <w:tcPr>
            <w:tcW w:w="12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5"/>
              </w:rPr>
              <w:t>Data Analysis</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5/7/2012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5,773,690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16,189,935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30,542,820</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15.85</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580" w:type="dxa"/>
            <w:vAlign w:val="bottom"/>
            <w:gridSpan w:val="17"/>
          </w:tcPr>
          <w:p>
            <w:pPr>
              <w:spacing w:after="0"/>
              <w:rPr>
                <w:sz w:val="20"/>
                <w:szCs w:val="20"/>
                <w:color w:val="auto"/>
              </w:rPr>
            </w:pPr>
            <w:r>
              <w:rPr>
                <w:rFonts w:ascii="Arial" w:cs="Arial" w:eastAsia="Arial" w:hAnsi="Arial"/>
                <w:sz w:val="14"/>
                <w:szCs w:val="14"/>
                <w:b w:val="1"/>
                <w:bCs w:val="1"/>
                <w:color w:val="auto"/>
              </w:rPr>
              <w:t>Nextdoor.com, Inc.</w:t>
            </w:r>
          </w:p>
        </w:tc>
        <w:tc>
          <w:tcPr>
            <w:tcW w:w="120" w:type="dxa"/>
            <w:vAlign w:val="bottom"/>
          </w:tcPr>
          <w:p>
            <w:pPr>
              <w:spacing w:after="0"/>
              <w:rPr>
                <w:sz w:val="14"/>
                <w:szCs w:val="14"/>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San Francisco, CA</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580" w:type="dxa"/>
            <w:vAlign w:val="bottom"/>
            <w:gridSpan w:val="17"/>
            <w:shd w:val="clear" w:color="auto" w:fill="CCEEFF"/>
          </w:tcPr>
          <w:p>
            <w:pPr>
              <w:spacing w:after="0"/>
              <w:rPr>
                <w:sz w:val="20"/>
                <w:szCs w:val="20"/>
                <w:color w:val="auto"/>
              </w:rPr>
            </w:pPr>
            <w:r>
              <w:rPr>
                <w:rFonts w:ascii="Arial" w:cs="Arial" w:eastAsia="Arial" w:hAnsi="Arial"/>
                <w:sz w:val="14"/>
                <w:szCs w:val="14"/>
                <w:color w:val="auto"/>
              </w:rPr>
              <w:t>Common shares</w:t>
            </w:r>
          </w:p>
        </w:tc>
        <w:tc>
          <w:tcPr>
            <w:tcW w:w="12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6"/>
              </w:rPr>
              <w:t>Social Networking</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9/27/2018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580,360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10,002,666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10,537,655</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580" w:type="dxa"/>
            <w:vAlign w:val="bottom"/>
            <w:gridSpan w:val="17"/>
          </w:tcPr>
          <w:p>
            <w:pPr>
              <w:spacing w:after="0"/>
              <w:rPr>
                <w:sz w:val="20"/>
                <w:szCs w:val="20"/>
                <w:color w:val="auto"/>
              </w:rPr>
            </w:pPr>
            <w:r>
              <w:rPr>
                <w:rFonts w:ascii="Arial" w:cs="Arial" w:eastAsia="Arial" w:hAnsi="Arial"/>
                <w:sz w:val="14"/>
                <w:szCs w:val="14"/>
                <w:b w:val="1"/>
                <w:bCs w:val="1"/>
                <w:color w:val="auto"/>
              </w:rPr>
              <w:t>SharesPost, Inc.</w:t>
            </w:r>
          </w:p>
        </w:tc>
        <w:tc>
          <w:tcPr>
            <w:tcW w:w="120" w:type="dxa"/>
            <w:vAlign w:val="bottom"/>
          </w:tcPr>
          <w:p>
            <w:pPr>
              <w:spacing w:after="0"/>
              <w:rPr>
                <w:sz w:val="14"/>
                <w:szCs w:val="14"/>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San Francisco, CA</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580" w:type="dxa"/>
            <w:vAlign w:val="bottom"/>
            <w:gridSpan w:val="17"/>
            <w:shd w:val="clear" w:color="auto" w:fill="CCEEFF"/>
          </w:tcPr>
          <w:p>
            <w:pPr>
              <w:spacing w:after="0"/>
              <w:rPr>
                <w:sz w:val="20"/>
                <w:szCs w:val="20"/>
                <w:color w:val="auto"/>
              </w:rPr>
            </w:pPr>
            <w:r>
              <w:rPr>
                <w:rFonts w:ascii="Arial" w:cs="Arial" w:eastAsia="Arial" w:hAnsi="Arial"/>
                <w:sz w:val="14"/>
                <w:szCs w:val="14"/>
                <w:color w:val="auto"/>
              </w:rPr>
              <w:t>Preferred shares, Series B 6%</w:t>
            </w:r>
          </w:p>
        </w:tc>
        <w:tc>
          <w:tcPr>
            <w:tcW w:w="1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Online Marketplace Finance</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7/19/2011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1,771,653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2,259,716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8,258,137</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580" w:type="dxa"/>
            <w:vAlign w:val="bottom"/>
            <w:tcBorders>
              <w:bottom w:val="single" w:sz="8" w:color="CCEEFF"/>
            </w:tcBorders>
            <w:gridSpan w:val="17"/>
          </w:tcPr>
          <w:p>
            <w:pPr>
              <w:spacing w:after="0"/>
              <w:rPr>
                <w:sz w:val="20"/>
                <w:szCs w:val="20"/>
                <w:color w:val="auto"/>
              </w:rPr>
            </w:pPr>
            <w:r>
              <w:rPr>
                <w:rFonts w:ascii="Arial" w:cs="Arial" w:eastAsia="Arial" w:hAnsi="Arial"/>
                <w:sz w:val="14"/>
                <w:szCs w:val="14"/>
                <w:color w:val="auto"/>
              </w:rPr>
              <w:t>Common shares</w:t>
            </w:r>
          </w:p>
        </w:tc>
        <w:tc>
          <w:tcPr>
            <w:tcW w:w="120" w:type="dxa"/>
            <w:vAlign w:val="bottom"/>
            <w:tcBorders>
              <w:bottom w:val="single" w:sz="8" w:color="CCEEFF"/>
            </w:tcBorders>
          </w:tcPr>
          <w:p>
            <w:pPr>
              <w:spacing w:after="0"/>
              <w:rPr>
                <w:sz w:val="17"/>
                <w:szCs w:val="17"/>
                <w:color w:val="auto"/>
              </w:rPr>
            </w:pPr>
          </w:p>
        </w:tc>
        <w:tc>
          <w:tcPr>
            <w:tcW w:w="19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3"/>
              </w:rPr>
              <w:t>7/20/2011</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jc w:val="right"/>
              <w:ind w:right="68"/>
              <w:spacing w:after="0"/>
              <w:rPr>
                <w:sz w:val="20"/>
                <w:szCs w:val="20"/>
                <w:color w:val="auto"/>
              </w:rPr>
            </w:pPr>
            <w:r>
              <w:rPr>
                <w:rFonts w:ascii="Arial" w:cs="Arial" w:eastAsia="Arial" w:hAnsi="Arial"/>
                <w:sz w:val="14"/>
                <w:szCs w:val="14"/>
                <w:color w:val="auto"/>
              </w:rPr>
              <w:t>770,934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123,987</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1,188,410</w:t>
            </w:r>
          </w:p>
        </w:tc>
        <w:tc>
          <w:tcPr>
            <w:tcW w:w="12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580" w:type="dxa"/>
            <w:vAlign w:val="bottom"/>
            <w:tcBorders>
              <w:bottom w:val="single" w:sz="8" w:color="CCEEFF"/>
            </w:tcBorders>
            <w:gridSpan w:val="17"/>
            <w:shd w:val="clear" w:color="auto" w:fill="CCEEFF"/>
          </w:tcPr>
          <w:p>
            <w:pPr>
              <w:ind w:left="10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CCEEFF"/>
          </w:tcPr>
          <w:p>
            <w:pPr>
              <w:spacing w:after="0"/>
              <w:rPr>
                <w:sz w:val="17"/>
                <w:szCs w:val="17"/>
                <w:color w:val="auto"/>
              </w:rPr>
            </w:pPr>
          </w:p>
        </w:tc>
        <w:tc>
          <w:tcPr>
            <w:tcW w:w="1960" w:type="dxa"/>
            <w:vAlign w:val="bottom"/>
            <w:tcBorders>
              <w:bottom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2,383,703</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9,446,547</w:t>
            </w:r>
          </w:p>
        </w:tc>
        <w:tc>
          <w:tcPr>
            <w:tcW w:w="12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580" w:type="dxa"/>
            <w:vAlign w:val="bottom"/>
            <w:gridSpan w:val="17"/>
          </w:tcPr>
          <w:p>
            <w:pPr>
              <w:spacing w:after="0"/>
              <w:rPr>
                <w:sz w:val="20"/>
                <w:szCs w:val="20"/>
                <w:color w:val="auto"/>
              </w:rPr>
            </w:pPr>
            <w:r>
              <w:rPr>
                <w:rFonts w:ascii="Arial" w:cs="Arial" w:eastAsia="Arial" w:hAnsi="Arial"/>
                <w:sz w:val="14"/>
                <w:szCs w:val="14"/>
                <w:b w:val="1"/>
                <w:bCs w:val="1"/>
                <w:color w:val="auto"/>
              </w:rPr>
              <w:t>Palantir Lending Trust SPV I **</w:t>
            </w:r>
            <w:r>
              <w:rPr>
                <w:rFonts w:ascii="Arial" w:cs="Arial" w:eastAsia="Arial" w:hAnsi="Arial"/>
                <w:sz w:val="9"/>
                <w:szCs w:val="9"/>
                <w:color w:val="auto"/>
              </w:rPr>
              <w:t>(10)</w:t>
            </w:r>
          </w:p>
        </w:tc>
        <w:tc>
          <w:tcPr>
            <w:tcW w:w="120" w:type="dxa"/>
            <w:vAlign w:val="bottom"/>
          </w:tcPr>
          <w:p>
            <w:pPr>
              <w:spacing w:after="0"/>
              <w:rPr>
                <w:sz w:val="14"/>
                <w:szCs w:val="14"/>
                <w:color w:val="auto"/>
              </w:rPr>
            </w:pPr>
          </w:p>
        </w:tc>
        <w:tc>
          <w:tcPr>
            <w:tcW w:w="208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Palo Alto, CA</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580" w:type="dxa"/>
            <w:vAlign w:val="bottom"/>
            <w:gridSpan w:val="17"/>
            <w:shd w:val="clear" w:color="auto" w:fill="CCEEFF"/>
          </w:tcPr>
          <w:p>
            <w:pPr>
              <w:spacing w:after="0"/>
              <w:rPr>
                <w:sz w:val="20"/>
                <w:szCs w:val="20"/>
                <w:color w:val="auto"/>
              </w:rPr>
            </w:pPr>
            <w:r>
              <w:rPr>
                <w:rFonts w:ascii="Arial" w:cs="Arial" w:eastAsia="Arial" w:hAnsi="Arial"/>
                <w:sz w:val="14"/>
                <w:szCs w:val="14"/>
                <w:color w:val="auto"/>
              </w:rPr>
              <w:t>Collateralized Loan 15%, Due 6/19/2022***</w:t>
            </w:r>
          </w:p>
        </w:tc>
        <w:tc>
          <w:tcPr>
            <w:tcW w:w="1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5"/>
              </w:rPr>
              <w:t>Data Analysis</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6/19/2020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6,900,000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6,900,429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6,900,000</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3580" w:type="dxa"/>
            <w:vAlign w:val="bottom"/>
            <w:gridSpan w:val="17"/>
          </w:tcPr>
          <w:p>
            <w:pPr>
              <w:spacing w:after="0"/>
              <w:rPr>
                <w:sz w:val="20"/>
                <w:szCs w:val="20"/>
                <w:color w:val="auto"/>
              </w:rPr>
            </w:pPr>
            <w:r>
              <w:rPr>
                <w:rFonts w:ascii="Arial" w:cs="Arial" w:eastAsia="Arial" w:hAnsi="Arial"/>
                <w:sz w:val="14"/>
                <w:szCs w:val="14"/>
                <w:color w:val="auto"/>
              </w:rPr>
              <w:t>Equity Participation in Underlying Collateral</w:t>
            </w:r>
          </w:p>
        </w:tc>
        <w:tc>
          <w:tcPr>
            <w:tcW w:w="1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3"/>
              </w:rPr>
              <w:t>6/19/2020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580" w:type="dxa"/>
            <w:vAlign w:val="bottom"/>
            <w:tcBorders>
              <w:top w:val="single" w:sz="8" w:color="CCEEFF"/>
              <w:bottom w:val="single" w:sz="8" w:color="CCEEFF"/>
            </w:tcBorders>
            <w:gridSpan w:val="17"/>
            <w:shd w:val="clear" w:color="auto" w:fill="CCEEFF"/>
          </w:tcPr>
          <w:p>
            <w:pPr>
              <w:ind w:left="10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CCEEFF"/>
            </w:tcBorders>
            <w:shd w:val="clear" w:color="auto" w:fill="CCEEFF"/>
          </w:tcPr>
          <w:p>
            <w:pPr>
              <w:spacing w:after="0"/>
              <w:rPr>
                <w:sz w:val="17"/>
                <w:szCs w:val="17"/>
                <w:color w:val="auto"/>
              </w:rPr>
            </w:pPr>
          </w:p>
        </w:tc>
        <w:tc>
          <w:tcPr>
            <w:tcW w:w="19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6,900,429</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6,900,000</w:t>
            </w: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580" w:type="dxa"/>
            <w:vAlign w:val="bottom"/>
            <w:gridSpan w:val="17"/>
          </w:tcPr>
          <w:p>
            <w:pPr>
              <w:spacing w:after="0"/>
              <w:rPr>
                <w:sz w:val="20"/>
                <w:szCs w:val="20"/>
                <w:color w:val="auto"/>
              </w:rPr>
            </w:pPr>
            <w:r>
              <w:rPr>
                <w:rFonts w:ascii="Arial" w:cs="Arial" w:eastAsia="Arial" w:hAnsi="Arial"/>
                <w:sz w:val="14"/>
                <w:szCs w:val="14"/>
                <w:b w:val="1"/>
                <w:bCs w:val="1"/>
                <w:color w:val="auto"/>
              </w:rPr>
              <w:t>Enjoy Technology, Inc.</w:t>
            </w:r>
          </w:p>
        </w:tc>
        <w:tc>
          <w:tcPr>
            <w:tcW w:w="120" w:type="dxa"/>
            <w:vAlign w:val="bottom"/>
          </w:tcPr>
          <w:p>
            <w:pPr>
              <w:spacing w:after="0"/>
              <w:rPr>
                <w:sz w:val="14"/>
                <w:szCs w:val="14"/>
                <w:color w:val="auto"/>
              </w:rPr>
            </w:pPr>
          </w:p>
        </w:tc>
        <w:tc>
          <w:tcPr>
            <w:tcW w:w="2080" w:type="dxa"/>
            <w:vAlign w:val="bottom"/>
            <w:gridSpan w:val="2"/>
          </w:tcPr>
          <w:p>
            <w:pPr>
              <w:jc w:val="center"/>
              <w:ind w:right="140"/>
              <w:spacing w:after="0"/>
              <w:rPr>
                <w:sz w:val="20"/>
                <w:szCs w:val="20"/>
                <w:color w:val="auto"/>
              </w:rPr>
            </w:pPr>
            <w:r>
              <w:rPr>
                <w:rFonts w:ascii="Arial" w:cs="Arial" w:eastAsia="Arial" w:hAnsi="Arial"/>
                <w:sz w:val="14"/>
                <w:szCs w:val="14"/>
                <w:color w:val="auto"/>
                <w:w w:val="95"/>
              </w:rPr>
              <w:t>Menlo Park, CA</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580" w:type="dxa"/>
            <w:vAlign w:val="bottom"/>
            <w:gridSpan w:val="17"/>
            <w:shd w:val="clear" w:color="auto" w:fill="CCEEFF"/>
          </w:tcPr>
          <w:p>
            <w:pPr>
              <w:spacing w:after="0"/>
              <w:rPr>
                <w:sz w:val="20"/>
                <w:szCs w:val="20"/>
                <w:color w:val="auto"/>
              </w:rPr>
            </w:pPr>
            <w:r>
              <w:rPr>
                <w:rFonts w:ascii="Arial" w:cs="Arial" w:eastAsia="Arial" w:hAnsi="Arial"/>
                <w:sz w:val="14"/>
                <w:szCs w:val="14"/>
                <w:color w:val="auto"/>
              </w:rPr>
              <w:t>Preferred shares, Series B 6%</w:t>
            </w:r>
          </w:p>
        </w:tc>
        <w:tc>
          <w:tcPr>
            <w:tcW w:w="1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2"/>
              </w:rPr>
              <w:t>On-Demand Commerce</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7/29/2015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1,681,520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4,000,280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4,000,000</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580" w:type="dxa"/>
            <w:vAlign w:val="bottom"/>
            <w:tcBorders>
              <w:bottom w:val="single" w:sz="8" w:color="CCEEFF"/>
            </w:tcBorders>
            <w:gridSpan w:val="17"/>
          </w:tcPr>
          <w:p>
            <w:pPr>
              <w:spacing w:after="0"/>
              <w:rPr>
                <w:sz w:val="20"/>
                <w:szCs w:val="20"/>
                <w:color w:val="auto"/>
              </w:rPr>
            </w:pPr>
            <w:r>
              <w:rPr>
                <w:rFonts w:ascii="Arial" w:cs="Arial" w:eastAsia="Arial" w:hAnsi="Arial"/>
                <w:sz w:val="14"/>
                <w:szCs w:val="14"/>
                <w:color w:val="auto"/>
              </w:rPr>
              <w:t>Preferred shares, Series A 6%</w:t>
            </w:r>
          </w:p>
        </w:tc>
        <w:tc>
          <w:tcPr>
            <w:tcW w:w="120" w:type="dxa"/>
            <w:vAlign w:val="bottom"/>
            <w:tcBorders>
              <w:bottom w:val="single" w:sz="8" w:color="CCEEFF"/>
            </w:tcBorders>
          </w:tcPr>
          <w:p>
            <w:pPr>
              <w:spacing w:after="0"/>
              <w:rPr>
                <w:sz w:val="17"/>
                <w:szCs w:val="17"/>
                <w:color w:val="auto"/>
              </w:rPr>
            </w:pPr>
          </w:p>
        </w:tc>
        <w:tc>
          <w:tcPr>
            <w:tcW w:w="19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4"/>
              </w:rPr>
              <w:t>10/16/2014</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jc w:val="right"/>
              <w:ind w:right="68"/>
              <w:spacing w:after="0"/>
              <w:rPr>
                <w:sz w:val="20"/>
                <w:szCs w:val="20"/>
                <w:color w:val="auto"/>
              </w:rPr>
            </w:pPr>
            <w:r>
              <w:rPr>
                <w:rFonts w:ascii="Arial" w:cs="Arial" w:eastAsia="Arial" w:hAnsi="Arial"/>
                <w:sz w:val="14"/>
                <w:szCs w:val="14"/>
                <w:color w:val="auto"/>
              </w:rPr>
              <w:t>879,198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1,002,440</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1,672,474</w:t>
            </w:r>
          </w:p>
        </w:tc>
        <w:tc>
          <w:tcPr>
            <w:tcW w:w="12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580" w:type="dxa"/>
            <w:vAlign w:val="bottom"/>
            <w:tcBorders>
              <w:bottom w:val="single" w:sz="8" w:color="CCEEFF"/>
            </w:tcBorders>
            <w:gridSpan w:val="17"/>
            <w:shd w:val="clear" w:color="auto" w:fill="CCEEFF"/>
          </w:tcPr>
          <w:p>
            <w:pPr>
              <w:ind w:left="10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5,002,720</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5,672,474</w:t>
            </w:r>
          </w:p>
        </w:tc>
        <w:tc>
          <w:tcPr>
            <w:tcW w:w="12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3580" w:type="dxa"/>
            <w:vAlign w:val="bottom"/>
            <w:gridSpan w:val="17"/>
          </w:tcPr>
          <w:p>
            <w:pPr>
              <w:spacing w:after="0"/>
              <w:rPr>
                <w:sz w:val="20"/>
                <w:szCs w:val="20"/>
                <w:color w:val="auto"/>
              </w:rPr>
            </w:pPr>
            <w:r>
              <w:rPr>
                <w:rFonts w:ascii="Arial" w:cs="Arial" w:eastAsia="Arial" w:hAnsi="Arial"/>
                <w:sz w:val="14"/>
                <w:szCs w:val="14"/>
                <w:b w:val="1"/>
                <w:bCs w:val="1"/>
                <w:color w:val="auto"/>
              </w:rPr>
              <w:t>Rent the Runway, Inc.</w:t>
            </w:r>
          </w:p>
        </w:tc>
        <w:tc>
          <w:tcPr>
            <w:tcW w:w="120" w:type="dxa"/>
            <w:vAlign w:val="bottom"/>
          </w:tcPr>
          <w:p>
            <w:pPr>
              <w:spacing w:after="0"/>
              <w:rPr>
                <w:sz w:val="14"/>
                <w:szCs w:val="14"/>
                <w:color w:val="auto"/>
              </w:rPr>
            </w:pPr>
          </w:p>
        </w:tc>
        <w:tc>
          <w:tcPr>
            <w:tcW w:w="2080" w:type="dxa"/>
            <w:vAlign w:val="bottom"/>
            <w:gridSpan w:val="2"/>
          </w:tcPr>
          <w:p>
            <w:pPr>
              <w:jc w:val="center"/>
              <w:ind w:right="140"/>
              <w:spacing w:after="0"/>
              <w:rPr>
                <w:sz w:val="20"/>
                <w:szCs w:val="20"/>
                <w:color w:val="auto"/>
              </w:rPr>
            </w:pPr>
            <w:r>
              <w:rPr>
                <w:rFonts w:ascii="Arial" w:cs="Arial" w:eastAsia="Arial" w:hAnsi="Arial"/>
                <w:sz w:val="14"/>
                <w:szCs w:val="14"/>
                <w:color w:val="auto"/>
                <w:w w:val="97"/>
              </w:rPr>
              <w:t>New York, NY</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580" w:type="dxa"/>
            <w:vAlign w:val="bottom"/>
            <w:gridSpan w:val="17"/>
            <w:shd w:val="clear" w:color="auto" w:fill="CCEEFF"/>
          </w:tcPr>
          <w:p>
            <w:pPr>
              <w:spacing w:after="0"/>
              <w:rPr>
                <w:sz w:val="20"/>
                <w:szCs w:val="20"/>
                <w:color w:val="auto"/>
              </w:rPr>
            </w:pPr>
            <w:r>
              <w:rPr>
                <w:rFonts w:ascii="Arial" w:cs="Arial" w:eastAsia="Arial" w:hAnsi="Arial"/>
                <w:sz w:val="14"/>
                <w:szCs w:val="14"/>
                <w:color w:val="auto"/>
              </w:rPr>
              <w:t>Preferred shares</w:t>
            </w:r>
          </w:p>
        </w:tc>
        <w:tc>
          <w:tcPr>
            <w:tcW w:w="12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2"/>
              </w:rPr>
              <w:t>Subscription Fashion Rental</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6/17/2020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339,191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5,152,140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5,000,001</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580" w:type="dxa"/>
            <w:vAlign w:val="bottom"/>
            <w:gridSpan w:val="17"/>
          </w:tcPr>
          <w:p>
            <w:pPr>
              <w:spacing w:after="0"/>
              <w:rPr>
                <w:sz w:val="20"/>
                <w:szCs w:val="20"/>
                <w:color w:val="auto"/>
              </w:rPr>
            </w:pPr>
            <w:r>
              <w:rPr>
                <w:rFonts w:ascii="Arial" w:cs="Arial" w:eastAsia="Arial" w:hAnsi="Arial"/>
                <w:sz w:val="14"/>
                <w:szCs w:val="14"/>
                <w:b w:val="1"/>
                <w:bCs w:val="1"/>
                <w:color w:val="auto"/>
              </w:rPr>
              <w:t>Aspiration Partners, Inc.</w:t>
            </w:r>
          </w:p>
        </w:tc>
        <w:tc>
          <w:tcPr>
            <w:tcW w:w="120" w:type="dxa"/>
            <w:vAlign w:val="bottom"/>
          </w:tcPr>
          <w:p>
            <w:pPr>
              <w:spacing w:after="0"/>
              <w:rPr>
                <w:sz w:val="14"/>
                <w:szCs w:val="14"/>
                <w:color w:val="auto"/>
              </w:rPr>
            </w:pPr>
          </w:p>
        </w:tc>
        <w:tc>
          <w:tcPr>
            <w:tcW w:w="2080" w:type="dxa"/>
            <w:vAlign w:val="bottom"/>
            <w:gridSpan w:val="2"/>
          </w:tcPr>
          <w:p>
            <w:pPr>
              <w:jc w:val="center"/>
              <w:ind w:right="140"/>
              <w:spacing w:after="0"/>
              <w:rPr>
                <w:sz w:val="20"/>
                <w:szCs w:val="20"/>
                <w:color w:val="auto"/>
              </w:rPr>
            </w:pPr>
            <w:r>
              <w:rPr>
                <w:rFonts w:ascii="Arial" w:cs="Arial" w:eastAsia="Arial" w:hAnsi="Arial"/>
                <w:sz w:val="14"/>
                <w:szCs w:val="14"/>
                <w:color w:val="auto"/>
                <w:w w:val="95"/>
              </w:rPr>
              <w:t>Marina Del Rey, CA</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580" w:type="dxa"/>
            <w:vAlign w:val="bottom"/>
            <w:gridSpan w:val="17"/>
            <w:shd w:val="clear" w:color="auto" w:fill="CCEEFF"/>
          </w:tcPr>
          <w:p>
            <w:pPr>
              <w:spacing w:after="0"/>
              <w:rPr>
                <w:sz w:val="20"/>
                <w:szCs w:val="20"/>
                <w:color w:val="auto"/>
              </w:rPr>
            </w:pPr>
            <w:r>
              <w:rPr>
                <w:rFonts w:ascii="Arial" w:cs="Arial" w:eastAsia="Arial" w:hAnsi="Arial"/>
                <w:sz w:val="14"/>
                <w:szCs w:val="14"/>
                <w:color w:val="auto"/>
              </w:rPr>
              <w:t>Preferred shares, Series A</w:t>
            </w:r>
          </w:p>
        </w:tc>
        <w:tc>
          <w:tcPr>
            <w:tcW w:w="1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3"/>
              </w:rPr>
              <w:t>Financial Services</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8/11/2015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540,270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1,001,815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4,591,904</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3580" w:type="dxa"/>
            <w:vAlign w:val="bottom"/>
            <w:tcBorders>
              <w:bottom w:val="single" w:sz="8" w:color="CCEEFF"/>
            </w:tcBorders>
            <w:gridSpan w:val="17"/>
          </w:tcPr>
          <w:p>
            <w:pPr>
              <w:spacing w:after="0"/>
              <w:rPr>
                <w:sz w:val="20"/>
                <w:szCs w:val="20"/>
                <w:color w:val="auto"/>
              </w:rPr>
            </w:pPr>
            <w:r>
              <w:rPr>
                <w:rFonts w:ascii="Arial" w:cs="Arial" w:eastAsia="Arial" w:hAnsi="Arial"/>
                <w:sz w:val="14"/>
                <w:szCs w:val="14"/>
                <w:color w:val="auto"/>
              </w:rPr>
              <w:t xml:space="preserve">Preferred shares, Series C-3 </w:t>
            </w:r>
            <w:r>
              <w:rPr>
                <w:rFonts w:ascii="Arial" w:cs="Arial" w:eastAsia="Arial" w:hAnsi="Arial"/>
                <w:sz w:val="9"/>
                <w:szCs w:val="9"/>
                <w:color w:val="auto"/>
              </w:rPr>
              <w:t>(12)</w:t>
            </w:r>
          </w:p>
        </w:tc>
        <w:tc>
          <w:tcPr>
            <w:tcW w:w="120" w:type="dxa"/>
            <w:vAlign w:val="bottom"/>
            <w:tcBorders>
              <w:bottom w:val="single" w:sz="8" w:color="CCEEFF"/>
            </w:tcBorders>
          </w:tcPr>
          <w:p>
            <w:pPr>
              <w:spacing w:after="0"/>
              <w:rPr>
                <w:sz w:val="17"/>
                <w:szCs w:val="17"/>
                <w:color w:val="auto"/>
              </w:rPr>
            </w:pPr>
          </w:p>
        </w:tc>
        <w:tc>
          <w:tcPr>
            <w:tcW w:w="19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3"/>
              </w:rPr>
              <w:t>8/12/2019</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jc w:val="right"/>
              <w:ind w:right="68"/>
              <w:spacing w:after="0"/>
              <w:rPr>
                <w:sz w:val="20"/>
                <w:szCs w:val="20"/>
                <w:color w:val="auto"/>
              </w:rPr>
            </w:pPr>
            <w:r>
              <w:rPr>
                <w:rFonts w:ascii="Arial" w:cs="Arial" w:eastAsia="Arial" w:hAnsi="Arial"/>
                <w:sz w:val="14"/>
                <w:szCs w:val="14"/>
                <w:color w:val="auto"/>
              </w:rPr>
              <w:t>24,912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281,190</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251,994</w:t>
            </w:r>
          </w:p>
        </w:tc>
        <w:tc>
          <w:tcPr>
            <w:tcW w:w="12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580" w:type="dxa"/>
            <w:vAlign w:val="bottom"/>
            <w:tcBorders>
              <w:bottom w:val="single" w:sz="8" w:color="CCEEFF"/>
            </w:tcBorders>
            <w:gridSpan w:val="17"/>
            <w:shd w:val="clear" w:color="auto" w:fill="CCEEFF"/>
          </w:tcPr>
          <w:p>
            <w:pPr>
              <w:ind w:left="10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1,283,005</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4,843,898</w:t>
            </w:r>
          </w:p>
        </w:tc>
        <w:tc>
          <w:tcPr>
            <w:tcW w:w="12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3580" w:type="dxa"/>
            <w:vAlign w:val="bottom"/>
            <w:gridSpan w:val="17"/>
          </w:tcPr>
          <w:p>
            <w:pPr>
              <w:spacing w:after="0"/>
              <w:rPr>
                <w:sz w:val="20"/>
                <w:szCs w:val="20"/>
                <w:color w:val="auto"/>
              </w:rPr>
            </w:pPr>
            <w:r>
              <w:rPr>
                <w:rFonts w:ascii="Arial" w:cs="Arial" w:eastAsia="Arial" w:hAnsi="Arial"/>
                <w:sz w:val="14"/>
                <w:szCs w:val="14"/>
                <w:b w:val="1"/>
                <w:bCs w:val="1"/>
                <w:color w:val="auto"/>
              </w:rPr>
              <w:t>Treehouse Real Estate Investment Trust, Inc.</w:t>
            </w:r>
          </w:p>
        </w:tc>
        <w:tc>
          <w:tcPr>
            <w:tcW w:w="120" w:type="dxa"/>
            <w:vAlign w:val="bottom"/>
          </w:tcPr>
          <w:p>
            <w:pPr>
              <w:spacing w:after="0"/>
              <w:rPr>
                <w:sz w:val="14"/>
                <w:szCs w:val="14"/>
                <w:color w:val="auto"/>
              </w:rPr>
            </w:pPr>
          </w:p>
        </w:tc>
        <w:tc>
          <w:tcPr>
            <w:tcW w:w="208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Chicago, IL</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80" w:type="dxa"/>
            <w:vAlign w:val="bottom"/>
            <w:gridSpan w:val="17"/>
            <w:shd w:val="clear" w:color="auto" w:fill="CCEEFF"/>
          </w:tcPr>
          <w:p>
            <w:pPr>
              <w:spacing w:after="0"/>
              <w:rPr>
                <w:sz w:val="20"/>
                <w:szCs w:val="20"/>
                <w:color w:val="auto"/>
              </w:rPr>
            </w:pPr>
            <w:r>
              <w:rPr>
                <w:rFonts w:ascii="Arial" w:cs="Arial" w:eastAsia="Arial" w:hAnsi="Arial"/>
                <w:sz w:val="14"/>
                <w:szCs w:val="14"/>
                <w:color w:val="auto"/>
              </w:rPr>
              <w:t>Common shares***</w:t>
            </w:r>
            <w:r>
              <w:rPr>
                <w:rFonts w:ascii="Arial" w:cs="Arial" w:eastAsia="Arial" w:hAnsi="Arial"/>
                <w:sz w:val="9"/>
                <w:szCs w:val="9"/>
                <w:color w:val="auto"/>
              </w:rPr>
              <w:t>(8)</w:t>
            </w:r>
          </w:p>
        </w:tc>
        <w:tc>
          <w:tcPr>
            <w:tcW w:w="12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4"/>
              </w:rPr>
              <w:t>Cannabis REIT</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9/11/2019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312,500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7,500,000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4,281,692</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580" w:type="dxa"/>
            <w:vAlign w:val="bottom"/>
            <w:gridSpan w:val="17"/>
          </w:tcPr>
          <w:p>
            <w:pPr>
              <w:spacing w:after="0"/>
              <w:rPr>
                <w:sz w:val="20"/>
                <w:szCs w:val="20"/>
                <w:color w:val="auto"/>
              </w:rPr>
            </w:pPr>
            <w:r>
              <w:rPr>
                <w:rFonts w:ascii="Arial" w:cs="Arial" w:eastAsia="Arial" w:hAnsi="Arial"/>
                <w:sz w:val="14"/>
                <w:szCs w:val="14"/>
                <w:b w:val="1"/>
                <w:bCs w:val="1"/>
                <w:color w:val="auto"/>
              </w:rPr>
              <w:t>Neutron Holdings, Inc. (d/b/a/ Lime)</w:t>
            </w:r>
          </w:p>
        </w:tc>
        <w:tc>
          <w:tcPr>
            <w:tcW w:w="120" w:type="dxa"/>
            <w:vAlign w:val="bottom"/>
          </w:tcPr>
          <w:p>
            <w:pPr>
              <w:spacing w:after="0"/>
              <w:rPr>
                <w:sz w:val="14"/>
                <w:szCs w:val="14"/>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San Francisco, CA</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580" w:type="dxa"/>
            <w:vAlign w:val="bottom"/>
            <w:gridSpan w:val="17"/>
            <w:shd w:val="clear" w:color="auto" w:fill="CCEEFF"/>
          </w:tcPr>
          <w:p>
            <w:pPr>
              <w:spacing w:after="0"/>
              <w:rPr>
                <w:sz w:val="20"/>
                <w:szCs w:val="20"/>
                <w:color w:val="auto"/>
              </w:rPr>
            </w:pPr>
            <w:r>
              <w:rPr>
                <w:rFonts w:ascii="Arial" w:cs="Arial" w:eastAsia="Arial" w:hAnsi="Arial"/>
                <w:sz w:val="14"/>
                <w:szCs w:val="14"/>
                <w:color w:val="auto"/>
              </w:rPr>
              <w:t>Junior Preferred shares, Series 1-D</w:t>
            </w:r>
            <w:r>
              <w:rPr>
                <w:rFonts w:ascii="Arial" w:cs="Arial" w:eastAsia="Arial" w:hAnsi="Arial"/>
                <w:sz w:val="9"/>
                <w:szCs w:val="9"/>
                <w:color w:val="auto"/>
              </w:rPr>
              <w:t>(11)</w:t>
            </w:r>
          </w:p>
        </w:tc>
        <w:tc>
          <w:tcPr>
            <w:tcW w:w="12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Micromobility</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1/25/2019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96"/>
              </w:rPr>
              <w:t>41,237,113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10,007,322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3,485,014</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580" w:type="dxa"/>
            <w:vAlign w:val="bottom"/>
            <w:tcBorders>
              <w:bottom w:val="single" w:sz="8" w:color="CCEEFF"/>
            </w:tcBorders>
            <w:gridSpan w:val="17"/>
          </w:tcPr>
          <w:p>
            <w:pPr>
              <w:spacing w:after="0"/>
              <w:rPr>
                <w:sz w:val="20"/>
                <w:szCs w:val="20"/>
                <w:color w:val="auto"/>
              </w:rPr>
            </w:pPr>
            <w:r>
              <w:rPr>
                <w:rFonts w:ascii="Arial" w:cs="Arial" w:eastAsia="Arial" w:hAnsi="Arial"/>
                <w:sz w:val="14"/>
                <w:szCs w:val="14"/>
                <w:color w:val="auto"/>
              </w:rPr>
              <w:t>Junior Preferred Convertible Note 4% Due 5/11/2027***</w:t>
            </w:r>
          </w:p>
        </w:tc>
        <w:tc>
          <w:tcPr>
            <w:tcW w:w="120" w:type="dxa"/>
            <w:vAlign w:val="bottom"/>
            <w:tcBorders>
              <w:bottom w:val="single" w:sz="8" w:color="CCEEFF"/>
            </w:tcBorders>
          </w:tcPr>
          <w:p>
            <w:pPr>
              <w:spacing w:after="0"/>
              <w:rPr>
                <w:sz w:val="17"/>
                <w:szCs w:val="17"/>
                <w:color w:val="auto"/>
              </w:rPr>
            </w:pPr>
          </w:p>
        </w:tc>
        <w:tc>
          <w:tcPr>
            <w:tcW w:w="19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3"/>
              </w:rPr>
              <w:t>5/11/2020</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tcPr>
          <w:p>
            <w:pPr>
              <w:jc w:val="right"/>
              <w:ind w:right="68"/>
              <w:spacing w:after="0"/>
              <w:rPr>
                <w:sz w:val="20"/>
                <w:szCs w:val="20"/>
                <w:color w:val="auto"/>
              </w:rPr>
            </w:pPr>
            <w:r>
              <w:rPr>
                <w:rFonts w:ascii="Arial" w:cs="Arial" w:eastAsia="Arial" w:hAnsi="Arial"/>
                <w:sz w:val="14"/>
                <w:szCs w:val="14"/>
                <w:color w:val="auto"/>
              </w:rPr>
              <w:t>506,339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506,339</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506,339</w:t>
            </w:r>
          </w:p>
        </w:tc>
        <w:tc>
          <w:tcPr>
            <w:tcW w:w="12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580" w:type="dxa"/>
            <w:vAlign w:val="bottom"/>
            <w:tcBorders>
              <w:bottom w:val="single" w:sz="8" w:color="CCEEFF"/>
            </w:tcBorders>
            <w:gridSpan w:val="17"/>
            <w:shd w:val="clear" w:color="auto" w:fill="CCEEFF"/>
          </w:tcPr>
          <w:p>
            <w:pPr>
              <w:ind w:left="10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10,513,661</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3,991,353</w:t>
            </w:r>
          </w:p>
        </w:tc>
        <w:tc>
          <w:tcPr>
            <w:tcW w:w="12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580" w:type="dxa"/>
            <w:vAlign w:val="bottom"/>
            <w:gridSpan w:val="17"/>
          </w:tcPr>
          <w:p>
            <w:pPr>
              <w:spacing w:after="0"/>
              <w:rPr>
                <w:sz w:val="20"/>
                <w:szCs w:val="20"/>
                <w:color w:val="auto"/>
              </w:rPr>
            </w:pPr>
            <w:r>
              <w:rPr>
                <w:rFonts w:ascii="Arial" w:cs="Arial" w:eastAsia="Arial" w:hAnsi="Arial"/>
                <w:sz w:val="14"/>
                <w:szCs w:val="14"/>
                <w:b w:val="1"/>
                <w:bCs w:val="1"/>
                <w:color w:val="auto"/>
              </w:rPr>
              <w:t>Clever, Inc.</w:t>
            </w:r>
          </w:p>
        </w:tc>
        <w:tc>
          <w:tcPr>
            <w:tcW w:w="120" w:type="dxa"/>
            <w:vAlign w:val="bottom"/>
          </w:tcPr>
          <w:p>
            <w:pPr>
              <w:spacing w:after="0"/>
              <w:rPr>
                <w:sz w:val="14"/>
                <w:szCs w:val="14"/>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San Francisco, CA</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580" w:type="dxa"/>
            <w:vAlign w:val="bottom"/>
            <w:gridSpan w:val="17"/>
            <w:shd w:val="clear" w:color="auto" w:fill="CCEEFF"/>
          </w:tcPr>
          <w:p>
            <w:pPr>
              <w:spacing w:after="0"/>
              <w:rPr>
                <w:sz w:val="20"/>
                <w:szCs w:val="20"/>
                <w:color w:val="auto"/>
              </w:rPr>
            </w:pPr>
            <w:r>
              <w:rPr>
                <w:rFonts w:ascii="Arial" w:cs="Arial" w:eastAsia="Arial" w:hAnsi="Arial"/>
                <w:sz w:val="14"/>
                <w:szCs w:val="14"/>
                <w:color w:val="auto"/>
              </w:rPr>
              <w:t>Preferred shares, Series B 8%</w:t>
            </w:r>
          </w:p>
        </w:tc>
        <w:tc>
          <w:tcPr>
            <w:tcW w:w="12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3"/>
              </w:rPr>
              <w:t>Education Software</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12/5/2014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1,799,047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2,000,601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2,000,001</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580" w:type="dxa"/>
            <w:vAlign w:val="bottom"/>
            <w:gridSpan w:val="17"/>
          </w:tcPr>
          <w:p>
            <w:pPr>
              <w:spacing w:after="0"/>
              <w:rPr>
                <w:sz w:val="20"/>
                <w:szCs w:val="20"/>
                <w:color w:val="auto"/>
              </w:rPr>
            </w:pPr>
            <w:r>
              <w:rPr>
                <w:rFonts w:ascii="Arial" w:cs="Arial" w:eastAsia="Arial" w:hAnsi="Arial"/>
                <w:sz w:val="14"/>
                <w:szCs w:val="14"/>
                <w:b w:val="1"/>
                <w:bCs w:val="1"/>
                <w:color w:val="auto"/>
              </w:rPr>
              <w:t>4C Insights (f/k/a The Echo Systems Corp.)</w:t>
            </w:r>
          </w:p>
        </w:tc>
        <w:tc>
          <w:tcPr>
            <w:tcW w:w="120" w:type="dxa"/>
            <w:vAlign w:val="bottom"/>
          </w:tcPr>
          <w:p>
            <w:pPr>
              <w:spacing w:after="0"/>
              <w:rPr>
                <w:sz w:val="14"/>
                <w:szCs w:val="14"/>
                <w:color w:val="auto"/>
              </w:rPr>
            </w:pPr>
          </w:p>
        </w:tc>
        <w:tc>
          <w:tcPr>
            <w:tcW w:w="208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Chicago, IL</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80" w:type="dxa"/>
            <w:vAlign w:val="bottom"/>
            <w:gridSpan w:val="17"/>
            <w:shd w:val="clear" w:color="auto" w:fill="CCEEFF"/>
          </w:tcPr>
          <w:p>
            <w:pPr>
              <w:spacing w:after="0"/>
              <w:rPr>
                <w:sz w:val="20"/>
                <w:szCs w:val="20"/>
                <w:color w:val="auto"/>
              </w:rPr>
            </w:pPr>
            <w:r>
              <w:rPr>
                <w:rFonts w:ascii="Arial" w:cs="Arial" w:eastAsia="Arial" w:hAnsi="Arial"/>
                <w:sz w:val="14"/>
                <w:szCs w:val="14"/>
                <w:color w:val="auto"/>
              </w:rPr>
              <w:t>Common shares</w:t>
            </w:r>
          </w:p>
        </w:tc>
        <w:tc>
          <w:tcPr>
            <w:tcW w:w="12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5"/>
              </w:rPr>
              <w:t>Social Data Platform</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3/30/2012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436,219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1,436,404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813,093</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0.42</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580" w:type="dxa"/>
            <w:vAlign w:val="bottom"/>
            <w:gridSpan w:val="17"/>
          </w:tcPr>
          <w:p>
            <w:pPr>
              <w:spacing w:after="0"/>
              <w:rPr>
                <w:sz w:val="20"/>
                <w:szCs w:val="20"/>
                <w:color w:val="auto"/>
              </w:rPr>
            </w:pPr>
            <w:r>
              <w:rPr>
                <w:rFonts w:ascii="Arial" w:cs="Arial" w:eastAsia="Arial" w:hAnsi="Arial"/>
                <w:sz w:val="14"/>
                <w:szCs w:val="14"/>
                <w:b w:val="1"/>
                <w:bCs w:val="1"/>
                <w:color w:val="auto"/>
              </w:rPr>
              <w:t>Tynker (f/k/a Neuron Fuel, Inc.)</w:t>
            </w:r>
          </w:p>
        </w:tc>
        <w:tc>
          <w:tcPr>
            <w:tcW w:w="120" w:type="dxa"/>
            <w:vAlign w:val="bottom"/>
          </w:tcPr>
          <w:p>
            <w:pPr>
              <w:spacing w:after="0"/>
              <w:rPr>
                <w:sz w:val="14"/>
                <w:szCs w:val="14"/>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Mountain View, CA</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80" w:type="dxa"/>
            <w:vAlign w:val="bottom"/>
            <w:gridSpan w:val="17"/>
            <w:shd w:val="clear" w:color="auto" w:fill="CCEEFF"/>
          </w:tcPr>
          <w:p>
            <w:pPr>
              <w:spacing w:after="0"/>
              <w:rPr>
                <w:sz w:val="20"/>
                <w:szCs w:val="20"/>
                <w:color w:val="auto"/>
              </w:rPr>
            </w:pPr>
            <w:r>
              <w:rPr>
                <w:rFonts w:ascii="Arial" w:cs="Arial" w:eastAsia="Arial" w:hAnsi="Arial"/>
                <w:sz w:val="14"/>
                <w:szCs w:val="14"/>
                <w:color w:val="auto"/>
              </w:rPr>
              <w:t>Preferred shares, Series A 8%</w:t>
            </w:r>
          </w:p>
        </w:tc>
        <w:tc>
          <w:tcPr>
            <w:tcW w:w="12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4"/>
              </w:rPr>
              <w:t>Computer Software</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8/8/2012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534,162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309,310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791,361</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0.41</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580" w:type="dxa"/>
            <w:vAlign w:val="bottom"/>
            <w:gridSpan w:val="17"/>
          </w:tcPr>
          <w:p>
            <w:pPr>
              <w:spacing w:after="0"/>
              <w:rPr>
                <w:sz w:val="20"/>
                <w:szCs w:val="20"/>
                <w:color w:val="auto"/>
              </w:rPr>
            </w:pPr>
            <w:r>
              <w:rPr>
                <w:rFonts w:ascii="Arial" w:cs="Arial" w:eastAsia="Arial" w:hAnsi="Arial"/>
                <w:sz w:val="14"/>
                <w:szCs w:val="14"/>
                <w:b w:val="1"/>
                <w:bCs w:val="1"/>
                <w:color w:val="auto"/>
              </w:rPr>
              <w:t>A Place for Rover Inc. (f/k/a DogVacay, Inc.)</w:t>
            </w:r>
          </w:p>
        </w:tc>
        <w:tc>
          <w:tcPr>
            <w:tcW w:w="120" w:type="dxa"/>
            <w:vAlign w:val="bottom"/>
          </w:tcPr>
          <w:p>
            <w:pPr>
              <w:spacing w:after="0"/>
              <w:rPr>
                <w:sz w:val="14"/>
                <w:szCs w:val="14"/>
                <w:color w:val="auto"/>
              </w:rPr>
            </w:pPr>
          </w:p>
        </w:tc>
        <w:tc>
          <w:tcPr>
            <w:tcW w:w="2080" w:type="dxa"/>
            <w:vAlign w:val="bottom"/>
            <w:gridSpan w:val="2"/>
          </w:tcPr>
          <w:p>
            <w:pPr>
              <w:jc w:val="center"/>
              <w:ind w:right="140"/>
              <w:spacing w:after="0"/>
              <w:rPr>
                <w:sz w:val="20"/>
                <w:szCs w:val="20"/>
                <w:color w:val="auto"/>
              </w:rPr>
            </w:pPr>
            <w:r>
              <w:rPr>
                <w:rFonts w:ascii="Arial" w:cs="Arial" w:eastAsia="Arial" w:hAnsi="Arial"/>
                <w:sz w:val="14"/>
                <w:szCs w:val="14"/>
                <w:color w:val="auto"/>
                <w:w w:val="94"/>
              </w:rPr>
              <w:t>Seattle, WA</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80" w:type="dxa"/>
            <w:vAlign w:val="bottom"/>
            <w:gridSpan w:val="17"/>
            <w:shd w:val="clear" w:color="auto" w:fill="CCEEFF"/>
          </w:tcPr>
          <w:p>
            <w:pPr>
              <w:spacing w:after="0"/>
              <w:rPr>
                <w:sz w:val="20"/>
                <w:szCs w:val="20"/>
                <w:color w:val="auto"/>
              </w:rPr>
            </w:pPr>
            <w:r>
              <w:rPr>
                <w:rFonts w:ascii="Arial" w:cs="Arial" w:eastAsia="Arial" w:hAnsi="Arial"/>
                <w:sz w:val="14"/>
                <w:szCs w:val="14"/>
                <w:color w:val="auto"/>
              </w:rPr>
              <w:t>Common shares</w:t>
            </w:r>
          </w:p>
        </w:tc>
        <w:tc>
          <w:tcPr>
            <w:tcW w:w="12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89"/>
              </w:rPr>
              <w:t>Peer-to-Peer Pet Services</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11/3/2014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707,991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2,506,119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779,645</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580" w:type="dxa"/>
            <w:vAlign w:val="bottom"/>
            <w:gridSpan w:val="17"/>
          </w:tcPr>
          <w:p>
            <w:pPr>
              <w:spacing w:after="0"/>
              <w:rPr>
                <w:sz w:val="20"/>
                <w:szCs w:val="20"/>
                <w:color w:val="auto"/>
              </w:rPr>
            </w:pPr>
            <w:r>
              <w:rPr>
                <w:rFonts w:ascii="Arial" w:cs="Arial" w:eastAsia="Arial" w:hAnsi="Arial"/>
                <w:sz w:val="14"/>
                <w:szCs w:val="14"/>
                <w:b w:val="1"/>
                <w:bCs w:val="1"/>
                <w:color w:val="auto"/>
              </w:rPr>
              <w:t>Fullbridge, Inc.</w:t>
            </w:r>
          </w:p>
        </w:tc>
        <w:tc>
          <w:tcPr>
            <w:tcW w:w="120" w:type="dxa"/>
            <w:vAlign w:val="bottom"/>
          </w:tcPr>
          <w:p>
            <w:pPr>
              <w:spacing w:after="0"/>
              <w:rPr>
                <w:sz w:val="14"/>
                <w:szCs w:val="14"/>
                <w:color w:val="auto"/>
              </w:rPr>
            </w:pPr>
          </w:p>
        </w:tc>
        <w:tc>
          <w:tcPr>
            <w:tcW w:w="2080" w:type="dxa"/>
            <w:vAlign w:val="bottom"/>
            <w:gridSpan w:val="2"/>
          </w:tcPr>
          <w:p>
            <w:pPr>
              <w:jc w:val="center"/>
              <w:ind w:right="140"/>
              <w:spacing w:after="0"/>
              <w:rPr>
                <w:sz w:val="20"/>
                <w:szCs w:val="20"/>
                <w:color w:val="auto"/>
              </w:rPr>
            </w:pPr>
            <w:r>
              <w:rPr>
                <w:rFonts w:ascii="Arial" w:cs="Arial" w:eastAsia="Arial" w:hAnsi="Arial"/>
                <w:sz w:val="14"/>
                <w:szCs w:val="14"/>
                <w:color w:val="auto"/>
                <w:w w:val="96"/>
              </w:rPr>
              <w:t>Cambridge, MA</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80" w:type="dxa"/>
            <w:vAlign w:val="bottom"/>
            <w:gridSpan w:val="17"/>
            <w:shd w:val="clear" w:color="auto" w:fill="CCEEFF"/>
          </w:tcPr>
          <w:p>
            <w:pPr>
              <w:spacing w:after="0"/>
              <w:rPr>
                <w:sz w:val="20"/>
                <w:szCs w:val="20"/>
                <w:color w:val="auto"/>
              </w:rPr>
            </w:pPr>
            <w:r>
              <w:rPr>
                <w:rFonts w:ascii="Arial" w:cs="Arial" w:eastAsia="Arial" w:hAnsi="Arial"/>
                <w:sz w:val="14"/>
                <w:szCs w:val="14"/>
                <w:color w:val="auto"/>
              </w:rPr>
              <w:t>Common shares</w:t>
            </w:r>
          </w:p>
        </w:tc>
        <w:tc>
          <w:tcPr>
            <w:tcW w:w="12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2"/>
              </w:rPr>
              <w:t>Business Education</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5/13/2012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517,917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6,150,506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7"/>
        </w:trPr>
        <w:tc>
          <w:tcPr>
            <w:tcW w:w="3580" w:type="dxa"/>
            <w:vAlign w:val="bottom"/>
            <w:tcBorders>
              <w:bottom w:val="single" w:sz="8" w:color="CCEEFF"/>
            </w:tcBorders>
            <w:gridSpan w:val="17"/>
          </w:tcPr>
          <w:p>
            <w:pPr>
              <w:spacing w:after="0"/>
              <w:rPr>
                <w:sz w:val="20"/>
                <w:szCs w:val="20"/>
                <w:color w:val="auto"/>
              </w:rPr>
            </w:pPr>
            <w:r>
              <w:rPr>
                <w:rFonts w:ascii="Arial" w:cs="Arial" w:eastAsia="Arial" w:hAnsi="Arial"/>
                <w:sz w:val="14"/>
                <w:szCs w:val="14"/>
                <w:color w:val="auto"/>
              </w:rPr>
              <w:t>Promissory Note 1.47%, Due 11/9/2021</w:t>
            </w:r>
            <w:r>
              <w:rPr>
                <w:rFonts w:ascii="Arial" w:cs="Arial" w:eastAsia="Arial" w:hAnsi="Arial"/>
                <w:sz w:val="9"/>
                <w:szCs w:val="9"/>
                <w:color w:val="auto"/>
              </w:rPr>
              <w:t>(4)</w:t>
            </w:r>
          </w:p>
        </w:tc>
        <w:tc>
          <w:tcPr>
            <w:tcW w:w="120" w:type="dxa"/>
            <w:vAlign w:val="bottom"/>
            <w:tcBorders>
              <w:bottom w:val="single" w:sz="8" w:color="CCEEFF"/>
            </w:tcBorders>
          </w:tcPr>
          <w:p>
            <w:pPr>
              <w:spacing w:after="0"/>
              <w:rPr>
                <w:sz w:val="17"/>
                <w:szCs w:val="17"/>
                <w:color w:val="auto"/>
              </w:rPr>
            </w:pPr>
          </w:p>
        </w:tc>
        <w:tc>
          <w:tcPr>
            <w:tcW w:w="19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1"/>
              </w:rPr>
              <w:t>3/3/2016</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tcPr>
          <w:p>
            <w:pPr>
              <w:jc w:val="right"/>
              <w:ind w:right="68"/>
              <w:spacing w:after="0"/>
              <w:rPr>
                <w:sz w:val="20"/>
                <w:szCs w:val="20"/>
                <w:color w:val="auto"/>
              </w:rPr>
            </w:pPr>
            <w:r>
              <w:rPr>
                <w:rFonts w:ascii="Arial" w:cs="Arial" w:eastAsia="Arial" w:hAnsi="Arial"/>
                <w:sz w:val="14"/>
                <w:szCs w:val="14"/>
                <w:color w:val="auto"/>
              </w:rPr>
              <w:t>2,270,458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2,270,858</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6"/>
        </w:trPr>
        <w:tc>
          <w:tcPr>
            <w:tcW w:w="3580" w:type="dxa"/>
            <w:vAlign w:val="bottom"/>
            <w:gridSpan w:val="17"/>
            <w:shd w:val="clear" w:color="auto" w:fill="CCEEFF"/>
          </w:tcPr>
          <w:p>
            <w:pPr>
              <w:ind w:left="10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8,421,364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48"/>
        </w:trPr>
        <w:tc>
          <w:tcPr>
            <w:tcW w:w="70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8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960" w:type="dxa"/>
            <w:vAlign w:val="bottom"/>
            <w:tcBorders>
              <w:top w:val="single" w:sz="8" w:color="CCEEFF"/>
            </w:tcBorders>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Borders>
              <w:top w:val="single" w:sz="8" w:color="CCEEFF"/>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40" w:type="dxa"/>
            <w:vAlign w:val="bottom"/>
            <w:tcBorders>
              <w:top w:val="single" w:sz="8" w:color="CCEEFF"/>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580" w:type="dxa"/>
            <w:vAlign w:val="bottom"/>
            <w:gridSpan w:val="17"/>
            <w:shd w:val="clear" w:color="auto" w:fill="CCEEFF"/>
          </w:tcPr>
          <w:p>
            <w:pPr>
              <w:ind w:left="100"/>
              <w:spacing w:after="0"/>
              <w:rPr>
                <w:sz w:val="20"/>
                <w:szCs w:val="20"/>
                <w:color w:val="auto"/>
              </w:rPr>
            </w:pPr>
            <w:r>
              <w:rPr>
                <w:rFonts w:ascii="Arial" w:cs="Arial" w:eastAsia="Arial" w:hAnsi="Arial"/>
                <w:sz w:val="14"/>
                <w:szCs w:val="14"/>
                <w:b w:val="1"/>
                <w:bCs w:val="1"/>
                <w:color w:val="auto"/>
              </w:rPr>
              <w:t>Total Non-controlled/Non-affiliate</w:t>
            </w:r>
          </w:p>
        </w:tc>
        <w:tc>
          <w:tcPr>
            <w:tcW w:w="1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99,121,577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168,700,422</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87.55</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-496570</wp:posOffset>
            </wp:positionV>
            <wp:extent cx="428625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86250" cy="1371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-2065020</wp:posOffset>
            </wp:positionV>
            <wp:extent cx="428625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286250" cy="1371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-2870835</wp:posOffset>
            </wp:positionV>
            <wp:extent cx="428625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286250" cy="14605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-3685540</wp:posOffset>
            </wp:positionV>
            <wp:extent cx="428625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86250" cy="14541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-4234180</wp:posOffset>
            </wp:positionV>
            <wp:extent cx="428625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286250" cy="14541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-4782820</wp:posOffset>
            </wp:positionV>
            <wp:extent cx="428625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286250" cy="146050"/>
                    </a:xfrm>
                    <a:prstGeom prst="rect">
                      <a:avLst/>
                    </a:prstGeom>
                    <a:noFill/>
                  </pic:spPr>
                </pic:pic>
              </a:graphicData>
            </a:graphic>
          </wp:anchor>
        </w:drawing>
      </w: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121" w:right="359" w:bottom="1440" w:gutter="0" w:footer="0" w:header="0"/>
        </w:sectPr>
      </w:pPr>
    </w:p>
    <w:bookmarkStart w:id="7" w:name="page8"/>
    <w:bookmarkEnd w:id="7"/>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SURO CAPITAL CORP.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SCHEDULE OF INVESTMENTS (UNAUDITED)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2020</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0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Portfolio Investments*</w:t>
            </w:r>
          </w:p>
        </w:tc>
        <w:tc>
          <w:tcPr>
            <w:tcW w:w="100" w:type="dxa"/>
            <w:vAlign w:val="bottom"/>
          </w:tcPr>
          <w:p>
            <w:pPr>
              <w:spacing w:after="0"/>
              <w:rPr>
                <w:sz w:val="14"/>
                <w:szCs w:val="14"/>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Headquarters/</w:t>
            </w: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Date of Initial</w:t>
            </w:r>
          </w:p>
        </w:tc>
        <w:tc>
          <w:tcPr>
            <w:tcW w:w="14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Shares/</w:t>
            </w:r>
          </w:p>
        </w:tc>
        <w:tc>
          <w:tcPr>
            <w:tcW w:w="180" w:type="dxa"/>
            <w:vAlign w:val="bottom"/>
          </w:tcPr>
          <w:p>
            <w:pPr>
              <w:spacing w:after="0"/>
              <w:rPr>
                <w:sz w:val="14"/>
                <w:szCs w:val="14"/>
                <w:color w:val="auto"/>
              </w:rPr>
            </w:pPr>
          </w:p>
        </w:tc>
        <w:tc>
          <w:tcPr>
            <w:tcW w:w="10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84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92"/>
        </w:trPr>
        <w:tc>
          <w:tcPr>
            <w:tcW w:w="3600" w:type="dxa"/>
            <w:vAlign w:val="bottom"/>
            <w:gridSpan w:val="7"/>
            <w:vMerge w:val="continue"/>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Industry</w:t>
            </w: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Investment</w:t>
            </w:r>
          </w:p>
        </w:tc>
        <w:tc>
          <w:tcPr>
            <w:tcW w:w="14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Principal</w:t>
            </w:r>
          </w:p>
        </w:tc>
        <w:tc>
          <w:tcPr>
            <w:tcW w:w="1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600" w:type="dxa"/>
            <w:vAlign w:val="bottom"/>
            <w:tcBorders>
              <w:top w:val="single" w:sz="8" w:color="auto"/>
            </w:tcBorders>
            <w:gridSpan w:val="7"/>
            <w:shd w:val="clear" w:color="auto" w:fill="CCEEFF"/>
          </w:tcPr>
          <w:p>
            <w:pPr>
              <w:spacing w:after="0"/>
              <w:rPr>
                <w:sz w:val="20"/>
                <w:szCs w:val="20"/>
                <w:color w:val="auto"/>
              </w:rPr>
            </w:pPr>
            <w:r>
              <w:rPr>
                <w:rFonts w:ascii="Arial" w:cs="Arial" w:eastAsia="Arial" w:hAnsi="Arial"/>
                <w:sz w:val="14"/>
                <w:szCs w:val="14"/>
                <w:b w:val="1"/>
                <w:bCs w:val="1"/>
                <w:color w:val="auto"/>
              </w:rPr>
              <w:t>NON-CONTROLLED/AFFILIATE</w:t>
            </w:r>
            <w:r>
              <w:rPr>
                <w:rFonts w:ascii="Arial" w:cs="Arial" w:eastAsia="Arial" w:hAnsi="Arial"/>
                <w:sz w:val="9"/>
                <w:szCs w:val="9"/>
                <w:color w:val="auto"/>
              </w:rPr>
              <w:t>(1)</w:t>
            </w:r>
          </w:p>
        </w:tc>
        <w:tc>
          <w:tcPr>
            <w:tcW w:w="100" w:type="dxa"/>
            <w:vAlign w:val="bottom"/>
            <w:tcBorders>
              <w:top w:val="single" w:sz="8" w:color="CCEEFF"/>
            </w:tcBorders>
            <w:shd w:val="clear" w:color="auto" w:fill="CCEEFF"/>
          </w:tcPr>
          <w:p>
            <w:pPr>
              <w:spacing w:after="0"/>
              <w:rPr>
                <w:sz w:val="16"/>
                <w:szCs w:val="16"/>
                <w:color w:val="auto"/>
              </w:rPr>
            </w:pPr>
          </w:p>
        </w:tc>
        <w:tc>
          <w:tcPr>
            <w:tcW w:w="1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600" w:type="dxa"/>
            <w:vAlign w:val="bottom"/>
            <w:gridSpan w:val="7"/>
          </w:tcPr>
          <w:p>
            <w:pPr>
              <w:spacing w:after="0"/>
              <w:rPr>
                <w:sz w:val="20"/>
                <w:szCs w:val="20"/>
                <w:color w:val="auto"/>
              </w:rPr>
            </w:pPr>
            <w:r>
              <w:rPr>
                <w:rFonts w:ascii="Arial" w:cs="Arial" w:eastAsia="Arial" w:hAnsi="Arial"/>
                <w:sz w:val="14"/>
                <w:szCs w:val="14"/>
                <w:b w:val="1"/>
                <w:bCs w:val="1"/>
                <w:color w:val="auto"/>
              </w:rPr>
              <w:t>Ozy Media, Inc.</w:t>
            </w:r>
          </w:p>
        </w:tc>
        <w:tc>
          <w:tcPr>
            <w:tcW w:w="100" w:type="dxa"/>
            <w:vAlign w:val="bottom"/>
          </w:tcPr>
          <w:p>
            <w:pPr>
              <w:spacing w:after="0"/>
              <w:rPr>
                <w:sz w:val="14"/>
                <w:szCs w:val="14"/>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Mountain View, CA</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0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Preferred shares, Series C-2 6%</w:t>
            </w:r>
          </w:p>
        </w:tc>
        <w:tc>
          <w:tcPr>
            <w:tcW w:w="10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Digital Media Platform</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9/11/2019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683,482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2,414,178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2,114,591</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600" w:type="dxa"/>
            <w:vAlign w:val="bottom"/>
            <w:gridSpan w:val="7"/>
          </w:tcPr>
          <w:p>
            <w:pPr>
              <w:spacing w:after="0" w:line="157" w:lineRule="exact"/>
              <w:rPr>
                <w:sz w:val="20"/>
                <w:szCs w:val="20"/>
                <w:color w:val="auto"/>
              </w:rPr>
            </w:pPr>
            <w:r>
              <w:rPr>
                <w:rFonts w:ascii="Arial" w:cs="Arial" w:eastAsia="Arial" w:hAnsi="Arial"/>
                <w:sz w:val="14"/>
                <w:szCs w:val="14"/>
                <w:color w:val="auto"/>
              </w:rPr>
              <w:t>Common Warrants, Strike Price $0.01, Expiration Date</w:t>
            </w:r>
          </w:p>
        </w:tc>
        <w:tc>
          <w:tcPr>
            <w:tcW w:w="1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980" w:type="dxa"/>
            <w:vAlign w:val="bottom"/>
          </w:tcPr>
          <w:p>
            <w:pPr>
              <w:spacing w:after="0"/>
              <w:rPr>
                <w:sz w:val="20"/>
                <w:szCs w:val="20"/>
                <w:color w:val="auto"/>
              </w:rPr>
            </w:pPr>
            <w:r>
              <w:rPr>
                <w:rFonts w:ascii="Arial" w:cs="Arial" w:eastAsia="Arial" w:hAnsi="Arial"/>
                <w:sz w:val="14"/>
                <w:szCs w:val="14"/>
                <w:color w:val="auto"/>
              </w:rPr>
              <w:t>4/9/2028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1"/>
              </w:rPr>
              <w:t>4/9/2018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295,565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30,647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913,296</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0.47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360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Preferred shares, Series B 6%</w:t>
            </w: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10/3/2014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922,509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4,999,999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3,350,952</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3600" w:type="dxa"/>
            <w:vAlign w:val="bottom"/>
            <w:gridSpan w:val="7"/>
          </w:tcPr>
          <w:p>
            <w:pPr>
              <w:spacing w:after="0"/>
              <w:rPr>
                <w:sz w:val="20"/>
                <w:szCs w:val="20"/>
                <w:color w:val="auto"/>
              </w:rPr>
            </w:pPr>
            <w:r>
              <w:rPr>
                <w:rFonts w:ascii="Arial" w:cs="Arial" w:eastAsia="Arial" w:hAnsi="Arial"/>
                <w:sz w:val="14"/>
                <w:szCs w:val="14"/>
                <w:color w:val="auto"/>
              </w:rPr>
              <w:t>Preferred shares, Series A 6%</w:t>
            </w:r>
          </w:p>
        </w:tc>
        <w:tc>
          <w:tcPr>
            <w:tcW w:w="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4"/>
              </w:rPr>
              <w:t>12/11/2013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1,090,909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3,000,200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3,375,109</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1.75</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360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Preferred shares, Series Seed 6%</w:t>
            </w: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11/2/2012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500,000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500,000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1,546,925</w:t>
            </w:r>
          </w:p>
        </w:tc>
        <w:tc>
          <w:tcPr>
            <w:tcW w:w="1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600" w:type="dxa"/>
            <w:vAlign w:val="bottom"/>
            <w:tcBorders>
              <w:bottom w:val="single" w:sz="8" w:color="CCEEFF"/>
            </w:tcBorders>
            <w:gridSpan w:val="7"/>
          </w:tcPr>
          <w:p>
            <w:pPr>
              <w:ind w:left="100"/>
              <w:spacing w:after="0"/>
              <w:rPr>
                <w:sz w:val="20"/>
                <w:szCs w:val="20"/>
                <w:color w:val="auto"/>
              </w:rPr>
            </w:pPr>
            <w:r>
              <w:rPr>
                <w:rFonts w:ascii="Arial" w:cs="Arial" w:eastAsia="Arial" w:hAnsi="Arial"/>
                <w:sz w:val="14"/>
                <w:szCs w:val="14"/>
                <w:color w:val="auto"/>
              </w:rPr>
              <w:t>Total</w:t>
            </w:r>
          </w:p>
        </w:tc>
        <w:tc>
          <w:tcPr>
            <w:tcW w:w="100" w:type="dxa"/>
            <w:vAlign w:val="bottom"/>
            <w:tcBorders>
              <w:bottom w:val="single" w:sz="8" w:color="CCEEFF"/>
            </w:tcBorders>
          </w:tcPr>
          <w:p>
            <w:pPr>
              <w:spacing w:after="0"/>
              <w:rPr>
                <w:sz w:val="17"/>
                <w:szCs w:val="17"/>
                <w:color w:val="auto"/>
              </w:rPr>
            </w:pPr>
          </w:p>
        </w:tc>
        <w:tc>
          <w:tcPr>
            <w:tcW w:w="19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10,945,024</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11,300,873</w:t>
            </w:r>
          </w:p>
        </w:tc>
        <w:tc>
          <w:tcPr>
            <w:tcW w:w="12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00" w:type="dxa"/>
            <w:vAlign w:val="bottom"/>
            <w:gridSpan w:val="7"/>
            <w:shd w:val="clear" w:color="auto" w:fill="CCEEFF"/>
          </w:tcPr>
          <w:p>
            <w:pPr>
              <w:spacing w:after="0" w:line="148" w:lineRule="exact"/>
              <w:rPr>
                <w:sz w:val="20"/>
                <w:szCs w:val="20"/>
                <w:color w:val="auto"/>
              </w:rPr>
            </w:pPr>
            <w:r>
              <w:rPr>
                <w:rFonts w:ascii="Arial" w:cs="Arial" w:eastAsia="Arial" w:hAnsi="Arial"/>
                <w:sz w:val="14"/>
                <w:szCs w:val="14"/>
                <w:b w:val="1"/>
                <w:bCs w:val="1"/>
                <w:color w:val="auto"/>
              </w:rPr>
              <w:t>StormWind, LLC</w:t>
            </w:r>
            <w:r>
              <w:rPr>
                <w:rFonts w:ascii="Arial" w:cs="Arial" w:eastAsia="Arial" w:hAnsi="Arial"/>
                <w:sz w:val="9"/>
                <w:szCs w:val="9"/>
                <w:color w:val="auto"/>
              </w:rPr>
              <w:t>(5)</w:t>
            </w:r>
          </w:p>
        </w:tc>
        <w:tc>
          <w:tcPr>
            <w:tcW w:w="10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jc w:val="center"/>
              <w:ind w:right="120"/>
              <w:spacing w:after="0" w:line="148" w:lineRule="exact"/>
              <w:rPr>
                <w:sz w:val="20"/>
                <w:szCs w:val="20"/>
                <w:color w:val="auto"/>
              </w:rPr>
            </w:pPr>
            <w:r>
              <w:rPr>
                <w:rFonts w:ascii="Arial" w:cs="Arial" w:eastAsia="Arial" w:hAnsi="Arial"/>
                <w:sz w:val="14"/>
                <w:szCs w:val="14"/>
                <w:color w:val="auto"/>
                <w:w w:val="92"/>
              </w:rPr>
              <w:t>Scottsdale, AZ</w:t>
            </w: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9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00" w:type="dxa"/>
            <w:vAlign w:val="bottom"/>
            <w:gridSpan w:val="7"/>
          </w:tcPr>
          <w:p>
            <w:pPr>
              <w:spacing w:after="0"/>
              <w:rPr>
                <w:sz w:val="20"/>
                <w:szCs w:val="20"/>
                <w:color w:val="auto"/>
              </w:rPr>
            </w:pPr>
            <w:r>
              <w:rPr>
                <w:rFonts w:ascii="Arial" w:cs="Arial" w:eastAsia="Arial" w:hAnsi="Arial"/>
                <w:sz w:val="14"/>
                <w:szCs w:val="14"/>
                <w:color w:val="auto"/>
              </w:rPr>
              <w:t>Preferred shares, Series D 8%</w:t>
            </w:r>
          </w:p>
        </w:tc>
        <w:tc>
          <w:tcPr>
            <w:tcW w:w="100" w:type="dxa"/>
            <w:vAlign w:val="bottom"/>
          </w:tcPr>
          <w:p>
            <w:pPr>
              <w:spacing w:after="0"/>
              <w:rPr>
                <w:sz w:val="17"/>
                <w:szCs w:val="17"/>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Interactive Learning</w:t>
            </w:r>
          </w:p>
        </w:tc>
        <w:tc>
          <w:tcPr>
            <w:tcW w:w="960" w:type="dxa"/>
            <w:vAlign w:val="bottom"/>
          </w:tcPr>
          <w:p>
            <w:pPr>
              <w:jc w:val="center"/>
              <w:spacing w:after="0"/>
              <w:rPr>
                <w:sz w:val="20"/>
                <w:szCs w:val="20"/>
                <w:color w:val="auto"/>
              </w:rPr>
            </w:pPr>
            <w:r>
              <w:rPr>
                <w:rFonts w:ascii="Arial" w:cs="Arial" w:eastAsia="Arial" w:hAnsi="Arial"/>
                <w:sz w:val="14"/>
                <w:szCs w:val="14"/>
                <w:color w:val="auto"/>
                <w:w w:val="94"/>
              </w:rPr>
              <w:t>11/26/2019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329,337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257,267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456,355</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0.24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360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Preferred shares, Series C 8%</w:t>
            </w: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1/7/2014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2,779,134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4,000,787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4,952,680</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3600" w:type="dxa"/>
            <w:vAlign w:val="bottom"/>
            <w:gridSpan w:val="7"/>
          </w:tcPr>
          <w:p>
            <w:pPr>
              <w:spacing w:after="0"/>
              <w:rPr>
                <w:sz w:val="20"/>
                <w:szCs w:val="20"/>
                <w:color w:val="auto"/>
              </w:rPr>
            </w:pPr>
            <w:r>
              <w:rPr>
                <w:rFonts w:ascii="Arial" w:cs="Arial" w:eastAsia="Arial" w:hAnsi="Arial"/>
                <w:sz w:val="14"/>
                <w:szCs w:val="14"/>
                <w:color w:val="auto"/>
              </w:rPr>
              <w:t>Preferred shares, Series B 8%</w:t>
            </w:r>
          </w:p>
        </w:tc>
        <w:tc>
          <w:tcPr>
            <w:tcW w:w="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4"/>
              </w:rPr>
              <w:t>12/16/2011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3,279,629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2,019,687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2,783,101</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60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Preferred shares, Series A 8%</w:t>
            </w:r>
          </w:p>
        </w:tc>
        <w:tc>
          <w:tcPr>
            <w:tcW w:w="1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2/25/2014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366,666</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110,000</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105,883</w:t>
            </w:r>
          </w:p>
        </w:tc>
        <w:tc>
          <w:tcPr>
            <w:tcW w:w="12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600" w:type="dxa"/>
            <w:vAlign w:val="bottom"/>
            <w:tcBorders>
              <w:bottom w:val="single" w:sz="8" w:color="CCEEFF"/>
            </w:tcBorders>
            <w:gridSpan w:val="7"/>
          </w:tcPr>
          <w:p>
            <w:pPr>
              <w:ind w:left="100"/>
              <w:spacing w:after="0"/>
              <w:rPr>
                <w:sz w:val="20"/>
                <w:szCs w:val="20"/>
                <w:color w:val="auto"/>
              </w:rPr>
            </w:pPr>
            <w:r>
              <w:rPr>
                <w:rFonts w:ascii="Arial" w:cs="Arial" w:eastAsia="Arial" w:hAnsi="Arial"/>
                <w:sz w:val="14"/>
                <w:szCs w:val="14"/>
                <w:color w:val="auto"/>
              </w:rPr>
              <w:t>Total</w:t>
            </w:r>
          </w:p>
        </w:tc>
        <w:tc>
          <w:tcPr>
            <w:tcW w:w="100" w:type="dxa"/>
            <w:vAlign w:val="bottom"/>
            <w:tcBorders>
              <w:bottom w:val="single" w:sz="8" w:color="CCEEFF"/>
            </w:tcBorders>
          </w:tcPr>
          <w:p>
            <w:pPr>
              <w:spacing w:after="0"/>
              <w:rPr>
                <w:sz w:val="17"/>
                <w:szCs w:val="17"/>
                <w:color w:val="auto"/>
              </w:rPr>
            </w:pPr>
          </w:p>
        </w:tc>
        <w:tc>
          <w:tcPr>
            <w:tcW w:w="19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6,387,741</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8,298,019</w:t>
            </w:r>
          </w:p>
        </w:tc>
        <w:tc>
          <w:tcPr>
            <w:tcW w:w="12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020" w:type="dxa"/>
            <w:vAlign w:val="bottom"/>
            <w:tcBorders>
              <w:bottom w:val="single" w:sz="8" w:color="auto"/>
            </w:tcBorders>
            <w:gridSpan w:val="5"/>
            <w:shd w:val="clear" w:color="auto" w:fill="CCEEFF"/>
          </w:tcPr>
          <w:p>
            <w:pPr>
              <w:spacing w:after="0"/>
              <w:rPr>
                <w:sz w:val="20"/>
                <w:szCs w:val="20"/>
                <w:color w:val="auto"/>
              </w:rPr>
            </w:pPr>
            <w:r>
              <w:rPr>
                <w:rFonts w:ascii="Arial" w:cs="Arial" w:eastAsia="Arial" w:hAnsi="Arial"/>
                <w:sz w:val="14"/>
                <w:szCs w:val="14"/>
                <w:b w:val="1"/>
                <w:bCs w:val="1"/>
                <w:color w:val="auto"/>
                <w:w w:val="92"/>
              </w:rPr>
              <w:t>GreenAcreage Real Estate Corp.</w:t>
            </w:r>
          </w:p>
        </w:tc>
        <w:tc>
          <w:tcPr>
            <w:tcW w:w="1580" w:type="dxa"/>
            <w:vAlign w:val="bottom"/>
            <w:tcBorders>
              <w:bottom w:val="single" w:sz="8" w:color="CCEEFF"/>
            </w:tcBorders>
            <w:gridSpan w:val="2"/>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New York, NY</w:t>
            </w:r>
          </w:p>
        </w:tc>
        <w:tc>
          <w:tcPr>
            <w:tcW w:w="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600" w:type="dxa"/>
            <w:vAlign w:val="bottom"/>
            <w:gridSpan w:val="7"/>
          </w:tcPr>
          <w:p>
            <w:pPr>
              <w:spacing w:after="0"/>
              <w:rPr>
                <w:sz w:val="20"/>
                <w:szCs w:val="20"/>
                <w:color w:val="auto"/>
              </w:rPr>
            </w:pPr>
            <w:r>
              <w:rPr>
                <w:rFonts w:ascii="Arial" w:cs="Arial" w:eastAsia="Arial" w:hAnsi="Arial"/>
                <w:sz w:val="14"/>
                <w:szCs w:val="14"/>
                <w:color w:val="auto"/>
              </w:rPr>
              <w:t>Common shares***</w:t>
            </w:r>
            <w:r>
              <w:rPr>
                <w:rFonts w:ascii="Arial" w:cs="Arial" w:eastAsia="Arial" w:hAnsi="Arial"/>
                <w:sz w:val="9"/>
                <w:szCs w:val="9"/>
                <w:color w:val="auto"/>
              </w:rPr>
              <w:t>(9)</w:t>
            </w:r>
          </w:p>
        </w:tc>
        <w:tc>
          <w:tcPr>
            <w:tcW w:w="100" w:type="dxa"/>
            <w:vAlign w:val="bottom"/>
          </w:tcPr>
          <w:p>
            <w:pPr>
              <w:spacing w:after="0"/>
              <w:rPr>
                <w:sz w:val="17"/>
                <w:szCs w:val="17"/>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Cannabis REIT</w:t>
            </w:r>
          </w:p>
        </w:tc>
        <w:tc>
          <w:tcPr>
            <w:tcW w:w="960" w:type="dxa"/>
            <w:vAlign w:val="bottom"/>
          </w:tcPr>
          <w:p>
            <w:pPr>
              <w:jc w:val="center"/>
              <w:spacing w:after="0"/>
              <w:rPr>
                <w:sz w:val="20"/>
                <w:szCs w:val="20"/>
                <w:color w:val="auto"/>
              </w:rPr>
            </w:pPr>
            <w:r>
              <w:rPr>
                <w:rFonts w:ascii="Arial" w:cs="Arial" w:eastAsia="Arial" w:hAnsi="Arial"/>
                <w:sz w:val="14"/>
                <w:szCs w:val="14"/>
                <w:color w:val="auto"/>
                <w:w w:val="93"/>
              </w:rPr>
              <w:t>8/12/2019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375,000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7,501,530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6,750,000</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3.50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3600" w:type="dxa"/>
            <w:vAlign w:val="bottom"/>
            <w:gridSpan w:val="7"/>
            <w:shd w:val="clear" w:color="auto" w:fill="CCEEFF"/>
          </w:tcPr>
          <w:p>
            <w:pPr>
              <w:spacing w:after="0"/>
              <w:rPr>
                <w:sz w:val="20"/>
                <w:szCs w:val="20"/>
                <w:color w:val="auto"/>
              </w:rPr>
            </w:pPr>
            <w:r>
              <w:rPr>
                <w:rFonts w:ascii="Arial" w:cs="Arial" w:eastAsia="Arial" w:hAnsi="Arial"/>
                <w:sz w:val="14"/>
                <w:szCs w:val="14"/>
                <w:b w:val="1"/>
                <w:bCs w:val="1"/>
                <w:color w:val="auto"/>
              </w:rPr>
              <w:t>NestGSV, Inc. (d/b/a GSV Labs, Inc.)</w:t>
            </w:r>
          </w:p>
        </w:tc>
        <w:tc>
          <w:tcPr>
            <w:tcW w:w="100" w:type="dxa"/>
            <w:vAlign w:val="bottom"/>
            <w:shd w:val="clear" w:color="auto" w:fill="CCEEFF"/>
          </w:tcPr>
          <w:p>
            <w:pPr>
              <w:spacing w:after="0"/>
              <w:rPr>
                <w:sz w:val="14"/>
                <w:szCs w:val="14"/>
                <w:color w:val="auto"/>
              </w:rPr>
            </w:pPr>
          </w:p>
        </w:tc>
        <w:tc>
          <w:tcPr>
            <w:tcW w:w="20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San Mateo, CA</w:t>
            </w: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9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00" w:type="dxa"/>
            <w:vAlign w:val="bottom"/>
            <w:gridSpan w:val="7"/>
          </w:tcPr>
          <w:p>
            <w:pPr>
              <w:spacing w:after="0"/>
              <w:rPr>
                <w:sz w:val="20"/>
                <w:szCs w:val="20"/>
                <w:color w:val="auto"/>
              </w:rPr>
            </w:pPr>
            <w:r>
              <w:rPr>
                <w:rFonts w:ascii="Arial" w:cs="Arial" w:eastAsia="Arial" w:hAnsi="Arial"/>
                <w:sz w:val="14"/>
                <w:szCs w:val="14"/>
                <w:color w:val="auto"/>
              </w:rPr>
              <w:t>Derivative Security, Expiration Date 8/23/2024</w:t>
            </w:r>
            <w:r>
              <w:rPr>
                <w:rFonts w:ascii="Arial" w:cs="Arial" w:eastAsia="Arial" w:hAnsi="Arial"/>
                <w:sz w:val="9"/>
                <w:szCs w:val="9"/>
                <w:color w:val="auto"/>
              </w:rPr>
              <w:t>(7)</w:t>
            </w:r>
          </w:p>
        </w:tc>
        <w:tc>
          <w:tcPr>
            <w:tcW w:w="100" w:type="dxa"/>
            <w:vAlign w:val="bottom"/>
          </w:tcPr>
          <w:p>
            <w:pPr>
              <w:spacing w:after="0"/>
              <w:rPr>
                <w:sz w:val="17"/>
                <w:szCs w:val="17"/>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Global Innovation Platform</w:t>
            </w:r>
          </w:p>
        </w:tc>
        <w:tc>
          <w:tcPr>
            <w:tcW w:w="960" w:type="dxa"/>
            <w:vAlign w:val="bottom"/>
          </w:tcPr>
          <w:p>
            <w:pPr>
              <w:jc w:val="center"/>
              <w:spacing w:after="0"/>
              <w:rPr>
                <w:sz w:val="20"/>
                <w:szCs w:val="20"/>
                <w:color w:val="auto"/>
              </w:rPr>
            </w:pPr>
            <w:r>
              <w:rPr>
                <w:rFonts w:ascii="Arial" w:cs="Arial" w:eastAsia="Arial" w:hAnsi="Arial"/>
                <w:sz w:val="14"/>
                <w:szCs w:val="14"/>
                <w:color w:val="auto"/>
                <w:w w:val="93"/>
              </w:rPr>
              <w:t>8/23/2019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8,555,124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2,053,431</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360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Convertible Promissory Note 8% Due 8/23/2024</w:t>
            </w:r>
            <w:r>
              <w:rPr>
                <w:rFonts w:ascii="Arial" w:cs="Arial" w:eastAsia="Arial" w:hAnsi="Arial"/>
                <w:sz w:val="9"/>
                <w:szCs w:val="9"/>
                <w:color w:val="auto"/>
              </w:rPr>
              <w:t>(4)(7)</w:t>
            </w: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2/17/2016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1,010,198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1,030,176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505,099</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0.26</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600" w:type="dxa"/>
            <w:vAlign w:val="bottom"/>
            <w:gridSpan w:val="7"/>
          </w:tcPr>
          <w:p>
            <w:pPr>
              <w:spacing w:after="0" w:line="157" w:lineRule="exact"/>
              <w:rPr>
                <w:sz w:val="20"/>
                <w:szCs w:val="20"/>
                <w:color w:val="auto"/>
              </w:rPr>
            </w:pPr>
            <w:r>
              <w:rPr>
                <w:rFonts w:ascii="Arial" w:cs="Arial" w:eastAsia="Arial" w:hAnsi="Arial"/>
                <w:sz w:val="14"/>
                <w:szCs w:val="14"/>
                <w:color w:val="auto"/>
                <w:w w:val="95"/>
              </w:rPr>
              <w:t>Preferred Warrants Series A-3, Strike Price $1.33, Expiration</w:t>
            </w:r>
          </w:p>
        </w:tc>
        <w:tc>
          <w:tcPr>
            <w:tcW w:w="1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600" w:type="dxa"/>
            <w:vAlign w:val="bottom"/>
            <w:gridSpan w:val="7"/>
          </w:tcPr>
          <w:p>
            <w:pPr>
              <w:spacing w:after="0"/>
              <w:rPr>
                <w:sz w:val="20"/>
                <w:szCs w:val="20"/>
                <w:color w:val="auto"/>
              </w:rPr>
            </w:pPr>
            <w:r>
              <w:rPr>
                <w:rFonts w:ascii="Arial" w:cs="Arial" w:eastAsia="Arial" w:hAnsi="Arial"/>
                <w:sz w:val="14"/>
                <w:szCs w:val="14"/>
                <w:color w:val="auto"/>
              </w:rPr>
              <w:t>Date 4/4/2021</w:t>
            </w:r>
          </w:p>
        </w:tc>
        <w:tc>
          <w:tcPr>
            <w:tcW w:w="1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1"/>
              </w:rPr>
              <w:t>4/4/2014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187,500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12,188</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0.01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3600" w:type="dxa"/>
            <w:vAlign w:val="bottom"/>
            <w:gridSpan w:val="7"/>
            <w:shd w:val="clear" w:color="auto" w:fill="CCEEFF"/>
          </w:tcPr>
          <w:p>
            <w:pPr>
              <w:spacing w:after="0"/>
              <w:rPr>
                <w:sz w:val="20"/>
                <w:szCs w:val="20"/>
                <w:color w:val="auto"/>
              </w:rPr>
            </w:pPr>
            <w:r>
              <w:rPr>
                <w:rFonts w:ascii="Arial" w:cs="Arial" w:eastAsia="Arial" w:hAnsi="Arial"/>
                <w:sz w:val="14"/>
                <w:szCs w:val="14"/>
                <w:color w:val="auto"/>
                <w:w w:val="95"/>
              </w:rPr>
              <w:t>Preferred Warrants Series A-4, Strike Price $1.33, Expiration</w:t>
            </w:r>
          </w:p>
        </w:tc>
        <w:tc>
          <w:tcPr>
            <w:tcW w:w="10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60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Date 10/6/2021</w:t>
            </w:r>
          </w:p>
        </w:tc>
        <w:tc>
          <w:tcPr>
            <w:tcW w:w="10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10/6/2014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500,000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70,000</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600" w:type="dxa"/>
            <w:vAlign w:val="bottom"/>
            <w:gridSpan w:val="7"/>
          </w:tcPr>
          <w:p>
            <w:pPr>
              <w:spacing w:after="0" w:line="157" w:lineRule="exact"/>
              <w:rPr>
                <w:sz w:val="20"/>
                <w:szCs w:val="20"/>
                <w:color w:val="auto"/>
              </w:rPr>
            </w:pPr>
            <w:r>
              <w:rPr>
                <w:rFonts w:ascii="Arial" w:cs="Arial" w:eastAsia="Arial" w:hAnsi="Arial"/>
                <w:sz w:val="14"/>
                <w:szCs w:val="14"/>
                <w:color w:val="auto"/>
                <w:w w:val="95"/>
              </w:rPr>
              <w:t>Preferred Warrants Series A-4, Strike Price $1.33, Expiration</w:t>
            </w:r>
          </w:p>
        </w:tc>
        <w:tc>
          <w:tcPr>
            <w:tcW w:w="1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600" w:type="dxa"/>
            <w:vAlign w:val="bottom"/>
            <w:gridSpan w:val="7"/>
          </w:tcPr>
          <w:p>
            <w:pPr>
              <w:spacing w:after="0"/>
              <w:rPr>
                <w:sz w:val="20"/>
                <w:szCs w:val="20"/>
                <w:color w:val="auto"/>
              </w:rPr>
            </w:pPr>
            <w:r>
              <w:rPr>
                <w:rFonts w:ascii="Arial" w:cs="Arial" w:eastAsia="Arial" w:hAnsi="Arial"/>
                <w:sz w:val="14"/>
                <w:szCs w:val="14"/>
                <w:color w:val="auto"/>
              </w:rPr>
              <w:t>Date 7/18/2021</w:t>
            </w:r>
          </w:p>
        </w:tc>
        <w:tc>
          <w:tcPr>
            <w:tcW w:w="1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1"/>
              </w:rPr>
              <w:t>7/8/2016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250,000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74,380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37,500</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0.02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3600" w:type="dxa"/>
            <w:vAlign w:val="bottom"/>
            <w:gridSpan w:val="7"/>
            <w:shd w:val="clear" w:color="auto" w:fill="CCEEFF"/>
          </w:tcPr>
          <w:p>
            <w:pPr>
              <w:spacing w:after="0"/>
              <w:rPr>
                <w:sz w:val="20"/>
                <w:szCs w:val="20"/>
                <w:color w:val="auto"/>
              </w:rPr>
            </w:pPr>
            <w:r>
              <w:rPr>
                <w:rFonts w:ascii="Arial" w:cs="Arial" w:eastAsia="Arial" w:hAnsi="Arial"/>
                <w:sz w:val="14"/>
                <w:szCs w:val="14"/>
                <w:color w:val="auto"/>
                <w:w w:val="98"/>
              </w:rPr>
              <w:t>Preferred Warrants Series B, Strike Price $2.31, Expiration</w:t>
            </w:r>
          </w:p>
        </w:tc>
        <w:tc>
          <w:tcPr>
            <w:tcW w:w="10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60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Date 11/29/2021</w:t>
            </w:r>
          </w:p>
        </w:tc>
        <w:tc>
          <w:tcPr>
            <w:tcW w:w="10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11/29/2016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100,000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29,275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57"/>
        </w:trPr>
        <w:tc>
          <w:tcPr>
            <w:tcW w:w="3600" w:type="dxa"/>
            <w:vAlign w:val="bottom"/>
            <w:gridSpan w:val="7"/>
          </w:tcPr>
          <w:p>
            <w:pPr>
              <w:spacing w:after="0" w:line="157" w:lineRule="exact"/>
              <w:rPr>
                <w:sz w:val="20"/>
                <w:szCs w:val="20"/>
                <w:color w:val="auto"/>
              </w:rPr>
            </w:pPr>
            <w:r>
              <w:rPr>
                <w:rFonts w:ascii="Arial" w:cs="Arial" w:eastAsia="Arial" w:hAnsi="Arial"/>
                <w:sz w:val="14"/>
                <w:szCs w:val="14"/>
                <w:color w:val="auto"/>
              </w:rPr>
              <w:t>Preferred Warrant Series B, Strike Price $2.31, Expiration</w:t>
            </w:r>
          </w:p>
        </w:tc>
        <w:tc>
          <w:tcPr>
            <w:tcW w:w="1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600" w:type="dxa"/>
            <w:vAlign w:val="bottom"/>
            <w:gridSpan w:val="7"/>
          </w:tcPr>
          <w:p>
            <w:pPr>
              <w:spacing w:after="0"/>
              <w:rPr>
                <w:sz w:val="20"/>
                <w:szCs w:val="20"/>
                <w:color w:val="auto"/>
              </w:rPr>
            </w:pPr>
            <w:r>
              <w:rPr>
                <w:rFonts w:ascii="Arial" w:cs="Arial" w:eastAsia="Arial" w:hAnsi="Arial"/>
                <w:sz w:val="14"/>
                <w:szCs w:val="14"/>
                <w:color w:val="auto"/>
              </w:rPr>
              <w:t>Date 5/29/2022</w:t>
            </w:r>
          </w:p>
        </w:tc>
        <w:tc>
          <w:tcPr>
            <w:tcW w:w="1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3"/>
              </w:rPr>
              <w:t>5/29/2017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125,000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70,379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63"/>
        </w:trPr>
        <w:tc>
          <w:tcPr>
            <w:tcW w:w="360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Preferred Warrant Series B, Strike Price $2.31, Expiration</w:t>
            </w:r>
          </w:p>
        </w:tc>
        <w:tc>
          <w:tcPr>
            <w:tcW w:w="10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60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Date 12/31/2023</w:t>
            </w:r>
          </w:p>
        </w:tc>
        <w:tc>
          <w:tcPr>
            <w:tcW w:w="10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12/31/2018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250,000</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5,080</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6,125</w:t>
            </w:r>
          </w:p>
        </w:tc>
        <w:tc>
          <w:tcPr>
            <w:tcW w:w="12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600" w:type="dxa"/>
            <w:vAlign w:val="bottom"/>
            <w:tcBorders>
              <w:bottom w:val="single" w:sz="8" w:color="CCEEFF"/>
            </w:tcBorders>
            <w:gridSpan w:val="7"/>
          </w:tcPr>
          <w:p>
            <w:pPr>
              <w:ind w:left="100"/>
              <w:spacing w:after="0"/>
              <w:rPr>
                <w:sz w:val="20"/>
                <w:szCs w:val="20"/>
                <w:color w:val="auto"/>
              </w:rPr>
            </w:pPr>
            <w:r>
              <w:rPr>
                <w:rFonts w:ascii="Arial" w:cs="Arial" w:eastAsia="Arial" w:hAnsi="Arial"/>
                <w:sz w:val="14"/>
                <w:szCs w:val="14"/>
                <w:color w:val="auto"/>
              </w:rPr>
              <w:t>Total</w:t>
            </w:r>
          </w:p>
        </w:tc>
        <w:tc>
          <w:tcPr>
            <w:tcW w:w="100" w:type="dxa"/>
            <w:vAlign w:val="bottom"/>
            <w:tcBorders>
              <w:bottom w:val="single" w:sz="8" w:color="CCEEFF"/>
            </w:tcBorders>
          </w:tcPr>
          <w:p>
            <w:pPr>
              <w:spacing w:after="0"/>
              <w:rPr>
                <w:sz w:val="17"/>
                <w:szCs w:val="17"/>
                <w:color w:val="auto"/>
              </w:rPr>
            </w:pPr>
          </w:p>
        </w:tc>
        <w:tc>
          <w:tcPr>
            <w:tcW w:w="19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9,764,414</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2,684,343</w:t>
            </w:r>
          </w:p>
        </w:tc>
        <w:tc>
          <w:tcPr>
            <w:tcW w:w="12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00" w:type="dxa"/>
            <w:vAlign w:val="bottom"/>
            <w:gridSpan w:val="7"/>
            <w:shd w:val="clear" w:color="auto" w:fill="CCEEFF"/>
          </w:tcPr>
          <w:p>
            <w:pPr>
              <w:spacing w:after="0" w:line="148" w:lineRule="exact"/>
              <w:rPr>
                <w:sz w:val="20"/>
                <w:szCs w:val="20"/>
                <w:color w:val="auto"/>
              </w:rPr>
            </w:pPr>
            <w:r>
              <w:rPr>
                <w:rFonts w:ascii="Arial" w:cs="Arial" w:eastAsia="Arial" w:hAnsi="Arial"/>
                <w:sz w:val="14"/>
                <w:szCs w:val="14"/>
                <w:b w:val="1"/>
                <w:bCs w:val="1"/>
                <w:color w:val="auto"/>
              </w:rPr>
              <w:t>CUX, Inc. (d/b/a CorpU)</w:t>
            </w:r>
          </w:p>
        </w:tc>
        <w:tc>
          <w:tcPr>
            <w:tcW w:w="10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jc w:val="center"/>
              <w:ind w:right="120"/>
              <w:spacing w:after="0" w:line="148" w:lineRule="exact"/>
              <w:rPr>
                <w:sz w:val="20"/>
                <w:szCs w:val="20"/>
                <w:color w:val="auto"/>
              </w:rPr>
            </w:pPr>
            <w:r>
              <w:rPr>
                <w:rFonts w:ascii="Arial" w:cs="Arial" w:eastAsia="Arial" w:hAnsi="Arial"/>
                <w:sz w:val="14"/>
                <w:szCs w:val="14"/>
                <w:color w:val="auto"/>
                <w:w w:val="93"/>
              </w:rPr>
              <w:t>Philadelphia, PA</w:t>
            </w: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600" w:type="dxa"/>
            <w:vAlign w:val="bottom"/>
            <w:gridSpan w:val="7"/>
          </w:tcPr>
          <w:p>
            <w:pPr>
              <w:spacing w:after="0" w:line="135" w:lineRule="exact"/>
              <w:rPr>
                <w:sz w:val="20"/>
                <w:szCs w:val="20"/>
                <w:color w:val="auto"/>
              </w:rPr>
            </w:pPr>
            <w:r>
              <w:rPr>
                <w:rFonts w:ascii="Arial" w:cs="Arial" w:eastAsia="Arial" w:hAnsi="Arial"/>
                <w:sz w:val="14"/>
                <w:szCs w:val="14"/>
                <w:color w:val="auto"/>
                <w:w w:val="98"/>
              </w:rPr>
              <w:t>Senior Subordinated Convertible Promissory Note 4% Due</w:t>
            </w:r>
          </w:p>
        </w:tc>
        <w:tc>
          <w:tcPr>
            <w:tcW w:w="100" w:type="dxa"/>
            <w:vAlign w:val="bottom"/>
          </w:tcPr>
          <w:p>
            <w:pPr>
              <w:spacing w:after="0"/>
              <w:rPr>
                <w:sz w:val="11"/>
                <w:szCs w:val="11"/>
                <w:color w:val="auto"/>
              </w:rPr>
            </w:pPr>
          </w:p>
        </w:tc>
        <w:tc>
          <w:tcPr>
            <w:tcW w:w="208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3"/>
              </w:rPr>
              <w:t>Corporate Education</w:t>
            </w: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w w:val="94"/>
              </w:rPr>
              <w:t>11/26/2014</w:t>
            </w:r>
          </w:p>
        </w:tc>
        <w:tc>
          <w:tcPr>
            <w:tcW w:w="1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vMerge w:val="restart"/>
          </w:tcPr>
          <w:p>
            <w:pPr>
              <w:jc w:val="right"/>
              <w:ind w:right="68"/>
              <w:spacing w:after="0"/>
              <w:rPr>
                <w:sz w:val="20"/>
                <w:szCs w:val="20"/>
                <w:color w:val="auto"/>
              </w:rPr>
            </w:pPr>
            <w:r>
              <w:rPr>
                <w:rFonts w:ascii="Arial" w:cs="Arial" w:eastAsia="Arial" w:hAnsi="Arial"/>
                <w:sz w:val="14"/>
                <w:szCs w:val="14"/>
                <w:color w:val="auto"/>
              </w:rPr>
              <w:t>1,251,158</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vMerge w:val="restart"/>
          </w:tcPr>
          <w:p>
            <w:pPr>
              <w:jc w:val="right"/>
              <w:ind w:right="68"/>
              <w:spacing w:after="0"/>
              <w:rPr>
                <w:sz w:val="20"/>
                <w:szCs w:val="20"/>
                <w:color w:val="auto"/>
              </w:rPr>
            </w:pPr>
            <w:r>
              <w:rPr>
                <w:rFonts w:ascii="Arial" w:cs="Arial" w:eastAsia="Arial" w:hAnsi="Arial"/>
                <w:sz w:val="14"/>
                <w:szCs w:val="14"/>
                <w:color w:val="auto"/>
              </w:rPr>
              <w:t>1,256,191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vMerge w:val="restart"/>
          </w:tcPr>
          <w:p>
            <w:pPr>
              <w:jc w:val="right"/>
              <w:ind w:right="68"/>
              <w:spacing w:after="0"/>
              <w:rPr>
                <w:sz w:val="20"/>
                <w:szCs w:val="20"/>
                <w:color w:val="auto"/>
              </w:rPr>
            </w:pPr>
            <w:r>
              <w:rPr>
                <w:rFonts w:ascii="Arial" w:cs="Arial" w:eastAsia="Arial" w:hAnsi="Arial"/>
                <w:sz w:val="14"/>
                <w:szCs w:val="14"/>
                <w:color w:val="auto"/>
              </w:rPr>
              <w:t>312,789</w:t>
            </w: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0.16</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980" w:type="dxa"/>
            <w:vAlign w:val="bottom"/>
          </w:tcPr>
          <w:p>
            <w:pPr>
              <w:spacing w:after="0"/>
              <w:rPr>
                <w:sz w:val="20"/>
                <w:szCs w:val="20"/>
                <w:color w:val="auto"/>
              </w:rPr>
            </w:pPr>
            <w:r>
              <w:rPr>
                <w:rFonts w:ascii="Arial" w:cs="Arial" w:eastAsia="Arial" w:hAnsi="Arial"/>
                <w:sz w:val="14"/>
                <w:szCs w:val="14"/>
                <w:color w:val="auto"/>
              </w:rPr>
              <w:t>2/14/2023</w:t>
            </w:r>
            <w:r>
              <w:rPr>
                <w:rFonts w:ascii="Arial" w:cs="Arial" w:eastAsia="Arial" w:hAnsi="Arial"/>
                <w:sz w:val="9"/>
                <w:szCs w:val="9"/>
                <w:color w:val="auto"/>
              </w:rPr>
              <w:t>(4)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60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Convertible preferred shares, Series D 6%</w:t>
            </w:r>
          </w:p>
        </w:tc>
        <w:tc>
          <w:tcPr>
            <w:tcW w:w="1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5/31/2013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169,033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778,607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92,674</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3600" w:type="dxa"/>
            <w:vAlign w:val="bottom"/>
            <w:gridSpan w:val="7"/>
          </w:tcPr>
          <w:p>
            <w:pPr>
              <w:spacing w:after="0"/>
              <w:rPr>
                <w:sz w:val="20"/>
                <w:szCs w:val="20"/>
                <w:color w:val="auto"/>
              </w:rPr>
            </w:pPr>
            <w:r>
              <w:rPr>
                <w:rFonts w:ascii="Arial" w:cs="Arial" w:eastAsia="Arial" w:hAnsi="Arial"/>
                <w:sz w:val="14"/>
                <w:szCs w:val="14"/>
                <w:color w:val="auto"/>
              </w:rPr>
              <w:t>Convertible preferred shares, Series C 8%</w:t>
            </w:r>
          </w:p>
        </w:tc>
        <w:tc>
          <w:tcPr>
            <w:tcW w:w="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3"/>
              </w:rPr>
              <w:t>3/29/2012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615,763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2,006,077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3600" w:type="dxa"/>
            <w:vAlign w:val="bottom"/>
            <w:tcBorders>
              <w:top w:val="single" w:sz="8" w:color="CCEEFF"/>
            </w:tcBorders>
            <w:gridSpan w:val="7"/>
            <w:shd w:val="clear" w:color="auto" w:fill="CCEEFF"/>
          </w:tcPr>
          <w:p>
            <w:pPr>
              <w:ind w:left="10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CCEEFF"/>
            </w:tcBorders>
            <w:shd w:val="clear" w:color="auto" w:fill="CCEEFF"/>
          </w:tcPr>
          <w:p>
            <w:pPr>
              <w:spacing w:after="0"/>
              <w:rPr>
                <w:sz w:val="17"/>
                <w:szCs w:val="17"/>
                <w:color w:val="auto"/>
              </w:rPr>
            </w:pPr>
          </w:p>
        </w:tc>
        <w:tc>
          <w:tcPr>
            <w:tcW w:w="19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4,040,875</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405,463</w:t>
            </w: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0.21</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3600" w:type="dxa"/>
            <w:vAlign w:val="bottom"/>
            <w:gridSpan w:val="7"/>
          </w:tcPr>
          <w:p>
            <w:pPr>
              <w:spacing w:after="0" w:line="142" w:lineRule="exact"/>
              <w:rPr>
                <w:sz w:val="20"/>
                <w:szCs w:val="20"/>
                <w:color w:val="auto"/>
              </w:rPr>
            </w:pPr>
            <w:r>
              <w:rPr>
                <w:rFonts w:ascii="Arial" w:cs="Arial" w:eastAsia="Arial" w:hAnsi="Arial"/>
                <w:sz w:val="14"/>
                <w:szCs w:val="14"/>
                <w:b w:val="1"/>
                <w:bCs w:val="1"/>
                <w:color w:val="auto"/>
              </w:rPr>
              <w:t>Maven Research, Inc.</w:t>
            </w:r>
          </w:p>
        </w:tc>
        <w:tc>
          <w:tcPr>
            <w:tcW w:w="100" w:type="dxa"/>
            <w:vAlign w:val="bottom"/>
          </w:tcPr>
          <w:p>
            <w:pPr>
              <w:spacing w:after="0"/>
              <w:rPr>
                <w:sz w:val="12"/>
                <w:szCs w:val="12"/>
                <w:color w:val="auto"/>
              </w:rPr>
            </w:pPr>
          </w:p>
        </w:tc>
        <w:tc>
          <w:tcPr>
            <w:tcW w:w="2080" w:type="dxa"/>
            <w:vAlign w:val="bottom"/>
            <w:gridSpan w:val="2"/>
          </w:tcPr>
          <w:p>
            <w:pPr>
              <w:jc w:val="center"/>
              <w:ind w:right="120"/>
              <w:spacing w:after="0" w:line="142" w:lineRule="exact"/>
              <w:rPr>
                <w:sz w:val="20"/>
                <w:szCs w:val="20"/>
                <w:color w:val="auto"/>
              </w:rPr>
            </w:pPr>
            <w:r>
              <w:rPr>
                <w:rFonts w:ascii="Arial" w:cs="Arial" w:eastAsia="Arial" w:hAnsi="Arial"/>
                <w:sz w:val="14"/>
                <w:szCs w:val="14"/>
                <w:color w:val="auto"/>
                <w:w w:val="92"/>
              </w:rPr>
              <w:t>San Francisco, CA</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0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Preferred shares, Series C 8%</w:t>
            </w:r>
          </w:p>
        </w:tc>
        <w:tc>
          <w:tcPr>
            <w:tcW w:w="10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Knowledge Networks</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7/2/2012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318,979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2,000,447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7"/>
        </w:trPr>
        <w:tc>
          <w:tcPr>
            <w:tcW w:w="3600" w:type="dxa"/>
            <w:vAlign w:val="bottom"/>
            <w:tcBorders>
              <w:bottom w:val="single" w:sz="8" w:color="CCEEFF"/>
            </w:tcBorders>
            <w:gridSpan w:val="7"/>
          </w:tcPr>
          <w:p>
            <w:pPr>
              <w:spacing w:after="0"/>
              <w:rPr>
                <w:sz w:val="20"/>
                <w:szCs w:val="20"/>
                <w:color w:val="auto"/>
              </w:rPr>
            </w:pPr>
            <w:r>
              <w:rPr>
                <w:rFonts w:ascii="Arial" w:cs="Arial" w:eastAsia="Arial" w:hAnsi="Arial"/>
                <w:sz w:val="14"/>
                <w:szCs w:val="14"/>
                <w:color w:val="auto"/>
              </w:rPr>
              <w:t>Preferred shares, Series B 5%</w:t>
            </w:r>
          </w:p>
        </w:tc>
        <w:tc>
          <w:tcPr>
            <w:tcW w:w="100" w:type="dxa"/>
            <w:vAlign w:val="bottom"/>
            <w:tcBorders>
              <w:bottom w:val="single" w:sz="8" w:color="CCEEFF"/>
            </w:tcBorders>
          </w:tcPr>
          <w:p>
            <w:pPr>
              <w:spacing w:after="0"/>
              <w:rPr>
                <w:sz w:val="17"/>
                <w:szCs w:val="17"/>
                <w:color w:val="auto"/>
              </w:rPr>
            </w:pPr>
          </w:p>
        </w:tc>
        <w:tc>
          <w:tcPr>
            <w:tcW w:w="19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3"/>
              </w:rPr>
              <w:t>2/28/2012</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jc w:val="right"/>
              <w:ind w:right="68"/>
              <w:spacing w:after="0"/>
              <w:rPr>
                <w:sz w:val="20"/>
                <w:szCs w:val="20"/>
                <w:color w:val="auto"/>
              </w:rPr>
            </w:pPr>
            <w:r>
              <w:rPr>
                <w:rFonts w:ascii="Arial" w:cs="Arial" w:eastAsia="Arial" w:hAnsi="Arial"/>
                <w:sz w:val="14"/>
                <w:szCs w:val="14"/>
                <w:color w:val="auto"/>
              </w:rPr>
              <w:t>49,505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217,206</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6"/>
        </w:trPr>
        <w:tc>
          <w:tcPr>
            <w:tcW w:w="3600" w:type="dxa"/>
            <w:vAlign w:val="bottom"/>
            <w:tcBorders>
              <w:bottom w:val="single" w:sz="8" w:color="CCEEFF"/>
            </w:tcBorders>
            <w:gridSpan w:val="7"/>
            <w:shd w:val="clear" w:color="auto" w:fill="CCEEFF"/>
          </w:tcPr>
          <w:p>
            <w:pPr>
              <w:ind w:left="100"/>
              <w:spacing w:after="0"/>
              <w:rPr>
                <w:sz w:val="20"/>
                <w:szCs w:val="20"/>
                <w:color w:val="auto"/>
              </w:rPr>
            </w:pPr>
            <w:r>
              <w:rPr>
                <w:rFonts w:ascii="Arial" w:cs="Arial" w:eastAsia="Arial" w:hAnsi="Arial"/>
                <w:sz w:val="14"/>
                <w:szCs w:val="14"/>
                <w:color w:val="auto"/>
              </w:rPr>
              <w:t>Total</w:t>
            </w:r>
          </w:p>
        </w:tc>
        <w:tc>
          <w:tcPr>
            <w:tcW w:w="100" w:type="dxa"/>
            <w:vAlign w:val="bottom"/>
            <w:tcBorders>
              <w:bottom w:val="single" w:sz="8" w:color="CCEEFF"/>
            </w:tcBorders>
            <w:shd w:val="clear" w:color="auto" w:fill="CCEEFF"/>
          </w:tcPr>
          <w:p>
            <w:pPr>
              <w:spacing w:after="0"/>
              <w:rPr>
                <w:sz w:val="17"/>
                <w:szCs w:val="17"/>
                <w:color w:val="auto"/>
              </w:rPr>
            </w:pPr>
          </w:p>
        </w:tc>
        <w:tc>
          <w:tcPr>
            <w:tcW w:w="1960" w:type="dxa"/>
            <w:vAlign w:val="bottom"/>
            <w:tcBorders>
              <w:bottom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2,217,653</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62"/>
        </w:trPr>
        <w:tc>
          <w:tcPr>
            <w:tcW w:w="3600" w:type="dxa"/>
            <w:vAlign w:val="bottom"/>
            <w:gridSpan w:val="7"/>
          </w:tcPr>
          <w:p>
            <w:pPr>
              <w:spacing w:after="0"/>
              <w:rPr>
                <w:sz w:val="20"/>
                <w:szCs w:val="20"/>
                <w:color w:val="auto"/>
              </w:rPr>
            </w:pPr>
            <w:r>
              <w:rPr>
                <w:rFonts w:ascii="Arial" w:cs="Arial" w:eastAsia="Arial" w:hAnsi="Arial"/>
                <w:sz w:val="14"/>
                <w:szCs w:val="14"/>
                <w:b w:val="1"/>
                <w:bCs w:val="1"/>
                <w:color w:val="auto"/>
              </w:rPr>
              <w:t>Curious.com, Inc.</w:t>
            </w:r>
          </w:p>
        </w:tc>
        <w:tc>
          <w:tcPr>
            <w:tcW w:w="100" w:type="dxa"/>
            <w:vAlign w:val="bottom"/>
          </w:tcPr>
          <w:p>
            <w:pPr>
              <w:spacing w:after="0"/>
              <w:rPr>
                <w:sz w:val="14"/>
                <w:szCs w:val="14"/>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Menlo Park, CA</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0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Online Education</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11/22/2013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1,135,944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12,000,006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00" w:type="dxa"/>
            <w:vAlign w:val="bottom"/>
            <w:gridSpan w:val="7"/>
            <w:shd w:val="clear" w:color="auto" w:fill="CCEEFF"/>
          </w:tcPr>
          <w:p>
            <w:pPr>
              <w:ind w:left="100"/>
              <w:spacing w:after="0"/>
              <w:rPr>
                <w:sz w:val="20"/>
                <w:szCs w:val="20"/>
                <w:color w:val="auto"/>
              </w:rPr>
            </w:pPr>
            <w:r>
              <w:rPr>
                <w:rFonts w:ascii="Arial" w:cs="Arial" w:eastAsia="Arial" w:hAnsi="Arial"/>
                <w:sz w:val="14"/>
                <w:szCs w:val="14"/>
                <w:b w:val="1"/>
                <w:bCs w:val="1"/>
                <w:color w:val="auto"/>
              </w:rPr>
              <w:t>Total Non-controlled/Affiliate</w:t>
            </w:r>
          </w:p>
        </w:tc>
        <w:tc>
          <w:tcPr>
            <w:tcW w:w="1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52,857,243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29,438,698</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15.28</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-5091430</wp:posOffset>
            </wp:positionV>
            <wp:extent cx="360045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00450" cy="137160"/>
                    </a:xfrm>
                    <a:prstGeom prst="rect">
                      <a:avLst/>
                    </a:prstGeom>
                    <a:noFill/>
                  </pic:spPr>
                </pic:pic>
              </a:graphicData>
            </a:graphic>
          </wp:anchor>
        </w:drawing>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121" w:right="359" w:bottom="1440" w:gutter="0" w:footer="0" w:header="0"/>
        </w:sectPr>
      </w:pPr>
    </w:p>
    <w:bookmarkStart w:id="8" w:name="page9"/>
    <w:bookmarkEnd w:id="8"/>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SCHEDULE OF INVESTMENTS (UNAUDITED)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Portfolio Investments*</w:t>
            </w:r>
          </w:p>
        </w:tc>
        <w:tc>
          <w:tcPr>
            <w:tcW w:w="2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Headquarters/</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5"/>
              </w:rPr>
              <w:t>Date of Initial</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Shares/</w:t>
            </w:r>
          </w:p>
        </w:tc>
        <w:tc>
          <w:tcPr>
            <w:tcW w:w="160" w:type="dxa"/>
            <w:vAlign w:val="bottom"/>
          </w:tcPr>
          <w:p>
            <w:pPr>
              <w:spacing w:after="0"/>
              <w:rPr>
                <w:sz w:val="14"/>
                <w:szCs w:val="14"/>
                <w:color w:val="auto"/>
              </w:rPr>
            </w:pPr>
          </w:p>
        </w:tc>
        <w:tc>
          <w:tcPr>
            <w:tcW w:w="10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860" w:type="dxa"/>
            <w:vAlign w:val="bottom"/>
          </w:tcPr>
          <w:p>
            <w:pPr>
              <w:jc w:val="right"/>
              <w:ind w:right="68"/>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80" w:type="dxa"/>
            <w:vAlign w:val="bottom"/>
            <w:gridSpan w:val="4"/>
            <w:vMerge w:val="continue"/>
          </w:tcPr>
          <w:p>
            <w:pPr>
              <w:spacing w:after="0"/>
              <w:rPr>
                <w:sz w:val="16"/>
                <w:szCs w:val="16"/>
                <w:color w:val="auto"/>
              </w:rPr>
            </w:pPr>
          </w:p>
        </w:tc>
        <w:tc>
          <w:tcPr>
            <w:tcW w:w="2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Industry</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Principal</w:t>
            </w: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60" w:type="dxa"/>
            <w:vAlign w:val="bottom"/>
          </w:tcPr>
          <w:p>
            <w:pPr>
              <w:jc w:val="right"/>
              <w:ind w:right="168"/>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88"/>
        </w:trPr>
        <w:tc>
          <w:tcPr>
            <w:tcW w:w="20" w:type="dxa"/>
            <w:vAlign w:val="bottom"/>
            <w:tcBorders>
              <w:top w:val="single" w:sz="8" w:color="auto"/>
            </w:tcBorders>
            <w:shd w:val="clear" w:color="auto" w:fill="CCEEFF"/>
          </w:tcPr>
          <w:p>
            <w:pPr>
              <w:spacing w:after="0"/>
              <w:rPr>
                <w:sz w:val="16"/>
                <w:szCs w:val="16"/>
                <w:color w:val="auto"/>
              </w:rPr>
            </w:pPr>
          </w:p>
        </w:tc>
        <w:tc>
          <w:tcPr>
            <w:tcW w:w="358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4"/>
                <w:szCs w:val="14"/>
                <w:b w:val="1"/>
                <w:bCs w:val="1"/>
                <w:color w:val="auto"/>
              </w:rPr>
              <w:t>CONTROLLED</w:t>
            </w:r>
            <w:r>
              <w:rPr>
                <w:rFonts w:ascii="Arial" w:cs="Arial" w:eastAsia="Arial" w:hAnsi="Arial"/>
                <w:sz w:val="9"/>
                <w:szCs w:val="9"/>
                <w:b w:val="1"/>
                <w:bCs w:val="1"/>
                <w:color w:val="auto"/>
              </w:rPr>
              <w:t>(2)</w:t>
            </w:r>
          </w:p>
        </w:tc>
        <w:tc>
          <w:tcPr>
            <w:tcW w:w="100" w:type="dxa"/>
            <w:vAlign w:val="bottom"/>
            <w:tcBorders>
              <w:top w:val="single" w:sz="8" w:color="CCEEFF"/>
            </w:tcBorders>
            <w:shd w:val="clear" w:color="auto" w:fill="CCEEFF"/>
          </w:tcPr>
          <w:p>
            <w:pPr>
              <w:spacing w:after="0"/>
              <w:rPr>
                <w:sz w:val="16"/>
                <w:szCs w:val="16"/>
                <w:color w:val="auto"/>
              </w:rPr>
            </w:pPr>
          </w:p>
        </w:tc>
        <w:tc>
          <w:tcPr>
            <w:tcW w:w="18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80" w:type="dxa"/>
            <w:vAlign w:val="bottom"/>
            <w:gridSpan w:val="4"/>
          </w:tcPr>
          <w:p>
            <w:pPr>
              <w:spacing w:after="0"/>
              <w:rPr>
                <w:sz w:val="20"/>
                <w:szCs w:val="20"/>
                <w:color w:val="auto"/>
              </w:rPr>
            </w:pPr>
            <w:r>
              <w:rPr>
                <w:rFonts w:ascii="Arial" w:cs="Arial" w:eastAsia="Arial" w:hAnsi="Arial"/>
                <w:sz w:val="14"/>
                <w:szCs w:val="14"/>
                <w:b w:val="1"/>
                <w:bCs w:val="1"/>
                <w:color w:val="auto"/>
              </w:rPr>
              <w:t>SPBRX, INC. (f/k/a GSV Sustainability Partners, Inc.)</w:t>
            </w:r>
          </w:p>
        </w:tc>
        <w:tc>
          <w:tcPr>
            <w:tcW w:w="200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Cupertino, CA</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25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68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Preferred shares, Class A***</w:t>
            </w:r>
            <w:r>
              <w:rPr>
                <w:rFonts w:ascii="Arial" w:cs="Arial" w:eastAsia="Arial" w:hAnsi="Arial"/>
                <w:sz w:val="9"/>
                <w:szCs w:val="9"/>
                <w:color w:val="auto"/>
              </w:rPr>
              <w:t>(6)</w:t>
            </w:r>
          </w:p>
        </w:tc>
        <w:tc>
          <w:tcPr>
            <w:tcW w:w="20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Clean Technology</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4/15/2014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14,300,000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7,151,412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860,198</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0.45 %</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680" w:type="dxa"/>
            <w:vAlign w:val="bottom"/>
            <w:gridSpan w:val="4"/>
          </w:tcPr>
          <w:p>
            <w:pPr>
              <w:spacing w:after="0"/>
              <w:rPr>
                <w:sz w:val="20"/>
                <w:szCs w:val="20"/>
                <w:color w:val="auto"/>
              </w:rPr>
            </w:pPr>
            <w:r>
              <w:rPr>
                <w:rFonts w:ascii="Arial" w:cs="Arial" w:eastAsia="Arial" w:hAnsi="Arial"/>
                <w:sz w:val="14"/>
                <w:szCs w:val="14"/>
                <w:color w:val="auto"/>
              </w:rPr>
              <w:t>Common shares</w:t>
            </w: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3"/>
              </w:rPr>
              <w:t>4/15/2014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580" w:type="dxa"/>
            <w:vAlign w:val="bottom"/>
            <w:tcBorders>
              <w:top w:val="single" w:sz="8" w:color="CCEEFF"/>
              <w:bottom w:val="single" w:sz="8" w:color="CCEEFF"/>
            </w:tcBorders>
            <w:gridSpan w:val="3"/>
            <w:shd w:val="clear" w:color="auto" w:fill="CCEEFF"/>
          </w:tcPr>
          <w:p>
            <w:pPr>
              <w:ind w:left="10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CCEEFF"/>
            </w:tcBorders>
            <w:shd w:val="clear" w:color="auto" w:fill="CCEEFF"/>
          </w:tcPr>
          <w:p>
            <w:pPr>
              <w:spacing w:after="0"/>
              <w:rPr>
                <w:sz w:val="17"/>
                <w:szCs w:val="17"/>
                <w:color w:val="auto"/>
              </w:rPr>
            </w:pPr>
          </w:p>
        </w:tc>
        <w:tc>
          <w:tcPr>
            <w:tcW w:w="18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7,161,412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860,198</w:t>
            </w: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0.45 %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680" w:type="dxa"/>
            <w:vAlign w:val="bottom"/>
            <w:gridSpan w:val="4"/>
            <w:shd w:val="clear" w:color="auto" w:fill="CCEEFF"/>
          </w:tcPr>
          <w:p>
            <w:pPr>
              <w:ind w:left="100"/>
              <w:spacing w:after="0"/>
              <w:rPr>
                <w:sz w:val="20"/>
                <w:szCs w:val="20"/>
                <w:color w:val="auto"/>
              </w:rPr>
            </w:pPr>
            <w:r>
              <w:rPr>
                <w:rFonts w:ascii="Arial" w:cs="Arial" w:eastAsia="Arial" w:hAnsi="Arial"/>
                <w:sz w:val="14"/>
                <w:szCs w:val="14"/>
                <w:b w:val="1"/>
                <w:bCs w:val="1"/>
                <w:color w:val="auto"/>
              </w:rPr>
              <w:t>Total Controlled</w:t>
            </w:r>
          </w:p>
        </w:tc>
        <w:tc>
          <w:tcPr>
            <w:tcW w:w="1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7,161,412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860,198</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0.45 %</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25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680" w:type="dxa"/>
            <w:vAlign w:val="bottom"/>
            <w:gridSpan w:val="4"/>
            <w:shd w:val="clear" w:color="auto" w:fill="CCEEFF"/>
          </w:tcPr>
          <w:p>
            <w:pPr>
              <w:ind w:left="100"/>
              <w:spacing w:after="0"/>
              <w:rPr>
                <w:sz w:val="20"/>
                <w:szCs w:val="20"/>
                <w:color w:val="auto"/>
              </w:rPr>
            </w:pPr>
            <w:r>
              <w:rPr>
                <w:rFonts w:ascii="Arial" w:cs="Arial" w:eastAsia="Arial" w:hAnsi="Arial"/>
                <w:sz w:val="14"/>
                <w:szCs w:val="14"/>
                <w:b w:val="1"/>
                <w:bCs w:val="1"/>
                <w:color w:val="auto"/>
              </w:rPr>
              <w:t>Total Portfolio Investments</w:t>
            </w:r>
          </w:p>
        </w:tc>
        <w:tc>
          <w:tcPr>
            <w:tcW w:w="1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159,140,232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198,999,318</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103.27 %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w w:val="93"/>
              </w:rPr>
              <w:t>U.S. Treasury</w:t>
            </w:r>
          </w:p>
        </w:tc>
        <w:tc>
          <w:tcPr>
            <w:tcW w:w="2820" w:type="dxa"/>
            <w:vAlign w:val="bottom"/>
            <w:tcBorders>
              <w:bottom w:val="single" w:sz="8" w:color="CCEEFF"/>
            </w:tcBorders>
            <w:gridSpan w:val="3"/>
            <w:shd w:val="clear" w:color="auto" w:fill="CCEEFF"/>
          </w:tcPr>
          <w:p>
            <w:pPr>
              <w:spacing w:after="0"/>
              <w:rPr>
                <w:sz w:val="15"/>
                <w:szCs w:val="15"/>
                <w:color w:val="auto"/>
              </w:rPr>
            </w:pPr>
          </w:p>
        </w:tc>
        <w:tc>
          <w:tcPr>
            <w:tcW w:w="18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80" w:type="dxa"/>
            <w:vAlign w:val="bottom"/>
            <w:gridSpan w:val="4"/>
          </w:tcPr>
          <w:p>
            <w:pPr>
              <w:spacing w:after="0"/>
              <w:rPr>
                <w:sz w:val="20"/>
                <w:szCs w:val="20"/>
                <w:color w:val="auto"/>
              </w:rPr>
            </w:pPr>
            <w:r>
              <w:rPr>
                <w:rFonts w:ascii="Arial" w:cs="Arial" w:eastAsia="Arial" w:hAnsi="Arial"/>
                <w:sz w:val="14"/>
                <w:szCs w:val="14"/>
                <w:color w:val="auto"/>
              </w:rPr>
              <w:t>U.S. Treasury bill, 0%, due 7/2/2020***</w:t>
            </w:r>
            <w:r>
              <w:rPr>
                <w:rFonts w:ascii="Arial" w:cs="Arial" w:eastAsia="Arial" w:hAnsi="Arial"/>
                <w:sz w:val="9"/>
                <w:szCs w:val="9"/>
                <w:color w:val="auto"/>
              </w:rPr>
              <w:t>(3)</w:t>
            </w: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3"/>
              </w:rPr>
              <w:t>6/29/2020</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100,000,000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99,999,611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100,000,000</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51.90 %</w:t>
            </w:r>
          </w:p>
        </w:tc>
        <w:tc>
          <w:tcPr>
            <w:tcW w:w="0" w:type="dxa"/>
            <w:vAlign w:val="bottom"/>
          </w:tcPr>
          <w:p>
            <w:pPr>
              <w:spacing w:after="0"/>
              <w:rPr>
                <w:sz w:val="1"/>
                <w:szCs w:val="1"/>
                <w:color w:val="auto"/>
              </w:rPr>
            </w:pPr>
          </w:p>
        </w:tc>
      </w:tr>
      <w:tr>
        <w:trPr>
          <w:trHeight w:val="222"/>
        </w:trPr>
        <w:tc>
          <w:tcPr>
            <w:tcW w:w="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25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80" w:type="dxa"/>
            <w:vAlign w:val="bottom"/>
            <w:tcBorders>
              <w:bottom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80" w:type="dxa"/>
            <w:vAlign w:val="bottom"/>
            <w:gridSpan w:val="4"/>
          </w:tcPr>
          <w:p>
            <w:pPr>
              <w:spacing w:after="0"/>
              <w:rPr>
                <w:sz w:val="20"/>
                <w:szCs w:val="20"/>
                <w:color w:val="auto"/>
              </w:rPr>
            </w:pPr>
            <w:r>
              <w:rPr>
                <w:rFonts w:ascii="Arial" w:cs="Arial" w:eastAsia="Arial" w:hAnsi="Arial"/>
                <w:sz w:val="14"/>
                <w:szCs w:val="14"/>
                <w:b w:val="1"/>
                <w:bCs w:val="1"/>
                <w:color w:val="auto"/>
              </w:rPr>
              <w:t>TOTAL INVESTMENTS</w:t>
            </w: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259,139,843</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298,999,318</w:t>
            </w:r>
          </w:p>
        </w:tc>
        <w:tc>
          <w:tcPr>
            <w:tcW w:w="10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155.17 %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-307975</wp:posOffset>
            </wp:positionV>
            <wp:extent cx="6172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72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-436245</wp:posOffset>
            </wp:positionV>
            <wp:extent cx="228028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8028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-1508125</wp:posOffset>
            </wp:positionV>
            <wp:extent cx="499745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97450" cy="137160"/>
                    </a:xfrm>
                    <a:prstGeom prst="rect">
                      <a:avLst/>
                    </a:prstGeom>
                    <a:noFill/>
                  </pic:spPr>
                </pic:pic>
              </a:graphicData>
            </a:graphic>
          </wp:anchor>
        </w:drawing>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pacing w:after="0" w:line="1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w:t>
      </w:r>
    </w:p>
    <w:p>
      <w:pPr>
        <w:spacing w:after="0" w:line="2" w:lineRule="exact"/>
        <w:rPr>
          <w:sz w:val="20"/>
          <w:szCs w:val="20"/>
          <w:color w:val="auto"/>
        </w:rPr>
      </w:pPr>
    </w:p>
    <w:p>
      <w:pPr>
        <w:jc w:val="right"/>
        <w:ind w:left="500" w:hanging="492"/>
        <w:spacing w:after="0" w:line="281" w:lineRule="auto"/>
        <w:tabs>
          <w:tab w:leader="none" w:pos="149" w:val="left"/>
        </w:tabs>
        <w:numPr>
          <w:ilvl w:val="0"/>
          <w:numId w:val="5"/>
        </w:numPr>
        <w:rPr>
          <w:rFonts w:ascii="Arial" w:cs="Arial" w:eastAsia="Arial" w:hAnsi="Arial"/>
          <w:sz w:val="16"/>
          <w:szCs w:val="16"/>
          <w:color w:val="auto"/>
        </w:rPr>
      </w:pPr>
      <w:r>
        <w:rPr>
          <w:rFonts w:ascii="Arial" w:cs="Arial" w:eastAsia="Arial" w:hAnsi="Arial"/>
          <w:sz w:val="14"/>
          <w:szCs w:val="14"/>
          <w:color w:val="auto"/>
        </w:rPr>
        <w:t>All portfolio investments are non-control/non-affiliated and non-income-producing, unless otherwise identified. Equity investments are subject to lock-up restrictions upon their initial public offering (“IPO”). Preferred dividends are generally only payable when declared and paid by the portfolio company's board of directors. The Company’s directors, officers, employees and staff, as applicable, may serve on the board of directors of the Company’s portfolio investments. (Refer to “Note 3— Related-Party Arrangements”). All portfolio investments are considered Level 3 and valued using significant unobservable inputs, unless otherwise noted. (Refer to</w:t>
      </w:r>
    </w:p>
    <w:p>
      <w:pPr>
        <w:spacing w:after="0" w:line="3" w:lineRule="exact"/>
        <w:rPr>
          <w:sz w:val="20"/>
          <w:szCs w:val="20"/>
          <w:color w:val="auto"/>
        </w:rPr>
      </w:pPr>
    </w:p>
    <w:p>
      <w:pPr>
        <w:ind w:left="500"/>
        <w:spacing w:after="0" w:line="262" w:lineRule="auto"/>
        <w:rPr>
          <w:sz w:val="20"/>
          <w:szCs w:val="20"/>
          <w:color w:val="auto"/>
        </w:rPr>
      </w:pPr>
      <w:r>
        <w:rPr>
          <w:rFonts w:ascii="Arial" w:cs="Arial" w:eastAsia="Arial" w:hAnsi="Arial"/>
          <w:sz w:val="15"/>
          <w:szCs w:val="15"/>
          <w:color w:val="auto"/>
        </w:rPr>
        <w:t>“Note 4—Investments at Fair Value”). All of the Company's portfolio investments are restricted as to resale, unless otherwise noted, and were valued at fair value as determined in good faith by the Company’s Board of Directors. (Refer to "Note 2—Significant Accounting Policies—</w:t>
      </w:r>
      <w:r>
        <w:rPr>
          <w:rFonts w:ascii="Arial" w:cs="Arial" w:eastAsia="Arial" w:hAnsi="Arial"/>
          <w:sz w:val="15"/>
          <w:szCs w:val="15"/>
          <w:i w:val="1"/>
          <w:iCs w:val="1"/>
          <w:color w:val="auto"/>
        </w:rPr>
        <w:t>Investments at Fair Value</w:t>
      </w:r>
      <w:r>
        <w:rPr>
          <w:rFonts w:ascii="Arial" w:cs="Arial" w:eastAsia="Arial" w:hAnsi="Arial"/>
          <w:sz w:val="15"/>
          <w:szCs w:val="15"/>
          <w:color w:val="auto"/>
        </w:rPr>
        <w:t>").</w:t>
      </w:r>
    </w:p>
    <w:p>
      <w:pPr>
        <w:spacing w:after="0" w:line="1" w:lineRule="exact"/>
        <w:rPr>
          <w:sz w:val="20"/>
          <w:szCs w:val="20"/>
          <w:color w:val="auto"/>
        </w:rPr>
      </w:pPr>
    </w:p>
    <w:p>
      <w:pPr>
        <w:ind w:left="500" w:hanging="492"/>
        <w:spacing w:after="0" w:line="246" w:lineRule="auto"/>
        <w:tabs>
          <w:tab w:leader="none" w:pos="232" w:val="left"/>
        </w:tabs>
        <w:numPr>
          <w:ilvl w:val="0"/>
          <w:numId w:val="6"/>
        </w:numPr>
        <w:rPr>
          <w:rFonts w:ascii="Arial" w:cs="Arial" w:eastAsia="Arial" w:hAnsi="Arial"/>
          <w:sz w:val="16"/>
          <w:szCs w:val="16"/>
          <w:color w:val="auto"/>
        </w:rPr>
      </w:pPr>
      <w:r>
        <w:rPr>
          <w:rFonts w:ascii="Arial" w:cs="Arial" w:eastAsia="Arial" w:hAnsi="Arial"/>
          <w:sz w:val="16"/>
          <w:szCs w:val="16"/>
          <w:color w:val="auto"/>
        </w:rPr>
        <w:t>Indicates assets that SuRo Capital Corp. believes do not represent “qualifying assets” under Section 55(a) of the Investment Company Act of 1940, as amended (the “1940 Act”). Of the Company’s total investments as of June 30, 2020, 2.31% of its total investments are non-qualifying assets.</w:t>
      </w:r>
    </w:p>
    <w:p>
      <w:pPr>
        <w:ind w:left="300" w:hanging="292"/>
        <w:spacing w:after="0"/>
        <w:tabs>
          <w:tab w:leader="none" w:pos="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Investment is income-producing.</w:t>
      </w:r>
    </w:p>
    <w:p>
      <w:pPr>
        <w:spacing w:after="0" w:line="234" w:lineRule="exact"/>
        <w:rPr>
          <w:sz w:val="20"/>
          <w:szCs w:val="20"/>
          <w:color w:val="auto"/>
        </w:rPr>
      </w:pPr>
    </w:p>
    <w:p>
      <w:pPr>
        <w:jc w:val="both"/>
        <w:ind w:left="500" w:hanging="492"/>
        <w:spacing w:after="0" w:line="256" w:lineRule="auto"/>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“Affiliate Investments” are investments in those companies that are “Affiliated Companies” of SuRo Capital Corp., as defined in the 1940 Act. In general, a company is deemed to be an “Affiliate” of SuRo Capital Corp. if SuRo Capital Corp. owns 5% or more of the voting securities (</w:t>
      </w:r>
      <w:r>
        <w:rPr>
          <w:rFonts w:ascii="Arial" w:cs="Arial" w:eastAsia="Arial" w:hAnsi="Arial"/>
          <w:sz w:val="16"/>
          <w:szCs w:val="16"/>
          <w:i w:val="1"/>
          <w:iCs w:val="1"/>
          <w:color w:val="auto"/>
        </w:rPr>
        <w:t>i.e.</w:t>
      </w:r>
      <w:r>
        <w:rPr>
          <w:rFonts w:ascii="Arial" w:cs="Arial" w:eastAsia="Arial" w:hAnsi="Arial"/>
          <w:sz w:val="16"/>
          <w:szCs w:val="16"/>
          <w:color w:val="auto"/>
        </w:rPr>
        <w:t>, securities with the right to elect directors) of such company. For the Schedule of Investments In, and Advances To, Affiliates, as required by SEC Regulation S-X, Rule 12-14, refer to “Note 4—Investments at Fair Value”.</w:t>
      </w:r>
    </w:p>
    <w:p>
      <w:pPr>
        <w:spacing w:after="0" w:line="213" w:lineRule="exact"/>
        <w:rPr>
          <w:rFonts w:ascii="Arial" w:cs="Arial" w:eastAsia="Arial" w:hAnsi="Arial"/>
          <w:sz w:val="16"/>
          <w:szCs w:val="16"/>
          <w:color w:val="auto"/>
        </w:rPr>
      </w:pPr>
    </w:p>
    <w:p>
      <w:pPr>
        <w:jc w:val="both"/>
        <w:ind w:left="500" w:hanging="492"/>
        <w:spacing w:after="0" w:line="278" w:lineRule="auto"/>
        <w:tabs>
          <w:tab w:leader="none" w:pos="500" w:val="left"/>
        </w:tabs>
        <w:numPr>
          <w:ilvl w:val="0"/>
          <w:numId w:val="8"/>
        </w:numPr>
        <w:rPr>
          <w:rFonts w:ascii="Arial" w:cs="Arial" w:eastAsia="Arial" w:hAnsi="Arial"/>
          <w:sz w:val="15"/>
          <w:szCs w:val="15"/>
          <w:color w:val="auto"/>
        </w:rPr>
      </w:pPr>
      <w:r>
        <w:rPr>
          <w:rFonts w:ascii="Arial" w:cs="Arial" w:eastAsia="Arial" w:hAnsi="Arial"/>
          <w:sz w:val="15"/>
          <w:szCs w:val="15"/>
          <w:color w:val="auto"/>
        </w:rPr>
        <w:t>“Control Investments” are investments in those companies that are “Controlled Companies” of SuRo Capital Corp., as defined in the 1940 Act. In general, under the 1940 Act, the Company would “Control” a portfolio company if the Company owned more than 25% of its outstanding voting securities (i.e., securities with the right to elect directors) and/or had the power to exercise control over the management or policies of such portfolio company. For the Schedule of Investments In, and Advances To, Affiliates, as required by SEC Regulation S-X, Rule 12-14, refer to “Note 4—Investments at Fair Value”.</w:t>
      </w:r>
    </w:p>
    <w:p>
      <w:pPr>
        <w:spacing w:after="0" w:line="199" w:lineRule="exact"/>
        <w:rPr>
          <w:rFonts w:ascii="Arial" w:cs="Arial" w:eastAsia="Arial" w:hAnsi="Arial"/>
          <w:sz w:val="15"/>
          <w:szCs w:val="15"/>
          <w:color w:val="auto"/>
        </w:rPr>
      </w:pPr>
    </w:p>
    <w:p>
      <w:pPr>
        <w:ind w:left="500" w:hanging="492"/>
        <w:spacing w:after="0" w:line="275" w:lineRule="auto"/>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Denotes an investment considered Level 1 or Level 2 and valued using observable inputs. As of June 30, 2020, no investments held by SuRo Capital Corp. were considered Level 1 or Level 2. Refer to “Note 4—Investments at Fair Value”.</w:t>
      </w:r>
    </w:p>
    <w:p>
      <w:pPr>
        <w:spacing w:after="0" w:line="199" w:lineRule="exact"/>
        <w:rPr>
          <w:rFonts w:ascii="Arial" w:cs="Arial" w:eastAsia="Arial" w:hAnsi="Arial"/>
          <w:sz w:val="16"/>
          <w:szCs w:val="16"/>
          <w:color w:val="auto"/>
        </w:rPr>
      </w:pPr>
    </w:p>
    <w:p>
      <w:pPr>
        <w:ind w:left="500" w:hanging="492"/>
        <w:spacing w:after="0"/>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As of June 30, 2020, the investments noted had been placed on non-accrual status.</w:t>
      </w:r>
    </w:p>
    <w:p>
      <w:pPr>
        <w:spacing w:after="0" w:line="248" w:lineRule="exact"/>
        <w:rPr>
          <w:rFonts w:ascii="Arial" w:cs="Arial" w:eastAsia="Arial" w:hAnsi="Arial"/>
          <w:sz w:val="16"/>
          <w:szCs w:val="16"/>
          <w:color w:val="auto"/>
        </w:rPr>
      </w:pPr>
    </w:p>
    <w:p>
      <w:pPr>
        <w:ind w:left="500" w:hanging="492"/>
        <w:spacing w:after="0"/>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SuRo Capital Corp.’s investments in StormWind, LLC are held through SuRo Capital Corp.'s wholly owned subsidiary, GSVC SW Holdings, Inc.</w:t>
      </w:r>
    </w:p>
    <w:p>
      <w:pPr>
        <w:spacing w:after="0" w:line="248" w:lineRule="exact"/>
        <w:rPr>
          <w:rFonts w:ascii="Arial" w:cs="Arial" w:eastAsia="Arial" w:hAnsi="Arial"/>
          <w:sz w:val="16"/>
          <w:szCs w:val="16"/>
          <w:color w:val="auto"/>
        </w:rPr>
      </w:pPr>
    </w:p>
    <w:p>
      <w:pPr>
        <w:jc w:val="both"/>
        <w:ind w:left="500" w:hanging="492"/>
        <w:spacing w:after="0" w:line="256" w:lineRule="auto"/>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SPBRX, INC. (f/k/a GSV Sustainability Partners, Inc.) preferred shares held by SuRo Capital Corp. do not entitle SuRo Capital Corp. to a preferred dividend rate. During the three months ended June 30, 2020, SPBRX, INC. (f/k/a GSV Sustainability Partners, Inc.) declared, and SuRo Capital Corp. received, an aggregate of $200,000 in dividend distributions. SuRo Capital Corp. does not anticipate that SPBRX, INC. will pay distributions on a quarterly or regular basis or become a predictable distributor of distributions.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SCHEDULE OF INVESTMENTS (UNAUDITED)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242" w:lineRule="exact"/>
        <w:rPr>
          <w:sz w:val="20"/>
          <w:szCs w:val="20"/>
          <w:color w:val="auto"/>
        </w:rPr>
      </w:pPr>
    </w:p>
    <w:p>
      <w:pPr>
        <w:jc w:val="both"/>
        <w:ind w:left="500" w:hanging="492"/>
        <w:spacing w:after="0" w:line="315" w:lineRule="auto"/>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On August 23, 2019, SuRo Capital Corp. amended the structure of its investment in NestGSV, Inc. (d/b/a GSV Labs, Inc.). As part of the agreement, SuRo Capital Corp.’s equity holdings (warrants notwithstanding) were restructured into a derivative security. NestGSV, Inc. (d/b/a GSV Labs,Inc.) has the right to call the position at any time over a five year period, while SuRo Capital Corp. can put the shares to NestGSV, Inc. (d/b/a GSV Labs, Inc.) at the end of the five year period.</w:t>
      </w:r>
    </w:p>
    <w:p>
      <w:pPr>
        <w:spacing w:after="0" w:line="176" w:lineRule="exact"/>
        <w:rPr>
          <w:rFonts w:ascii="Arial" w:cs="Arial" w:eastAsia="Arial" w:hAnsi="Arial"/>
          <w:sz w:val="14"/>
          <w:szCs w:val="14"/>
          <w:color w:val="auto"/>
        </w:rPr>
      </w:pPr>
    </w:p>
    <w:p>
      <w:pPr>
        <w:jc w:val="both"/>
        <w:ind w:left="500" w:hanging="492"/>
        <w:spacing w:after="0" w:line="261" w:lineRule="auto"/>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During the six months ended June 30, 2020, Treehouse Real Estate Investment Trust Inc. declared, and SuRo Capital Corp. received, an aggregate of $50,000 in dividend distributions. SuRo Capital Corp. does not anticipate that Treehouse Real Estate Investment Trust Inc. will pay distributions on a recurring or regular basis or become a predictable distributor of distributions.</w:t>
      </w:r>
    </w:p>
    <w:p>
      <w:pPr>
        <w:spacing w:after="0" w:line="209" w:lineRule="exact"/>
        <w:rPr>
          <w:rFonts w:ascii="Arial" w:cs="Arial" w:eastAsia="Arial" w:hAnsi="Arial"/>
          <w:sz w:val="16"/>
          <w:szCs w:val="16"/>
          <w:color w:val="auto"/>
        </w:rPr>
      </w:pPr>
    </w:p>
    <w:p>
      <w:pPr>
        <w:ind w:left="500" w:hanging="492"/>
        <w:spacing w:after="0" w:line="275" w:lineRule="auto"/>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During the six months ended June 30, 2020, GreenAcreage Real Estate Corp. declared a $26,250 dividend distribution. SuRo Capital Corp. does not anticipate that GreenAcreage Real Estate Corp. will pay distributions on a recurring or regular basis or become a predictable distributor of distributions.</w:t>
      </w:r>
    </w:p>
    <w:p>
      <w:pPr>
        <w:spacing w:after="0" w:line="199" w:lineRule="exact"/>
        <w:rPr>
          <w:rFonts w:ascii="Arial" w:cs="Arial" w:eastAsia="Arial" w:hAnsi="Arial"/>
          <w:sz w:val="16"/>
          <w:szCs w:val="16"/>
          <w:color w:val="auto"/>
        </w:rPr>
      </w:pPr>
    </w:p>
    <w:p>
      <w:pPr>
        <w:jc w:val="both"/>
        <w:ind w:left="500" w:hanging="492"/>
        <w:spacing w:after="0" w:line="256" w:lineRule="auto"/>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On June 19, 2020, SuRo Capital Corp. extended a $6.9 million, non-recourse, collateralized loan to Palantir Lending Trust SPV I. The collateralized loan to Palantir Lending Trust SPV I matures on June 19, 2022 and includes a 15% interest rate. Through the collateralized loan, SuRo Capital Corp. participates in additional upside in a future Palantir Technologies, Inc. liquidity event by receiving a percentage of the share price appreciation as captured in the Equity Participation in Underlying Collateral security.</w:t>
      </w:r>
    </w:p>
    <w:p>
      <w:pPr>
        <w:spacing w:after="0" w:line="213" w:lineRule="exact"/>
        <w:rPr>
          <w:rFonts w:ascii="Arial" w:cs="Arial" w:eastAsia="Arial" w:hAnsi="Arial"/>
          <w:sz w:val="16"/>
          <w:szCs w:val="16"/>
          <w:color w:val="auto"/>
        </w:rPr>
      </w:pPr>
    </w:p>
    <w:p>
      <w:pPr>
        <w:jc w:val="both"/>
        <w:ind w:left="500" w:hanging="492"/>
        <w:spacing w:after="0" w:line="261" w:lineRule="auto"/>
        <w:tabs>
          <w:tab w:leader="none" w:pos="494" w:val="left"/>
        </w:tabs>
        <w:numPr>
          <w:ilvl w:val="0"/>
          <w:numId w:val="9"/>
        </w:numPr>
        <w:rPr>
          <w:rFonts w:ascii="Arial" w:cs="Arial" w:eastAsia="Arial" w:hAnsi="Arial"/>
          <w:sz w:val="16"/>
          <w:szCs w:val="16"/>
          <w:color w:val="auto"/>
        </w:rPr>
      </w:pPr>
      <w:r>
        <w:rPr>
          <w:rFonts w:ascii="Arial" w:cs="Arial" w:eastAsia="Arial" w:hAnsi="Arial"/>
          <w:sz w:val="16"/>
          <w:szCs w:val="16"/>
          <w:color w:val="auto"/>
        </w:rPr>
        <w:t>On May 11, 2020, SuRo Capital Corp. made a follow-on investment in a junior preferred convertible note to Neutron Holdings, Inc. (d/b/a Lime) as part of a recapitalization of Neutron Holdings, Inc. (d/b/a Lime), led by Uber Technologies, Inc. On May 11, 2020, SuRo Capital Corp.'s existing Series D Preferred shares were converted to Series 1-D Junior Preferred shares.</w:t>
      </w:r>
    </w:p>
    <w:p>
      <w:pPr>
        <w:spacing w:after="0" w:line="209" w:lineRule="exact"/>
        <w:rPr>
          <w:rFonts w:ascii="Arial" w:cs="Arial" w:eastAsia="Arial" w:hAnsi="Arial"/>
          <w:sz w:val="16"/>
          <w:szCs w:val="16"/>
          <w:color w:val="auto"/>
        </w:rPr>
      </w:pPr>
    </w:p>
    <w:p>
      <w:pPr>
        <w:ind w:left="500" w:hanging="492"/>
        <w:spacing w:after="0" w:line="310" w:lineRule="auto"/>
        <w:tabs>
          <w:tab w:leader="none" w:pos="500" w:val="left"/>
        </w:tabs>
        <w:numPr>
          <w:ilvl w:val="0"/>
          <w:numId w:val="9"/>
        </w:numPr>
        <w:rPr>
          <w:rFonts w:ascii="Arial" w:cs="Arial" w:eastAsia="Arial" w:hAnsi="Arial"/>
          <w:sz w:val="15"/>
          <w:szCs w:val="15"/>
          <w:color w:val="auto"/>
        </w:rPr>
      </w:pPr>
      <w:r>
        <w:rPr>
          <w:rFonts w:ascii="Arial" w:cs="Arial" w:eastAsia="Arial" w:hAnsi="Arial"/>
          <w:sz w:val="15"/>
          <w:szCs w:val="15"/>
          <w:color w:val="auto"/>
        </w:rPr>
        <w:t>On June 6, 2020, the convertible note SuRo Capital Corp. had extended to Aspiration Partners, Inc. converted into Series C-3 Preferred shares at a 15% discount to Aspiration Partners, Inc.'s most recent financing round. SuRo Capital Corp. received 24,912 Series C-3 Preferred shares as a result of the conversion.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gridSpan w:val="15"/>
            <w:vMerge w:val="restart"/>
          </w:tcPr>
          <w:p>
            <w:pPr>
              <w:spacing w:after="0"/>
              <w:rPr>
                <w:sz w:val="20"/>
                <w:szCs w:val="20"/>
                <w:color w:val="auto"/>
              </w:rPr>
            </w:pPr>
            <w:r>
              <w:rPr>
                <w:rFonts w:ascii="Arial" w:cs="Arial" w:eastAsia="Arial" w:hAnsi="Arial"/>
                <w:sz w:val="14"/>
                <w:szCs w:val="14"/>
                <w:b w:val="1"/>
                <w:bCs w:val="1"/>
                <w:color w:val="auto"/>
              </w:rPr>
              <w:t>Portfolio Investments*</w:t>
            </w:r>
          </w:p>
        </w:tc>
        <w:tc>
          <w:tcPr>
            <w:tcW w:w="120" w:type="dxa"/>
            <w:vAlign w:val="bottom"/>
          </w:tcPr>
          <w:p>
            <w:pPr>
              <w:spacing w:after="0"/>
              <w:rPr>
                <w:sz w:val="14"/>
                <w:szCs w:val="14"/>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Headquarters/</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Date of Initial</w:t>
            </w:r>
          </w:p>
        </w:tc>
        <w:tc>
          <w:tcPr>
            <w:tcW w:w="1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Shares/</w:t>
            </w:r>
          </w:p>
        </w:tc>
        <w:tc>
          <w:tcPr>
            <w:tcW w:w="160" w:type="dxa"/>
            <w:vAlign w:val="bottom"/>
          </w:tcPr>
          <w:p>
            <w:pPr>
              <w:spacing w:after="0"/>
              <w:rPr>
                <w:sz w:val="14"/>
                <w:szCs w:val="14"/>
                <w:color w:val="auto"/>
              </w:rPr>
            </w:pPr>
          </w:p>
        </w:tc>
        <w:tc>
          <w:tcPr>
            <w:tcW w:w="9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 of Net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020" w:type="dxa"/>
            <w:vAlign w:val="bottom"/>
            <w:gridSpan w:val="15"/>
            <w:vMerge w:val="continue"/>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Industry</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Investment</w:t>
            </w:r>
          </w:p>
        </w:tc>
        <w:tc>
          <w:tcPr>
            <w:tcW w:w="16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Principal</w:t>
            </w: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Borders>
              <w:top w:val="single" w:sz="8" w:color="auto"/>
            </w:tcBorders>
            <w:shd w:val="clear" w:color="auto" w:fill="CCEEFF"/>
          </w:tcPr>
          <w:p>
            <w:pPr>
              <w:spacing w:after="0"/>
              <w:rPr>
                <w:sz w:val="17"/>
                <w:szCs w:val="17"/>
                <w:color w:val="auto"/>
              </w:rPr>
            </w:pPr>
          </w:p>
        </w:tc>
        <w:tc>
          <w:tcPr>
            <w:tcW w:w="3020" w:type="dxa"/>
            <w:vAlign w:val="bottom"/>
            <w:tcBorders>
              <w:top w:val="single" w:sz="8" w:color="auto"/>
            </w:tcBorders>
            <w:gridSpan w:val="15"/>
            <w:shd w:val="clear" w:color="auto" w:fill="CCEEFF"/>
          </w:tcPr>
          <w:p>
            <w:pPr>
              <w:spacing w:after="0"/>
              <w:rPr>
                <w:sz w:val="20"/>
                <w:szCs w:val="20"/>
                <w:color w:val="auto"/>
              </w:rPr>
            </w:pPr>
            <w:r>
              <w:rPr>
                <w:rFonts w:ascii="Arial" w:cs="Arial" w:eastAsia="Arial" w:hAnsi="Arial"/>
                <w:sz w:val="14"/>
                <w:szCs w:val="14"/>
                <w:b w:val="1"/>
                <w:bCs w:val="1"/>
                <w:color w:val="auto"/>
              </w:rPr>
              <w:t>NON-CONTROLLED/NON-AFFILIATE</w:t>
            </w:r>
          </w:p>
        </w:tc>
        <w:tc>
          <w:tcPr>
            <w:tcW w:w="120" w:type="dxa"/>
            <w:vAlign w:val="bottom"/>
            <w:tcBorders>
              <w:top w:val="single" w:sz="8" w:color="CCEEFF"/>
            </w:tcBorders>
            <w:shd w:val="clear" w:color="auto" w:fill="CCEEFF"/>
          </w:tcPr>
          <w:p>
            <w:pPr>
              <w:spacing w:after="0"/>
              <w:rPr>
                <w:sz w:val="17"/>
                <w:szCs w:val="17"/>
                <w:color w:val="auto"/>
              </w:rPr>
            </w:pPr>
          </w:p>
        </w:tc>
        <w:tc>
          <w:tcPr>
            <w:tcW w:w="2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20" w:type="dxa"/>
            <w:vAlign w:val="bottom"/>
            <w:gridSpan w:val="15"/>
          </w:tcPr>
          <w:p>
            <w:pPr>
              <w:spacing w:after="0"/>
              <w:rPr>
                <w:sz w:val="20"/>
                <w:szCs w:val="20"/>
                <w:color w:val="auto"/>
              </w:rPr>
            </w:pPr>
            <w:r>
              <w:rPr>
                <w:rFonts w:ascii="Arial" w:cs="Arial" w:eastAsia="Arial" w:hAnsi="Arial"/>
                <w:sz w:val="14"/>
                <w:szCs w:val="14"/>
                <w:b w:val="1"/>
                <w:bCs w:val="1"/>
                <w:color w:val="auto"/>
              </w:rPr>
              <w:t>Coursera, Inc.</w:t>
            </w:r>
          </w:p>
        </w:tc>
        <w:tc>
          <w:tcPr>
            <w:tcW w:w="120" w:type="dxa"/>
            <w:vAlign w:val="bottom"/>
          </w:tcPr>
          <w:p>
            <w:pPr>
              <w:spacing w:after="0"/>
              <w:rPr>
                <w:sz w:val="14"/>
                <w:szCs w:val="14"/>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Mountain View, CA</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020" w:type="dxa"/>
            <w:vAlign w:val="bottom"/>
            <w:gridSpan w:val="15"/>
            <w:shd w:val="clear" w:color="auto" w:fill="CCEEFF"/>
          </w:tcPr>
          <w:p>
            <w:pPr>
              <w:spacing w:after="0"/>
              <w:rPr>
                <w:sz w:val="20"/>
                <w:szCs w:val="20"/>
                <w:color w:val="auto"/>
              </w:rPr>
            </w:pPr>
            <w:r>
              <w:rPr>
                <w:rFonts w:ascii="Arial" w:cs="Arial" w:eastAsia="Arial" w:hAnsi="Arial"/>
                <w:sz w:val="14"/>
                <w:szCs w:val="14"/>
                <w:color w:val="auto"/>
              </w:rPr>
              <w:t>Preferred shares, Series B 8%</w:t>
            </w:r>
          </w:p>
        </w:tc>
        <w:tc>
          <w:tcPr>
            <w:tcW w:w="120" w:type="dxa"/>
            <w:vAlign w:val="bottom"/>
            <w:shd w:val="clear" w:color="auto" w:fill="CCEEFF"/>
          </w:tcPr>
          <w:p>
            <w:pPr>
              <w:spacing w:after="0"/>
              <w:rPr>
                <w:sz w:val="17"/>
                <w:szCs w:val="17"/>
                <w:color w:val="auto"/>
              </w:rPr>
            </w:pP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Online Education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6/9/2013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2,961,399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96"/>
              </w:rPr>
              <w:t>14,519,519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33,569,902</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16.79</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20" w:type="dxa"/>
            <w:vAlign w:val="bottom"/>
            <w:gridSpan w:val="15"/>
          </w:tcPr>
          <w:p>
            <w:pPr>
              <w:spacing w:after="0"/>
              <w:rPr>
                <w:sz w:val="20"/>
                <w:szCs w:val="20"/>
                <w:color w:val="auto"/>
              </w:rPr>
            </w:pPr>
            <w:r>
              <w:rPr>
                <w:rFonts w:ascii="Arial" w:cs="Arial" w:eastAsia="Arial" w:hAnsi="Arial"/>
                <w:sz w:val="14"/>
                <w:szCs w:val="14"/>
                <w:b w:val="1"/>
                <w:bCs w:val="1"/>
                <w:color w:val="auto"/>
              </w:rPr>
              <w:t>Palantir Technologies, Inc.</w:t>
            </w:r>
          </w:p>
        </w:tc>
        <w:tc>
          <w:tcPr>
            <w:tcW w:w="120" w:type="dxa"/>
            <w:vAlign w:val="bottom"/>
          </w:tcPr>
          <w:p>
            <w:pPr>
              <w:spacing w:after="0"/>
              <w:rPr>
                <w:sz w:val="14"/>
                <w:szCs w:val="14"/>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color w:val="auto"/>
                <w:w w:val="98"/>
              </w:rPr>
              <w:t>Palo Alto, CA</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020" w:type="dxa"/>
            <w:vAlign w:val="bottom"/>
            <w:gridSpan w:val="15"/>
            <w:shd w:val="clear" w:color="auto" w:fill="CCEEFF"/>
          </w:tcPr>
          <w:p>
            <w:pPr>
              <w:spacing w:after="0"/>
              <w:rPr>
                <w:sz w:val="20"/>
                <w:szCs w:val="20"/>
                <w:color w:val="auto"/>
              </w:rPr>
            </w:pPr>
            <w:r>
              <w:rPr>
                <w:rFonts w:ascii="Arial" w:cs="Arial" w:eastAsia="Arial" w:hAnsi="Arial"/>
                <w:sz w:val="14"/>
                <w:szCs w:val="14"/>
                <w:color w:val="auto"/>
              </w:rPr>
              <w:t>Common shares, Class A</w:t>
            </w:r>
          </w:p>
        </w:tc>
        <w:tc>
          <w:tcPr>
            <w:tcW w:w="12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Data Analysis</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5/7/2012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5,773,690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96"/>
              </w:rPr>
              <w:t>16,189,935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31,582,084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20" w:type="dxa"/>
            <w:vAlign w:val="bottom"/>
            <w:gridSpan w:val="15"/>
          </w:tcPr>
          <w:p>
            <w:pPr>
              <w:spacing w:after="0"/>
              <w:rPr>
                <w:sz w:val="20"/>
                <w:szCs w:val="20"/>
                <w:color w:val="auto"/>
              </w:rPr>
            </w:pPr>
            <w:r>
              <w:rPr>
                <w:rFonts w:ascii="Arial" w:cs="Arial" w:eastAsia="Arial" w:hAnsi="Arial"/>
                <w:sz w:val="14"/>
                <w:szCs w:val="14"/>
                <w:b w:val="1"/>
                <w:bCs w:val="1"/>
                <w:color w:val="auto"/>
              </w:rPr>
              <w:t>Course Hero, Inc.</w:t>
            </w:r>
          </w:p>
        </w:tc>
        <w:tc>
          <w:tcPr>
            <w:tcW w:w="120" w:type="dxa"/>
            <w:vAlign w:val="bottom"/>
          </w:tcPr>
          <w:p>
            <w:pPr>
              <w:spacing w:after="0"/>
              <w:rPr>
                <w:sz w:val="14"/>
                <w:szCs w:val="14"/>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Redwood City, CA</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020" w:type="dxa"/>
            <w:vAlign w:val="bottom"/>
            <w:gridSpan w:val="15"/>
            <w:shd w:val="clear" w:color="auto" w:fill="CCEEFF"/>
          </w:tcPr>
          <w:p>
            <w:pPr>
              <w:spacing w:after="0"/>
              <w:rPr>
                <w:sz w:val="20"/>
                <w:szCs w:val="20"/>
                <w:color w:val="auto"/>
              </w:rPr>
            </w:pPr>
            <w:r>
              <w:rPr>
                <w:rFonts w:ascii="Arial" w:cs="Arial" w:eastAsia="Arial" w:hAnsi="Arial"/>
                <w:sz w:val="14"/>
                <w:szCs w:val="14"/>
                <w:color w:val="auto"/>
              </w:rPr>
              <w:t>Preferred shares, Series A 8%</w:t>
            </w:r>
          </w:p>
        </w:tc>
        <w:tc>
          <w:tcPr>
            <w:tcW w:w="12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Online Education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9/18/2014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2,145,509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5,000,001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25,674,019</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12.84</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20" w:type="dxa"/>
            <w:vAlign w:val="bottom"/>
            <w:gridSpan w:val="15"/>
          </w:tcPr>
          <w:p>
            <w:pPr>
              <w:spacing w:after="0"/>
              <w:rPr>
                <w:sz w:val="20"/>
                <w:szCs w:val="20"/>
                <w:color w:val="auto"/>
              </w:rPr>
            </w:pPr>
            <w:r>
              <w:rPr>
                <w:rFonts w:ascii="Arial" w:cs="Arial" w:eastAsia="Arial" w:hAnsi="Arial"/>
                <w:sz w:val="14"/>
                <w:szCs w:val="14"/>
                <w:b w:val="1"/>
                <w:bCs w:val="1"/>
                <w:color w:val="auto"/>
              </w:rPr>
              <w:t>Parchment, Inc.</w:t>
            </w:r>
          </w:p>
        </w:tc>
        <w:tc>
          <w:tcPr>
            <w:tcW w:w="120" w:type="dxa"/>
            <w:vAlign w:val="bottom"/>
          </w:tcPr>
          <w:p>
            <w:pPr>
              <w:spacing w:after="0"/>
              <w:rPr>
                <w:sz w:val="14"/>
                <w:szCs w:val="14"/>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Scottsdale, AZ</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20" w:type="dxa"/>
            <w:vAlign w:val="bottom"/>
            <w:gridSpan w:val="15"/>
            <w:shd w:val="clear" w:color="auto" w:fill="CCEEFF"/>
          </w:tcPr>
          <w:p>
            <w:pPr>
              <w:spacing w:after="0"/>
              <w:rPr>
                <w:sz w:val="20"/>
                <w:szCs w:val="20"/>
                <w:color w:val="auto"/>
              </w:rPr>
            </w:pPr>
            <w:r>
              <w:rPr>
                <w:rFonts w:ascii="Arial" w:cs="Arial" w:eastAsia="Arial" w:hAnsi="Arial"/>
                <w:sz w:val="14"/>
                <w:szCs w:val="14"/>
                <w:color w:val="auto"/>
              </w:rPr>
              <w:t>Preferred shares, Series D 8%</w:t>
            </w:r>
          </w:p>
        </w:tc>
        <w:tc>
          <w:tcPr>
            <w:tcW w:w="12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E-Transcript Exchange</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10/1/2012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3,200,512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4,000,982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10,896,585</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20" w:type="dxa"/>
            <w:vAlign w:val="bottom"/>
            <w:gridSpan w:val="15"/>
          </w:tcPr>
          <w:p>
            <w:pPr>
              <w:spacing w:after="0"/>
              <w:rPr>
                <w:sz w:val="20"/>
                <w:szCs w:val="20"/>
                <w:color w:val="auto"/>
              </w:rPr>
            </w:pPr>
            <w:r>
              <w:rPr>
                <w:rFonts w:ascii="Arial" w:cs="Arial" w:eastAsia="Arial" w:hAnsi="Arial"/>
                <w:sz w:val="14"/>
                <w:szCs w:val="14"/>
                <w:b w:val="1"/>
                <w:bCs w:val="1"/>
                <w:color w:val="auto"/>
              </w:rPr>
              <w:t>Nextdoor.com, Inc.</w:t>
            </w:r>
          </w:p>
        </w:tc>
        <w:tc>
          <w:tcPr>
            <w:tcW w:w="120" w:type="dxa"/>
            <w:vAlign w:val="bottom"/>
          </w:tcPr>
          <w:p>
            <w:pPr>
              <w:spacing w:after="0"/>
              <w:rPr>
                <w:sz w:val="14"/>
                <w:szCs w:val="14"/>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San Francisco, CA</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020" w:type="dxa"/>
            <w:vAlign w:val="bottom"/>
            <w:gridSpan w:val="15"/>
            <w:shd w:val="clear" w:color="auto" w:fill="CCEEFF"/>
          </w:tcPr>
          <w:p>
            <w:pPr>
              <w:spacing w:after="0"/>
              <w:rPr>
                <w:sz w:val="20"/>
                <w:szCs w:val="20"/>
                <w:color w:val="auto"/>
              </w:rPr>
            </w:pPr>
            <w:r>
              <w:rPr>
                <w:rFonts w:ascii="Arial" w:cs="Arial" w:eastAsia="Arial" w:hAnsi="Arial"/>
                <w:sz w:val="14"/>
                <w:szCs w:val="14"/>
                <w:color w:val="auto"/>
              </w:rPr>
              <w:t>Common shares</w:t>
            </w:r>
          </w:p>
        </w:tc>
        <w:tc>
          <w:tcPr>
            <w:tcW w:w="120" w:type="dxa"/>
            <w:vAlign w:val="bottom"/>
            <w:shd w:val="clear" w:color="auto" w:fill="CCEEFF"/>
          </w:tcPr>
          <w:p>
            <w:pPr>
              <w:spacing w:after="0"/>
              <w:rPr>
                <w:sz w:val="17"/>
                <w:szCs w:val="17"/>
                <w:color w:val="auto"/>
              </w:rPr>
            </w:pPr>
          </w:p>
        </w:tc>
        <w:tc>
          <w:tcPr>
            <w:tcW w:w="2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6"/>
              </w:rPr>
              <w:t>Social Networking</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9/27/2018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580,360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96"/>
              </w:rPr>
              <w:t>10,006,578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10,867,365</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20" w:type="dxa"/>
            <w:vAlign w:val="bottom"/>
            <w:gridSpan w:val="15"/>
          </w:tcPr>
          <w:p>
            <w:pPr>
              <w:spacing w:after="0"/>
              <w:rPr>
                <w:sz w:val="20"/>
                <w:szCs w:val="20"/>
                <w:color w:val="auto"/>
              </w:rPr>
            </w:pPr>
            <w:r>
              <w:rPr>
                <w:rFonts w:ascii="Arial" w:cs="Arial" w:eastAsia="Arial" w:hAnsi="Arial"/>
                <w:sz w:val="14"/>
                <w:szCs w:val="14"/>
                <w:b w:val="1"/>
                <w:bCs w:val="1"/>
                <w:color w:val="auto"/>
              </w:rPr>
              <w:t>Neutron Holdings, Inc. (d/b/a/ Lime)</w:t>
            </w:r>
          </w:p>
        </w:tc>
        <w:tc>
          <w:tcPr>
            <w:tcW w:w="120" w:type="dxa"/>
            <w:vAlign w:val="bottom"/>
          </w:tcPr>
          <w:p>
            <w:pPr>
              <w:spacing w:after="0"/>
              <w:rPr>
                <w:sz w:val="14"/>
                <w:szCs w:val="14"/>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San Francisco, CA</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020" w:type="dxa"/>
            <w:vAlign w:val="bottom"/>
            <w:gridSpan w:val="15"/>
            <w:shd w:val="clear" w:color="auto" w:fill="CCEEFF"/>
          </w:tcPr>
          <w:p>
            <w:pPr>
              <w:spacing w:after="0"/>
              <w:rPr>
                <w:sz w:val="20"/>
                <w:szCs w:val="20"/>
                <w:color w:val="auto"/>
              </w:rPr>
            </w:pPr>
            <w:r>
              <w:rPr>
                <w:rFonts w:ascii="Arial" w:cs="Arial" w:eastAsia="Arial" w:hAnsi="Arial"/>
                <w:sz w:val="14"/>
                <w:szCs w:val="14"/>
                <w:color w:val="auto"/>
              </w:rPr>
              <w:t>Preferred shares, Series D 6%</w:t>
            </w:r>
          </w:p>
        </w:tc>
        <w:tc>
          <w:tcPr>
            <w:tcW w:w="12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Micromobility</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1/25/2019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94"/>
              </w:rPr>
              <w:t>41,237,113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96"/>
              </w:rPr>
              <w:t>10,006,800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10,000,000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20" w:type="dxa"/>
            <w:vAlign w:val="bottom"/>
            <w:gridSpan w:val="15"/>
          </w:tcPr>
          <w:p>
            <w:pPr>
              <w:spacing w:after="0"/>
              <w:rPr>
                <w:sz w:val="20"/>
                <w:szCs w:val="20"/>
                <w:color w:val="auto"/>
              </w:rPr>
            </w:pPr>
            <w:r>
              <w:rPr>
                <w:rFonts w:ascii="Arial" w:cs="Arial" w:eastAsia="Arial" w:hAnsi="Arial"/>
                <w:sz w:val="14"/>
                <w:szCs w:val="14"/>
                <w:b w:val="1"/>
                <w:bCs w:val="1"/>
                <w:color w:val="auto"/>
              </w:rPr>
              <w:t>Treehouse Real Estate Investment Trust, Inc.</w:t>
            </w:r>
          </w:p>
        </w:tc>
        <w:tc>
          <w:tcPr>
            <w:tcW w:w="120" w:type="dxa"/>
            <w:vAlign w:val="bottom"/>
          </w:tcPr>
          <w:p>
            <w:pPr>
              <w:spacing w:after="0"/>
              <w:rPr>
                <w:sz w:val="14"/>
                <w:szCs w:val="14"/>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Chicago, IL</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020" w:type="dxa"/>
            <w:vAlign w:val="bottom"/>
            <w:gridSpan w:val="15"/>
            <w:shd w:val="clear" w:color="auto" w:fill="CCEEFF"/>
          </w:tcPr>
          <w:p>
            <w:pPr>
              <w:spacing w:after="0"/>
              <w:rPr>
                <w:sz w:val="20"/>
                <w:szCs w:val="20"/>
                <w:color w:val="auto"/>
              </w:rPr>
            </w:pPr>
            <w:r>
              <w:rPr>
                <w:rFonts w:ascii="Arial" w:cs="Arial" w:eastAsia="Arial" w:hAnsi="Arial"/>
                <w:sz w:val="14"/>
                <w:szCs w:val="14"/>
                <w:color w:val="auto"/>
              </w:rPr>
              <w:t>Common shares***</w:t>
            </w:r>
            <w:r>
              <w:rPr>
                <w:rFonts w:ascii="Arial" w:cs="Arial" w:eastAsia="Arial" w:hAnsi="Arial"/>
                <w:sz w:val="9"/>
                <w:szCs w:val="9"/>
                <w:color w:val="auto"/>
              </w:rPr>
              <w:t>(11)</w:t>
            </w:r>
          </w:p>
        </w:tc>
        <w:tc>
          <w:tcPr>
            <w:tcW w:w="120" w:type="dxa"/>
            <w:vAlign w:val="bottom"/>
            <w:shd w:val="clear" w:color="auto" w:fill="CCEEFF"/>
          </w:tcPr>
          <w:p>
            <w:pPr>
              <w:spacing w:after="0"/>
              <w:rPr>
                <w:sz w:val="17"/>
                <w:szCs w:val="17"/>
                <w:color w:val="auto"/>
              </w:rPr>
            </w:pP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Cannabis REIT</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9/11/2019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312,500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7,500,000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7,384,738</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20" w:type="dxa"/>
            <w:vAlign w:val="bottom"/>
            <w:gridSpan w:val="15"/>
          </w:tcPr>
          <w:p>
            <w:pPr>
              <w:spacing w:after="0"/>
              <w:rPr>
                <w:sz w:val="20"/>
                <w:szCs w:val="20"/>
                <w:color w:val="auto"/>
              </w:rPr>
            </w:pPr>
            <w:r>
              <w:rPr>
                <w:rFonts w:ascii="Arial" w:cs="Arial" w:eastAsia="Arial" w:hAnsi="Arial"/>
                <w:sz w:val="14"/>
                <w:szCs w:val="14"/>
                <w:b w:val="1"/>
                <w:bCs w:val="1"/>
                <w:color w:val="auto"/>
              </w:rPr>
              <w:t>Enjoy Technology, Inc.</w:t>
            </w:r>
          </w:p>
        </w:tc>
        <w:tc>
          <w:tcPr>
            <w:tcW w:w="120" w:type="dxa"/>
            <w:vAlign w:val="bottom"/>
          </w:tcPr>
          <w:p>
            <w:pPr>
              <w:spacing w:after="0"/>
              <w:rPr>
                <w:sz w:val="14"/>
                <w:szCs w:val="14"/>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Menlo Park, CA</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20" w:type="dxa"/>
            <w:vAlign w:val="bottom"/>
            <w:gridSpan w:val="15"/>
            <w:shd w:val="clear" w:color="auto" w:fill="CCEEFF"/>
          </w:tcPr>
          <w:p>
            <w:pPr>
              <w:spacing w:after="0"/>
              <w:rPr>
                <w:sz w:val="20"/>
                <w:szCs w:val="20"/>
                <w:color w:val="auto"/>
              </w:rPr>
            </w:pPr>
            <w:r>
              <w:rPr>
                <w:rFonts w:ascii="Arial" w:cs="Arial" w:eastAsia="Arial" w:hAnsi="Arial"/>
                <w:sz w:val="14"/>
                <w:szCs w:val="14"/>
                <w:color w:val="auto"/>
              </w:rPr>
              <w:t>Preferred shares, Series B 6%</w:t>
            </w:r>
          </w:p>
        </w:tc>
        <w:tc>
          <w:tcPr>
            <w:tcW w:w="12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On-Demand Commerce</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7/29/2015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1,681,520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4,000,280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4,758,702</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20" w:type="dxa"/>
            <w:vAlign w:val="bottom"/>
            <w:tcBorders>
              <w:bottom w:val="single" w:sz="8" w:color="CCEEFF"/>
            </w:tcBorders>
          </w:tcPr>
          <w:p>
            <w:pPr>
              <w:spacing w:after="0"/>
              <w:rPr>
                <w:sz w:val="17"/>
                <w:szCs w:val="17"/>
                <w:color w:val="auto"/>
              </w:rPr>
            </w:pPr>
          </w:p>
        </w:tc>
        <w:tc>
          <w:tcPr>
            <w:tcW w:w="3020" w:type="dxa"/>
            <w:vAlign w:val="bottom"/>
            <w:tcBorders>
              <w:bottom w:val="single" w:sz="8" w:color="CCEEFF"/>
            </w:tcBorders>
            <w:gridSpan w:val="15"/>
          </w:tcPr>
          <w:p>
            <w:pPr>
              <w:spacing w:after="0"/>
              <w:rPr>
                <w:sz w:val="20"/>
                <w:szCs w:val="20"/>
                <w:color w:val="auto"/>
              </w:rPr>
            </w:pPr>
            <w:r>
              <w:rPr>
                <w:rFonts w:ascii="Arial" w:cs="Arial" w:eastAsia="Arial" w:hAnsi="Arial"/>
                <w:sz w:val="14"/>
                <w:szCs w:val="14"/>
                <w:color w:val="auto"/>
              </w:rPr>
              <w:t>Preferred shares, Series A 6%</w:t>
            </w:r>
          </w:p>
        </w:tc>
        <w:tc>
          <w:tcPr>
            <w:tcW w:w="120" w:type="dxa"/>
            <w:vAlign w:val="bottom"/>
            <w:tcBorders>
              <w:bottom w:val="single" w:sz="8" w:color="CCEEFF"/>
            </w:tcBorders>
          </w:tcPr>
          <w:p>
            <w:pPr>
              <w:spacing w:after="0"/>
              <w:rPr>
                <w:sz w:val="17"/>
                <w:szCs w:val="17"/>
                <w:color w:val="auto"/>
              </w:rPr>
            </w:pPr>
          </w:p>
        </w:tc>
        <w:tc>
          <w:tcPr>
            <w:tcW w:w="23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4"/>
              </w:rPr>
              <w:t>10/16/2014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jc w:val="right"/>
              <w:ind w:right="88"/>
              <w:spacing w:after="0"/>
              <w:rPr>
                <w:sz w:val="20"/>
                <w:szCs w:val="20"/>
                <w:color w:val="auto"/>
              </w:rPr>
            </w:pPr>
            <w:r>
              <w:rPr>
                <w:rFonts w:ascii="Arial" w:cs="Arial" w:eastAsia="Arial" w:hAnsi="Arial"/>
                <w:sz w:val="14"/>
                <w:szCs w:val="14"/>
                <w:color w:val="auto"/>
              </w:rPr>
              <w:t>879,198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1,002,440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2,488,130</w:t>
            </w: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3020" w:type="dxa"/>
            <w:vAlign w:val="bottom"/>
            <w:gridSpan w:val="15"/>
            <w:shd w:val="clear" w:color="auto" w:fill="CCEEFF"/>
          </w:tcPr>
          <w:p>
            <w:pPr>
              <w:ind w:left="10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5,002,720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7,246,832</w:t>
            </w:r>
          </w:p>
        </w:tc>
        <w:tc>
          <w:tcPr>
            <w:tcW w:w="10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20" w:type="dxa"/>
            <w:vAlign w:val="bottom"/>
            <w:gridSpan w:val="15"/>
          </w:tcPr>
          <w:p>
            <w:pPr>
              <w:spacing w:after="0" w:line="142" w:lineRule="exact"/>
              <w:rPr>
                <w:sz w:val="20"/>
                <w:szCs w:val="20"/>
                <w:color w:val="auto"/>
              </w:rPr>
            </w:pPr>
            <w:r>
              <w:rPr>
                <w:rFonts w:ascii="Arial" w:cs="Arial" w:eastAsia="Arial" w:hAnsi="Arial"/>
                <w:sz w:val="14"/>
                <w:szCs w:val="14"/>
                <w:b w:val="1"/>
                <w:bCs w:val="1"/>
                <w:color w:val="auto"/>
              </w:rPr>
              <w:t>SharesPost, Inc.</w:t>
            </w:r>
          </w:p>
        </w:tc>
        <w:tc>
          <w:tcPr>
            <w:tcW w:w="120" w:type="dxa"/>
            <w:vAlign w:val="bottom"/>
          </w:tcPr>
          <w:p>
            <w:pPr>
              <w:spacing w:after="0"/>
              <w:rPr>
                <w:sz w:val="12"/>
                <w:szCs w:val="12"/>
                <w:color w:val="auto"/>
              </w:rPr>
            </w:pPr>
          </w:p>
        </w:tc>
        <w:tc>
          <w:tcPr>
            <w:tcW w:w="2420" w:type="dxa"/>
            <w:vAlign w:val="bottom"/>
            <w:gridSpan w:val="2"/>
          </w:tcPr>
          <w:p>
            <w:pPr>
              <w:jc w:val="center"/>
              <w:ind w:right="100"/>
              <w:spacing w:after="0" w:line="142" w:lineRule="exact"/>
              <w:rPr>
                <w:sz w:val="20"/>
                <w:szCs w:val="20"/>
                <w:color w:val="auto"/>
              </w:rPr>
            </w:pPr>
            <w:r>
              <w:rPr>
                <w:rFonts w:ascii="Arial" w:cs="Arial" w:eastAsia="Arial" w:hAnsi="Arial"/>
                <w:sz w:val="14"/>
                <w:szCs w:val="14"/>
                <w:color w:val="auto"/>
                <w:w w:val="92"/>
              </w:rPr>
              <w:t>San Francisco, CA</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20" w:type="dxa"/>
            <w:vAlign w:val="bottom"/>
            <w:gridSpan w:val="15"/>
            <w:shd w:val="clear" w:color="auto" w:fill="CCEEFF"/>
          </w:tcPr>
          <w:p>
            <w:pPr>
              <w:spacing w:after="0"/>
              <w:rPr>
                <w:sz w:val="20"/>
                <w:szCs w:val="20"/>
                <w:color w:val="auto"/>
              </w:rPr>
            </w:pPr>
            <w:r>
              <w:rPr>
                <w:rFonts w:ascii="Arial" w:cs="Arial" w:eastAsia="Arial" w:hAnsi="Arial"/>
                <w:sz w:val="14"/>
                <w:szCs w:val="14"/>
                <w:color w:val="auto"/>
              </w:rPr>
              <w:t>Preferred shares, Series B 6%</w:t>
            </w:r>
          </w:p>
        </w:tc>
        <w:tc>
          <w:tcPr>
            <w:tcW w:w="12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Online Marketplace Finance</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7/19/2011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1,771,653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2,259,716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6,186,877</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20" w:type="dxa"/>
            <w:vAlign w:val="bottom"/>
            <w:tcBorders>
              <w:bottom w:val="single" w:sz="8" w:color="CCEEFF"/>
            </w:tcBorders>
          </w:tcPr>
          <w:p>
            <w:pPr>
              <w:spacing w:after="0"/>
              <w:rPr>
                <w:sz w:val="17"/>
                <w:szCs w:val="17"/>
                <w:color w:val="auto"/>
              </w:rPr>
            </w:pPr>
          </w:p>
        </w:tc>
        <w:tc>
          <w:tcPr>
            <w:tcW w:w="3020" w:type="dxa"/>
            <w:vAlign w:val="bottom"/>
            <w:tcBorders>
              <w:bottom w:val="single" w:sz="8" w:color="CCEEFF"/>
            </w:tcBorders>
            <w:gridSpan w:val="15"/>
          </w:tcPr>
          <w:p>
            <w:pPr>
              <w:spacing w:after="0"/>
              <w:rPr>
                <w:sz w:val="20"/>
                <w:szCs w:val="20"/>
                <w:color w:val="auto"/>
              </w:rPr>
            </w:pPr>
            <w:r>
              <w:rPr>
                <w:rFonts w:ascii="Arial" w:cs="Arial" w:eastAsia="Arial" w:hAnsi="Arial"/>
                <w:sz w:val="14"/>
                <w:szCs w:val="14"/>
                <w:color w:val="auto"/>
              </w:rPr>
              <w:t>Common shares</w:t>
            </w:r>
          </w:p>
        </w:tc>
        <w:tc>
          <w:tcPr>
            <w:tcW w:w="120" w:type="dxa"/>
            <w:vAlign w:val="bottom"/>
            <w:tcBorders>
              <w:bottom w:val="single" w:sz="8" w:color="CCEEFF"/>
            </w:tcBorders>
          </w:tcPr>
          <w:p>
            <w:pPr>
              <w:spacing w:after="0"/>
              <w:rPr>
                <w:sz w:val="17"/>
                <w:szCs w:val="17"/>
                <w:color w:val="auto"/>
              </w:rPr>
            </w:pPr>
          </w:p>
        </w:tc>
        <w:tc>
          <w:tcPr>
            <w:tcW w:w="23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3"/>
              </w:rPr>
              <w:t>7/20/2011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jc w:val="right"/>
              <w:ind w:right="88"/>
              <w:spacing w:after="0"/>
              <w:rPr>
                <w:sz w:val="20"/>
                <w:szCs w:val="20"/>
                <w:color w:val="auto"/>
              </w:rPr>
            </w:pPr>
            <w:r>
              <w:rPr>
                <w:rFonts w:ascii="Arial" w:cs="Arial" w:eastAsia="Arial" w:hAnsi="Arial"/>
                <w:sz w:val="14"/>
                <w:szCs w:val="14"/>
                <w:color w:val="auto"/>
              </w:rPr>
              <w:t>770,934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123,987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890,340</w:t>
            </w: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3020" w:type="dxa"/>
            <w:vAlign w:val="bottom"/>
            <w:tcBorders>
              <w:bottom w:val="single" w:sz="8" w:color="CCEEFF"/>
            </w:tcBorders>
            <w:gridSpan w:val="15"/>
            <w:shd w:val="clear" w:color="auto" w:fill="CCEEFF"/>
          </w:tcPr>
          <w:p>
            <w:pPr>
              <w:ind w:left="10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shd w:val="clear" w:color="auto" w:fill="CCEEFF"/>
          </w:tcPr>
          <w:p>
            <w:pPr>
              <w:spacing w:after="0"/>
              <w:rPr>
                <w:sz w:val="17"/>
                <w:szCs w:val="17"/>
                <w:color w:val="auto"/>
              </w:rPr>
            </w:pPr>
          </w:p>
        </w:tc>
        <w:tc>
          <w:tcPr>
            <w:tcW w:w="2320" w:type="dxa"/>
            <w:vAlign w:val="bottom"/>
            <w:tcBorders>
              <w:bottom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2,383,703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7,077,217</w:t>
            </w:r>
          </w:p>
        </w:tc>
        <w:tc>
          <w:tcPr>
            <w:tcW w:w="10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20" w:type="dxa"/>
            <w:vAlign w:val="bottom"/>
            <w:gridSpan w:val="15"/>
          </w:tcPr>
          <w:p>
            <w:pPr>
              <w:spacing w:after="0"/>
              <w:rPr>
                <w:sz w:val="20"/>
                <w:szCs w:val="20"/>
                <w:color w:val="auto"/>
              </w:rPr>
            </w:pPr>
            <w:r>
              <w:rPr>
                <w:rFonts w:ascii="Arial" w:cs="Arial" w:eastAsia="Arial" w:hAnsi="Arial"/>
                <w:sz w:val="14"/>
                <w:szCs w:val="14"/>
                <w:b w:val="1"/>
                <w:bCs w:val="1"/>
                <w:color w:val="auto"/>
              </w:rPr>
              <w:t>Aspiration Partners, Inc.</w:t>
            </w:r>
          </w:p>
        </w:tc>
        <w:tc>
          <w:tcPr>
            <w:tcW w:w="120" w:type="dxa"/>
            <w:vAlign w:val="bottom"/>
          </w:tcPr>
          <w:p>
            <w:pPr>
              <w:spacing w:after="0"/>
              <w:rPr>
                <w:sz w:val="14"/>
                <w:szCs w:val="14"/>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Marina Del Rey, CA</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20" w:type="dxa"/>
            <w:vAlign w:val="bottom"/>
            <w:gridSpan w:val="15"/>
            <w:shd w:val="clear" w:color="auto" w:fill="CCEEFF"/>
          </w:tcPr>
          <w:p>
            <w:pPr>
              <w:spacing w:after="0"/>
              <w:rPr>
                <w:sz w:val="20"/>
                <w:szCs w:val="20"/>
                <w:color w:val="auto"/>
              </w:rPr>
            </w:pPr>
            <w:r>
              <w:rPr>
                <w:rFonts w:ascii="Arial" w:cs="Arial" w:eastAsia="Arial" w:hAnsi="Arial"/>
                <w:sz w:val="14"/>
                <w:szCs w:val="14"/>
                <w:color w:val="auto"/>
              </w:rPr>
              <w:t>Preferred shares, Series A</w:t>
            </w:r>
          </w:p>
        </w:tc>
        <w:tc>
          <w:tcPr>
            <w:tcW w:w="12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Financial Services</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8/11/2015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540,270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1,001,815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4,471,678</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020" w:type="dxa"/>
            <w:vAlign w:val="bottom"/>
            <w:gridSpan w:val="15"/>
          </w:tcPr>
          <w:p>
            <w:pPr>
              <w:spacing w:after="0" w:line="157" w:lineRule="exact"/>
              <w:rPr>
                <w:sz w:val="20"/>
                <w:szCs w:val="20"/>
                <w:color w:val="auto"/>
              </w:rPr>
            </w:pPr>
            <w:r>
              <w:rPr>
                <w:rFonts w:ascii="Arial" w:cs="Arial" w:eastAsia="Arial" w:hAnsi="Arial"/>
                <w:sz w:val="14"/>
                <w:szCs w:val="14"/>
                <w:color w:val="auto"/>
              </w:rPr>
              <w:t>Convertible Promissory Note 5%, Due</w:t>
            </w:r>
          </w:p>
        </w:tc>
        <w:tc>
          <w:tcPr>
            <w:tcW w:w="1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90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1/31/2021***</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3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3"/>
              </w:rPr>
              <w:t>8/12/2019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tcPr>
          <w:p>
            <w:pPr>
              <w:jc w:val="right"/>
              <w:ind w:right="88"/>
              <w:spacing w:after="0"/>
              <w:rPr>
                <w:sz w:val="20"/>
                <w:szCs w:val="20"/>
                <w:color w:val="auto"/>
              </w:rPr>
            </w:pPr>
            <w:r>
              <w:rPr>
                <w:rFonts w:ascii="Arial" w:cs="Arial" w:eastAsia="Arial" w:hAnsi="Arial"/>
                <w:sz w:val="14"/>
                <w:szCs w:val="14"/>
                <w:color w:val="auto"/>
              </w:rPr>
              <w:t>280,000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281,190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321,168</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3020" w:type="dxa"/>
            <w:vAlign w:val="bottom"/>
            <w:tcBorders>
              <w:bottom w:val="single" w:sz="8" w:color="CCEEFF"/>
            </w:tcBorders>
            <w:gridSpan w:val="15"/>
            <w:shd w:val="clear" w:color="auto" w:fill="CCEEFF"/>
          </w:tcPr>
          <w:p>
            <w:pPr>
              <w:ind w:left="10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1,283,005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4,792,846</w:t>
            </w:r>
          </w:p>
        </w:tc>
        <w:tc>
          <w:tcPr>
            <w:tcW w:w="10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20" w:type="dxa"/>
            <w:vAlign w:val="bottom"/>
            <w:gridSpan w:val="15"/>
          </w:tcPr>
          <w:p>
            <w:pPr>
              <w:spacing w:after="0"/>
              <w:rPr>
                <w:sz w:val="20"/>
                <w:szCs w:val="20"/>
                <w:color w:val="auto"/>
              </w:rPr>
            </w:pPr>
            <w:r>
              <w:rPr>
                <w:rFonts w:ascii="Arial" w:cs="Arial" w:eastAsia="Arial" w:hAnsi="Arial"/>
                <w:sz w:val="14"/>
                <w:szCs w:val="14"/>
                <w:b w:val="1"/>
                <w:bCs w:val="1"/>
                <w:color w:val="auto"/>
              </w:rPr>
              <w:t>Clever, Inc.</w:t>
            </w:r>
          </w:p>
        </w:tc>
        <w:tc>
          <w:tcPr>
            <w:tcW w:w="120" w:type="dxa"/>
            <w:vAlign w:val="bottom"/>
          </w:tcPr>
          <w:p>
            <w:pPr>
              <w:spacing w:after="0"/>
              <w:rPr>
                <w:sz w:val="14"/>
                <w:szCs w:val="14"/>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San Francisco, CA</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20" w:type="dxa"/>
            <w:vAlign w:val="bottom"/>
            <w:gridSpan w:val="15"/>
            <w:shd w:val="clear" w:color="auto" w:fill="CCEEFF"/>
          </w:tcPr>
          <w:p>
            <w:pPr>
              <w:spacing w:after="0"/>
              <w:rPr>
                <w:sz w:val="20"/>
                <w:szCs w:val="20"/>
                <w:color w:val="auto"/>
              </w:rPr>
            </w:pPr>
            <w:r>
              <w:rPr>
                <w:rFonts w:ascii="Arial" w:cs="Arial" w:eastAsia="Arial" w:hAnsi="Arial"/>
                <w:sz w:val="14"/>
                <w:szCs w:val="14"/>
                <w:color w:val="auto"/>
              </w:rPr>
              <w:t>Preferred shares, Series B 8%</w:t>
            </w:r>
          </w:p>
        </w:tc>
        <w:tc>
          <w:tcPr>
            <w:tcW w:w="12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Education Software</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12/5/2014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1,799,047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2,000,601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2,000,001</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20" w:type="dxa"/>
            <w:vAlign w:val="bottom"/>
            <w:gridSpan w:val="15"/>
          </w:tcPr>
          <w:p>
            <w:pPr>
              <w:spacing w:after="0"/>
              <w:rPr>
                <w:sz w:val="20"/>
                <w:szCs w:val="20"/>
                <w:color w:val="auto"/>
              </w:rPr>
            </w:pPr>
            <w:r>
              <w:rPr>
                <w:rFonts w:ascii="Arial" w:cs="Arial" w:eastAsia="Arial" w:hAnsi="Arial"/>
                <w:sz w:val="14"/>
                <w:szCs w:val="14"/>
                <w:b w:val="1"/>
                <w:bCs w:val="1"/>
                <w:color w:val="auto"/>
              </w:rPr>
              <w:t>A Place for Rover Inc. (f/k/a DogVacay, Inc.)</w:t>
            </w:r>
          </w:p>
        </w:tc>
        <w:tc>
          <w:tcPr>
            <w:tcW w:w="120" w:type="dxa"/>
            <w:vAlign w:val="bottom"/>
          </w:tcPr>
          <w:p>
            <w:pPr>
              <w:spacing w:after="0"/>
              <w:rPr>
                <w:sz w:val="14"/>
                <w:szCs w:val="14"/>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Seattle, WA</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020" w:type="dxa"/>
            <w:vAlign w:val="bottom"/>
            <w:gridSpan w:val="15"/>
            <w:shd w:val="clear" w:color="auto" w:fill="CCEEFF"/>
          </w:tcPr>
          <w:p>
            <w:pPr>
              <w:spacing w:after="0"/>
              <w:rPr>
                <w:sz w:val="20"/>
                <w:szCs w:val="20"/>
                <w:color w:val="auto"/>
              </w:rPr>
            </w:pPr>
            <w:r>
              <w:rPr>
                <w:rFonts w:ascii="Arial" w:cs="Arial" w:eastAsia="Arial" w:hAnsi="Arial"/>
                <w:sz w:val="14"/>
                <w:szCs w:val="14"/>
                <w:color w:val="auto"/>
              </w:rPr>
              <w:t>Common shares</w:t>
            </w:r>
          </w:p>
        </w:tc>
        <w:tc>
          <w:tcPr>
            <w:tcW w:w="120" w:type="dxa"/>
            <w:vAlign w:val="bottom"/>
            <w:shd w:val="clear" w:color="auto" w:fill="CCEEFF"/>
          </w:tcPr>
          <w:p>
            <w:pPr>
              <w:spacing w:after="0"/>
              <w:rPr>
                <w:sz w:val="17"/>
                <w:szCs w:val="17"/>
                <w:color w:val="auto"/>
              </w:rPr>
            </w:pP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9"/>
              </w:rPr>
              <w:t>Peer-to-Peer Pet Services</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11/3/2014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707,991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2,506,119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963,533</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0.48</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20" w:type="dxa"/>
            <w:vAlign w:val="bottom"/>
            <w:gridSpan w:val="15"/>
          </w:tcPr>
          <w:p>
            <w:pPr>
              <w:spacing w:after="0"/>
              <w:rPr>
                <w:sz w:val="20"/>
                <w:szCs w:val="20"/>
                <w:color w:val="auto"/>
              </w:rPr>
            </w:pPr>
            <w:r>
              <w:rPr>
                <w:rFonts w:ascii="Arial" w:cs="Arial" w:eastAsia="Arial" w:hAnsi="Arial"/>
                <w:sz w:val="14"/>
                <w:szCs w:val="14"/>
                <w:b w:val="1"/>
                <w:bCs w:val="1"/>
                <w:color w:val="auto"/>
              </w:rPr>
              <w:t>Tynker (f/k/a Neuron Fuel, Inc.)</w:t>
            </w:r>
          </w:p>
        </w:tc>
        <w:tc>
          <w:tcPr>
            <w:tcW w:w="120" w:type="dxa"/>
            <w:vAlign w:val="bottom"/>
          </w:tcPr>
          <w:p>
            <w:pPr>
              <w:spacing w:after="0"/>
              <w:rPr>
                <w:sz w:val="14"/>
                <w:szCs w:val="14"/>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Mountain View, CA</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020" w:type="dxa"/>
            <w:vAlign w:val="bottom"/>
            <w:gridSpan w:val="15"/>
            <w:shd w:val="clear" w:color="auto" w:fill="CCEEFF"/>
          </w:tcPr>
          <w:p>
            <w:pPr>
              <w:spacing w:after="0"/>
              <w:rPr>
                <w:sz w:val="20"/>
                <w:szCs w:val="20"/>
                <w:color w:val="auto"/>
              </w:rPr>
            </w:pPr>
            <w:r>
              <w:rPr>
                <w:rFonts w:ascii="Arial" w:cs="Arial" w:eastAsia="Arial" w:hAnsi="Arial"/>
                <w:sz w:val="14"/>
                <w:szCs w:val="14"/>
                <w:color w:val="auto"/>
              </w:rPr>
              <w:t>Preferred shares, Series A 8%</w:t>
            </w:r>
          </w:p>
        </w:tc>
        <w:tc>
          <w:tcPr>
            <w:tcW w:w="120" w:type="dxa"/>
            <w:vAlign w:val="bottom"/>
            <w:shd w:val="clear" w:color="auto" w:fill="CCEEFF"/>
          </w:tcPr>
          <w:p>
            <w:pPr>
              <w:spacing w:after="0"/>
              <w:rPr>
                <w:sz w:val="17"/>
                <w:szCs w:val="17"/>
                <w:color w:val="auto"/>
              </w:rPr>
            </w:pP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Computer Software</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8/8/2012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534,162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309,310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789,491</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0.39</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20" w:type="dxa"/>
            <w:vAlign w:val="bottom"/>
            <w:gridSpan w:val="15"/>
          </w:tcPr>
          <w:p>
            <w:pPr>
              <w:spacing w:after="0"/>
              <w:rPr>
                <w:sz w:val="20"/>
                <w:szCs w:val="20"/>
                <w:color w:val="auto"/>
              </w:rPr>
            </w:pPr>
            <w:r>
              <w:rPr>
                <w:rFonts w:ascii="Arial" w:cs="Arial" w:eastAsia="Arial" w:hAnsi="Arial"/>
                <w:sz w:val="14"/>
                <w:szCs w:val="14"/>
                <w:b w:val="1"/>
                <w:bCs w:val="1"/>
                <w:color w:val="auto"/>
              </w:rPr>
              <w:t>4C Insights (f/k/a The Echo Systems Corp.)</w:t>
            </w:r>
          </w:p>
        </w:tc>
        <w:tc>
          <w:tcPr>
            <w:tcW w:w="120" w:type="dxa"/>
            <w:vAlign w:val="bottom"/>
          </w:tcPr>
          <w:p>
            <w:pPr>
              <w:spacing w:after="0"/>
              <w:rPr>
                <w:sz w:val="14"/>
                <w:szCs w:val="14"/>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Chicago, IL</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020" w:type="dxa"/>
            <w:vAlign w:val="bottom"/>
            <w:gridSpan w:val="15"/>
            <w:shd w:val="clear" w:color="auto" w:fill="CCEEFF"/>
          </w:tcPr>
          <w:p>
            <w:pPr>
              <w:spacing w:after="0"/>
              <w:rPr>
                <w:sz w:val="20"/>
                <w:szCs w:val="20"/>
                <w:color w:val="auto"/>
              </w:rPr>
            </w:pPr>
            <w:r>
              <w:rPr>
                <w:rFonts w:ascii="Arial" w:cs="Arial" w:eastAsia="Arial" w:hAnsi="Arial"/>
                <w:sz w:val="14"/>
                <w:szCs w:val="14"/>
                <w:color w:val="auto"/>
              </w:rPr>
              <w:t>Common shares</w:t>
            </w:r>
          </w:p>
        </w:tc>
        <w:tc>
          <w:tcPr>
            <w:tcW w:w="120" w:type="dxa"/>
            <w:vAlign w:val="bottom"/>
            <w:shd w:val="clear" w:color="auto" w:fill="CCEEFF"/>
          </w:tcPr>
          <w:p>
            <w:pPr>
              <w:spacing w:after="0"/>
              <w:rPr>
                <w:sz w:val="17"/>
                <w:szCs w:val="17"/>
                <w:color w:val="auto"/>
              </w:rPr>
            </w:pPr>
          </w:p>
        </w:tc>
        <w:tc>
          <w:tcPr>
            <w:tcW w:w="2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Social Data Platform</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3/30/2012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436,219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1,436,404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21,499</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20" w:type="dxa"/>
            <w:vAlign w:val="bottom"/>
            <w:gridSpan w:val="15"/>
          </w:tcPr>
          <w:p>
            <w:pPr>
              <w:spacing w:after="0"/>
              <w:rPr>
                <w:sz w:val="20"/>
                <w:szCs w:val="20"/>
                <w:color w:val="auto"/>
              </w:rPr>
            </w:pPr>
            <w:r>
              <w:rPr>
                <w:rFonts w:ascii="Arial" w:cs="Arial" w:eastAsia="Arial" w:hAnsi="Arial"/>
                <w:sz w:val="14"/>
                <w:szCs w:val="14"/>
                <w:b w:val="1"/>
                <w:bCs w:val="1"/>
                <w:color w:val="auto"/>
              </w:rPr>
              <w:t>Fullbridge, Inc.</w:t>
            </w:r>
          </w:p>
        </w:tc>
        <w:tc>
          <w:tcPr>
            <w:tcW w:w="120" w:type="dxa"/>
            <w:vAlign w:val="bottom"/>
          </w:tcPr>
          <w:p>
            <w:pPr>
              <w:spacing w:after="0"/>
              <w:rPr>
                <w:sz w:val="14"/>
                <w:szCs w:val="14"/>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Cambridge, MA</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020" w:type="dxa"/>
            <w:vAlign w:val="bottom"/>
            <w:gridSpan w:val="15"/>
            <w:shd w:val="clear" w:color="auto" w:fill="CCEEFF"/>
          </w:tcPr>
          <w:p>
            <w:pPr>
              <w:spacing w:after="0"/>
              <w:rPr>
                <w:sz w:val="20"/>
                <w:szCs w:val="20"/>
                <w:color w:val="auto"/>
              </w:rPr>
            </w:pPr>
            <w:r>
              <w:rPr>
                <w:rFonts w:ascii="Arial" w:cs="Arial" w:eastAsia="Arial" w:hAnsi="Arial"/>
                <w:sz w:val="14"/>
                <w:szCs w:val="14"/>
                <w:color w:val="auto"/>
              </w:rPr>
              <w:t>Common shares</w:t>
            </w:r>
          </w:p>
        </w:tc>
        <w:tc>
          <w:tcPr>
            <w:tcW w:w="120" w:type="dxa"/>
            <w:vAlign w:val="bottom"/>
            <w:shd w:val="clear" w:color="auto" w:fill="CCEEFF"/>
          </w:tcPr>
          <w:p>
            <w:pPr>
              <w:spacing w:after="0"/>
              <w:rPr>
                <w:sz w:val="17"/>
                <w:szCs w:val="17"/>
                <w:color w:val="auto"/>
              </w:rPr>
            </w:pP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Business Education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5/13/2012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517,917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6,150,506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3020" w:type="dxa"/>
            <w:vAlign w:val="bottom"/>
            <w:tcBorders>
              <w:bottom w:val="single" w:sz="8" w:color="CCEEFF"/>
            </w:tcBorders>
            <w:gridSpan w:val="15"/>
          </w:tcPr>
          <w:p>
            <w:pPr>
              <w:spacing w:after="0"/>
              <w:rPr>
                <w:sz w:val="20"/>
                <w:szCs w:val="20"/>
                <w:color w:val="auto"/>
              </w:rPr>
            </w:pPr>
            <w:r>
              <w:rPr>
                <w:rFonts w:ascii="Arial" w:cs="Arial" w:eastAsia="Arial" w:hAnsi="Arial"/>
                <w:sz w:val="14"/>
                <w:szCs w:val="14"/>
                <w:color w:val="auto"/>
              </w:rPr>
              <w:t>Promissory Note 1.47%, Due 11/9/2021</w:t>
            </w:r>
            <w:r>
              <w:rPr>
                <w:rFonts w:ascii="Arial" w:cs="Arial" w:eastAsia="Arial" w:hAnsi="Arial"/>
                <w:sz w:val="9"/>
                <w:szCs w:val="9"/>
                <w:color w:val="auto"/>
              </w:rPr>
              <w:t>(4)</w:t>
            </w:r>
          </w:p>
        </w:tc>
        <w:tc>
          <w:tcPr>
            <w:tcW w:w="120" w:type="dxa"/>
            <w:vAlign w:val="bottom"/>
            <w:tcBorders>
              <w:bottom w:val="single" w:sz="8" w:color="CCEEFF"/>
            </w:tcBorders>
          </w:tcPr>
          <w:p>
            <w:pPr>
              <w:spacing w:after="0"/>
              <w:rPr>
                <w:sz w:val="17"/>
                <w:szCs w:val="17"/>
                <w:color w:val="auto"/>
              </w:rPr>
            </w:pPr>
          </w:p>
        </w:tc>
        <w:tc>
          <w:tcPr>
            <w:tcW w:w="23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1"/>
              </w:rPr>
              <w:t>3/3/2016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tcPr>
          <w:p>
            <w:pPr>
              <w:jc w:val="right"/>
              <w:ind w:right="88"/>
              <w:spacing w:after="0"/>
              <w:rPr>
                <w:sz w:val="20"/>
                <w:szCs w:val="20"/>
                <w:color w:val="auto"/>
              </w:rPr>
            </w:pPr>
            <w:r>
              <w:rPr>
                <w:rFonts w:ascii="Arial" w:cs="Arial" w:eastAsia="Arial" w:hAnsi="Arial"/>
                <w:sz w:val="14"/>
                <w:szCs w:val="14"/>
                <w:color w:val="auto"/>
              </w:rPr>
              <w:t>2,270,458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2,270,858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020" w:type="dxa"/>
            <w:vAlign w:val="bottom"/>
            <w:gridSpan w:val="15"/>
            <w:shd w:val="clear" w:color="auto" w:fill="CCEEFF"/>
          </w:tcPr>
          <w:p>
            <w:pPr>
              <w:ind w:left="10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8,421,364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48"/>
        </w:trPr>
        <w:tc>
          <w:tcPr>
            <w:tcW w:w="20" w:type="dxa"/>
            <w:vAlign w:val="bottom"/>
            <w:tcBorders>
              <w:top w:val="single" w:sz="8" w:color="CCEEFF"/>
            </w:tcBorders>
          </w:tcPr>
          <w:p>
            <w:pPr>
              <w:spacing w:after="0"/>
              <w:rPr>
                <w:sz w:val="12"/>
                <w:szCs w:val="12"/>
                <w:color w:val="auto"/>
              </w:rPr>
            </w:pPr>
          </w:p>
        </w:tc>
        <w:tc>
          <w:tcPr>
            <w:tcW w:w="70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320" w:type="dxa"/>
            <w:vAlign w:val="bottom"/>
            <w:tcBorders>
              <w:top w:val="single" w:sz="8" w:color="CCEEFF"/>
            </w:tcBorders>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840" w:type="dxa"/>
            <w:vAlign w:val="bottom"/>
            <w:tcBorders>
              <w:top w:val="single" w:sz="8" w:color="CCEEFF"/>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020" w:type="dxa"/>
            <w:vAlign w:val="bottom"/>
            <w:gridSpan w:val="15"/>
            <w:shd w:val="clear" w:color="auto" w:fill="CCEEFF"/>
          </w:tcPr>
          <w:p>
            <w:pPr>
              <w:ind w:left="100"/>
              <w:spacing w:after="0"/>
              <w:rPr>
                <w:sz w:val="20"/>
                <w:szCs w:val="20"/>
                <w:color w:val="auto"/>
              </w:rPr>
            </w:pPr>
            <w:r>
              <w:rPr>
                <w:rFonts w:ascii="Arial" w:cs="Arial" w:eastAsia="Arial" w:hAnsi="Arial"/>
                <w:sz w:val="14"/>
                <w:szCs w:val="14"/>
                <w:b w:val="1"/>
                <w:bCs w:val="1"/>
                <w:color w:val="auto"/>
              </w:rPr>
              <w:t>Total Non-controlled/Non-affiliate</w:t>
            </w:r>
          </w:p>
        </w:tc>
        <w:tc>
          <w:tcPr>
            <w:tcW w:w="12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w w:val="96"/>
              </w:rPr>
              <w:t>90,567,041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152,866,112</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76.46</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-496570</wp:posOffset>
            </wp:positionV>
            <wp:extent cx="426021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26021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-2176780</wp:posOffset>
            </wp:positionV>
            <wp:extent cx="4260215" cy="2400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260215"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-2725420</wp:posOffset>
            </wp:positionV>
            <wp:extent cx="4260215"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260215"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-3265170</wp:posOffset>
            </wp:positionV>
            <wp:extent cx="4260215"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260215" cy="146050"/>
                    </a:xfrm>
                    <a:prstGeom prst="rect">
                      <a:avLst/>
                    </a:prstGeom>
                    <a:noFill/>
                  </pic:spPr>
                </pic:pic>
              </a:graphicData>
            </a:graphic>
          </wp:anchor>
        </w:drawing>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 to consolidated financial statements.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340" w:right="2500"/>
        <w:spacing w:after="0" w:line="266" w:lineRule="auto"/>
        <w:rPr>
          <w:sz w:val="20"/>
          <w:szCs w:val="20"/>
          <w:color w:val="auto"/>
        </w:rPr>
      </w:pPr>
      <w:r>
        <w:rPr>
          <w:rFonts w:ascii="Arial" w:cs="Arial" w:eastAsia="Arial" w:hAnsi="Arial"/>
          <w:sz w:val="18"/>
          <w:szCs w:val="18"/>
          <w:b w:val="1"/>
          <w:bCs w:val="1"/>
          <w:color w:val="auto"/>
        </w:rPr>
        <w:t>SURO CAPITAL CORP. AND SUBSIDIARIES CONDENSED CONSOLIDATED SCHEDULE OF INVESTMENTS - continued December 31, 2019</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0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Portfolio Investments*</w:t>
            </w:r>
          </w:p>
        </w:tc>
        <w:tc>
          <w:tcPr>
            <w:tcW w:w="100" w:type="dxa"/>
            <w:vAlign w:val="bottom"/>
          </w:tcPr>
          <w:p>
            <w:pPr>
              <w:spacing w:after="0"/>
              <w:rPr>
                <w:sz w:val="14"/>
                <w:szCs w:val="14"/>
                <w:color w:val="auto"/>
              </w:rPr>
            </w:pPr>
          </w:p>
        </w:tc>
        <w:tc>
          <w:tcPr>
            <w:tcW w:w="2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Headquarters/</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Date of Initial</w:t>
            </w: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Shares/</w:t>
            </w:r>
          </w:p>
        </w:tc>
        <w:tc>
          <w:tcPr>
            <w:tcW w:w="180" w:type="dxa"/>
            <w:vAlign w:val="bottom"/>
          </w:tcPr>
          <w:p>
            <w:pPr>
              <w:spacing w:after="0"/>
              <w:rPr>
                <w:sz w:val="14"/>
                <w:szCs w:val="14"/>
                <w:color w:val="auto"/>
              </w:rPr>
            </w:pPr>
          </w:p>
        </w:tc>
        <w:tc>
          <w:tcPr>
            <w:tcW w:w="9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 of Net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100" w:type="dxa"/>
            <w:vAlign w:val="bottom"/>
            <w:gridSpan w:val="7"/>
            <w:vMerge w:val="continue"/>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Industry</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Investment</w:t>
            </w:r>
          </w:p>
        </w:tc>
        <w:tc>
          <w:tcPr>
            <w:tcW w:w="14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Principal</w:t>
            </w:r>
          </w:p>
        </w:tc>
        <w:tc>
          <w:tcPr>
            <w:tcW w:w="18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Borders>
              <w:top w:val="single" w:sz="8" w:color="auto"/>
            </w:tcBorders>
            <w:shd w:val="clear" w:color="auto" w:fill="CCEEFF"/>
          </w:tcPr>
          <w:p>
            <w:pPr>
              <w:spacing w:after="0"/>
              <w:rPr>
                <w:sz w:val="16"/>
                <w:szCs w:val="16"/>
                <w:color w:val="auto"/>
              </w:rPr>
            </w:pPr>
          </w:p>
        </w:tc>
        <w:tc>
          <w:tcPr>
            <w:tcW w:w="3100" w:type="dxa"/>
            <w:vAlign w:val="bottom"/>
            <w:tcBorders>
              <w:top w:val="single" w:sz="8" w:color="auto"/>
            </w:tcBorders>
            <w:gridSpan w:val="7"/>
            <w:shd w:val="clear" w:color="auto" w:fill="CCEEFF"/>
          </w:tcPr>
          <w:p>
            <w:pPr>
              <w:spacing w:after="0"/>
              <w:rPr>
                <w:sz w:val="20"/>
                <w:szCs w:val="20"/>
                <w:color w:val="auto"/>
              </w:rPr>
            </w:pPr>
            <w:r>
              <w:rPr>
                <w:rFonts w:ascii="Arial" w:cs="Arial" w:eastAsia="Arial" w:hAnsi="Arial"/>
                <w:sz w:val="14"/>
                <w:szCs w:val="14"/>
                <w:b w:val="1"/>
                <w:bCs w:val="1"/>
                <w:color w:val="auto"/>
              </w:rPr>
              <w:t>NON-CONTROLLED/AFFILIATE</w:t>
            </w:r>
            <w:r>
              <w:rPr>
                <w:rFonts w:ascii="Arial" w:cs="Arial" w:eastAsia="Arial" w:hAnsi="Arial"/>
                <w:sz w:val="9"/>
                <w:szCs w:val="9"/>
                <w:color w:val="auto"/>
              </w:rPr>
              <w:t>(1)</w:t>
            </w:r>
          </w:p>
        </w:tc>
        <w:tc>
          <w:tcPr>
            <w:tcW w:w="100" w:type="dxa"/>
            <w:vAlign w:val="bottom"/>
            <w:tcBorders>
              <w:top w:val="single" w:sz="8" w:color="CCEEFF"/>
            </w:tcBorders>
            <w:shd w:val="clear" w:color="auto" w:fill="CCEEFF"/>
          </w:tcPr>
          <w:p>
            <w:pPr>
              <w:spacing w:after="0"/>
              <w:rPr>
                <w:sz w:val="16"/>
                <w:szCs w:val="16"/>
                <w:color w:val="auto"/>
              </w:rPr>
            </w:pPr>
          </w:p>
        </w:tc>
        <w:tc>
          <w:tcPr>
            <w:tcW w:w="2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gridSpan w:val="7"/>
          </w:tcPr>
          <w:p>
            <w:pPr>
              <w:spacing w:after="0"/>
              <w:rPr>
                <w:sz w:val="20"/>
                <w:szCs w:val="20"/>
                <w:color w:val="auto"/>
              </w:rPr>
            </w:pPr>
            <w:r>
              <w:rPr>
                <w:rFonts w:ascii="Arial" w:cs="Arial" w:eastAsia="Arial" w:hAnsi="Arial"/>
                <w:sz w:val="14"/>
                <w:szCs w:val="14"/>
                <w:b w:val="1"/>
                <w:bCs w:val="1"/>
                <w:color w:val="auto"/>
              </w:rPr>
              <w:t>Ozy Media, Inc.</w:t>
            </w:r>
          </w:p>
        </w:tc>
        <w:tc>
          <w:tcPr>
            <w:tcW w:w="100" w:type="dxa"/>
            <w:vAlign w:val="bottom"/>
          </w:tcPr>
          <w:p>
            <w:pPr>
              <w:spacing w:after="0"/>
              <w:rPr>
                <w:sz w:val="14"/>
                <w:szCs w:val="14"/>
                <w:color w:val="auto"/>
              </w:rPr>
            </w:pPr>
          </w:p>
        </w:tc>
        <w:tc>
          <w:tcPr>
            <w:tcW w:w="236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Mountain View, CA</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10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Preferred shares, Series C-2 6%</w:t>
            </w:r>
            <w:r>
              <w:rPr>
                <w:rFonts w:ascii="Arial" w:cs="Arial" w:eastAsia="Arial" w:hAnsi="Arial"/>
                <w:sz w:val="9"/>
                <w:szCs w:val="9"/>
                <w:color w:val="auto"/>
              </w:rPr>
              <w:t>(7)</w:t>
            </w:r>
          </w:p>
        </w:tc>
        <w:tc>
          <w:tcPr>
            <w:tcW w:w="100" w:type="dxa"/>
            <w:vAlign w:val="bottom"/>
            <w:shd w:val="clear" w:color="auto" w:fill="CCEEFF"/>
          </w:tcPr>
          <w:p>
            <w:pPr>
              <w:spacing w:after="0"/>
              <w:rPr>
                <w:sz w:val="17"/>
                <w:szCs w:val="17"/>
                <w:color w:val="auto"/>
              </w:rPr>
            </w:pPr>
          </w:p>
        </w:tc>
        <w:tc>
          <w:tcPr>
            <w:tcW w:w="23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7"/>
              </w:rPr>
              <w:t>Digital Media Platform</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9/11/2019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683,482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2,414,178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2,970,252</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100" w:type="dxa"/>
            <w:vAlign w:val="bottom"/>
            <w:gridSpan w:val="7"/>
          </w:tcPr>
          <w:p>
            <w:pPr>
              <w:spacing w:after="0" w:line="157" w:lineRule="exact"/>
              <w:rPr>
                <w:sz w:val="20"/>
                <w:szCs w:val="20"/>
                <w:color w:val="auto"/>
              </w:rPr>
            </w:pPr>
            <w:r>
              <w:rPr>
                <w:rFonts w:ascii="Arial" w:cs="Arial" w:eastAsia="Arial" w:hAnsi="Arial"/>
                <w:sz w:val="14"/>
                <w:szCs w:val="14"/>
                <w:color w:val="auto"/>
              </w:rPr>
              <w:t>Common Warrants, Strike Price $0.01, Expiration</w:t>
            </w:r>
          </w:p>
        </w:tc>
        <w:tc>
          <w:tcPr>
            <w:tcW w:w="1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100" w:type="dxa"/>
            <w:vAlign w:val="bottom"/>
            <w:gridSpan w:val="7"/>
          </w:tcPr>
          <w:p>
            <w:pPr>
              <w:spacing w:after="0"/>
              <w:rPr>
                <w:sz w:val="20"/>
                <w:szCs w:val="20"/>
                <w:color w:val="auto"/>
              </w:rPr>
            </w:pPr>
            <w:r>
              <w:rPr>
                <w:rFonts w:ascii="Arial" w:cs="Arial" w:eastAsia="Arial" w:hAnsi="Arial"/>
                <w:sz w:val="14"/>
                <w:szCs w:val="14"/>
                <w:color w:val="auto"/>
              </w:rPr>
              <w:t>Date 4/9/2028</w:t>
            </w:r>
          </w:p>
        </w:tc>
        <w:tc>
          <w:tcPr>
            <w:tcW w:w="1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5"/>
              </w:rPr>
              <w:t>4/9/2018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295,565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30,647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1,182,260</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0.59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310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Preferred shares, Series B 6%</w:t>
            </w: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10/3/2014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922,509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4,999,999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5,001,420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00" w:type="dxa"/>
            <w:vAlign w:val="bottom"/>
            <w:gridSpan w:val="7"/>
          </w:tcPr>
          <w:p>
            <w:pPr>
              <w:spacing w:after="0"/>
              <w:rPr>
                <w:sz w:val="20"/>
                <w:szCs w:val="20"/>
                <w:color w:val="auto"/>
              </w:rPr>
            </w:pPr>
            <w:r>
              <w:rPr>
                <w:rFonts w:ascii="Arial" w:cs="Arial" w:eastAsia="Arial" w:hAnsi="Arial"/>
                <w:sz w:val="14"/>
                <w:szCs w:val="14"/>
                <w:color w:val="auto"/>
              </w:rPr>
              <w:t>Preferred shares, Series A 6%</w:t>
            </w:r>
          </w:p>
        </w:tc>
        <w:tc>
          <w:tcPr>
            <w:tcW w:w="1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1"/>
              </w:rPr>
              <w:t>12/11/2013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1,090,909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3,000,200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4,528,107</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10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Preferred shares, Series Seed 6%</w:t>
            </w: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11/2/2012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2,002,143</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3100" w:type="dxa"/>
            <w:vAlign w:val="bottom"/>
            <w:tcBorders>
              <w:bottom w:val="single" w:sz="8" w:color="CCEEFF"/>
            </w:tcBorders>
            <w:gridSpan w:val="7"/>
          </w:tcPr>
          <w:p>
            <w:pPr>
              <w:ind w:left="100"/>
              <w:spacing w:after="0"/>
              <w:rPr>
                <w:sz w:val="20"/>
                <w:szCs w:val="20"/>
                <w:color w:val="auto"/>
              </w:rPr>
            </w:pPr>
            <w:r>
              <w:rPr>
                <w:rFonts w:ascii="Arial" w:cs="Arial" w:eastAsia="Arial" w:hAnsi="Arial"/>
                <w:sz w:val="14"/>
                <w:szCs w:val="14"/>
                <w:color w:val="auto"/>
              </w:rPr>
              <w:t>Total</w:t>
            </w:r>
          </w:p>
        </w:tc>
        <w:tc>
          <w:tcPr>
            <w:tcW w:w="100" w:type="dxa"/>
            <w:vAlign w:val="bottom"/>
            <w:tcBorders>
              <w:bottom w:val="single" w:sz="8" w:color="CCEEFF"/>
            </w:tcBorders>
          </w:tcPr>
          <w:p>
            <w:pPr>
              <w:spacing w:after="0"/>
              <w:rPr>
                <w:sz w:val="17"/>
                <w:szCs w:val="17"/>
                <w:color w:val="auto"/>
              </w:rPr>
            </w:pPr>
          </w:p>
        </w:tc>
        <w:tc>
          <w:tcPr>
            <w:tcW w:w="22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10,945,024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15,684,182</w:t>
            </w: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3100" w:type="dxa"/>
            <w:vAlign w:val="bottom"/>
            <w:gridSpan w:val="7"/>
            <w:shd w:val="clear" w:color="auto" w:fill="CCEEFF"/>
          </w:tcPr>
          <w:p>
            <w:pPr>
              <w:spacing w:after="0" w:line="148" w:lineRule="exact"/>
              <w:rPr>
                <w:sz w:val="20"/>
                <w:szCs w:val="20"/>
                <w:color w:val="auto"/>
              </w:rPr>
            </w:pPr>
            <w:r>
              <w:rPr>
                <w:rFonts w:ascii="Arial" w:cs="Arial" w:eastAsia="Arial" w:hAnsi="Arial"/>
                <w:sz w:val="14"/>
                <w:szCs w:val="14"/>
                <w:b w:val="1"/>
                <w:bCs w:val="1"/>
                <w:color w:val="auto"/>
              </w:rPr>
              <w:t>StormWind, LLC</w:t>
            </w:r>
            <w:r>
              <w:rPr>
                <w:rFonts w:ascii="Arial" w:cs="Arial" w:eastAsia="Arial" w:hAnsi="Arial"/>
                <w:sz w:val="9"/>
                <w:szCs w:val="9"/>
                <w:color w:val="auto"/>
              </w:rPr>
              <w:t>(5)</w:t>
            </w:r>
          </w:p>
        </w:tc>
        <w:tc>
          <w:tcPr>
            <w:tcW w:w="100" w:type="dxa"/>
            <w:vAlign w:val="bottom"/>
            <w:shd w:val="clear" w:color="auto" w:fill="CCEEFF"/>
          </w:tcPr>
          <w:p>
            <w:pPr>
              <w:spacing w:after="0"/>
              <w:rPr>
                <w:sz w:val="12"/>
                <w:szCs w:val="12"/>
                <w:color w:val="auto"/>
              </w:rPr>
            </w:pPr>
          </w:p>
        </w:tc>
        <w:tc>
          <w:tcPr>
            <w:tcW w:w="2360" w:type="dxa"/>
            <w:vAlign w:val="bottom"/>
            <w:gridSpan w:val="2"/>
            <w:shd w:val="clear" w:color="auto" w:fill="CCEEFF"/>
          </w:tcPr>
          <w:p>
            <w:pPr>
              <w:jc w:val="center"/>
              <w:ind w:right="100"/>
              <w:spacing w:after="0" w:line="148" w:lineRule="exact"/>
              <w:rPr>
                <w:sz w:val="20"/>
                <w:szCs w:val="20"/>
                <w:color w:val="auto"/>
              </w:rPr>
            </w:pPr>
            <w:r>
              <w:rPr>
                <w:rFonts w:ascii="Arial" w:cs="Arial" w:eastAsia="Arial" w:hAnsi="Arial"/>
                <w:sz w:val="14"/>
                <w:szCs w:val="14"/>
                <w:color w:val="auto"/>
                <w:w w:val="94"/>
              </w:rPr>
              <w:t>Scottsdale, AZ</w:t>
            </w: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100" w:type="dxa"/>
            <w:vAlign w:val="bottom"/>
            <w:gridSpan w:val="7"/>
          </w:tcPr>
          <w:p>
            <w:pPr>
              <w:spacing w:after="0"/>
              <w:rPr>
                <w:sz w:val="20"/>
                <w:szCs w:val="20"/>
                <w:color w:val="auto"/>
              </w:rPr>
            </w:pPr>
            <w:r>
              <w:rPr>
                <w:rFonts w:ascii="Arial" w:cs="Arial" w:eastAsia="Arial" w:hAnsi="Arial"/>
                <w:sz w:val="14"/>
                <w:szCs w:val="14"/>
                <w:color w:val="auto"/>
              </w:rPr>
              <w:t>Preferred shares, Series D 8%</w:t>
            </w:r>
            <w:r>
              <w:rPr>
                <w:rFonts w:ascii="Arial" w:cs="Arial" w:eastAsia="Arial" w:hAnsi="Arial"/>
                <w:sz w:val="9"/>
                <w:szCs w:val="9"/>
                <w:color w:val="auto"/>
              </w:rPr>
              <w:t>(10)</w:t>
            </w:r>
          </w:p>
        </w:tc>
        <w:tc>
          <w:tcPr>
            <w:tcW w:w="100" w:type="dxa"/>
            <w:vAlign w:val="bottom"/>
          </w:tcPr>
          <w:p>
            <w:pPr>
              <w:spacing w:after="0"/>
              <w:rPr>
                <w:sz w:val="17"/>
                <w:szCs w:val="17"/>
                <w:color w:val="auto"/>
              </w:rPr>
            </w:pPr>
          </w:p>
        </w:tc>
        <w:tc>
          <w:tcPr>
            <w:tcW w:w="236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Interactive Learning</w:t>
            </w:r>
          </w:p>
        </w:tc>
        <w:tc>
          <w:tcPr>
            <w:tcW w:w="1120" w:type="dxa"/>
            <w:vAlign w:val="bottom"/>
          </w:tcPr>
          <w:p>
            <w:pPr>
              <w:jc w:val="center"/>
              <w:spacing w:after="0"/>
              <w:rPr>
                <w:sz w:val="20"/>
                <w:szCs w:val="20"/>
                <w:color w:val="auto"/>
              </w:rPr>
            </w:pPr>
            <w:r>
              <w:rPr>
                <w:rFonts w:ascii="Arial" w:cs="Arial" w:eastAsia="Arial" w:hAnsi="Arial"/>
                <w:sz w:val="14"/>
                <w:szCs w:val="14"/>
                <w:color w:val="auto"/>
                <w:w w:val="91"/>
              </w:rPr>
              <w:t>11/26/2019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329,337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257,267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503,120</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0.25</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310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Preferred shares, Series C 8%</w:t>
            </w: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1/7/2014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2,779,134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4,000,787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5,391,000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00" w:type="dxa"/>
            <w:vAlign w:val="bottom"/>
            <w:gridSpan w:val="7"/>
          </w:tcPr>
          <w:p>
            <w:pPr>
              <w:spacing w:after="0"/>
              <w:rPr>
                <w:sz w:val="20"/>
                <w:szCs w:val="20"/>
                <w:color w:val="auto"/>
              </w:rPr>
            </w:pPr>
            <w:r>
              <w:rPr>
                <w:rFonts w:ascii="Arial" w:cs="Arial" w:eastAsia="Arial" w:hAnsi="Arial"/>
                <w:sz w:val="14"/>
                <w:szCs w:val="14"/>
                <w:color w:val="auto"/>
              </w:rPr>
              <w:t>Preferred shares, Series B 8%</w:t>
            </w:r>
          </w:p>
        </w:tc>
        <w:tc>
          <w:tcPr>
            <w:tcW w:w="1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1"/>
              </w:rPr>
              <w:t>12/16/2011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3,279,629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2,019,687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3,248,804</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10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Preferred shares, Series A 8%</w:t>
            </w:r>
          </w:p>
        </w:tc>
        <w:tc>
          <w:tcPr>
            <w:tcW w:w="10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2/25/2014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366,666</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110,000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157,949</w:t>
            </w:r>
          </w:p>
        </w:tc>
        <w:tc>
          <w:tcPr>
            <w:tcW w:w="10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3100" w:type="dxa"/>
            <w:vAlign w:val="bottom"/>
            <w:tcBorders>
              <w:bottom w:val="single" w:sz="8" w:color="CCEEFF"/>
            </w:tcBorders>
            <w:gridSpan w:val="7"/>
          </w:tcPr>
          <w:p>
            <w:pPr>
              <w:ind w:left="100"/>
              <w:spacing w:after="0"/>
              <w:rPr>
                <w:sz w:val="20"/>
                <w:szCs w:val="20"/>
                <w:color w:val="auto"/>
              </w:rPr>
            </w:pPr>
            <w:r>
              <w:rPr>
                <w:rFonts w:ascii="Arial" w:cs="Arial" w:eastAsia="Arial" w:hAnsi="Arial"/>
                <w:sz w:val="14"/>
                <w:szCs w:val="14"/>
                <w:color w:val="auto"/>
              </w:rPr>
              <w:t>Total</w:t>
            </w:r>
          </w:p>
        </w:tc>
        <w:tc>
          <w:tcPr>
            <w:tcW w:w="100" w:type="dxa"/>
            <w:vAlign w:val="bottom"/>
            <w:tcBorders>
              <w:bottom w:val="single" w:sz="8" w:color="CCEEFF"/>
            </w:tcBorders>
          </w:tcPr>
          <w:p>
            <w:pPr>
              <w:spacing w:after="0"/>
              <w:rPr>
                <w:sz w:val="17"/>
                <w:szCs w:val="17"/>
                <w:color w:val="auto"/>
              </w:rPr>
            </w:pPr>
          </w:p>
        </w:tc>
        <w:tc>
          <w:tcPr>
            <w:tcW w:w="22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6,387,741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9,300,873</w:t>
            </w: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tcBorders>
              <w:bottom w:val="single" w:sz="8" w:color="CCEEFF"/>
            </w:tcBorders>
            <w:shd w:val="clear" w:color="auto" w:fill="CCEEFF"/>
          </w:tcPr>
          <w:p>
            <w:pPr>
              <w:spacing w:after="0"/>
              <w:rPr>
                <w:sz w:val="15"/>
                <w:szCs w:val="15"/>
                <w:color w:val="auto"/>
              </w:rPr>
            </w:pPr>
          </w:p>
        </w:tc>
        <w:tc>
          <w:tcPr>
            <w:tcW w:w="2020" w:type="dxa"/>
            <w:vAlign w:val="bottom"/>
            <w:tcBorders>
              <w:bottom w:val="single" w:sz="8" w:color="auto"/>
            </w:tcBorders>
            <w:gridSpan w:val="5"/>
            <w:shd w:val="clear" w:color="auto" w:fill="CCEEFF"/>
          </w:tcPr>
          <w:p>
            <w:pPr>
              <w:spacing w:after="0"/>
              <w:rPr>
                <w:sz w:val="20"/>
                <w:szCs w:val="20"/>
                <w:color w:val="auto"/>
              </w:rPr>
            </w:pPr>
            <w:r>
              <w:rPr>
                <w:rFonts w:ascii="Arial" w:cs="Arial" w:eastAsia="Arial" w:hAnsi="Arial"/>
                <w:sz w:val="14"/>
                <w:szCs w:val="14"/>
                <w:b w:val="1"/>
                <w:bCs w:val="1"/>
                <w:color w:val="auto"/>
                <w:w w:val="92"/>
              </w:rPr>
              <w:t>GreenAcreage Real Estate Corp.</w:t>
            </w:r>
          </w:p>
        </w:tc>
        <w:tc>
          <w:tcPr>
            <w:tcW w:w="1080" w:type="dxa"/>
            <w:vAlign w:val="bottom"/>
            <w:tcBorders>
              <w:bottom w:val="single" w:sz="8" w:color="CCEEFF"/>
            </w:tcBorders>
            <w:gridSpan w:val="2"/>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3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7"/>
              </w:rPr>
              <w:t>New York, NY</w:t>
            </w:r>
          </w:p>
        </w:tc>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00" w:type="dxa"/>
            <w:vAlign w:val="bottom"/>
            <w:gridSpan w:val="7"/>
          </w:tcPr>
          <w:p>
            <w:pPr>
              <w:spacing w:after="0"/>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7"/>
                <w:szCs w:val="17"/>
                <w:color w:val="auto"/>
              </w:rPr>
            </w:pPr>
          </w:p>
        </w:tc>
        <w:tc>
          <w:tcPr>
            <w:tcW w:w="236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Cannabis REIT</w:t>
            </w:r>
          </w:p>
        </w:tc>
        <w:tc>
          <w:tcPr>
            <w:tcW w:w="1120" w:type="dxa"/>
            <w:vAlign w:val="bottom"/>
          </w:tcPr>
          <w:p>
            <w:pPr>
              <w:jc w:val="center"/>
              <w:spacing w:after="0"/>
              <w:rPr>
                <w:sz w:val="20"/>
                <w:szCs w:val="20"/>
                <w:color w:val="auto"/>
              </w:rPr>
            </w:pPr>
            <w:r>
              <w:rPr>
                <w:rFonts w:ascii="Arial" w:cs="Arial" w:eastAsia="Arial" w:hAnsi="Arial"/>
                <w:sz w:val="14"/>
                <w:szCs w:val="14"/>
                <w:color w:val="auto"/>
                <w:w w:val="93"/>
              </w:rPr>
              <w:t>8/12/2019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375,000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7,501,530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7,500,000</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3.75</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20" w:type="dxa"/>
            <w:vAlign w:val="bottom"/>
            <w:shd w:val="clear" w:color="auto" w:fill="CCEEFF"/>
          </w:tcPr>
          <w:p>
            <w:pPr>
              <w:spacing w:after="0"/>
              <w:rPr>
                <w:sz w:val="14"/>
                <w:szCs w:val="14"/>
                <w:color w:val="auto"/>
              </w:rPr>
            </w:pPr>
          </w:p>
        </w:tc>
        <w:tc>
          <w:tcPr>
            <w:tcW w:w="3100" w:type="dxa"/>
            <w:vAlign w:val="bottom"/>
            <w:gridSpan w:val="7"/>
            <w:shd w:val="clear" w:color="auto" w:fill="CCEEFF"/>
          </w:tcPr>
          <w:p>
            <w:pPr>
              <w:spacing w:after="0"/>
              <w:rPr>
                <w:sz w:val="20"/>
                <w:szCs w:val="20"/>
                <w:color w:val="auto"/>
              </w:rPr>
            </w:pPr>
            <w:r>
              <w:rPr>
                <w:rFonts w:ascii="Arial" w:cs="Arial" w:eastAsia="Arial" w:hAnsi="Arial"/>
                <w:sz w:val="14"/>
                <w:szCs w:val="14"/>
                <w:b w:val="1"/>
                <w:bCs w:val="1"/>
                <w:color w:val="auto"/>
              </w:rPr>
              <w:t>NestGSV, Inc. (d/b/a GSV Labs, Inc.)</w:t>
            </w:r>
          </w:p>
        </w:tc>
        <w:tc>
          <w:tcPr>
            <w:tcW w:w="100" w:type="dxa"/>
            <w:vAlign w:val="bottom"/>
            <w:shd w:val="clear" w:color="auto" w:fill="CCEEFF"/>
          </w:tcPr>
          <w:p>
            <w:pPr>
              <w:spacing w:after="0"/>
              <w:rPr>
                <w:sz w:val="14"/>
                <w:szCs w:val="14"/>
                <w:color w:val="auto"/>
              </w:rPr>
            </w:pPr>
          </w:p>
        </w:tc>
        <w:tc>
          <w:tcPr>
            <w:tcW w:w="23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San Mateo, CA</w:t>
            </w: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100" w:type="dxa"/>
            <w:vAlign w:val="bottom"/>
            <w:gridSpan w:val="7"/>
          </w:tcPr>
          <w:p>
            <w:pPr>
              <w:spacing w:after="0"/>
              <w:rPr>
                <w:sz w:val="20"/>
                <w:szCs w:val="20"/>
                <w:color w:val="auto"/>
              </w:rPr>
            </w:pPr>
            <w:r>
              <w:rPr>
                <w:rFonts w:ascii="Arial" w:cs="Arial" w:eastAsia="Arial" w:hAnsi="Arial"/>
                <w:sz w:val="14"/>
                <w:szCs w:val="14"/>
                <w:color w:val="auto"/>
              </w:rPr>
              <w:t>Derivative Security, Expiration Date 8/23/2024</w:t>
            </w:r>
            <w:r>
              <w:rPr>
                <w:rFonts w:ascii="Arial" w:cs="Arial" w:eastAsia="Arial" w:hAnsi="Arial"/>
                <w:sz w:val="9"/>
                <w:szCs w:val="9"/>
                <w:color w:val="auto"/>
              </w:rPr>
              <w:t>(9)</w:t>
            </w:r>
          </w:p>
        </w:tc>
        <w:tc>
          <w:tcPr>
            <w:tcW w:w="100" w:type="dxa"/>
            <w:vAlign w:val="bottom"/>
          </w:tcPr>
          <w:p>
            <w:pPr>
              <w:spacing w:after="0"/>
              <w:rPr>
                <w:sz w:val="17"/>
                <w:szCs w:val="17"/>
                <w:color w:val="auto"/>
              </w:rPr>
            </w:pPr>
          </w:p>
        </w:tc>
        <w:tc>
          <w:tcPr>
            <w:tcW w:w="236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Global Innovation Platform</w:t>
            </w:r>
          </w:p>
        </w:tc>
        <w:tc>
          <w:tcPr>
            <w:tcW w:w="1120" w:type="dxa"/>
            <w:vAlign w:val="bottom"/>
          </w:tcPr>
          <w:p>
            <w:pPr>
              <w:jc w:val="center"/>
              <w:spacing w:after="0"/>
              <w:rPr>
                <w:sz w:val="20"/>
                <w:szCs w:val="20"/>
                <w:color w:val="auto"/>
              </w:rPr>
            </w:pPr>
            <w:r>
              <w:rPr>
                <w:rFonts w:ascii="Arial" w:cs="Arial" w:eastAsia="Arial" w:hAnsi="Arial"/>
                <w:sz w:val="14"/>
                <w:szCs w:val="14"/>
                <w:color w:val="auto"/>
                <w:w w:val="93"/>
              </w:rPr>
              <w:t>8/23/2019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8,555,124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3,880,621</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4"/>
        </w:trPr>
        <w:tc>
          <w:tcPr>
            <w:tcW w:w="20" w:type="dxa"/>
            <w:vAlign w:val="bottom"/>
            <w:shd w:val="clear" w:color="auto" w:fill="CCEEFF"/>
          </w:tcPr>
          <w:p>
            <w:pPr>
              <w:spacing w:after="0"/>
              <w:rPr>
                <w:sz w:val="12"/>
                <w:szCs w:val="12"/>
                <w:color w:val="auto"/>
              </w:rPr>
            </w:pPr>
          </w:p>
        </w:tc>
        <w:tc>
          <w:tcPr>
            <w:tcW w:w="3100" w:type="dxa"/>
            <w:vAlign w:val="bottom"/>
            <w:gridSpan w:val="7"/>
            <w:shd w:val="clear" w:color="auto" w:fill="CCEEFF"/>
          </w:tcPr>
          <w:p>
            <w:pPr>
              <w:spacing w:after="0" w:line="144" w:lineRule="exact"/>
              <w:rPr>
                <w:sz w:val="20"/>
                <w:szCs w:val="20"/>
                <w:color w:val="auto"/>
              </w:rPr>
            </w:pPr>
            <w:r>
              <w:rPr>
                <w:rFonts w:ascii="Arial" w:cs="Arial" w:eastAsia="Arial" w:hAnsi="Arial"/>
                <w:sz w:val="14"/>
                <w:szCs w:val="14"/>
                <w:color w:val="auto"/>
                <w:w w:val="97"/>
              </w:rPr>
              <w:t>Convertible Promissory Note 8% Due 8/23/2024***</w:t>
            </w:r>
          </w:p>
        </w:tc>
        <w:tc>
          <w:tcPr>
            <w:tcW w:w="10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2/17/2016</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1,010,198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1,030,176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1,010,198</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0.51</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2"/>
        </w:trPr>
        <w:tc>
          <w:tcPr>
            <w:tcW w:w="100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(9)</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vMerge w:val="continue"/>
            <w:shd w:val="clear" w:color="auto" w:fill="CCEEFF"/>
          </w:tcPr>
          <w:p>
            <w:pPr>
              <w:spacing w:after="0"/>
              <w:rPr>
                <w:sz w:val="11"/>
                <w:szCs w:val="11"/>
                <w:color w:val="auto"/>
              </w:rPr>
            </w:pPr>
          </w:p>
        </w:tc>
        <w:tc>
          <w:tcPr>
            <w:tcW w:w="8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vMerge w:val="continue"/>
            <w:shd w:val="clear" w:color="auto" w:fill="CCEEFF"/>
          </w:tcPr>
          <w:p>
            <w:pPr>
              <w:spacing w:after="0"/>
              <w:rPr>
                <w:sz w:val="11"/>
                <w:szCs w:val="11"/>
                <w:color w:val="auto"/>
              </w:rPr>
            </w:pPr>
          </w:p>
        </w:tc>
        <w:tc>
          <w:tcPr>
            <w:tcW w:w="1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100" w:type="dxa"/>
            <w:vAlign w:val="bottom"/>
            <w:gridSpan w:val="7"/>
          </w:tcPr>
          <w:p>
            <w:pPr>
              <w:spacing w:after="0" w:line="157" w:lineRule="exact"/>
              <w:rPr>
                <w:sz w:val="20"/>
                <w:szCs w:val="20"/>
                <w:color w:val="auto"/>
              </w:rPr>
            </w:pPr>
            <w:r>
              <w:rPr>
                <w:rFonts w:ascii="Arial" w:cs="Arial" w:eastAsia="Arial" w:hAnsi="Arial"/>
                <w:sz w:val="14"/>
                <w:szCs w:val="14"/>
                <w:color w:val="auto"/>
                <w:w w:val="99"/>
              </w:rPr>
              <w:t>Preferred Warrants Series A-3, Strike Price $1.33,</w:t>
            </w:r>
          </w:p>
        </w:tc>
        <w:tc>
          <w:tcPr>
            <w:tcW w:w="1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100" w:type="dxa"/>
            <w:vAlign w:val="bottom"/>
            <w:gridSpan w:val="7"/>
          </w:tcPr>
          <w:p>
            <w:pPr>
              <w:spacing w:after="0"/>
              <w:rPr>
                <w:sz w:val="20"/>
                <w:szCs w:val="20"/>
                <w:color w:val="auto"/>
              </w:rPr>
            </w:pPr>
            <w:r>
              <w:rPr>
                <w:rFonts w:ascii="Arial" w:cs="Arial" w:eastAsia="Arial" w:hAnsi="Arial"/>
                <w:sz w:val="14"/>
                <w:szCs w:val="14"/>
                <w:color w:val="auto"/>
              </w:rPr>
              <w:t>Expiration Date 4/4/2021</w:t>
            </w:r>
          </w:p>
        </w:tc>
        <w:tc>
          <w:tcPr>
            <w:tcW w:w="1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5"/>
              </w:rPr>
              <w:t>4/4/2014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187,500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20,625</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0.01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3100" w:type="dxa"/>
            <w:vAlign w:val="bottom"/>
            <w:gridSpan w:val="7"/>
            <w:shd w:val="clear" w:color="auto" w:fill="CCEEFF"/>
          </w:tcPr>
          <w:p>
            <w:pPr>
              <w:spacing w:after="0"/>
              <w:rPr>
                <w:sz w:val="20"/>
                <w:szCs w:val="20"/>
                <w:color w:val="auto"/>
              </w:rPr>
            </w:pPr>
            <w:r>
              <w:rPr>
                <w:rFonts w:ascii="Arial" w:cs="Arial" w:eastAsia="Arial" w:hAnsi="Arial"/>
                <w:sz w:val="14"/>
                <w:szCs w:val="14"/>
                <w:color w:val="auto"/>
                <w:w w:val="99"/>
              </w:rPr>
              <w:t>Preferred Warrants Series A-4, Strike Price $1.33,</w:t>
            </w:r>
          </w:p>
        </w:tc>
        <w:tc>
          <w:tcPr>
            <w:tcW w:w="10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310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Expiration Date 10/6/2021</w:t>
            </w:r>
          </w:p>
        </w:tc>
        <w:tc>
          <w:tcPr>
            <w:tcW w:w="10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10/6/2014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135,000</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100" w:type="dxa"/>
            <w:vAlign w:val="bottom"/>
            <w:gridSpan w:val="7"/>
          </w:tcPr>
          <w:p>
            <w:pPr>
              <w:spacing w:after="0" w:line="157" w:lineRule="exact"/>
              <w:rPr>
                <w:sz w:val="20"/>
                <w:szCs w:val="20"/>
                <w:color w:val="auto"/>
              </w:rPr>
            </w:pPr>
            <w:r>
              <w:rPr>
                <w:rFonts w:ascii="Arial" w:cs="Arial" w:eastAsia="Arial" w:hAnsi="Arial"/>
                <w:sz w:val="14"/>
                <w:szCs w:val="14"/>
                <w:color w:val="auto"/>
                <w:w w:val="99"/>
              </w:rPr>
              <w:t>Preferred Warrants Series A-4, Strike Price $1.33,</w:t>
            </w:r>
          </w:p>
        </w:tc>
        <w:tc>
          <w:tcPr>
            <w:tcW w:w="1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100" w:type="dxa"/>
            <w:vAlign w:val="bottom"/>
            <w:gridSpan w:val="7"/>
          </w:tcPr>
          <w:p>
            <w:pPr>
              <w:spacing w:after="0"/>
              <w:rPr>
                <w:sz w:val="20"/>
                <w:szCs w:val="20"/>
                <w:color w:val="auto"/>
              </w:rPr>
            </w:pPr>
            <w:r>
              <w:rPr>
                <w:rFonts w:ascii="Arial" w:cs="Arial" w:eastAsia="Arial" w:hAnsi="Arial"/>
                <w:sz w:val="14"/>
                <w:szCs w:val="14"/>
                <w:color w:val="auto"/>
              </w:rPr>
              <w:t>Expiration Date 7/18/2021</w:t>
            </w:r>
          </w:p>
        </w:tc>
        <w:tc>
          <w:tcPr>
            <w:tcW w:w="1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5"/>
              </w:rPr>
              <w:t>7/8/2016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250,000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74,380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62,500</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0.03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310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Preferred Warrants Series B, Strike Price $2.31,</w:t>
            </w:r>
          </w:p>
        </w:tc>
        <w:tc>
          <w:tcPr>
            <w:tcW w:w="10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310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Expiration Date 11/29/2021</w:t>
            </w:r>
          </w:p>
        </w:tc>
        <w:tc>
          <w:tcPr>
            <w:tcW w:w="10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11/29/2016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29,275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100" w:type="dxa"/>
            <w:vAlign w:val="bottom"/>
            <w:gridSpan w:val="7"/>
          </w:tcPr>
          <w:p>
            <w:pPr>
              <w:spacing w:after="0" w:line="157" w:lineRule="exact"/>
              <w:rPr>
                <w:sz w:val="20"/>
                <w:szCs w:val="20"/>
                <w:color w:val="auto"/>
              </w:rPr>
            </w:pPr>
            <w:r>
              <w:rPr>
                <w:rFonts w:ascii="Arial" w:cs="Arial" w:eastAsia="Arial" w:hAnsi="Arial"/>
                <w:sz w:val="14"/>
                <w:szCs w:val="14"/>
                <w:color w:val="auto"/>
              </w:rPr>
              <w:t>Preferred Warrant Series B, Strike Price $2.31,</w:t>
            </w:r>
          </w:p>
        </w:tc>
        <w:tc>
          <w:tcPr>
            <w:tcW w:w="1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100" w:type="dxa"/>
            <w:vAlign w:val="bottom"/>
            <w:gridSpan w:val="7"/>
          </w:tcPr>
          <w:p>
            <w:pPr>
              <w:spacing w:after="0"/>
              <w:rPr>
                <w:sz w:val="20"/>
                <w:szCs w:val="20"/>
                <w:color w:val="auto"/>
              </w:rPr>
            </w:pPr>
            <w:r>
              <w:rPr>
                <w:rFonts w:ascii="Arial" w:cs="Arial" w:eastAsia="Arial" w:hAnsi="Arial"/>
                <w:sz w:val="14"/>
                <w:szCs w:val="14"/>
                <w:color w:val="auto"/>
              </w:rPr>
              <w:t>Expiration Date 5/29/2022</w:t>
            </w:r>
          </w:p>
        </w:tc>
        <w:tc>
          <w:tcPr>
            <w:tcW w:w="1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3"/>
              </w:rPr>
              <w:t>5/29/2017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125,000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70,379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310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Preferred Warrant Series B, Strike Price $2.31,</w:t>
            </w:r>
          </w:p>
        </w:tc>
        <w:tc>
          <w:tcPr>
            <w:tcW w:w="10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310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Expiration Date 12/31/2023</w:t>
            </w:r>
          </w:p>
        </w:tc>
        <w:tc>
          <w:tcPr>
            <w:tcW w:w="10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12/31/2018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250,000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5,080</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2,500</w:t>
            </w:r>
          </w:p>
        </w:tc>
        <w:tc>
          <w:tcPr>
            <w:tcW w:w="100" w:type="dxa"/>
            <w:vAlign w:val="bottom"/>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3100" w:type="dxa"/>
            <w:vAlign w:val="bottom"/>
            <w:tcBorders>
              <w:bottom w:val="single" w:sz="8" w:color="CCEEFF"/>
            </w:tcBorders>
            <w:gridSpan w:val="7"/>
          </w:tcPr>
          <w:p>
            <w:pPr>
              <w:ind w:left="100"/>
              <w:spacing w:after="0"/>
              <w:rPr>
                <w:sz w:val="20"/>
                <w:szCs w:val="20"/>
                <w:color w:val="auto"/>
              </w:rPr>
            </w:pPr>
            <w:r>
              <w:rPr>
                <w:rFonts w:ascii="Arial" w:cs="Arial" w:eastAsia="Arial" w:hAnsi="Arial"/>
                <w:sz w:val="14"/>
                <w:szCs w:val="14"/>
                <w:color w:val="auto"/>
              </w:rPr>
              <w:t>Total</w:t>
            </w:r>
          </w:p>
        </w:tc>
        <w:tc>
          <w:tcPr>
            <w:tcW w:w="100" w:type="dxa"/>
            <w:vAlign w:val="bottom"/>
            <w:tcBorders>
              <w:bottom w:val="single" w:sz="8" w:color="CCEEFF"/>
            </w:tcBorders>
          </w:tcPr>
          <w:p>
            <w:pPr>
              <w:spacing w:after="0"/>
              <w:rPr>
                <w:sz w:val="17"/>
                <w:szCs w:val="17"/>
                <w:color w:val="auto"/>
              </w:rPr>
            </w:pPr>
          </w:p>
        </w:tc>
        <w:tc>
          <w:tcPr>
            <w:tcW w:w="22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9,764,414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5,111,444</w:t>
            </w: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3100" w:type="dxa"/>
            <w:vAlign w:val="bottom"/>
            <w:gridSpan w:val="7"/>
            <w:shd w:val="clear" w:color="auto" w:fill="CCEEFF"/>
          </w:tcPr>
          <w:p>
            <w:pPr>
              <w:spacing w:after="0" w:line="148" w:lineRule="exact"/>
              <w:rPr>
                <w:sz w:val="20"/>
                <w:szCs w:val="20"/>
                <w:color w:val="auto"/>
              </w:rPr>
            </w:pPr>
            <w:r>
              <w:rPr>
                <w:rFonts w:ascii="Arial" w:cs="Arial" w:eastAsia="Arial" w:hAnsi="Arial"/>
                <w:sz w:val="14"/>
                <w:szCs w:val="14"/>
                <w:b w:val="1"/>
                <w:bCs w:val="1"/>
                <w:color w:val="auto"/>
              </w:rPr>
              <w:t>CUX, Inc. (d/b/a CorpU)</w:t>
            </w:r>
          </w:p>
        </w:tc>
        <w:tc>
          <w:tcPr>
            <w:tcW w:w="100" w:type="dxa"/>
            <w:vAlign w:val="bottom"/>
            <w:shd w:val="clear" w:color="auto" w:fill="CCEEFF"/>
          </w:tcPr>
          <w:p>
            <w:pPr>
              <w:spacing w:after="0"/>
              <w:rPr>
                <w:sz w:val="12"/>
                <w:szCs w:val="12"/>
                <w:color w:val="auto"/>
              </w:rPr>
            </w:pPr>
          </w:p>
        </w:tc>
        <w:tc>
          <w:tcPr>
            <w:tcW w:w="2360" w:type="dxa"/>
            <w:vAlign w:val="bottom"/>
            <w:gridSpan w:val="2"/>
            <w:shd w:val="clear" w:color="auto" w:fill="CCEEFF"/>
          </w:tcPr>
          <w:p>
            <w:pPr>
              <w:jc w:val="center"/>
              <w:ind w:right="120"/>
              <w:spacing w:after="0" w:line="148" w:lineRule="exact"/>
              <w:rPr>
                <w:sz w:val="20"/>
                <w:szCs w:val="20"/>
                <w:color w:val="auto"/>
              </w:rPr>
            </w:pPr>
            <w:r>
              <w:rPr>
                <w:rFonts w:ascii="Arial" w:cs="Arial" w:eastAsia="Arial" w:hAnsi="Arial"/>
                <w:sz w:val="14"/>
                <w:szCs w:val="14"/>
                <w:color w:val="auto"/>
                <w:w w:val="93"/>
              </w:rPr>
              <w:t>Philadelphia, PA</w:t>
            </w: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100" w:type="dxa"/>
            <w:vAlign w:val="bottom"/>
            <w:gridSpan w:val="7"/>
          </w:tcPr>
          <w:p>
            <w:pPr>
              <w:spacing w:after="0" w:line="135" w:lineRule="exact"/>
              <w:rPr>
                <w:sz w:val="20"/>
                <w:szCs w:val="20"/>
                <w:color w:val="auto"/>
              </w:rPr>
            </w:pPr>
            <w:r>
              <w:rPr>
                <w:rFonts w:ascii="Arial" w:cs="Arial" w:eastAsia="Arial" w:hAnsi="Arial"/>
                <w:sz w:val="14"/>
                <w:szCs w:val="14"/>
                <w:color w:val="auto"/>
                <w:w w:val="99"/>
              </w:rPr>
              <w:t>Senior Subordinated Convertible Promissory Note</w:t>
            </w:r>
          </w:p>
        </w:tc>
        <w:tc>
          <w:tcPr>
            <w:tcW w:w="100" w:type="dxa"/>
            <w:vAlign w:val="bottom"/>
          </w:tcPr>
          <w:p>
            <w:pPr>
              <w:spacing w:after="0"/>
              <w:rPr>
                <w:sz w:val="11"/>
                <w:szCs w:val="11"/>
                <w:color w:val="auto"/>
              </w:rPr>
            </w:pPr>
          </w:p>
        </w:tc>
        <w:tc>
          <w:tcPr>
            <w:tcW w:w="236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1"/>
              </w:rPr>
              <w:t>Corporate Education</w:t>
            </w: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w w:val="91"/>
              </w:rPr>
              <w:t>11/26/2014</w:t>
            </w:r>
          </w:p>
        </w:tc>
        <w:tc>
          <w:tcPr>
            <w:tcW w:w="1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color w:val="auto"/>
              </w:rPr>
              <w:t>1,251,158</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vMerge w:val="restart"/>
          </w:tcPr>
          <w:p>
            <w:pPr>
              <w:jc w:val="right"/>
              <w:ind w:right="68"/>
              <w:spacing w:after="0"/>
              <w:rPr>
                <w:sz w:val="20"/>
                <w:szCs w:val="20"/>
                <w:color w:val="auto"/>
              </w:rPr>
            </w:pPr>
            <w:r>
              <w:rPr>
                <w:rFonts w:ascii="Arial" w:cs="Arial" w:eastAsia="Arial" w:hAnsi="Arial"/>
                <w:sz w:val="14"/>
                <w:szCs w:val="14"/>
                <w:color w:val="auto"/>
              </w:rPr>
              <w:t>1,256,191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vMerge w:val="restart"/>
          </w:tcPr>
          <w:p>
            <w:pPr>
              <w:jc w:val="right"/>
              <w:ind w:right="88"/>
              <w:spacing w:after="0"/>
              <w:rPr>
                <w:sz w:val="20"/>
                <w:szCs w:val="20"/>
                <w:color w:val="auto"/>
              </w:rPr>
            </w:pPr>
            <w:r>
              <w:rPr>
                <w:rFonts w:ascii="Arial" w:cs="Arial" w:eastAsia="Arial" w:hAnsi="Arial"/>
                <w:sz w:val="14"/>
                <w:szCs w:val="14"/>
                <w:color w:val="auto"/>
              </w:rPr>
              <w:t>312,789</w:t>
            </w: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0.15</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00" w:type="dxa"/>
            <w:vAlign w:val="bottom"/>
            <w:gridSpan w:val="7"/>
          </w:tcPr>
          <w:p>
            <w:pPr>
              <w:spacing w:after="0"/>
              <w:rPr>
                <w:sz w:val="20"/>
                <w:szCs w:val="20"/>
                <w:color w:val="auto"/>
              </w:rPr>
            </w:pPr>
            <w:r>
              <w:rPr>
                <w:rFonts w:ascii="Arial" w:cs="Arial" w:eastAsia="Arial" w:hAnsi="Arial"/>
                <w:sz w:val="14"/>
                <w:szCs w:val="14"/>
                <w:color w:val="auto"/>
              </w:rPr>
              <w:t>4% Due 2/14/2023</w:t>
            </w:r>
            <w:r>
              <w:rPr>
                <w:rFonts w:ascii="Arial" w:cs="Arial" w:eastAsia="Arial" w:hAnsi="Arial"/>
                <w:sz w:val="9"/>
                <w:szCs w:val="9"/>
                <w:color w:val="auto"/>
              </w:rPr>
              <w:t>(4)(6)</w:t>
            </w:r>
          </w:p>
        </w:tc>
        <w:tc>
          <w:tcPr>
            <w:tcW w:w="100" w:type="dxa"/>
            <w:vAlign w:val="bottom"/>
          </w:tcPr>
          <w:p>
            <w:pPr>
              <w:spacing w:after="0"/>
              <w:rPr>
                <w:sz w:val="16"/>
                <w:szCs w:val="16"/>
                <w:color w:val="auto"/>
              </w:rPr>
            </w:pPr>
          </w:p>
        </w:tc>
        <w:tc>
          <w:tcPr>
            <w:tcW w:w="2360" w:type="dxa"/>
            <w:vAlign w:val="bottom"/>
            <w:gridSpan w:val="2"/>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10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Convertible preferred shares, Series D 6%</w:t>
            </w:r>
          </w:p>
        </w:tc>
        <w:tc>
          <w:tcPr>
            <w:tcW w:w="10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5/31/2013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169,033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778,607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34,980</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00" w:type="dxa"/>
            <w:vAlign w:val="bottom"/>
            <w:gridSpan w:val="7"/>
          </w:tcPr>
          <w:p>
            <w:pPr>
              <w:spacing w:after="0"/>
              <w:rPr>
                <w:sz w:val="20"/>
                <w:szCs w:val="20"/>
                <w:color w:val="auto"/>
              </w:rPr>
            </w:pPr>
            <w:r>
              <w:rPr>
                <w:rFonts w:ascii="Arial" w:cs="Arial" w:eastAsia="Arial" w:hAnsi="Arial"/>
                <w:sz w:val="14"/>
                <w:szCs w:val="14"/>
                <w:color w:val="auto"/>
              </w:rPr>
              <w:t>Convertible preferred shares, Series C 8%</w:t>
            </w:r>
          </w:p>
        </w:tc>
        <w:tc>
          <w:tcPr>
            <w:tcW w:w="1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3"/>
              </w:rPr>
              <w:t>3/29/2012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615,763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2,006,077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310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Preferred Warrants Series D, Strike Price $4.59,</w:t>
            </w:r>
          </w:p>
        </w:tc>
        <w:tc>
          <w:tcPr>
            <w:tcW w:w="10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310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Expiration Date 2/14/2020</w:t>
            </w:r>
          </w:p>
        </w:tc>
        <w:tc>
          <w:tcPr>
            <w:tcW w:w="10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5/31/2013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16,903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3100" w:type="dxa"/>
            <w:vAlign w:val="bottom"/>
            <w:tcBorders>
              <w:bottom w:val="single" w:sz="8" w:color="CCEEFF"/>
            </w:tcBorders>
            <w:gridSpan w:val="7"/>
          </w:tcPr>
          <w:p>
            <w:pPr>
              <w:ind w:left="100"/>
              <w:spacing w:after="0"/>
              <w:rPr>
                <w:sz w:val="20"/>
                <w:szCs w:val="20"/>
                <w:color w:val="auto"/>
              </w:rPr>
            </w:pPr>
            <w:r>
              <w:rPr>
                <w:rFonts w:ascii="Arial" w:cs="Arial" w:eastAsia="Arial" w:hAnsi="Arial"/>
                <w:sz w:val="14"/>
                <w:szCs w:val="14"/>
                <w:color w:val="auto"/>
              </w:rPr>
              <w:t>Total</w:t>
            </w:r>
          </w:p>
        </w:tc>
        <w:tc>
          <w:tcPr>
            <w:tcW w:w="100" w:type="dxa"/>
            <w:vAlign w:val="bottom"/>
            <w:tcBorders>
              <w:bottom w:val="single" w:sz="8" w:color="CCEEFF"/>
            </w:tcBorders>
          </w:tcPr>
          <w:p>
            <w:pPr>
              <w:spacing w:after="0"/>
              <w:rPr>
                <w:sz w:val="17"/>
                <w:szCs w:val="17"/>
                <w:color w:val="auto"/>
              </w:rPr>
            </w:pPr>
          </w:p>
        </w:tc>
        <w:tc>
          <w:tcPr>
            <w:tcW w:w="22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4,040,875</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347,769</w:t>
            </w:r>
          </w:p>
        </w:tc>
        <w:tc>
          <w:tcPr>
            <w:tcW w:w="100" w:type="dxa"/>
            <w:vAlign w:val="bottom"/>
            <w:tcBorders>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0.17</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2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auto"/>
            </w:tcBorders>
            <w:gridSpan w:val="3"/>
            <w:shd w:val="clear" w:color="auto" w:fill="CCEEFF"/>
          </w:tcPr>
          <w:p>
            <w:pPr>
              <w:spacing w:after="0" w:line="148" w:lineRule="exact"/>
              <w:rPr>
                <w:sz w:val="20"/>
                <w:szCs w:val="20"/>
                <w:color w:val="auto"/>
              </w:rPr>
            </w:pPr>
            <w:r>
              <w:rPr>
                <w:rFonts w:ascii="Arial" w:cs="Arial" w:eastAsia="Arial" w:hAnsi="Arial"/>
                <w:sz w:val="14"/>
                <w:szCs w:val="14"/>
                <w:b w:val="1"/>
                <w:bCs w:val="1"/>
                <w:color w:val="auto"/>
                <w:w w:val="92"/>
              </w:rPr>
              <w:t>Maven Research, Inc.</w:t>
            </w:r>
          </w:p>
        </w:tc>
        <w:tc>
          <w:tcPr>
            <w:tcW w:w="1760" w:type="dxa"/>
            <w:vAlign w:val="bottom"/>
            <w:tcBorders>
              <w:bottom w:val="single" w:sz="8" w:color="CCEEFF"/>
            </w:tcBorders>
            <w:gridSpan w:val="4"/>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360" w:type="dxa"/>
            <w:vAlign w:val="bottom"/>
            <w:tcBorders>
              <w:bottom w:val="single" w:sz="8" w:color="CCEEFF"/>
            </w:tcBorders>
            <w:gridSpan w:val="2"/>
            <w:shd w:val="clear" w:color="auto" w:fill="CCEEFF"/>
          </w:tcPr>
          <w:p>
            <w:pPr>
              <w:jc w:val="center"/>
              <w:ind w:right="120"/>
              <w:spacing w:after="0" w:line="148" w:lineRule="exact"/>
              <w:rPr>
                <w:sz w:val="20"/>
                <w:szCs w:val="20"/>
                <w:color w:val="auto"/>
              </w:rPr>
            </w:pPr>
            <w:r>
              <w:rPr>
                <w:rFonts w:ascii="Arial" w:cs="Arial" w:eastAsia="Arial" w:hAnsi="Arial"/>
                <w:sz w:val="14"/>
                <w:szCs w:val="14"/>
                <w:color w:val="auto"/>
                <w:w w:val="92"/>
              </w:rPr>
              <w:t>San Francisco, CA</w:t>
            </w:r>
          </w:p>
        </w:tc>
        <w:tc>
          <w:tcPr>
            <w:tcW w:w="1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00" w:type="dxa"/>
            <w:vAlign w:val="bottom"/>
            <w:gridSpan w:val="7"/>
          </w:tcPr>
          <w:p>
            <w:pPr>
              <w:spacing w:after="0"/>
              <w:rPr>
                <w:sz w:val="20"/>
                <w:szCs w:val="20"/>
                <w:color w:val="auto"/>
              </w:rPr>
            </w:pPr>
            <w:r>
              <w:rPr>
                <w:rFonts w:ascii="Arial" w:cs="Arial" w:eastAsia="Arial" w:hAnsi="Arial"/>
                <w:sz w:val="14"/>
                <w:szCs w:val="14"/>
                <w:color w:val="auto"/>
              </w:rPr>
              <w:t>Preferred shares, Series C 8%</w:t>
            </w:r>
          </w:p>
        </w:tc>
        <w:tc>
          <w:tcPr>
            <w:tcW w:w="100" w:type="dxa"/>
            <w:vAlign w:val="bottom"/>
          </w:tcPr>
          <w:p>
            <w:pPr>
              <w:spacing w:after="0"/>
              <w:rPr>
                <w:sz w:val="17"/>
                <w:szCs w:val="17"/>
                <w:color w:val="auto"/>
              </w:rPr>
            </w:pPr>
          </w:p>
        </w:tc>
        <w:tc>
          <w:tcPr>
            <w:tcW w:w="236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Knowledge Networks</w:t>
            </w:r>
          </w:p>
        </w:tc>
        <w:tc>
          <w:tcPr>
            <w:tcW w:w="1120" w:type="dxa"/>
            <w:vAlign w:val="bottom"/>
          </w:tcPr>
          <w:p>
            <w:pPr>
              <w:jc w:val="center"/>
              <w:spacing w:after="0"/>
              <w:rPr>
                <w:sz w:val="20"/>
                <w:szCs w:val="20"/>
                <w:color w:val="auto"/>
              </w:rPr>
            </w:pPr>
            <w:r>
              <w:rPr>
                <w:rFonts w:ascii="Arial" w:cs="Arial" w:eastAsia="Arial" w:hAnsi="Arial"/>
                <w:sz w:val="14"/>
                <w:szCs w:val="14"/>
                <w:color w:val="auto"/>
                <w:w w:val="95"/>
              </w:rPr>
              <w:t>7/2/2012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318,979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2,000,447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3100" w:type="dxa"/>
            <w:vAlign w:val="bottom"/>
            <w:tcBorders>
              <w:bottom w:val="single" w:sz="8" w:color="CCEEFF"/>
            </w:tcBorders>
            <w:gridSpan w:val="7"/>
            <w:shd w:val="clear" w:color="auto" w:fill="CCEEFF"/>
          </w:tcPr>
          <w:p>
            <w:pPr>
              <w:spacing w:after="0"/>
              <w:rPr>
                <w:sz w:val="20"/>
                <w:szCs w:val="20"/>
                <w:color w:val="auto"/>
              </w:rPr>
            </w:pPr>
            <w:r>
              <w:rPr>
                <w:rFonts w:ascii="Arial" w:cs="Arial" w:eastAsia="Arial" w:hAnsi="Arial"/>
                <w:sz w:val="14"/>
                <w:szCs w:val="14"/>
                <w:color w:val="auto"/>
              </w:rPr>
              <w:t>Preferred shares, Series B 5%</w:t>
            </w:r>
          </w:p>
        </w:tc>
        <w:tc>
          <w:tcPr>
            <w:tcW w:w="100" w:type="dxa"/>
            <w:vAlign w:val="bottom"/>
            <w:shd w:val="clear" w:color="auto" w:fill="CCEEFF"/>
          </w:tcPr>
          <w:p>
            <w:pPr>
              <w:spacing w:after="0"/>
              <w:rPr>
                <w:sz w:val="17"/>
                <w:szCs w:val="17"/>
                <w:color w:val="auto"/>
              </w:rPr>
            </w:pPr>
          </w:p>
        </w:tc>
        <w:tc>
          <w:tcPr>
            <w:tcW w:w="2260" w:type="dxa"/>
            <w:vAlign w:val="bottom"/>
            <w:tcBorders>
              <w:bottom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2/28/2012</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49,505</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217,206</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00" w:type="dxa"/>
            <w:vAlign w:val="bottom"/>
            <w:gridSpan w:val="7"/>
          </w:tcPr>
          <w:p>
            <w:pPr>
              <w:ind w:left="10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2,217,653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2"/>
        </w:trPr>
        <w:tc>
          <w:tcPr>
            <w:tcW w:w="20" w:type="dxa"/>
            <w:vAlign w:val="bottom"/>
            <w:tcBorders>
              <w:top w:val="single" w:sz="8" w:color="CCEEFF"/>
            </w:tcBorders>
            <w:shd w:val="clear" w:color="auto" w:fill="CCEEFF"/>
          </w:tcPr>
          <w:p>
            <w:pPr>
              <w:spacing w:after="0"/>
              <w:rPr>
                <w:sz w:val="15"/>
                <w:szCs w:val="15"/>
                <w:color w:val="auto"/>
              </w:rPr>
            </w:pPr>
          </w:p>
        </w:tc>
        <w:tc>
          <w:tcPr>
            <w:tcW w:w="3100" w:type="dxa"/>
            <w:vAlign w:val="bottom"/>
            <w:tcBorders>
              <w:top w:val="single" w:sz="8" w:color="CCEEFF"/>
            </w:tcBorders>
            <w:gridSpan w:val="7"/>
            <w:shd w:val="clear" w:color="auto" w:fill="CCEEFF"/>
          </w:tcPr>
          <w:p>
            <w:pPr>
              <w:spacing w:after="0"/>
              <w:rPr>
                <w:sz w:val="20"/>
                <w:szCs w:val="20"/>
                <w:color w:val="auto"/>
              </w:rPr>
            </w:pPr>
            <w:r>
              <w:rPr>
                <w:rFonts w:ascii="Arial" w:cs="Arial" w:eastAsia="Arial" w:hAnsi="Arial"/>
                <w:sz w:val="14"/>
                <w:szCs w:val="14"/>
                <w:b w:val="1"/>
                <w:bCs w:val="1"/>
                <w:color w:val="auto"/>
              </w:rPr>
              <w:t>Curious.com, Inc.</w:t>
            </w:r>
          </w:p>
        </w:tc>
        <w:tc>
          <w:tcPr>
            <w:tcW w:w="100" w:type="dxa"/>
            <w:vAlign w:val="bottom"/>
            <w:tcBorders>
              <w:top w:val="single" w:sz="8" w:color="CCEEFF"/>
            </w:tcBorders>
            <w:shd w:val="clear" w:color="auto" w:fill="CCEEFF"/>
          </w:tcPr>
          <w:p>
            <w:pPr>
              <w:spacing w:after="0"/>
              <w:rPr>
                <w:sz w:val="15"/>
                <w:szCs w:val="15"/>
                <w:color w:val="auto"/>
              </w:rPr>
            </w:pPr>
          </w:p>
        </w:tc>
        <w:tc>
          <w:tcPr>
            <w:tcW w:w="2360" w:type="dxa"/>
            <w:vAlign w:val="bottom"/>
            <w:tcBorders>
              <w:top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5"/>
              </w:rPr>
              <w:t>Menlo Park, CA</w:t>
            </w:r>
          </w:p>
        </w:tc>
        <w:tc>
          <w:tcPr>
            <w:tcW w:w="1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Common shares</w:t>
            </w:r>
          </w:p>
        </w:tc>
        <w:tc>
          <w:tcPr>
            <w:tcW w:w="2000" w:type="dxa"/>
            <w:vAlign w:val="bottom"/>
            <w:tcBorders>
              <w:top w:val="single" w:sz="8" w:color="CCEEFF"/>
            </w:tcBorders>
            <w:gridSpan w:val="5"/>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360" w:type="dxa"/>
            <w:vAlign w:val="bottom"/>
            <w:tcBorders>
              <w:top w:val="single" w:sz="8" w:color="CCEEFF"/>
            </w:tcBorders>
            <w:gridSpan w:val="2"/>
          </w:tcPr>
          <w:p>
            <w:pPr>
              <w:jc w:val="center"/>
              <w:ind w:right="100"/>
              <w:spacing w:after="0"/>
              <w:rPr>
                <w:sz w:val="20"/>
                <w:szCs w:val="20"/>
                <w:color w:val="auto"/>
              </w:rPr>
            </w:pPr>
            <w:r>
              <w:rPr>
                <w:rFonts w:ascii="Arial" w:cs="Arial" w:eastAsia="Arial" w:hAnsi="Arial"/>
                <w:sz w:val="14"/>
                <w:szCs w:val="14"/>
                <w:color w:val="auto"/>
                <w:w w:val="95"/>
              </w:rPr>
              <w:t>Online Education</w:t>
            </w:r>
          </w:p>
        </w:tc>
        <w:tc>
          <w:tcPr>
            <w:tcW w:w="1120" w:type="dxa"/>
            <w:vAlign w:val="bottom"/>
            <w:tcBorders>
              <w:top w:val="single" w:sz="8" w:color="CCEEFF"/>
            </w:tcBorders>
          </w:tcPr>
          <w:p>
            <w:pPr>
              <w:jc w:val="center"/>
              <w:spacing w:after="0"/>
              <w:rPr>
                <w:sz w:val="20"/>
                <w:szCs w:val="20"/>
                <w:color w:val="auto"/>
              </w:rPr>
            </w:pPr>
            <w:r>
              <w:rPr>
                <w:rFonts w:ascii="Arial" w:cs="Arial" w:eastAsia="Arial" w:hAnsi="Arial"/>
                <w:sz w:val="14"/>
                <w:szCs w:val="14"/>
                <w:color w:val="auto"/>
                <w:w w:val="91"/>
              </w:rPr>
              <w:t>11/22/2013</w:t>
            </w: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jc w:val="right"/>
              <w:ind w:right="68"/>
              <w:spacing w:after="0"/>
              <w:rPr>
                <w:sz w:val="20"/>
                <w:szCs w:val="20"/>
                <w:color w:val="auto"/>
              </w:rPr>
            </w:pPr>
            <w:r>
              <w:rPr>
                <w:rFonts w:ascii="Arial" w:cs="Arial" w:eastAsia="Arial" w:hAnsi="Arial"/>
                <w:sz w:val="14"/>
                <w:szCs w:val="14"/>
                <w:color w:val="auto"/>
              </w:rPr>
              <w:t>1,135,944</w:t>
            </w: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jc w:val="right"/>
              <w:ind w:right="68"/>
              <w:spacing w:after="0"/>
              <w:rPr>
                <w:sz w:val="20"/>
                <w:szCs w:val="20"/>
                <w:color w:val="auto"/>
              </w:rPr>
            </w:pPr>
            <w:r>
              <w:rPr>
                <w:rFonts w:ascii="Arial" w:cs="Arial" w:eastAsia="Arial" w:hAnsi="Arial"/>
                <w:sz w:val="14"/>
                <w:szCs w:val="14"/>
                <w:color w:val="auto"/>
              </w:rPr>
              <w:t>12,000,006</w:t>
            </w: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6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CCEEFF"/>
            </w:tcBorders>
            <w:gridSpan w:val="2"/>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100" w:type="dxa"/>
            <w:vAlign w:val="bottom"/>
            <w:gridSpan w:val="7"/>
          </w:tcPr>
          <w:p>
            <w:pPr>
              <w:ind w:left="100"/>
              <w:spacing w:after="0"/>
              <w:rPr>
                <w:sz w:val="20"/>
                <w:szCs w:val="20"/>
                <w:color w:val="auto"/>
              </w:rPr>
            </w:pPr>
            <w:r>
              <w:rPr>
                <w:rFonts w:ascii="Arial" w:cs="Arial" w:eastAsia="Arial" w:hAnsi="Arial"/>
                <w:sz w:val="14"/>
                <w:szCs w:val="14"/>
                <w:b w:val="1"/>
                <w:bCs w:val="1"/>
                <w:color w:val="auto"/>
              </w:rPr>
              <w:t>Total Non-controlled/Affiliate</w:t>
            </w:r>
          </w:p>
        </w:tc>
        <w:tc>
          <w:tcPr>
            <w:tcW w:w="1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b w:val="1"/>
                <w:bCs w:val="1"/>
                <w:color w:val="auto"/>
              </w:rPr>
              <w:t>52,857,243</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37,944,268</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18.98</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-5349240</wp:posOffset>
            </wp:positionV>
            <wp:extent cx="3471545"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71545" cy="137160"/>
                    </a:xfrm>
                    <a:prstGeom prst="rect">
                      <a:avLst/>
                    </a:prstGeom>
                    <a:noFill/>
                  </pic:spPr>
                </pic:pic>
              </a:graphicData>
            </a:graphic>
          </wp:anchor>
        </w:drawing>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 to consolidated financial statements.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340" w:right="2500"/>
        <w:spacing w:after="0" w:line="266" w:lineRule="auto"/>
        <w:rPr>
          <w:sz w:val="20"/>
          <w:szCs w:val="20"/>
          <w:color w:val="auto"/>
        </w:rPr>
      </w:pPr>
      <w:r>
        <w:rPr>
          <w:rFonts w:ascii="Arial" w:cs="Arial" w:eastAsia="Arial" w:hAnsi="Arial"/>
          <w:sz w:val="18"/>
          <w:szCs w:val="18"/>
          <w:b w:val="1"/>
          <w:bCs w:val="1"/>
          <w:color w:val="auto"/>
        </w:rPr>
        <w:t>SURO CAPITAL CORP. AND SUBSIDIARIES CONDENSED CONSOLIDATED SCHEDULE OF INVESTMENTS - continued December 31, 2019</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Portfolio Investments*</w:t>
            </w:r>
          </w:p>
        </w:tc>
        <w:tc>
          <w:tcPr>
            <w:tcW w:w="2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Headquarters/</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7"/>
              </w:rPr>
              <w:t>Date of Initial</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Shares/</w:t>
            </w:r>
          </w:p>
        </w:tc>
        <w:tc>
          <w:tcPr>
            <w:tcW w:w="180" w:type="dxa"/>
            <w:vAlign w:val="bottom"/>
          </w:tcPr>
          <w:p>
            <w:pPr>
              <w:spacing w:after="0"/>
              <w:rPr>
                <w:sz w:val="14"/>
                <w:szCs w:val="14"/>
                <w:color w:val="auto"/>
              </w:rPr>
            </w:pPr>
          </w:p>
        </w:tc>
        <w:tc>
          <w:tcPr>
            <w:tcW w:w="10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4"/>
                <w:szCs w:val="14"/>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 of Net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140" w:type="dxa"/>
            <w:vAlign w:val="bottom"/>
            <w:gridSpan w:val="5"/>
            <w:vMerge w:val="continue"/>
          </w:tcPr>
          <w:p>
            <w:pPr>
              <w:spacing w:after="0"/>
              <w:rPr>
                <w:sz w:val="16"/>
                <w:szCs w:val="16"/>
                <w:color w:val="auto"/>
              </w:rPr>
            </w:pPr>
          </w:p>
        </w:tc>
        <w:tc>
          <w:tcPr>
            <w:tcW w:w="2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Industry</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Principal</w:t>
            </w:r>
          </w:p>
        </w:tc>
        <w:tc>
          <w:tcPr>
            <w:tcW w:w="1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auto"/>
            </w:tcBorders>
            <w:shd w:val="clear" w:color="auto" w:fill="CCEEFF"/>
          </w:tcPr>
          <w:p>
            <w:pPr>
              <w:spacing w:after="0"/>
              <w:rPr>
                <w:sz w:val="16"/>
                <w:szCs w:val="16"/>
                <w:color w:val="auto"/>
              </w:rPr>
            </w:pPr>
          </w:p>
        </w:tc>
        <w:tc>
          <w:tcPr>
            <w:tcW w:w="304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4"/>
                <w:szCs w:val="14"/>
                <w:b w:val="1"/>
                <w:bCs w:val="1"/>
                <w:color w:val="auto"/>
              </w:rPr>
              <w:t>CONTROLLED</w:t>
            </w:r>
            <w:r>
              <w:rPr>
                <w:rFonts w:ascii="Arial" w:cs="Arial" w:eastAsia="Arial" w:hAnsi="Arial"/>
                <w:sz w:val="9"/>
                <w:szCs w:val="9"/>
                <w:b w:val="1"/>
                <w:bCs w:val="1"/>
                <w:color w:val="auto"/>
              </w:rPr>
              <w:t>(2)</w:t>
            </w:r>
          </w:p>
        </w:tc>
        <w:tc>
          <w:tcPr>
            <w:tcW w:w="100" w:type="dxa"/>
            <w:vAlign w:val="bottom"/>
            <w:tcBorders>
              <w:top w:val="single" w:sz="8" w:color="CCEEFF"/>
            </w:tcBorders>
            <w:shd w:val="clear" w:color="auto" w:fill="CCEEFF"/>
          </w:tcPr>
          <w:p>
            <w:pPr>
              <w:spacing w:after="0"/>
              <w:rPr>
                <w:sz w:val="16"/>
                <w:szCs w:val="16"/>
                <w:color w:val="auto"/>
              </w:rPr>
            </w:pPr>
          </w:p>
        </w:tc>
        <w:tc>
          <w:tcPr>
            <w:tcW w:w="2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40" w:type="dxa"/>
            <w:vAlign w:val="bottom"/>
            <w:gridSpan w:val="5"/>
          </w:tcPr>
          <w:p>
            <w:pPr>
              <w:spacing w:after="0"/>
              <w:rPr>
                <w:sz w:val="20"/>
                <w:szCs w:val="20"/>
                <w:color w:val="auto"/>
              </w:rPr>
            </w:pPr>
            <w:r>
              <w:rPr>
                <w:rFonts w:ascii="Arial" w:cs="Arial" w:eastAsia="Arial" w:hAnsi="Arial"/>
                <w:sz w:val="14"/>
                <w:szCs w:val="14"/>
                <w:b w:val="1"/>
                <w:bCs w:val="1"/>
                <w:color w:val="auto"/>
              </w:rPr>
              <w:t>SPBRX, INC. (f/k/a GSV Sustainability</w:t>
            </w:r>
          </w:p>
        </w:tc>
        <w:tc>
          <w:tcPr>
            <w:tcW w:w="212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5"/>
              </w:rPr>
              <w:t>Cupertino, CA</w:t>
            </w: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Partners, Inc.)</w:t>
            </w:r>
          </w:p>
        </w:tc>
        <w:tc>
          <w:tcPr>
            <w:tcW w:w="720" w:type="dxa"/>
            <w:vAlign w:val="bottom"/>
            <w:gridSpan w:val="2"/>
          </w:tcPr>
          <w:p>
            <w:pPr>
              <w:spacing w:after="0"/>
              <w:rPr>
                <w:sz w:val="11"/>
                <w:szCs w:val="11"/>
                <w:color w:val="auto"/>
              </w:rPr>
            </w:pPr>
          </w:p>
        </w:tc>
        <w:tc>
          <w:tcPr>
            <w:tcW w:w="2120" w:type="dxa"/>
            <w:vAlign w:val="bottom"/>
            <w:gridSpan w:val="2"/>
            <w:vMerge w:val="continue"/>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14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Preferred shares, Class A***</w:t>
            </w:r>
            <w:r>
              <w:rPr>
                <w:rFonts w:ascii="Arial" w:cs="Arial" w:eastAsia="Arial" w:hAnsi="Arial"/>
                <w:sz w:val="9"/>
                <w:szCs w:val="9"/>
                <w:color w:val="auto"/>
              </w:rPr>
              <w:t>(8)</w:t>
            </w:r>
          </w:p>
        </w:tc>
        <w:tc>
          <w:tcPr>
            <w:tcW w:w="21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Clean Technology</w:t>
            </w: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4/15/2014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99"/>
              </w:rPr>
              <w:t>14,300,000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7,151,412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775,198</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0.39</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40" w:type="dxa"/>
            <w:vAlign w:val="bottom"/>
            <w:gridSpan w:val="5"/>
          </w:tcPr>
          <w:p>
            <w:pPr>
              <w:spacing w:after="0"/>
              <w:rPr>
                <w:sz w:val="20"/>
                <w:szCs w:val="20"/>
                <w:color w:val="auto"/>
              </w:rPr>
            </w:pPr>
            <w:r>
              <w:rPr>
                <w:rFonts w:ascii="Arial" w:cs="Arial" w:eastAsia="Arial" w:hAnsi="Arial"/>
                <w:sz w:val="14"/>
                <w:szCs w:val="14"/>
                <w:color w:val="auto"/>
              </w:rPr>
              <w:t>Common shares</w:t>
            </w: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3"/>
              </w:rPr>
              <w:t>4/15/2014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040" w:type="dxa"/>
            <w:vAlign w:val="bottom"/>
            <w:tcBorders>
              <w:top w:val="single" w:sz="8" w:color="CCEEFF"/>
              <w:bottom w:val="single" w:sz="8" w:color="CCEEFF"/>
            </w:tcBorders>
            <w:gridSpan w:val="4"/>
            <w:shd w:val="clear" w:color="auto" w:fill="CCEEFF"/>
          </w:tcPr>
          <w:p>
            <w:pPr>
              <w:ind w:left="10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CCEEFF"/>
            </w:tcBorders>
            <w:shd w:val="clear" w:color="auto" w:fill="CCEEFF"/>
          </w:tcPr>
          <w:p>
            <w:pPr>
              <w:spacing w:after="0"/>
              <w:rPr>
                <w:sz w:val="17"/>
                <w:szCs w:val="17"/>
                <w:color w:val="auto"/>
              </w:rPr>
            </w:pPr>
          </w:p>
        </w:tc>
        <w:tc>
          <w:tcPr>
            <w:tcW w:w="20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7,161,412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775,198</w:t>
            </w:r>
          </w:p>
        </w:tc>
        <w:tc>
          <w:tcPr>
            <w:tcW w:w="1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0.39</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140" w:type="dxa"/>
            <w:vAlign w:val="bottom"/>
            <w:gridSpan w:val="5"/>
            <w:shd w:val="clear" w:color="auto" w:fill="CCEEFF"/>
          </w:tcPr>
          <w:p>
            <w:pPr>
              <w:ind w:left="100"/>
              <w:spacing w:after="0"/>
              <w:rPr>
                <w:sz w:val="20"/>
                <w:szCs w:val="20"/>
                <w:color w:val="auto"/>
              </w:rPr>
            </w:pPr>
            <w:r>
              <w:rPr>
                <w:rFonts w:ascii="Arial" w:cs="Arial" w:eastAsia="Arial" w:hAnsi="Arial"/>
                <w:sz w:val="14"/>
                <w:szCs w:val="14"/>
                <w:b w:val="1"/>
                <w:bCs w:val="1"/>
                <w:color w:val="auto"/>
              </w:rPr>
              <w:t>Total Controlled</w:t>
            </w:r>
          </w:p>
        </w:tc>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7,161,412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775,198</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0.39 %</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140" w:type="dxa"/>
            <w:vAlign w:val="bottom"/>
            <w:gridSpan w:val="5"/>
            <w:shd w:val="clear" w:color="auto" w:fill="CCEEFF"/>
          </w:tcPr>
          <w:p>
            <w:pPr>
              <w:ind w:left="100"/>
              <w:spacing w:after="0"/>
              <w:rPr>
                <w:sz w:val="20"/>
                <w:szCs w:val="20"/>
                <w:color w:val="auto"/>
              </w:rPr>
            </w:pPr>
            <w:r>
              <w:rPr>
                <w:rFonts w:ascii="Arial" w:cs="Arial" w:eastAsia="Arial" w:hAnsi="Arial"/>
                <w:sz w:val="14"/>
                <w:szCs w:val="14"/>
                <w:b w:val="1"/>
                <w:bCs w:val="1"/>
                <w:color w:val="auto"/>
              </w:rPr>
              <w:t>Total Portfolio Investments</w:t>
            </w:r>
          </w:p>
        </w:tc>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w w:val="97"/>
              </w:rPr>
              <w:t>150,585,696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191,585,578</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95.83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3140" w:type="dxa"/>
            <w:vAlign w:val="bottom"/>
            <w:gridSpan w:val="5"/>
            <w:shd w:val="clear" w:color="auto" w:fill="CCEEFF"/>
          </w:tcPr>
          <w:p>
            <w:pPr>
              <w:spacing w:after="0"/>
              <w:rPr>
                <w:sz w:val="20"/>
                <w:szCs w:val="20"/>
                <w:color w:val="auto"/>
              </w:rPr>
            </w:pPr>
            <w:r>
              <w:rPr>
                <w:rFonts w:ascii="Arial" w:cs="Arial" w:eastAsia="Arial" w:hAnsi="Arial"/>
                <w:sz w:val="14"/>
                <w:szCs w:val="14"/>
                <w:b w:val="1"/>
                <w:bCs w:val="1"/>
                <w:color w:val="auto"/>
              </w:rPr>
              <w:t>U.S. Treasury</w:t>
            </w:r>
          </w:p>
        </w:tc>
        <w:tc>
          <w:tcPr>
            <w:tcW w:w="2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140" w:type="dxa"/>
            <w:vAlign w:val="bottom"/>
            <w:gridSpan w:val="5"/>
          </w:tcPr>
          <w:p>
            <w:pPr>
              <w:spacing w:after="0"/>
              <w:rPr>
                <w:sz w:val="20"/>
                <w:szCs w:val="20"/>
                <w:color w:val="auto"/>
              </w:rPr>
            </w:pPr>
            <w:r>
              <w:rPr>
                <w:rFonts w:ascii="Arial" w:cs="Arial" w:eastAsia="Arial" w:hAnsi="Arial"/>
                <w:sz w:val="14"/>
                <w:szCs w:val="14"/>
                <w:color w:val="auto"/>
              </w:rPr>
              <w:t>U.S. Treasury bill, 0%, due 1/2/2020***</w:t>
            </w:r>
            <w:r>
              <w:rPr>
                <w:rFonts w:ascii="Arial" w:cs="Arial" w:eastAsia="Arial" w:hAnsi="Arial"/>
                <w:sz w:val="9"/>
                <w:szCs w:val="9"/>
                <w:color w:val="auto"/>
              </w:rPr>
              <w:t>(3)</w:t>
            </w: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4"/>
              </w:rPr>
              <w:t>12/30/2019</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w w:val="99"/>
              </w:rPr>
              <w:t>50,000,000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49,996,667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50,000,000</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25.01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20" w:type="dxa"/>
            <w:vAlign w:val="bottom"/>
            <w:tcBorders>
              <w:bottom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40" w:type="dxa"/>
            <w:vAlign w:val="bottom"/>
            <w:gridSpan w:val="5"/>
          </w:tcPr>
          <w:p>
            <w:pPr>
              <w:spacing w:after="0"/>
              <w:rPr>
                <w:sz w:val="20"/>
                <w:szCs w:val="20"/>
                <w:color w:val="auto"/>
              </w:rPr>
            </w:pPr>
            <w:r>
              <w:rPr>
                <w:rFonts w:ascii="Arial" w:cs="Arial" w:eastAsia="Arial" w:hAnsi="Arial"/>
                <w:sz w:val="14"/>
                <w:szCs w:val="14"/>
                <w:b w:val="1"/>
                <w:bCs w:val="1"/>
                <w:color w:val="auto"/>
              </w:rPr>
              <w:t>TOTAL INVESTMENTS</w:t>
            </w: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7"/>
              </w:rPr>
              <w:t>200,582,363</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241,585,578</w:t>
            </w:r>
          </w:p>
        </w:tc>
        <w:tc>
          <w:tcPr>
            <w:tcW w:w="120" w:type="dxa"/>
            <w:vAlign w:val="bottom"/>
          </w:tcPr>
          <w:p>
            <w:pPr>
              <w:spacing w:after="0"/>
              <w:rPr>
                <w:sz w:val="17"/>
                <w:szCs w:val="17"/>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120.84 %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-307975</wp:posOffset>
            </wp:positionV>
            <wp:extent cx="7797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978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-436245</wp:posOffset>
            </wp:positionV>
            <wp:extent cx="1937385"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37385" cy="13716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-1508125</wp:posOffset>
            </wp:positionV>
            <wp:extent cx="483489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834890" cy="137160"/>
                    </a:xfrm>
                    <a:prstGeom prst="rect">
                      <a:avLst/>
                    </a:prstGeom>
                    <a:noFill/>
                  </pic:spPr>
                </pic:pic>
              </a:graphicData>
            </a:graphic>
          </wp:anchor>
        </w:drawing>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 to consolidated financial statements.</w:t>
      </w:r>
    </w:p>
    <w:p>
      <w:pPr>
        <w:spacing w:after="0" w:line="1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w:t>
      </w:r>
    </w:p>
    <w:p>
      <w:pPr>
        <w:spacing w:after="0" w:line="2" w:lineRule="exact"/>
        <w:rPr>
          <w:sz w:val="20"/>
          <w:szCs w:val="20"/>
          <w:color w:val="auto"/>
        </w:rPr>
      </w:pPr>
    </w:p>
    <w:p>
      <w:pPr>
        <w:jc w:val="right"/>
        <w:ind w:left="500" w:hanging="492"/>
        <w:spacing w:after="0" w:line="281" w:lineRule="auto"/>
        <w:tabs>
          <w:tab w:leader="none" w:pos="149" w:val="left"/>
        </w:tabs>
        <w:numPr>
          <w:ilvl w:val="0"/>
          <w:numId w:val="10"/>
        </w:numPr>
        <w:rPr>
          <w:rFonts w:ascii="Arial" w:cs="Arial" w:eastAsia="Arial" w:hAnsi="Arial"/>
          <w:sz w:val="16"/>
          <w:szCs w:val="16"/>
          <w:color w:val="auto"/>
        </w:rPr>
      </w:pPr>
      <w:r>
        <w:rPr>
          <w:rFonts w:ascii="Arial" w:cs="Arial" w:eastAsia="Arial" w:hAnsi="Arial"/>
          <w:sz w:val="14"/>
          <w:szCs w:val="14"/>
          <w:color w:val="auto"/>
        </w:rPr>
        <w:t>All portfolio investments are non-control/non-affiliated and non-income-producing, unless otherwise identified. Equity investments are subject to lock-up restrictions upon their initial public offering (“IPO”). Preferred dividends are generally only payable when declared and paid by the portfolio company's board of directors. The Company’s directors, officers, employees and staff, as applicable, may serve on the board of directors of the Company’s portfolio investments. (Refer to “Note 3— Related-Party Arrangements”). All portfolio investments are considered Level 3 and valued using significant unobservable inputs, unless otherwise noted. (Refer to “Note 4—Investments at Fair Value”). All of the Company's portfolio investments are restricted as to resale, unless otherwise noted, and were valued at fair value as</w:t>
      </w:r>
    </w:p>
    <w:p>
      <w:pPr>
        <w:spacing w:after="0" w:line="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determined in good faith by the Company’s Board of Directors. (Refer to "Note 2—Significant Accounting Policies—</w:t>
      </w:r>
      <w:r>
        <w:rPr>
          <w:rFonts w:ascii="Arial" w:cs="Arial" w:eastAsia="Arial" w:hAnsi="Arial"/>
          <w:sz w:val="16"/>
          <w:szCs w:val="16"/>
          <w:i w:val="1"/>
          <w:iCs w:val="1"/>
          <w:color w:val="auto"/>
        </w:rPr>
        <w:t>Investments at Fair Value</w:t>
      </w:r>
      <w:r>
        <w:rPr>
          <w:rFonts w:ascii="Arial" w:cs="Arial" w:eastAsia="Arial" w:hAnsi="Arial"/>
          <w:sz w:val="16"/>
          <w:szCs w:val="16"/>
          <w:color w:val="auto"/>
        </w:rPr>
        <w:t>").</w:t>
      </w:r>
    </w:p>
    <w:p>
      <w:pPr>
        <w:spacing w:after="0" w:line="5" w:lineRule="exact"/>
        <w:rPr>
          <w:sz w:val="20"/>
          <w:szCs w:val="20"/>
          <w:color w:val="auto"/>
        </w:rPr>
      </w:pPr>
    </w:p>
    <w:p>
      <w:pPr>
        <w:ind w:left="500" w:hanging="492"/>
        <w:spacing w:after="0" w:line="246" w:lineRule="auto"/>
        <w:tabs>
          <w:tab w:leader="none" w:pos="232"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Indicates assets that SuRo Capital Corp. believes do not represent “qualifying assets” under Section 55(a) of the Investment Company Act of 1940, as amended (the “1940 Act”). Of the Company’s total investments as of December 31, 2019, 0.00% of its total investments are non-qualifying assets.</w:t>
      </w:r>
    </w:p>
    <w:p>
      <w:pPr>
        <w:ind w:left="300" w:hanging="292"/>
        <w:spacing w:after="0"/>
        <w:tabs>
          <w:tab w:leader="none" w:pos="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Investment is income-producing.</w:t>
      </w:r>
    </w:p>
    <w:p>
      <w:pPr>
        <w:spacing w:after="0" w:line="234" w:lineRule="exact"/>
        <w:rPr>
          <w:sz w:val="20"/>
          <w:szCs w:val="20"/>
          <w:color w:val="auto"/>
        </w:rPr>
      </w:pPr>
    </w:p>
    <w:p>
      <w:pPr>
        <w:jc w:val="both"/>
        <w:ind w:left="500" w:hanging="492"/>
        <w:spacing w:after="0" w:line="256"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“Affiliate Investments” are investments in those companies that are “Affiliated Companies” of SuRo Capital Corp., as defined in the 1940 Act. In general, a company is deemed to be an “Affiliate” of SuRo Capital Corp. if SuRo Capital Corp. owns 5% or more of the voting securities (</w:t>
      </w:r>
      <w:r>
        <w:rPr>
          <w:rFonts w:ascii="Arial" w:cs="Arial" w:eastAsia="Arial" w:hAnsi="Arial"/>
          <w:sz w:val="16"/>
          <w:szCs w:val="16"/>
          <w:i w:val="1"/>
          <w:iCs w:val="1"/>
          <w:color w:val="auto"/>
        </w:rPr>
        <w:t>i.e.</w:t>
      </w:r>
      <w:r>
        <w:rPr>
          <w:rFonts w:ascii="Arial" w:cs="Arial" w:eastAsia="Arial" w:hAnsi="Arial"/>
          <w:sz w:val="16"/>
          <w:szCs w:val="16"/>
          <w:color w:val="auto"/>
        </w:rPr>
        <w:t>, securities with the right to elect directors) of such company. For the Schedule of Investments In, and Advances To, Affiliates, as required by SEC Regulation S-X, Rule 12-14, refer to “Note 4—Investments at Fair Value”.</w:t>
      </w:r>
    </w:p>
    <w:p>
      <w:pPr>
        <w:spacing w:after="0" w:line="213" w:lineRule="exact"/>
        <w:rPr>
          <w:rFonts w:ascii="Arial" w:cs="Arial" w:eastAsia="Arial" w:hAnsi="Arial"/>
          <w:sz w:val="16"/>
          <w:szCs w:val="16"/>
          <w:color w:val="auto"/>
        </w:rPr>
      </w:pPr>
    </w:p>
    <w:p>
      <w:pPr>
        <w:jc w:val="both"/>
        <w:ind w:left="500" w:hanging="492"/>
        <w:spacing w:after="0" w:line="278" w:lineRule="auto"/>
        <w:tabs>
          <w:tab w:leader="none" w:pos="5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“Control Investments” are investments in those companies that are “Controlled Companies” of SuRo Capital Corp., as defined in the 1940 Act. In general, under the 1940 Act, the Company would “Control” a portfolio company if the Company owned more than 25% of its outstanding voting securities (i.e., securities with the right to elect directors) and/or had the power to exercise control over the management or policies of such portfolio company. For the Schedule of Investments In, and Advances To, Affiliates, as required by SEC Regulation S-X, Rule 12-14, refer to “Note 4—Investments at Fair Value”.</w:t>
      </w:r>
    </w:p>
    <w:p>
      <w:pPr>
        <w:spacing w:after="0" w:line="199" w:lineRule="exact"/>
        <w:rPr>
          <w:rFonts w:ascii="Arial" w:cs="Arial" w:eastAsia="Arial" w:hAnsi="Arial"/>
          <w:sz w:val="15"/>
          <w:szCs w:val="15"/>
          <w:color w:val="auto"/>
        </w:rPr>
      </w:pPr>
    </w:p>
    <w:p>
      <w:pPr>
        <w:ind w:left="500" w:hanging="492"/>
        <w:spacing w:after="0" w:line="275"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Denotes an investment considered Level 1 or Level 2 and valued using observable inputs. As of December 31, 2019, no investments held by SuRo Capital Corp. were considered Level 1 or Level 2. Refer to “Note 4—Investments at Fair Value”.</w:t>
      </w:r>
    </w:p>
    <w:p>
      <w:pPr>
        <w:spacing w:after="0" w:line="199" w:lineRule="exact"/>
        <w:rPr>
          <w:rFonts w:ascii="Arial" w:cs="Arial" w:eastAsia="Arial" w:hAnsi="Arial"/>
          <w:sz w:val="16"/>
          <w:szCs w:val="16"/>
          <w:color w:val="auto"/>
        </w:rPr>
      </w:pPr>
    </w:p>
    <w:p>
      <w:pPr>
        <w:ind w:left="500" w:hanging="492"/>
        <w:spacing w:after="0"/>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As of December 31, 2019, the investments noted had been placed on non-accrual status.</w:t>
      </w:r>
    </w:p>
    <w:p>
      <w:pPr>
        <w:spacing w:after="0" w:line="248" w:lineRule="exact"/>
        <w:rPr>
          <w:rFonts w:ascii="Arial" w:cs="Arial" w:eastAsia="Arial" w:hAnsi="Arial"/>
          <w:sz w:val="16"/>
          <w:szCs w:val="16"/>
          <w:color w:val="auto"/>
        </w:rPr>
      </w:pPr>
    </w:p>
    <w:p>
      <w:pPr>
        <w:ind w:left="500" w:hanging="492"/>
        <w:spacing w:after="0"/>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SuRo Capital Corp.’s investments in StormWind, LLC are held through SuRo Capital Corp.'s wholly owned subsidiary, GSVC SW Holdings, Inc.</w:t>
      </w:r>
    </w:p>
    <w:p>
      <w:pPr>
        <w:spacing w:after="0" w:line="248" w:lineRule="exact"/>
        <w:rPr>
          <w:rFonts w:ascii="Arial" w:cs="Arial" w:eastAsia="Arial" w:hAnsi="Arial"/>
          <w:sz w:val="16"/>
          <w:szCs w:val="16"/>
          <w:color w:val="auto"/>
        </w:rPr>
      </w:pPr>
    </w:p>
    <w:p>
      <w:pPr>
        <w:jc w:val="both"/>
        <w:ind w:left="500" w:hanging="492"/>
        <w:spacing w:after="0" w:line="261"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 October 24, 2019, CUX, Inc. (d/b/a CorpU) completed a recapitalization, which amended SuRo Capital Corp.'s investment in the Senior Subordinated Convertible Promissory Note. As a result of the recapitalization, the principal amount of SuRo Capital Corp.'s Senior Subordinated Convertible Promissory Note was reduced by $109,331, the interest rate was reduced to 4%, and the maturity was extended to February 14, 2023.</w:t>
      </w:r>
    </w:p>
    <w:p>
      <w:pPr>
        <w:spacing w:after="0" w:line="209" w:lineRule="exact"/>
        <w:rPr>
          <w:rFonts w:ascii="Arial" w:cs="Arial" w:eastAsia="Arial" w:hAnsi="Arial"/>
          <w:sz w:val="16"/>
          <w:szCs w:val="16"/>
          <w:color w:val="auto"/>
        </w:rPr>
      </w:pPr>
    </w:p>
    <w:p>
      <w:pPr>
        <w:ind w:left="500" w:hanging="492"/>
        <w:spacing w:after="0" w:line="275"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 September 11, 2019, SuRo Capital Corp. agreed to convert its 5% Convertible Promissory Note due 12/31/2018 to Ozy Media, Inc. and all related accrued interest, into 683,482 shares of Ozy Media, Inc.'s Series C-2 preferred shares.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SURO CAPITAL CORP.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285" w:lineRule="exact"/>
        <w:rPr>
          <w:sz w:val="20"/>
          <w:szCs w:val="20"/>
          <w:color w:val="auto"/>
        </w:rPr>
      </w:pPr>
    </w:p>
    <w:p>
      <w:pPr>
        <w:ind w:left="500" w:hanging="492"/>
        <w:spacing w:after="0" w:line="275" w:lineRule="auto"/>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During the year ended December 31, 2019, SPBRX, INC. (f/k/a GSV Sustainability Partners, Inc.) declared, and SuRo Capital Corp. received, an aggregate of $400,000 in dividend distributions.</w:t>
      </w:r>
    </w:p>
    <w:p>
      <w:pPr>
        <w:spacing w:after="0" w:line="199" w:lineRule="exact"/>
        <w:rPr>
          <w:rFonts w:ascii="Arial" w:cs="Arial" w:eastAsia="Arial" w:hAnsi="Arial"/>
          <w:sz w:val="16"/>
          <w:szCs w:val="16"/>
          <w:color w:val="auto"/>
        </w:rPr>
      </w:pPr>
    </w:p>
    <w:p>
      <w:pPr>
        <w:jc w:val="both"/>
        <w:ind w:left="500" w:hanging="492"/>
        <w:spacing w:after="0" w:line="250" w:lineRule="auto"/>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On August 23, 2019, SuRo Capital Corp. amended the structure of its investment in NestGSV, Inc. (d/b/a GSV Labs, Inc.). As part of the agreement, SuRo Capital Corp’s equity holdings (warrants notwithstanding) were restructured into a derivative security. NestGSV, Inc. (d/b/a GSV Labs,Inc.) has the right to call the position at any time over a five year period, while SuRo Capital Corp. can put the shares to NestGSV, Inc. (d/b/a GSV Labs, Inc.) at the end of the five year period. As part of the agreement, previously accrued interest under SuRo Capital Corp’s 12% Convertible Promissory Note due 12/31/2019 will be capitalized into the principal of the extended Convertible Promissory Note, and the interest on the Convertible Promissory Note is reduced from 12% to 8%. The Convertible Promissory Note’s maturity was extended to August 23, 2024. Under the amended structure, SuRo Capital Corp.’s fully diluted ownership of voting securities in the company decreased from 50.0% to 8.5%. As such, SuRo Capital Corp.'s investments in NestGSV, Inc. (d/b/a GSV Labs, Inc.) have been recategorized from controlled investments to non-controlled/affiliated investments.</w:t>
      </w:r>
    </w:p>
    <w:p>
      <w:pPr>
        <w:spacing w:after="0" w:line="221" w:lineRule="exact"/>
        <w:rPr>
          <w:rFonts w:ascii="Arial" w:cs="Arial" w:eastAsia="Arial" w:hAnsi="Arial"/>
          <w:sz w:val="16"/>
          <w:szCs w:val="16"/>
          <w:color w:val="auto"/>
        </w:rPr>
      </w:pPr>
    </w:p>
    <w:p>
      <w:pPr>
        <w:jc w:val="both"/>
        <w:ind w:left="500" w:hanging="492"/>
        <w:spacing w:after="0" w:line="261" w:lineRule="auto"/>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On November 26, 2019, SuRo Capital Corp. invested $250,000 in StormWind, LLC's Series D financing round. As part of the round, SuRo Capital Corp.'s fully diluted ownership of voting securities decreased from 25.6% to 23.4%. As such, SuRo Capital Corp.'s investments in StormWind, LLC have been recategorized from controlled investments to non-controlled/affiliated investments.</w:t>
      </w:r>
    </w:p>
    <w:p>
      <w:pPr>
        <w:spacing w:after="0" w:line="209" w:lineRule="exact"/>
        <w:rPr>
          <w:rFonts w:ascii="Arial" w:cs="Arial" w:eastAsia="Arial" w:hAnsi="Arial"/>
          <w:sz w:val="16"/>
          <w:szCs w:val="16"/>
          <w:color w:val="auto"/>
        </w:rPr>
      </w:pPr>
    </w:p>
    <w:p>
      <w:pPr>
        <w:ind w:left="500" w:hanging="492"/>
        <w:spacing w:after="0" w:line="275" w:lineRule="auto"/>
        <w:tabs>
          <w:tab w:leader="none" w:pos="494" w:val="left"/>
        </w:tabs>
        <w:numPr>
          <w:ilvl w:val="0"/>
          <w:numId w:val="14"/>
        </w:numPr>
        <w:rPr>
          <w:rFonts w:ascii="Arial" w:cs="Arial" w:eastAsia="Arial" w:hAnsi="Arial"/>
          <w:sz w:val="16"/>
          <w:szCs w:val="16"/>
          <w:color w:val="auto"/>
        </w:rPr>
      </w:pPr>
      <w:r>
        <w:rPr>
          <w:rFonts w:ascii="Arial" w:cs="Arial" w:eastAsia="Arial" w:hAnsi="Arial"/>
          <w:sz w:val="16"/>
          <w:szCs w:val="16"/>
          <w:color w:val="auto"/>
        </w:rPr>
        <w:t>During year ended December 31, 2019, Treehouse Real Estate Investment Trust Inc. declared, and SuRo Capital Corp. received an aggregate of $100,000 in dividend distributions.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1—NATURE OF OPERATIONS</w:t>
      </w:r>
    </w:p>
    <w:p>
      <w:pPr>
        <w:spacing w:after="0" w:line="256" w:lineRule="exact"/>
        <w:rPr>
          <w:sz w:val="20"/>
          <w:szCs w:val="20"/>
          <w:color w:val="auto"/>
        </w:rPr>
      </w:pPr>
    </w:p>
    <w:p>
      <w:pPr>
        <w:jc w:val="both"/>
        <w:ind w:firstLine="364"/>
        <w:spacing w:after="0" w:line="257" w:lineRule="auto"/>
        <w:rPr>
          <w:sz w:val="20"/>
          <w:szCs w:val="20"/>
          <w:color w:val="auto"/>
        </w:rPr>
      </w:pPr>
      <w:r>
        <w:rPr>
          <w:rFonts w:ascii="Arial" w:cs="Arial" w:eastAsia="Arial" w:hAnsi="Arial"/>
          <w:sz w:val="18"/>
          <w:szCs w:val="18"/>
          <w:color w:val="auto"/>
        </w:rPr>
        <w:t>SuRo Capital Corp. ("we", "us", "our", “Company” or “SuRo Capital”), formerly known as Sutter Rock Capital Corp and as GSV Capital Corp. and formed in September 2010 as a Maryland corporation, is an internally-managed, non-diversified closed-end management investment company. The Company has elected to be regulated as a business development company ("BDC") under the Investment Company Act of 1940, as amended (the “1940 Act”), and has elected to be treated, and intends to qualify annually, as a regulated investment company (“RIC”) under Subchapter M of the Internal Revenue Code of 1986, as amended (the “Code”).</w:t>
      </w:r>
    </w:p>
    <w:p>
      <w:pPr>
        <w:spacing w:after="0" w:line="215" w:lineRule="exact"/>
        <w:rPr>
          <w:sz w:val="20"/>
          <w:szCs w:val="20"/>
          <w:color w:val="auto"/>
        </w:rPr>
      </w:pPr>
    </w:p>
    <w:p>
      <w:pPr>
        <w:jc w:val="both"/>
        <w:ind w:firstLine="364"/>
        <w:spacing w:after="0" w:line="273" w:lineRule="auto"/>
        <w:rPr>
          <w:sz w:val="20"/>
          <w:szCs w:val="20"/>
          <w:color w:val="auto"/>
        </w:rPr>
      </w:pPr>
      <w:r>
        <w:rPr>
          <w:rFonts w:ascii="Arial" w:cs="Arial" w:eastAsia="Arial" w:hAnsi="Arial"/>
          <w:sz w:val="17"/>
          <w:szCs w:val="17"/>
          <w:color w:val="auto"/>
        </w:rPr>
        <w:t>On and effective March 12, 2019, our Board of Directors approved internalizing our operating structure ("Internalization") and we began operating as an internally-managed non-diversified closed-end management investment company that has elected to be regulated as a BDC under the 1940 Act. Prior to March 12, 2019, we were externally managed by our former investment adviser, GSV Asset Management, LLC (“GSV Asset Management”), pursuant to an investment advisory agreement (the “Investment Advisory Agreement”), and our former administrator, GSV Capital Service Company, LLC (“GSV Capital Service Company”), provided the administrative services necessary for our operations pursuant to an administration agreement (the “Administration Agreement”). Refer to "Note 3 — Related-Party Arrangements" for further detail.</w:t>
      </w:r>
    </w:p>
    <w:p>
      <w:pPr>
        <w:spacing w:after="0" w:line="205" w:lineRule="exact"/>
        <w:rPr>
          <w:sz w:val="20"/>
          <w:szCs w:val="20"/>
          <w:color w:val="auto"/>
        </w:rPr>
      </w:pPr>
    </w:p>
    <w:p>
      <w:pPr>
        <w:jc w:val="both"/>
        <w:ind w:firstLine="364"/>
        <w:spacing w:after="0" w:line="263" w:lineRule="auto"/>
        <w:rPr>
          <w:sz w:val="20"/>
          <w:szCs w:val="20"/>
          <w:color w:val="auto"/>
        </w:rPr>
      </w:pPr>
      <w:r>
        <w:rPr>
          <w:rFonts w:ascii="Arial" w:cs="Arial" w:eastAsia="Arial" w:hAnsi="Arial"/>
          <w:sz w:val="18"/>
          <w:szCs w:val="18"/>
          <w:color w:val="auto"/>
        </w:rPr>
        <w:t>The Company’s date of inception was January 6, 2011, which is the date it commenced its development stage activities. The Company’s common stock is currently listed on the Nasdaq Capital Market under the symbol “SSSS” (formerly "GSVC"). The Company began its investment operations during the second quarter of 2011.</w:t>
      </w:r>
    </w:p>
    <w:p>
      <w:pPr>
        <w:spacing w:after="0" w:line="211" w:lineRule="exact"/>
        <w:rPr>
          <w:sz w:val="20"/>
          <w:szCs w:val="20"/>
          <w:color w:val="auto"/>
        </w:rPr>
      </w:pPr>
    </w:p>
    <w:p>
      <w:pPr>
        <w:jc w:val="both"/>
        <w:ind w:firstLine="364"/>
        <w:spacing w:after="0" w:line="275" w:lineRule="auto"/>
        <w:rPr>
          <w:sz w:val="20"/>
          <w:szCs w:val="20"/>
          <w:color w:val="auto"/>
        </w:rPr>
      </w:pPr>
      <w:r>
        <w:rPr>
          <w:rFonts w:ascii="Arial" w:cs="Arial" w:eastAsia="Arial" w:hAnsi="Arial"/>
          <w:sz w:val="17"/>
          <w:szCs w:val="17"/>
          <w:color w:val="auto"/>
        </w:rPr>
        <w:t>The table below displays the Company’s subsidiaries as of June 30, 2020, which, other than GSV Capital Lending, LLC (“GCL”), are collectively referred to as the “Taxable Subsidiaries.” The Taxable Subsidiaries were formed to hold portfolio investments. The Taxable Subsidiaries, including their associated portfolio investments, are consolidated with the Company for accounting purposes, but have elected to be treated as separate entities for U.S. federal income tax purposes. GCL was formed to originate portfolio loan investments within the state of California and is consolidated with the Company for accounting purposes. Refer to “Note 2—Significant Accounting Policies—</w:t>
      </w:r>
      <w:r>
        <w:rPr>
          <w:rFonts w:ascii="Arial" w:cs="Arial" w:eastAsia="Arial" w:hAnsi="Arial"/>
          <w:sz w:val="17"/>
          <w:szCs w:val="17"/>
          <w:i w:val="1"/>
          <w:iCs w:val="1"/>
          <w:color w:val="auto"/>
        </w:rPr>
        <w:t>Basis of Consolidation</w:t>
      </w:r>
      <w:r>
        <w:rPr>
          <w:rFonts w:ascii="Arial" w:cs="Arial" w:eastAsia="Arial" w:hAnsi="Arial"/>
          <w:sz w:val="17"/>
          <w:szCs w:val="17"/>
          <w:color w:val="auto"/>
        </w:rPr>
        <w:t>” below for further detail.</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Subsidiary</w:t>
            </w:r>
          </w:p>
        </w:tc>
        <w:tc>
          <w:tcPr>
            <w:tcW w:w="120" w:type="dxa"/>
            <w:vAlign w:val="bottom"/>
            <w:vMerge w:val="restart"/>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Jurisdiction of</w:t>
            </w:r>
          </w:p>
        </w:tc>
        <w:tc>
          <w:tcPr>
            <w:tcW w:w="2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Formation</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92"/>
        </w:trPr>
        <w:tc>
          <w:tcPr>
            <w:tcW w:w="6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Incorporation</w:t>
            </w:r>
          </w:p>
        </w:tc>
        <w:tc>
          <w:tcPr>
            <w:tcW w:w="10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249"/>
        </w:trPr>
        <w:tc>
          <w:tcPr>
            <w:tcW w:w="6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GCL</w:t>
            </w:r>
          </w:p>
        </w:tc>
        <w:tc>
          <w:tcPr>
            <w:tcW w:w="14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Delaware</w:t>
            </w:r>
          </w:p>
        </w:tc>
        <w:tc>
          <w:tcPr>
            <w:tcW w:w="20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April 13, 2012</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4"/>
        </w:trPr>
        <w:tc>
          <w:tcPr>
            <w:tcW w:w="6640" w:type="dxa"/>
            <w:vAlign w:val="bottom"/>
            <w:gridSpan w:val="2"/>
          </w:tcPr>
          <w:p>
            <w:pPr>
              <w:ind w:left="20"/>
              <w:spacing w:after="0"/>
              <w:rPr>
                <w:sz w:val="20"/>
                <w:szCs w:val="20"/>
                <w:color w:val="auto"/>
              </w:rPr>
            </w:pPr>
            <w:r>
              <w:rPr>
                <w:rFonts w:ascii="Arial" w:cs="Arial" w:eastAsia="Arial" w:hAnsi="Arial"/>
                <w:sz w:val="16"/>
                <w:szCs w:val="16"/>
                <w:b w:val="1"/>
                <w:bCs w:val="1"/>
                <w:color w:val="auto"/>
              </w:rPr>
              <w:t>Subsidiaries below are referred to collectively, as the “Taxable Subsidiaries”</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GSVC AE Holdings, Inc. (“GAE”)</w:t>
            </w:r>
          </w:p>
        </w:tc>
        <w:tc>
          <w:tcPr>
            <w:tcW w:w="14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Delaware</w:t>
            </w:r>
          </w:p>
        </w:tc>
        <w:tc>
          <w:tcPr>
            <w:tcW w:w="20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November 28, 2012</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43"/>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GSVC AV Holdings, Inc. (“GAV”)</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Delaware</w:t>
            </w:r>
          </w:p>
        </w:tc>
        <w:tc>
          <w:tcPr>
            <w:tcW w:w="20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November 28, 2012</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GSVC NG Holdings, Inc. (“GNG”)</w:t>
            </w:r>
            <w:r>
              <w:rPr>
                <w:rFonts w:ascii="Arial" w:cs="Arial" w:eastAsia="Arial" w:hAnsi="Arial"/>
                <w:sz w:val="23"/>
                <w:szCs w:val="23"/>
                <w:color w:val="auto"/>
                <w:vertAlign w:val="superscript"/>
              </w:rPr>
              <w:t>(1)</w:t>
            </w: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Delaware</w:t>
            </w:r>
          </w:p>
        </w:tc>
        <w:tc>
          <w:tcPr>
            <w:tcW w:w="20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November 28, 2012</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43"/>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GSVC SW Holdings, Inc. (“GSW”)</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Delaware</w:t>
            </w:r>
          </w:p>
        </w:tc>
        <w:tc>
          <w:tcPr>
            <w:tcW w:w="20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November 28, 2012</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GSVC WS Holdings, Inc. (“GWS”)</w:t>
            </w:r>
            <w:r>
              <w:rPr>
                <w:rFonts w:ascii="Arial" w:cs="Arial" w:eastAsia="Arial" w:hAnsi="Arial"/>
                <w:sz w:val="23"/>
                <w:szCs w:val="23"/>
                <w:color w:val="auto"/>
                <w:vertAlign w:val="superscript"/>
              </w:rPr>
              <w:t>(1)</w:t>
            </w: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Delaware</w:t>
            </w:r>
          </w:p>
        </w:tc>
        <w:tc>
          <w:tcPr>
            <w:tcW w:w="20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November 28, 2012</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43"/>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GSVC SVDS Holdings, Inc. (“SVDS”)</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Delaware</w:t>
            </w:r>
          </w:p>
        </w:tc>
        <w:tc>
          <w:tcPr>
            <w:tcW w:w="20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August 13, 2013</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(1) This Taxable Subsidiary was dissolved on April 16, 2020.</w:t>
      </w:r>
    </w:p>
    <w:p>
      <w:pPr>
        <w:spacing w:after="0" w:line="236" w:lineRule="exact"/>
        <w:rPr>
          <w:sz w:val="20"/>
          <w:szCs w:val="20"/>
          <w:color w:val="auto"/>
        </w:rPr>
      </w:pPr>
    </w:p>
    <w:p>
      <w:pPr>
        <w:jc w:val="both"/>
        <w:ind w:firstLine="364"/>
        <w:spacing w:after="0" w:line="255" w:lineRule="auto"/>
        <w:rPr>
          <w:sz w:val="20"/>
          <w:szCs w:val="20"/>
          <w:color w:val="auto"/>
        </w:rPr>
      </w:pPr>
      <w:r>
        <w:rPr>
          <w:rFonts w:ascii="Arial" w:cs="Arial" w:eastAsia="Arial" w:hAnsi="Arial"/>
          <w:sz w:val="18"/>
          <w:szCs w:val="18"/>
          <w:color w:val="auto"/>
        </w:rPr>
        <w:t>The Company’s investment objective is to maximize its portfolio’s total return, principally by seeking capital gains on its equity and equity-related investments, and to a lesser extent, income from debt investments. The Company invests principally in the equity securities of what it believes to be rapidly growing venture-capital-backed emerging companies. The Company may acquire its investments in these portfolio companies through: offerings of the prospective portfolio companies, transactions on secondary marketplaces for private companies, or negotiations with selling stockholders. The Company may also invest on an opportunistic basis in select publicly traded equity securities or certain non-U.S. companies that otherwise meet its investment criteria, subject to any applicable limitations under the 1940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56" w:lineRule="exact"/>
        <w:rPr>
          <w:sz w:val="20"/>
          <w:szCs w:val="20"/>
          <w:color w:val="auto"/>
        </w:rPr>
      </w:pPr>
    </w:p>
    <w:p>
      <w:pPr>
        <w:jc w:val="both"/>
        <w:ind w:firstLine="364"/>
        <w:spacing w:after="0" w:line="273" w:lineRule="auto"/>
        <w:rPr>
          <w:sz w:val="20"/>
          <w:szCs w:val="20"/>
          <w:color w:val="auto"/>
        </w:rPr>
      </w:pPr>
      <w:r>
        <w:rPr>
          <w:rFonts w:ascii="Arial" w:cs="Arial" w:eastAsia="Arial" w:hAnsi="Arial"/>
          <w:sz w:val="17"/>
          <w:szCs w:val="17"/>
          <w:color w:val="auto"/>
        </w:rPr>
        <w:t>The interim unaudited condensed consolidated financial statements of the Company are prepared on the accrual basis of accounting in conformity with U.S. generally accepted accounting principles (“GAAP”) and pursuant to the requirements for reporting on Form 10-Q and Regulation S-X under the Securities Exchange Act of 1934, as amended (the “Exchange Act”). The Company is an investment company following the specialized accounting and reporting guidance specified in the Financial Accounting Standards Board’s (“FASB”) Accounting Standards Codification (“ASC”) Topic 946, Financial Services—Investment Companies. In the opinion of management, all adjustments, all of which were of a normal recurring nature, considered necessary for the fair presentation of consolidated financial statements for the interim period have been included.</w:t>
      </w:r>
    </w:p>
    <w:p>
      <w:pPr>
        <w:spacing w:after="0" w:line="20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results of operations for the current interim period are not necessarily indicative of results that ultimately may be achieved for any other interim period or for the year ending December 31, 2020. The interim unaudited condensed consolidated financial statements and notes hereto should be read in conjunction with the audited consolidated financial statements and notes thereto contained in the Company’s annual report on Form 10-K for the year ended December 31, 2019.</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w:t>
      </w:r>
    </w:p>
    <w:p>
      <w:pPr>
        <w:spacing w:after="0" w:line="256" w:lineRule="exact"/>
        <w:rPr>
          <w:sz w:val="20"/>
          <w:szCs w:val="20"/>
          <w:color w:val="auto"/>
        </w:rPr>
      </w:pPr>
    </w:p>
    <w:p>
      <w:pPr>
        <w:jc w:val="both"/>
        <w:ind w:firstLine="364"/>
        <w:spacing w:after="0" w:line="275" w:lineRule="auto"/>
        <w:rPr>
          <w:sz w:val="20"/>
          <w:szCs w:val="20"/>
          <w:color w:val="auto"/>
        </w:rPr>
      </w:pPr>
      <w:r>
        <w:rPr>
          <w:rFonts w:ascii="Arial" w:cs="Arial" w:eastAsia="Arial" w:hAnsi="Arial"/>
          <w:sz w:val="17"/>
          <w:szCs w:val="17"/>
          <w:color w:val="auto"/>
        </w:rPr>
        <w:t>Under Article 6 of Regulation S-X and the American Institute of Certified Public Accountants’ (“AICPA”) Audit and Accounting Guide for Investment Companies, the Company is precluded from consolidating any entity other than another investment company, a controlled operating company that provides substantially all of its services and benefits to the Company, and certain entities established for tax purposes where the Company holds a 100% interest. Accordingly, the Company’s condensed consolidated financial statements include its accounts and the accounts of the Taxable Subsidiaries and GCL, its wholly-owned subsidiaries. All intercompany balances and transactions have been eliminated in consolidation.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56" w:lineRule="exact"/>
        <w:rPr>
          <w:sz w:val="20"/>
          <w:szCs w:val="20"/>
          <w:color w:val="auto"/>
        </w:rPr>
      </w:pPr>
    </w:p>
    <w:p>
      <w:pPr>
        <w:jc w:val="both"/>
        <w:ind w:firstLine="364"/>
        <w:spacing w:after="0" w:line="257" w:lineRule="auto"/>
        <w:rPr>
          <w:sz w:val="20"/>
          <w:szCs w:val="20"/>
          <w:color w:val="auto"/>
        </w:rPr>
      </w:pPr>
      <w:r>
        <w:rPr>
          <w:rFonts w:ascii="Arial" w:cs="Arial" w:eastAsia="Arial" w:hAnsi="Arial"/>
          <w:sz w:val="18"/>
          <w:szCs w:val="18"/>
          <w:color w:val="auto"/>
        </w:rPr>
        <w:t>The preparation of condensed consolidated financial statements in accordance with GAAP requires the Company’s management to make a number of significant estimates. These include estimates of the fair value of certain assets and liabilities and other estimates that affect the reported amounts of certain assets and liabilities as of the date of the condensed consolidated financial statements and the reported amounts of certain revenues and expenses during the reporting period. It is likely that changes in these estimates will occur in the near term. The Company’s estimates are inherently subjective in nature and actual results could differ materially from such estimates.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Uncertainties and Risk Factors</w:t>
      </w:r>
    </w:p>
    <w:p>
      <w:pPr>
        <w:spacing w:after="0" w:line="256" w:lineRule="exact"/>
        <w:rPr>
          <w:sz w:val="20"/>
          <w:szCs w:val="20"/>
          <w:color w:val="auto"/>
        </w:rPr>
      </w:pPr>
    </w:p>
    <w:p>
      <w:pPr>
        <w:jc w:val="both"/>
        <w:ind w:firstLine="364"/>
        <w:spacing w:after="0" w:line="311" w:lineRule="auto"/>
        <w:rPr>
          <w:sz w:val="20"/>
          <w:szCs w:val="20"/>
          <w:color w:val="auto"/>
        </w:rPr>
      </w:pPr>
      <w:r>
        <w:rPr>
          <w:rFonts w:ascii="Arial" w:cs="Arial" w:eastAsia="Arial" w:hAnsi="Arial"/>
          <w:sz w:val="16"/>
          <w:szCs w:val="16"/>
          <w:color w:val="auto"/>
        </w:rPr>
        <w:t>The Company is subject to a number of risks and uncertainties in the nature of its operations, as well as vulnerability due to certain concentrations. Refer to "Risk Factors” in Part I, Item 1A of this Form 10-Q for a detailed discussion of the risks and uncertainties inherent in the nature of the Company’s operations. Refer to “Note 4—Investments at Fair Value” for an overview of the Company’s industry and geographic concentrations.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at Fair Value</w:t>
      </w:r>
    </w:p>
    <w:p>
      <w:pPr>
        <w:spacing w:after="0" w:line="256" w:lineRule="exact"/>
        <w:rPr>
          <w:sz w:val="20"/>
          <w:szCs w:val="20"/>
          <w:color w:val="auto"/>
        </w:rPr>
      </w:pPr>
    </w:p>
    <w:p>
      <w:pPr>
        <w:jc w:val="both"/>
        <w:ind w:firstLine="364"/>
        <w:spacing w:after="0" w:line="277" w:lineRule="auto"/>
        <w:rPr>
          <w:sz w:val="20"/>
          <w:szCs w:val="20"/>
          <w:color w:val="auto"/>
        </w:rPr>
      </w:pPr>
      <w:r>
        <w:rPr>
          <w:rFonts w:ascii="Arial" w:cs="Arial" w:eastAsia="Arial" w:hAnsi="Arial"/>
          <w:sz w:val="18"/>
          <w:szCs w:val="18"/>
          <w:color w:val="auto"/>
        </w:rPr>
        <w:t>The Company applies fair value accounting in accordance with GAAP and the AICPA’s Audit and Accounting Guide for Investment Companies. The Company values its assets on a quarterly basis, or more frequently if required under the 1940 Act.</w:t>
      </w:r>
    </w:p>
    <w:p>
      <w:pPr>
        <w:spacing w:after="0" w:line="197" w:lineRule="exact"/>
        <w:rPr>
          <w:sz w:val="20"/>
          <w:szCs w:val="20"/>
          <w:color w:val="auto"/>
        </w:rPr>
      </w:pPr>
    </w:p>
    <w:p>
      <w:pPr>
        <w:jc w:val="both"/>
        <w:ind w:firstLine="364"/>
        <w:spacing w:after="0" w:line="257"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GAAP establishes a framework for measuring fair value that includes a hierarchy used to classify the inputs used in measuring fair value. The hierarchy prioritizes the inputs to valuation techniques used to measure fair value into three levels. The level in the fair value hierarchy within which the fair value measurement falls is determined based on the lowest level input that is significant to the fair value measurement. The levels of the fair value hierarchy are as follows: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122" w:right="339" w:bottom="1440" w:gutter="0" w:footer="0" w:header="0"/>
          <w:type w:val="continuous"/>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right="20" w:firstLine="364"/>
        <w:spacing w:after="0" w:line="282" w:lineRule="auto"/>
        <w:rPr>
          <w:sz w:val="20"/>
          <w:szCs w:val="20"/>
          <w:color w:val="auto"/>
        </w:rPr>
      </w:pPr>
      <w:r>
        <w:rPr>
          <w:rFonts w:ascii="Arial" w:cs="Arial" w:eastAsia="Arial" w:hAnsi="Arial"/>
          <w:sz w:val="18"/>
          <w:szCs w:val="18"/>
          <w:b w:val="1"/>
          <w:bCs w:val="1"/>
          <w:color w:val="auto"/>
        </w:rPr>
        <w:t>Level 1</w:t>
      </w:r>
      <w:r>
        <w:rPr>
          <w:rFonts w:ascii="Arial" w:cs="Arial" w:eastAsia="Arial" w:hAnsi="Arial"/>
          <w:sz w:val="18"/>
          <w:szCs w:val="18"/>
          <w:color w:val="auto"/>
        </w:rPr>
        <w:t>—Valuations based on unadjusted quoted prices for identical assets or liabilities in an active market that the Company has the ability to access</w:t>
      </w:r>
      <w:r>
        <w:rPr>
          <w:rFonts w:ascii="Arial" w:cs="Arial" w:eastAsia="Arial" w:hAnsi="Arial"/>
          <w:sz w:val="18"/>
          <w:szCs w:val="18"/>
          <w:b w:val="1"/>
          <w:bCs w:val="1"/>
          <w:color w:val="auto"/>
        </w:rPr>
        <w:t xml:space="preserve"> </w:t>
      </w:r>
      <w:r>
        <w:rPr>
          <w:rFonts w:ascii="Arial" w:cs="Arial" w:eastAsia="Arial" w:hAnsi="Arial"/>
          <w:sz w:val="18"/>
          <w:szCs w:val="18"/>
          <w:color w:val="auto"/>
        </w:rPr>
        <w:t>at the measurement date.</w:t>
      </w:r>
    </w:p>
    <w:p>
      <w:pPr>
        <w:spacing w:after="0" w:line="189" w:lineRule="exact"/>
        <w:rPr>
          <w:sz w:val="20"/>
          <w:szCs w:val="20"/>
          <w:color w:val="auto"/>
        </w:rPr>
      </w:pPr>
    </w:p>
    <w:p>
      <w:pPr>
        <w:jc w:val="both"/>
        <w:ind w:firstLine="364"/>
        <w:spacing w:after="0" w:line="266" w:lineRule="auto"/>
        <w:rPr>
          <w:sz w:val="20"/>
          <w:szCs w:val="20"/>
          <w:color w:val="auto"/>
        </w:rPr>
      </w:pPr>
      <w:r>
        <w:rPr>
          <w:rFonts w:ascii="Arial" w:cs="Arial" w:eastAsia="Arial" w:hAnsi="Arial"/>
          <w:sz w:val="18"/>
          <w:szCs w:val="18"/>
          <w:b w:val="1"/>
          <w:bCs w:val="1"/>
          <w:color w:val="auto"/>
        </w:rPr>
        <w:t>Level 2</w:t>
      </w:r>
      <w:r>
        <w:rPr>
          <w:rFonts w:ascii="Arial" w:cs="Arial" w:eastAsia="Arial" w:hAnsi="Arial"/>
          <w:sz w:val="18"/>
          <w:szCs w:val="18"/>
          <w:color w:val="auto"/>
        </w:rPr>
        <w:t>—Valuations based on observable inputs other than Level 1 prices, such as quoted prices for similar assets or liabilities; quoted prices in</w:t>
      </w:r>
      <w:r>
        <w:rPr>
          <w:rFonts w:ascii="Arial" w:cs="Arial" w:eastAsia="Arial" w:hAnsi="Arial"/>
          <w:sz w:val="18"/>
          <w:szCs w:val="18"/>
          <w:b w:val="1"/>
          <w:bCs w:val="1"/>
          <w:color w:val="auto"/>
        </w:rPr>
        <w:t xml:space="preserve"> </w:t>
      </w:r>
      <w:r>
        <w:rPr>
          <w:rFonts w:ascii="Arial" w:cs="Arial" w:eastAsia="Arial" w:hAnsi="Arial"/>
          <w:sz w:val="18"/>
          <w:szCs w:val="18"/>
          <w:color w:val="auto"/>
        </w:rPr>
        <w:t>markets that are not active; or other inputs that are observable or can be corroborated by observable market data at the measurement date for substantially the full term of the assets or liabilities.</w:t>
      </w:r>
    </w:p>
    <w:p>
      <w:pPr>
        <w:spacing w:after="0" w:line="203" w:lineRule="exact"/>
        <w:rPr>
          <w:sz w:val="20"/>
          <w:szCs w:val="20"/>
          <w:color w:val="auto"/>
        </w:rPr>
      </w:pPr>
    </w:p>
    <w:p>
      <w:pPr>
        <w:jc w:val="both"/>
        <w:ind w:firstLine="364"/>
        <w:spacing w:after="0" w:line="314" w:lineRule="auto"/>
        <w:rPr>
          <w:sz w:val="20"/>
          <w:szCs w:val="20"/>
          <w:color w:val="auto"/>
        </w:rPr>
      </w:pPr>
      <w:r>
        <w:rPr>
          <w:rFonts w:ascii="Arial" w:cs="Arial" w:eastAsia="Arial" w:hAnsi="Arial"/>
          <w:sz w:val="16"/>
          <w:szCs w:val="16"/>
          <w:b w:val="1"/>
          <w:bCs w:val="1"/>
          <w:color w:val="auto"/>
        </w:rPr>
        <w:t>Level 3</w:t>
      </w:r>
      <w:r>
        <w:rPr>
          <w:rFonts w:ascii="Arial" w:cs="Arial" w:eastAsia="Arial" w:hAnsi="Arial"/>
          <w:sz w:val="16"/>
          <w:szCs w:val="16"/>
          <w:color w:val="auto"/>
        </w:rPr>
        <w:t>—Valuations based on unobservable inputs that reflect management’s best estimate of what market participants would use in pricing the asset</w:t>
      </w:r>
      <w:r>
        <w:rPr>
          <w:rFonts w:ascii="Arial" w:cs="Arial" w:eastAsia="Arial" w:hAnsi="Arial"/>
          <w:sz w:val="16"/>
          <w:szCs w:val="16"/>
          <w:b w:val="1"/>
          <w:bCs w:val="1"/>
          <w:color w:val="auto"/>
        </w:rPr>
        <w:t xml:space="preserve"> </w:t>
      </w:r>
      <w:r>
        <w:rPr>
          <w:rFonts w:ascii="Arial" w:cs="Arial" w:eastAsia="Arial" w:hAnsi="Arial"/>
          <w:sz w:val="16"/>
          <w:szCs w:val="16"/>
          <w:color w:val="auto"/>
        </w:rPr>
        <w:t>or liability at the measurement date. Consideration is given to the risk inherent in the valuation technique and the risk inherent in the inputs to the model. The majority of the Company’s investments are Level 3 investments and are subject to a high degree of judgment and uncertainty in determining fair value.</w:t>
      </w:r>
    </w:p>
    <w:p>
      <w:pPr>
        <w:spacing w:after="0" w:line="173" w:lineRule="exact"/>
        <w:rPr>
          <w:sz w:val="20"/>
          <w:szCs w:val="20"/>
          <w:color w:val="auto"/>
        </w:rPr>
      </w:pPr>
    </w:p>
    <w:p>
      <w:pPr>
        <w:jc w:val="both"/>
        <w:ind w:firstLine="364"/>
        <w:spacing w:after="0" w:line="257" w:lineRule="auto"/>
        <w:rPr>
          <w:sz w:val="20"/>
          <w:szCs w:val="20"/>
          <w:color w:val="auto"/>
        </w:rPr>
      </w:pPr>
      <w:r>
        <w:rPr>
          <w:rFonts w:ascii="Arial" w:cs="Arial" w:eastAsia="Arial" w:hAnsi="Arial"/>
          <w:sz w:val="18"/>
          <w:szCs w:val="18"/>
          <w:color w:val="auto"/>
        </w:rPr>
        <w:t>When the inputs used to measure fair value fall within different levels of the hierarchy, the level within which the fair value measurement is categorized is based on the lowest level input that is significant to the fair value measurement in its entirety. For example, a Level 3 fair value measurement may include inputs that are observable (Levels 1 and 2) and unobservable (Level 3). Therefore, gains and losses for such assets and liabilities categorized within the Level 3 table set forth in “Note 4—Investments at Fair Value” may include changes in fair value that are attributable to both observable inputs (Levels 1 and 2) and unobservable inputs (Level 3).</w:t>
      </w:r>
    </w:p>
    <w:p>
      <w:pPr>
        <w:spacing w:after="0" w:line="215" w:lineRule="exact"/>
        <w:rPr>
          <w:sz w:val="20"/>
          <w:szCs w:val="20"/>
          <w:color w:val="auto"/>
        </w:rPr>
      </w:pPr>
    </w:p>
    <w:p>
      <w:pPr>
        <w:jc w:val="both"/>
        <w:ind w:firstLine="364"/>
        <w:spacing w:after="0" w:line="301" w:lineRule="auto"/>
        <w:rPr>
          <w:sz w:val="20"/>
          <w:szCs w:val="20"/>
          <w:color w:val="auto"/>
        </w:rPr>
      </w:pPr>
      <w:r>
        <w:rPr>
          <w:rFonts w:ascii="Arial" w:cs="Arial" w:eastAsia="Arial" w:hAnsi="Arial"/>
          <w:sz w:val="16"/>
          <w:szCs w:val="16"/>
          <w:color w:val="auto"/>
        </w:rPr>
        <w:t>A review of fair value hierarchy classifications is conducted on a quarterly basis. Changes in the observability of valuation inputs may result in a reclassification for certain financial assets or liabilities. Reclassifications impacting Level 3 of the fair value hierarchy are reported as transfers in/out of the Level 3 category as of the beginning of the measurement period in which the reclassifications occur. Refer to “Levelling Policy” below for a detailed discussion of the levelling of the Company’s financial assets or liabilities and events that may cause a reclassification within the fair value hierarchy.</w:t>
      </w:r>
    </w:p>
    <w:p>
      <w:pPr>
        <w:spacing w:after="0" w:line="184" w:lineRule="exact"/>
        <w:rPr>
          <w:sz w:val="20"/>
          <w:szCs w:val="20"/>
          <w:color w:val="auto"/>
        </w:rPr>
      </w:pPr>
    </w:p>
    <w:p>
      <w:pPr>
        <w:jc w:val="both"/>
        <w:ind w:firstLine="364"/>
        <w:spacing w:after="0" w:line="255" w:lineRule="auto"/>
        <w:rPr>
          <w:sz w:val="20"/>
          <w:szCs w:val="20"/>
          <w:color w:val="auto"/>
        </w:rPr>
      </w:pPr>
      <w:r>
        <w:rPr>
          <w:rFonts w:ascii="Arial" w:cs="Arial" w:eastAsia="Arial" w:hAnsi="Arial"/>
          <w:sz w:val="18"/>
          <w:szCs w:val="18"/>
          <w:color w:val="auto"/>
        </w:rPr>
        <w:t>Securities for which market quotations are readily available on an exchange are valued at the most recently available closing price of such security as of the valuation date, unless there are legal or contractual restrictions on the sale or use of such security that under ASC 820-10-35 should be incorporated into the security’s fair value measurement as a characteristic of the security that would transfer to market participants who would buy the security. The Company may also obtain quotes with respect to certain of its investments from pricing services, brokers or dealers in order to value assets. When doing so, the Company determines whether the quote obtained is sufficient according to GAAP to determine the fair value of the security. If determined to be adequate, the Company uses the quote obtained.</w:t>
      </w:r>
    </w:p>
    <w:p>
      <w:pPr>
        <w:spacing w:after="0" w:line="219" w:lineRule="exact"/>
        <w:rPr>
          <w:sz w:val="20"/>
          <w:szCs w:val="20"/>
          <w:color w:val="auto"/>
        </w:rPr>
      </w:pPr>
    </w:p>
    <w:p>
      <w:pPr>
        <w:jc w:val="both"/>
        <w:ind w:firstLine="364"/>
        <w:spacing w:after="0" w:line="263" w:lineRule="auto"/>
        <w:rPr>
          <w:sz w:val="20"/>
          <w:szCs w:val="20"/>
          <w:color w:val="auto"/>
        </w:rPr>
      </w:pPr>
      <w:r>
        <w:rPr>
          <w:rFonts w:ascii="Arial" w:cs="Arial" w:eastAsia="Arial" w:hAnsi="Arial"/>
          <w:sz w:val="18"/>
          <w:szCs w:val="18"/>
          <w:color w:val="auto"/>
        </w:rPr>
        <w:t>Securities for which reliable market quotations are not readily available or for which the pricing source does not provide a valuation or methodology, or provides a valuation or methodology that, in the judgment of management, our Board of Directors or the valuation committee of the Company’s Board of Directors (the “Valuation Committee”), does not reliably represent fair value, shall each be valued as follows:</w:t>
      </w:r>
    </w:p>
    <w:p>
      <w:pPr>
        <w:spacing w:after="0" w:line="211" w:lineRule="exact"/>
        <w:rPr>
          <w:sz w:val="20"/>
          <w:szCs w:val="20"/>
          <w:color w:val="auto"/>
        </w:rPr>
      </w:pPr>
    </w:p>
    <w:p>
      <w:pPr>
        <w:ind w:left="660" w:right="20" w:hanging="328"/>
        <w:spacing w:after="0" w:line="277" w:lineRule="auto"/>
        <w:tabs>
          <w:tab w:leader="none" w:pos="5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quarterly valuation process begins with each portfolio company or investment being initially valued by the investment professionals responsible for the portfolio investment;</w:t>
      </w:r>
    </w:p>
    <w:p>
      <w:pPr>
        <w:spacing w:after="0" w:line="197" w:lineRule="exact"/>
        <w:rPr>
          <w:rFonts w:ascii="Arial" w:cs="Arial" w:eastAsia="Arial" w:hAnsi="Arial"/>
          <w:sz w:val="18"/>
          <w:szCs w:val="18"/>
          <w:color w:val="auto"/>
        </w:rPr>
      </w:pPr>
    </w:p>
    <w:p>
      <w:pPr>
        <w:ind w:left="520" w:hanging="188"/>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senior management;</w:t>
      </w:r>
    </w:p>
    <w:p>
      <w:pPr>
        <w:spacing w:after="0" w:line="252" w:lineRule="exact"/>
        <w:rPr>
          <w:rFonts w:ascii="Arial" w:cs="Arial" w:eastAsia="Arial" w:hAnsi="Arial"/>
          <w:sz w:val="18"/>
          <w:szCs w:val="18"/>
          <w:color w:val="auto"/>
        </w:rPr>
      </w:pPr>
    </w:p>
    <w:p>
      <w:pPr>
        <w:ind w:left="660" w:hanging="328"/>
        <w:spacing w:after="0" w:line="342" w:lineRule="auto"/>
        <w:tabs>
          <w:tab w:leader="none" w:pos="529"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 independent third-party valuation firm is engaged by the Valuation Committee to conduct independent appraisals and review management’s preliminary valuations and make its own independent assessment, for all investments for which there are no readily available market quotations;</w:t>
      </w:r>
    </w:p>
    <w:p>
      <w:pPr>
        <w:spacing w:after="0" w:line="151" w:lineRule="exact"/>
        <w:rPr>
          <w:sz w:val="20"/>
          <w:szCs w:val="20"/>
          <w:color w:val="auto"/>
        </w:rPr>
      </w:pPr>
    </w:p>
    <w:p>
      <w:pPr>
        <w:ind w:left="660" w:right="20" w:hanging="485"/>
        <w:spacing w:after="0" w:line="277" w:lineRule="auto"/>
        <w:rPr>
          <w:sz w:val="20"/>
          <w:szCs w:val="20"/>
          <w:color w:val="auto"/>
        </w:rPr>
      </w:pPr>
      <w:r>
        <w:rPr>
          <w:rFonts w:ascii="Arial" w:cs="Arial" w:eastAsia="Arial" w:hAnsi="Arial"/>
          <w:sz w:val="18"/>
          <w:szCs w:val="18"/>
          <w:color w:val="auto"/>
        </w:rPr>
        <w:t>4. The Valuation Committee discusses the valuations and recommends to the Company’s Board of Directors a fair value for each investment in the portfolio based on the input of management and the independent third-party valuation firm; and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400" w:lineRule="exact"/>
        <w:rPr>
          <w:sz w:val="20"/>
          <w:szCs w:val="20"/>
          <w:color w:val="auto"/>
        </w:rPr>
      </w:pPr>
    </w:p>
    <w:p>
      <w:pPr>
        <w:ind w:left="660" w:hanging="328"/>
        <w:spacing w:after="0" w:line="277" w:lineRule="auto"/>
        <w:tabs>
          <w:tab w:leader="none" w:pos="52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Company’s Board of Directors then discusses the valuations recommended by the Valuation Committee and determines in good faith the fair value of each investment in the portfolio.</w:t>
      </w:r>
    </w:p>
    <w:p>
      <w:pPr>
        <w:spacing w:after="0" w:line="197" w:lineRule="exact"/>
        <w:rPr>
          <w:sz w:val="20"/>
          <w:szCs w:val="20"/>
          <w:color w:val="auto"/>
        </w:rPr>
      </w:pPr>
    </w:p>
    <w:p>
      <w:pPr>
        <w:jc w:val="both"/>
        <w:ind w:firstLine="364"/>
        <w:spacing w:after="0" w:line="255" w:lineRule="auto"/>
        <w:rPr>
          <w:sz w:val="20"/>
          <w:szCs w:val="20"/>
          <w:color w:val="auto"/>
        </w:rPr>
      </w:pPr>
      <w:r>
        <w:rPr>
          <w:rFonts w:ascii="Arial" w:cs="Arial" w:eastAsia="Arial" w:hAnsi="Arial"/>
          <w:sz w:val="18"/>
          <w:szCs w:val="18"/>
          <w:color w:val="auto"/>
        </w:rPr>
        <w:t>In making a good faith determination of the fair value of investments, the Company considers valuation methodologies consistent with industry practice. Valuation methods utilized include, but are not limited to the following: comparisons to prices from secondary market transactions; venture capital financings; public offerings; purchase or sales transactions; as well as analysis of financial ratios and valuation metrics of the portfolio companies that issued such private equity securities to peer companies that are public, analysis of the portfolio companies’ most recent financial statements and forecasts, and the markets in which the portfolio company does business, and other relevant factors. The Company assigns a weighting based upon the relevance of each method to determine the fair value of each investment.</w:t>
      </w:r>
    </w:p>
    <w:p>
      <w:pPr>
        <w:spacing w:after="0" w:line="219" w:lineRule="exact"/>
        <w:rPr>
          <w:sz w:val="20"/>
          <w:szCs w:val="20"/>
          <w:color w:val="auto"/>
        </w:rPr>
      </w:pPr>
    </w:p>
    <w:p>
      <w:pPr>
        <w:jc w:val="both"/>
        <w:ind w:firstLine="364"/>
        <w:spacing w:after="0" w:line="279" w:lineRule="auto"/>
        <w:rPr>
          <w:sz w:val="20"/>
          <w:szCs w:val="20"/>
          <w:color w:val="auto"/>
        </w:rPr>
      </w:pPr>
      <w:r>
        <w:rPr>
          <w:rFonts w:ascii="Arial" w:cs="Arial" w:eastAsia="Arial" w:hAnsi="Arial"/>
          <w:sz w:val="17"/>
          <w:szCs w:val="17"/>
          <w:color w:val="auto"/>
        </w:rPr>
        <w:t>For investments that are not publicly traded or that do not have readily available market quotations, the Valuation Committee generally engages an independent valuation firm to provide an independent valuation, which the Company’s Board of Directors considers, among other factors, in making its fair value determinations for these investments. For the current quarter and prior fiscal year, the Valuation Committee engaged an independent valuation firm to perform valuations of 100% of the Company’s investments for which there were no readily available market quotations.</w:t>
      </w:r>
    </w:p>
    <w:p>
      <w:pPr>
        <w:spacing w:after="0" w:line="198"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Because of the inherent uncertainty of valuation, these estimated values may differ significantly from the values that would have been reported had a ready market for the investments existed, and it is reasonably possible that the difference could be material.</w:t>
      </w:r>
    </w:p>
    <w:p>
      <w:pPr>
        <w:spacing w:after="0" w:line="214" w:lineRule="exact"/>
        <w:rPr>
          <w:sz w:val="20"/>
          <w:szCs w:val="20"/>
          <w:color w:val="auto"/>
        </w:rPr>
      </w:pPr>
    </w:p>
    <w:p>
      <w:pPr>
        <w:jc w:val="both"/>
        <w:ind w:firstLine="364"/>
        <w:spacing w:after="0" w:line="342" w:lineRule="auto"/>
        <w:rPr>
          <w:sz w:val="20"/>
          <w:szCs w:val="20"/>
          <w:color w:val="auto"/>
        </w:rPr>
      </w:pPr>
      <w:r>
        <w:rPr>
          <w:rFonts w:ascii="Arial" w:cs="Arial" w:eastAsia="Arial" w:hAnsi="Arial"/>
          <w:sz w:val="16"/>
          <w:szCs w:val="16"/>
          <w:color w:val="auto"/>
        </w:rPr>
        <w:t>In addition, changes in the market environment and other events that may occur over the life of the investments may cause the realized gains or losses on investments to be different from the net change in unrealized appreciation or depreciation currently reflected in the consolidated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Investments</w:t>
      </w:r>
    </w:p>
    <w:p>
      <w:pPr>
        <w:spacing w:after="0" w:line="252" w:lineRule="exact"/>
        <w:rPr>
          <w:sz w:val="20"/>
          <w:szCs w:val="20"/>
          <w:color w:val="auto"/>
        </w:rPr>
      </w:pPr>
    </w:p>
    <w:p>
      <w:pPr>
        <w:jc w:val="both"/>
        <w:ind w:firstLine="364"/>
        <w:spacing w:after="0" w:line="293" w:lineRule="auto"/>
        <w:rPr>
          <w:sz w:val="20"/>
          <w:szCs w:val="20"/>
          <w:color w:val="auto"/>
        </w:rPr>
      </w:pPr>
      <w:r>
        <w:rPr>
          <w:rFonts w:ascii="Arial" w:cs="Arial" w:eastAsia="Arial" w:hAnsi="Arial"/>
          <w:sz w:val="16"/>
          <w:szCs w:val="16"/>
          <w:color w:val="auto"/>
        </w:rPr>
        <w:t>Equity investments for which market quotations are readily available in an active market are generally valued at the most recently available closing market prices and are classified as Level 1 assets. Equity investments with readily available market quotations that are subject to sales restrictions due to an initial public offering (“IPO”) by the portfolio company will be classified as Level 1. Any other equity investments with readily available market quotations that are subject to sales restrictions that would transfer to market participants who would buy the security may be valued at a discount for a lack of marketability (“DLOM”), to the most recently available closing market prices depending upon the nature of the sales restriction. These investments are generally classified as Level 2 assets. The DLOM used is generally based upon the market value of publicly traded put options with similar terms.</w:t>
      </w:r>
    </w:p>
    <w:p>
      <w:pPr>
        <w:spacing w:after="0" w:line="191" w:lineRule="exact"/>
        <w:rPr>
          <w:sz w:val="20"/>
          <w:szCs w:val="20"/>
          <w:color w:val="auto"/>
        </w:rPr>
      </w:pPr>
    </w:p>
    <w:p>
      <w:pPr>
        <w:jc w:val="both"/>
        <w:ind w:firstLine="364"/>
        <w:spacing w:after="0" w:line="291" w:lineRule="auto"/>
        <w:rPr>
          <w:sz w:val="20"/>
          <w:szCs w:val="20"/>
          <w:color w:val="auto"/>
        </w:rPr>
      </w:pPr>
      <w:r>
        <w:rPr>
          <w:rFonts w:ascii="Arial" w:cs="Arial" w:eastAsia="Arial" w:hAnsi="Arial"/>
          <w:sz w:val="16"/>
          <w:szCs w:val="16"/>
          <w:color w:val="auto"/>
        </w:rPr>
        <w:t>The fair values of the Company’s equity investments for which market quotations are not readily available are determined based on various factors and are classified as Level 3 assets. To determine the fair value of a portfolio company for which market quotations are not readily available, the Company may analyze the relevant portfolio company’s most recently available historical and projected financial results, public market comparables, and other factors. The Company may also consider other events, including the transaction in which the Company acquired its securities, subsequent equity sales by the portfolio company, and mergers or acquisitions affecting the portfolio company. In addition, the Company may consider the trends of the portfolio company’s basic financial metrics from the time of its original investment until the measurement date, with material improvement of these metrics indicating a possible increase in fair value, while material deterioration of these metrics may indicate a possible reduction in fair value.</w:t>
      </w:r>
    </w:p>
    <w:p>
      <w:pPr>
        <w:spacing w:after="0" w:line="193" w:lineRule="exact"/>
        <w:rPr>
          <w:sz w:val="20"/>
          <w:szCs w:val="20"/>
          <w:color w:val="auto"/>
        </w:rPr>
      </w:pPr>
    </w:p>
    <w:p>
      <w:pPr>
        <w:jc w:val="both"/>
        <w:ind w:firstLine="364"/>
        <w:spacing w:after="0" w:line="296" w:lineRule="auto"/>
        <w:rPr>
          <w:sz w:val="20"/>
          <w:szCs w:val="20"/>
          <w:color w:val="auto"/>
        </w:rPr>
      </w:pPr>
      <w:r>
        <w:rPr>
          <w:rFonts w:ascii="Arial" w:cs="Arial" w:eastAsia="Arial" w:hAnsi="Arial"/>
          <w:sz w:val="16"/>
          <w:szCs w:val="16"/>
          <w:color w:val="auto"/>
        </w:rPr>
        <w:t>In determining the value of equity or equity-linked securities (including warrants to purchase common or preferred stock) in a portfolio company, the Company considers the rights, preferences and limitations of such securities. In cases where a portfolio company’s capital structure includes multiple classes of preferred and common stock and equity-linked securities with different rights and preferences, the Company may use an option pricing model to allocate value to each equity-linked security, unless it believes a liquidity event such as an acquisition or a dissolution is imminent, or the portfolio company is unlikely to continue as a going concern. When equity-linked securities expire worthless, any cost associated with these positions is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40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recognized as a realized loss on investments in the Condensed Consolidated Statements of Operations and Condensed Consolidated Statements of Cash Flows. In the event these securities are exercised into common or preferred stock, the cost associated with these securities is reassigned to the cost basis of the new common or preferred stock. These conversions are noted as non-cash operating items on the Condensed Consolidated Statements of Cash Flows.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Investments</w:t>
      </w:r>
    </w:p>
    <w:p>
      <w:pPr>
        <w:spacing w:after="0" w:line="252"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Given the nature of the Company’s current debt investments (excluding U.S. Treasuries), principally convertible and promissory notes issued by venture-capital-backed portfolio companies, these investments are classified as Level 3 assets because there is no known or accessible market or market indexes for these investment securities to be traded or exchanged. The Company’s debt investments are valued at estimated fair value as determined by the Company’s Board of Directors.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w:t>
      </w:r>
    </w:p>
    <w:p>
      <w:pPr>
        <w:spacing w:after="0" w:line="252"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The Company’s Board of Directors will ascribe value to options based on fair value analyses that can include discounted cash flow analyses, option pricing models, comparable analyses and other techniques as deemed appropriate. These investments are classified as Level 3 assets because there is no known or accessible market or market indexes for these investment securities to be traded or exchanged. The Company’s options are valued at estimated fair value as determined by the Company’s Board of Directors.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Company Investment Classification</w:t>
      </w:r>
    </w:p>
    <w:p>
      <w:pPr>
        <w:spacing w:after="0" w:line="252" w:lineRule="exact"/>
        <w:rPr>
          <w:sz w:val="20"/>
          <w:szCs w:val="20"/>
          <w:color w:val="auto"/>
        </w:rPr>
      </w:pPr>
    </w:p>
    <w:p>
      <w:pPr>
        <w:jc w:val="both"/>
        <w:ind w:firstLine="364"/>
        <w:spacing w:after="0" w:line="254" w:lineRule="auto"/>
        <w:rPr>
          <w:sz w:val="20"/>
          <w:szCs w:val="20"/>
          <w:color w:val="auto"/>
        </w:rPr>
      </w:pPr>
      <w:r>
        <w:rPr>
          <w:rFonts w:ascii="Arial" w:cs="Arial" w:eastAsia="Arial" w:hAnsi="Arial"/>
          <w:sz w:val="18"/>
          <w:szCs w:val="18"/>
          <w:color w:val="auto"/>
        </w:rPr>
        <w:t>The Company is a non-diversified company within the meaning of the 1940 Act. The Company classifies its investments by level of control. As defined in the 1940 Act, control investments are those where there is the power to exercise a controlling influence over the management or policies of a company. Control is generally deemed to exist when a company or individual directly or indirectly owns beneficially more than 25% of the voting securities of an investee company. Affiliated investments and affiliated companies are defined by a lesser degree of influence and are deemed to exist when a company or individual directly or indirectly owns, controls or holds the power to vote 5% or more of the outstanding voting securities of a portfolio company. Refer to the Condensed Consolidated Schedules of Investments as of June 30, 2020 and December 31, 2019, for details regarding the nature and composition of the Company’s investment portfolio.</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Levelling Policy</w:t>
      </w:r>
    </w:p>
    <w:p>
      <w:pPr>
        <w:spacing w:after="0" w:line="252" w:lineRule="exact"/>
        <w:rPr>
          <w:sz w:val="20"/>
          <w:szCs w:val="20"/>
          <w:color w:val="auto"/>
        </w:rPr>
      </w:pPr>
    </w:p>
    <w:p>
      <w:pPr>
        <w:jc w:val="both"/>
        <w:ind w:firstLine="364"/>
        <w:spacing w:after="0" w:line="270" w:lineRule="auto"/>
        <w:rPr>
          <w:sz w:val="20"/>
          <w:szCs w:val="20"/>
          <w:color w:val="auto"/>
        </w:rPr>
      </w:pPr>
      <w:r>
        <w:rPr>
          <w:rFonts w:ascii="Arial" w:cs="Arial" w:eastAsia="Arial" w:hAnsi="Arial"/>
          <w:sz w:val="17"/>
          <w:szCs w:val="17"/>
          <w:color w:val="auto"/>
        </w:rPr>
        <w:t>The portfolio companies in which the Company invests may offer their shares in IPOs. The Company’s shares in such portfolio companies are typically subject to lock-up agreements for 180 days following the IPO. Upon the IPO date, the Company transfers its investment from Level 3 to Level 1 due to the presence of an active market, or Level 2 if limited by the lock-up agreement. The Company prices the investment at the closing price on a public exchange as of the measurement date. In situations where there are lock-up restrictions, as well as legal or contractual restrictions on the sale or use of such security that under ASC 820-10-35 should be incorporated into the security’s fair value measurement as a characteristic of the security that would transfer to market participants who would buy the security, the Company will classify the investment as Level 2 subject to an appropriate DLOM to reflect the restrictions upon sale. The Company transfers investments between levels based on the fair value at the beginning of the measurement period in accordance with FASB ASC 820. For investments transferred out of Level 3 due to an IPO, the Company transfers these investments based on their fair value at the IPO date.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Transactions</w:t>
      </w:r>
    </w:p>
    <w:p>
      <w:pPr>
        <w:spacing w:after="0" w:line="256"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Securities transactions are accounted for on the date the transaction for the purchase or sale of the securities is entered into by the Company (</w:t>
      </w:r>
      <w:r>
        <w:rPr>
          <w:rFonts w:ascii="Arial" w:cs="Arial" w:eastAsia="Arial" w:hAnsi="Arial"/>
          <w:sz w:val="18"/>
          <w:szCs w:val="18"/>
          <w:i w:val="1"/>
          <w:iCs w:val="1"/>
          <w:color w:val="auto"/>
        </w:rPr>
        <w:t>i.e.</w:t>
      </w:r>
      <w:r>
        <w:rPr>
          <w:rFonts w:ascii="Arial" w:cs="Arial" w:eastAsia="Arial" w:hAnsi="Arial"/>
          <w:sz w:val="18"/>
          <w:szCs w:val="18"/>
          <w:color w:val="auto"/>
        </w:rPr>
        <w:t>, trade date). Securities transactions outside conventional channels, such as private transactions, are recorded as of the date the Company obtains the right to demand the securities purchased or to collect the proceeds from a sale and incurs an obligation to pay for securities purchased or to deliver securities sold,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Other Financial Instruments</w:t>
      </w:r>
    </w:p>
    <w:p>
      <w:pPr>
        <w:spacing w:after="0" w:line="256" w:lineRule="exact"/>
        <w:rPr>
          <w:sz w:val="20"/>
          <w:szCs w:val="20"/>
          <w:color w:val="auto"/>
        </w:rPr>
      </w:pPr>
    </w:p>
    <w:p>
      <w:pPr>
        <w:jc w:val="both"/>
        <w:ind w:firstLine="364"/>
        <w:spacing w:after="0" w:line="277" w:lineRule="auto"/>
        <w:rPr>
          <w:sz w:val="20"/>
          <w:szCs w:val="20"/>
          <w:color w:val="auto"/>
        </w:rPr>
      </w:pPr>
      <w:r>
        <w:rPr>
          <w:rFonts w:ascii="Arial" w:cs="Arial" w:eastAsia="Arial" w:hAnsi="Arial"/>
          <w:sz w:val="18"/>
          <w:szCs w:val="18"/>
          <w:color w:val="auto"/>
        </w:rPr>
        <w:t>The carrying amounts of the Company’s other, non-investment financial instruments, consisting of cash, receivables, accounts payable, and accrued expenses, approximate fair value due to their short-term nature.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w:t>
      </w:r>
    </w:p>
    <w:p>
      <w:pPr>
        <w:spacing w:after="0" w:line="252" w:lineRule="exact"/>
        <w:rPr>
          <w:sz w:val="20"/>
          <w:szCs w:val="20"/>
          <w:color w:val="auto"/>
        </w:rPr>
      </w:pPr>
    </w:p>
    <w:p>
      <w:pPr>
        <w:jc w:val="both"/>
        <w:ind w:firstLine="364"/>
        <w:spacing w:after="0" w:line="311" w:lineRule="auto"/>
        <w:rPr>
          <w:sz w:val="20"/>
          <w:szCs w:val="20"/>
          <w:color w:val="auto"/>
        </w:rPr>
      </w:pPr>
      <w:r>
        <w:rPr>
          <w:rFonts w:ascii="Arial" w:cs="Arial" w:eastAsia="Arial" w:hAnsi="Arial"/>
          <w:sz w:val="16"/>
          <w:szCs w:val="16"/>
          <w:color w:val="auto"/>
        </w:rPr>
        <w:t>The Company places its cash with U.S. Bank, N.A., Bridge Bank (a subsidiary of Western Alliance Bank), and Silicon Valley Bank, and at times, cash held in these accounts may exceed the Federal Deposit Insurance Corporation insured limit. The Company believes that U.S. Bank, N.A., Western Alliance Bank, and Silicon Valley Bank are high-quality financial institutions and that the risk of loss associated with any uninsured balance is remote.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Escrow Proceeds Receivable</w:t>
      </w:r>
    </w:p>
    <w:p>
      <w:pPr>
        <w:spacing w:after="0" w:line="252" w:lineRule="exact"/>
        <w:rPr>
          <w:sz w:val="20"/>
          <w:szCs w:val="20"/>
          <w:color w:val="auto"/>
        </w:rPr>
      </w:pPr>
    </w:p>
    <w:p>
      <w:pPr>
        <w:jc w:val="both"/>
        <w:ind w:firstLine="364"/>
        <w:spacing w:after="0" w:line="255" w:lineRule="auto"/>
        <w:rPr>
          <w:sz w:val="20"/>
          <w:szCs w:val="20"/>
          <w:color w:val="auto"/>
        </w:rPr>
      </w:pPr>
      <w:r>
        <w:rPr>
          <w:rFonts w:ascii="Arial" w:cs="Arial" w:eastAsia="Arial" w:hAnsi="Arial"/>
          <w:sz w:val="18"/>
          <w:szCs w:val="18"/>
          <w:color w:val="auto"/>
        </w:rPr>
        <w:t>A portion of the proceeds from the sale of portfolio investments and sold are held in escrow as a recourse for indemnity claims that may arise under the sale agreement. Amounts held in escrow are held at estimated realizable value and included in net realized gains (losses) on investments in the Condensed Consolidated Statements of Operations for the period in which they occurred and are adjusted as needed. Any remaining escrow proceeds balances from these transactions reasonably expected to be received are reflected on the Condensed Consolidated Statement of Assets and Liabilities as escrow proceeds receivable. As of June 30, 2020 and December 31, 2019, the Company had $67,135 and $265,303, respectively, in escrow proceeds receivable.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252" w:lineRule="exact"/>
        <w:rPr>
          <w:sz w:val="20"/>
          <w:szCs w:val="20"/>
          <w:color w:val="auto"/>
        </w:rPr>
      </w:pPr>
    </w:p>
    <w:p>
      <w:pPr>
        <w:jc w:val="both"/>
        <w:ind w:firstLine="364"/>
        <w:spacing w:after="0" w:line="272" w:lineRule="auto"/>
        <w:rPr>
          <w:sz w:val="20"/>
          <w:szCs w:val="20"/>
          <w:color w:val="auto"/>
        </w:rPr>
      </w:pPr>
      <w:r>
        <w:rPr>
          <w:rFonts w:ascii="Arial" w:cs="Arial" w:eastAsia="Arial" w:hAnsi="Arial"/>
          <w:sz w:val="17"/>
          <w:szCs w:val="17"/>
          <w:color w:val="auto"/>
        </w:rPr>
        <w:t>The Company records origination costs related to lines of credit as deferred financing costs. These costs are deferred and amortized as part of interest expense using the straight-line method over the respective life of the line of credit. For modifications to a line of credit, any unamortized origination costs are expensed. Included within deferred financing costs are offering costs incurred relating to the Company’s shelf registration statement on Form N-2. The Company defers these offering costs until capital is raised pursuant to the shelf registration statement or until the shelf registration statement expires. For equity capital raised, the offering costs reduce paid-in capital resulting from the offering. For debt capital raised, the associated offering costs are amortized over the life of the debt instrument. As of June 30, 2020 and December 31, 2019, the Company had deferred financing costs of $11,382 and $11,382, respectively, on the Condensed Consolidated Statement of Assets and Liabilities.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Pr>
          <w:p>
            <w:pPr>
              <w:spacing w:after="0"/>
              <w:rPr>
                <w:sz w:val="16"/>
                <w:szCs w:val="16"/>
                <w:color w:val="auto"/>
              </w:rPr>
            </w:pPr>
          </w:p>
        </w:tc>
        <w:tc>
          <w:tcPr>
            <w:tcW w:w="1500" w:type="dxa"/>
            <w:vAlign w:val="bottom"/>
          </w:tcPr>
          <w:p>
            <w:pPr>
              <w:jc w:val="right"/>
              <w:ind w:right="175"/>
              <w:spacing w:after="0"/>
              <w:rPr>
                <w:sz w:val="20"/>
                <w:szCs w:val="20"/>
                <w:color w:val="auto"/>
              </w:rPr>
            </w:pPr>
            <w:r>
              <w:rPr>
                <w:rFonts w:ascii="Arial" w:cs="Arial" w:eastAsia="Arial" w:hAnsi="Arial"/>
                <w:sz w:val="14"/>
                <w:szCs w:val="14"/>
                <w:b w:val="1"/>
                <w:bCs w:val="1"/>
                <w:color w:val="auto"/>
                <w:w w:val="96"/>
              </w:rPr>
              <w:t>December 31, 2019</w:t>
            </w:r>
          </w:p>
        </w:tc>
      </w:tr>
      <w:tr>
        <w:trPr>
          <w:trHeight w:val="249"/>
        </w:trPr>
        <w:tc>
          <w:tcPr>
            <w:tcW w:w="7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credit facility costs</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11,382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11,382</w:t>
            </w: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Deferred offering costs</w:t>
            </w:r>
          </w:p>
        </w:tc>
        <w:tc>
          <w:tcPr>
            <w:tcW w:w="260" w:type="dxa"/>
            <w:vAlign w:val="bottom"/>
          </w:tcPr>
          <w:p>
            <w:pPr>
              <w:spacing w:after="0"/>
              <w:rPr>
                <w:sz w:val="21"/>
                <w:szCs w:val="21"/>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00" w:type="dxa"/>
            <w:vAlign w:val="bottom"/>
          </w:tcPr>
          <w:p>
            <w:pPr>
              <w:jc w:val="right"/>
              <w:ind w:right="75"/>
              <w:spacing w:after="0"/>
              <w:rPr>
                <w:sz w:val="20"/>
                <w:szCs w:val="20"/>
                <w:color w:val="auto"/>
              </w:rPr>
            </w:pPr>
            <w:r>
              <w:rPr>
                <w:rFonts w:ascii="Arial" w:cs="Arial" w:eastAsia="Arial" w:hAnsi="Arial"/>
                <w:sz w:val="18"/>
                <w:szCs w:val="18"/>
                <w:color w:val="auto"/>
              </w:rPr>
              <w:t>—</w:t>
            </w:r>
          </w:p>
        </w:tc>
      </w:tr>
      <w:tr>
        <w:trPr>
          <w:trHeight w:val="27"/>
        </w:trPr>
        <w:tc>
          <w:tcPr>
            <w:tcW w:w="7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89"/>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Deferred Financing Costs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11,382</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11,382</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49206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20615" cy="889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 &amp; Related Deposits</w:t>
      </w:r>
    </w:p>
    <w:p>
      <w:pPr>
        <w:spacing w:after="0" w:line="252"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The Company accounts for its operating leases as prescribed by ASC 842, </w:t>
      </w:r>
      <w:r>
        <w:rPr>
          <w:rFonts w:ascii="Arial" w:cs="Arial" w:eastAsia="Arial" w:hAnsi="Arial"/>
          <w:sz w:val="18"/>
          <w:szCs w:val="18"/>
          <w:i w:val="1"/>
          <w:iCs w:val="1"/>
          <w:color w:val="auto"/>
        </w:rPr>
        <w:t>Leases</w:t>
      </w:r>
      <w:r>
        <w:rPr>
          <w:rFonts w:ascii="Arial" w:cs="Arial" w:eastAsia="Arial" w:hAnsi="Arial"/>
          <w:sz w:val="18"/>
          <w:szCs w:val="18"/>
          <w:color w:val="auto"/>
        </w:rPr>
        <w:t>, which requires lessees to recognize a right of use asset on the balance sheet, representing its right to use the underlying asset for the lease term, and a corresponding lease liability for all leases with terms greater than 12 months. The lease expense is presented as a single lease cost that is amortized on a straight-line basis over the life of the lease. Non-lease components (maintenance, property tax, insurance and parking) are not included in the lease cost. On June 3, 2019, the Company entered a 5-year operating lease for primary office space for which the Company has recorded a right-of-use asset and a corresponding lease liability for the operating lease obligation. These amounts have been discounted using the rate implicit in the lease. Refer to “Note 7—Commitments and Contingencies—</w:t>
      </w:r>
      <w:r>
        <w:rPr>
          <w:rFonts w:ascii="Arial" w:cs="Arial" w:eastAsia="Arial" w:hAnsi="Arial"/>
          <w:sz w:val="18"/>
          <w:szCs w:val="18"/>
          <w:i w:val="1"/>
          <w:iCs w:val="1"/>
          <w:color w:val="auto"/>
        </w:rPr>
        <w:t>Operating Leases and Related</w:t>
      </w:r>
      <w:r>
        <w:rPr>
          <w:rFonts w:ascii="Arial" w:cs="Arial" w:eastAsia="Arial" w:hAnsi="Arial"/>
          <w:sz w:val="18"/>
          <w:szCs w:val="18"/>
          <w:color w:val="auto"/>
        </w:rPr>
        <w:t xml:space="preserve"> </w:t>
      </w:r>
      <w:r>
        <w:rPr>
          <w:rFonts w:ascii="Arial" w:cs="Arial" w:eastAsia="Arial" w:hAnsi="Arial"/>
          <w:sz w:val="18"/>
          <w:szCs w:val="18"/>
          <w:i w:val="1"/>
          <w:iCs w:val="1"/>
          <w:color w:val="auto"/>
        </w:rPr>
        <w:t>Deposits</w:t>
      </w:r>
      <w:r>
        <w:rPr>
          <w:rFonts w:ascii="Arial" w:cs="Arial" w:eastAsia="Arial" w:hAnsi="Arial"/>
          <w:sz w:val="18"/>
          <w:szCs w:val="18"/>
          <w:color w:val="auto"/>
        </w:rPr>
        <w:t>” for further detail.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5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Using the fair value recognition provisions as prescribed by ASC 718, </w:t>
      </w:r>
      <w:r>
        <w:rPr>
          <w:rFonts w:ascii="Arial" w:cs="Arial" w:eastAsia="Arial" w:hAnsi="Arial"/>
          <w:sz w:val="18"/>
          <w:szCs w:val="18"/>
          <w:i w:val="1"/>
          <w:iCs w:val="1"/>
          <w:color w:val="auto"/>
        </w:rPr>
        <w:t>Stock Compensation</w:t>
      </w:r>
      <w:r>
        <w:rPr>
          <w:rFonts w:ascii="Arial" w:cs="Arial" w:eastAsia="Arial" w:hAnsi="Arial"/>
          <w:sz w:val="18"/>
          <w:szCs w:val="18"/>
          <w:color w:val="auto"/>
        </w:rPr>
        <w:t>, stock-based compensation cost is measured at the grant date based on the estimated fair value of the award and is recognized as expense over the appropriate service period. Determining the fair value of stock-based awards requires considerable judgment, including estimating the expected term of stock options and the expected volatility of our stock price. Differences between actual results and these estimates could have a material effect on our financial results. Forfeitures are accounted for as they occur. Refer to “Note 11—Stock-Based Compensation” for further detail.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56" w:lineRule="exact"/>
        <w:rPr>
          <w:sz w:val="20"/>
          <w:szCs w:val="20"/>
          <w:color w:val="auto"/>
        </w:rPr>
      </w:pPr>
    </w:p>
    <w:p>
      <w:pPr>
        <w:jc w:val="both"/>
        <w:ind w:firstLine="364"/>
        <w:spacing w:after="0" w:line="342" w:lineRule="auto"/>
        <w:rPr>
          <w:sz w:val="20"/>
          <w:szCs w:val="20"/>
          <w:color w:val="auto"/>
        </w:rPr>
      </w:pPr>
      <w:r>
        <w:rPr>
          <w:rFonts w:ascii="Arial" w:cs="Arial" w:eastAsia="Arial" w:hAnsi="Arial"/>
          <w:sz w:val="16"/>
          <w:szCs w:val="16"/>
          <w:color w:val="auto"/>
        </w:rPr>
        <w:t>The Company recognizes gains or losses on the sale of investments using the specific identification method. The Company recognizes interest income, adjusted for amortization of premium and accretion of discount, on an accrual basis. The Company recognizes dividend income on the ex-dividend date.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Transaction Costs and Escrow Deposits</w:t>
      </w:r>
    </w:p>
    <w:p>
      <w:pPr>
        <w:spacing w:after="0" w:line="256" w:lineRule="exact"/>
        <w:rPr>
          <w:sz w:val="20"/>
          <w:szCs w:val="20"/>
          <w:color w:val="auto"/>
        </w:rPr>
      </w:pPr>
    </w:p>
    <w:p>
      <w:pPr>
        <w:jc w:val="both"/>
        <w:ind w:firstLine="364"/>
        <w:spacing w:after="0" w:line="273" w:lineRule="auto"/>
        <w:rPr>
          <w:sz w:val="20"/>
          <w:szCs w:val="20"/>
          <w:color w:val="auto"/>
        </w:rPr>
      </w:pPr>
      <w:r>
        <w:rPr>
          <w:rFonts w:ascii="Arial" w:cs="Arial" w:eastAsia="Arial" w:hAnsi="Arial"/>
          <w:sz w:val="17"/>
          <w:szCs w:val="17"/>
          <w:color w:val="auto"/>
        </w:rPr>
        <w:t>Commissions and other costs associated with an investment transaction, including legal expenses not reimbursed by the portfolio company, are included in the cost basis of purchases and deducted from the proceeds of sales. The Company makes certain acquisitions on secondary markets, which may involve making deposits to escrow accounts until certain conditions are met, including the underlying private company’s right of first refusal. If the underlying private company does not exercise or assign its right of first refusal and all other conditions are met, then the funds in the escrow account are delivered to the seller and the account is closed. Such transactions would be reflected on the Condensed Consolidated Statement of Assets and Liabilities as escrow deposits. As of June 30, 2020 and December 31, 2019, the Company had no material escrow deposits.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Unrealized Appreciation or Depreciation of Investments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Unrealized appreciation or depreciation is calculated as the difference between the fair value of the investment and the cost basis of such investment.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and State Income Taxes</w:t>
      </w:r>
    </w:p>
    <w:p>
      <w:pPr>
        <w:spacing w:after="0" w:line="256" w:lineRule="exact"/>
        <w:rPr>
          <w:sz w:val="20"/>
          <w:szCs w:val="20"/>
          <w:color w:val="auto"/>
        </w:rPr>
      </w:pPr>
    </w:p>
    <w:p>
      <w:pPr>
        <w:jc w:val="both"/>
        <w:ind w:firstLine="364"/>
        <w:spacing w:after="0" w:line="270" w:lineRule="auto"/>
        <w:rPr>
          <w:sz w:val="20"/>
          <w:szCs w:val="20"/>
          <w:color w:val="auto"/>
        </w:rPr>
      </w:pPr>
      <w:r>
        <w:rPr>
          <w:rFonts w:ascii="Arial" w:cs="Arial" w:eastAsia="Arial" w:hAnsi="Arial"/>
          <w:sz w:val="17"/>
          <w:szCs w:val="17"/>
          <w:color w:val="auto"/>
        </w:rPr>
        <w:t>The Company elected to be treated as a regulated investment company (a “RIC”) under Subchapter M of the Internal Revenue Code of 1986, as amended (the “Code”), beginning with its taxable year ended December 31, 2014, has qualified to be treated as a RIC for subsequent taxable years and intends to continue to operate in a manner so as to qualify for the tax treatment applicable to RICs. To qualify for tax treatment as a RIC, among other things, the Company is required to meet certain source of income and asset diversification requirements and timely distribute to its stockholders at least 90% of the sum of investment company taxable income (“ICTI”) including payment-in-kind interest income, as defined by the Code, and net tax-exempt interest income (which is the excess of its gross tax-exempt interest income over certain disallowed deductions) for each taxable year (the "Annual Distribution Requirement"). Depending on the level of ICTI earned in a tax year, the Company may choose to carry forward into the next tax year ICTI in excess of current year dividend distributions. Any such carryforward ICTI must be distributed on or before December 31 of the subsequent tax year to which it was carried forward.</w:t>
      </w:r>
    </w:p>
    <w:p>
      <w:pPr>
        <w:spacing w:after="0" w:line="20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If the Company meets the Annual Distribution Requirement, but does not distribute (or is not deemed to have distributed) each calendar year a sum of</w:t>
      </w:r>
    </w:p>
    <w:p>
      <w:pPr>
        <w:spacing w:after="0" w:line="46" w:lineRule="exact"/>
        <w:rPr>
          <w:sz w:val="20"/>
          <w:szCs w:val="20"/>
          <w:color w:val="auto"/>
        </w:rPr>
      </w:pPr>
    </w:p>
    <w:p>
      <w:pPr>
        <w:jc w:val="both"/>
        <w:ind w:firstLine="8"/>
        <w:spacing w:after="0" w:line="252" w:lineRule="auto"/>
        <w:tabs>
          <w:tab w:leader="none" w:pos="276" w:val="left"/>
        </w:tabs>
        <w:numPr>
          <w:ilvl w:val="0"/>
          <w:numId w:val="17"/>
        </w:numPr>
        <w:rPr>
          <w:rFonts w:ascii="Arial" w:cs="Arial" w:eastAsia="Arial" w:hAnsi="Arial"/>
          <w:sz w:val="18"/>
          <w:szCs w:val="18"/>
          <w:color w:val="auto"/>
        </w:rPr>
      </w:pPr>
      <w:r>
        <w:rPr>
          <w:rFonts w:ascii="Arial" w:cs="Arial" w:eastAsia="Arial" w:hAnsi="Arial"/>
          <w:sz w:val="18"/>
          <w:szCs w:val="18"/>
          <w:color w:val="auto"/>
        </w:rPr>
        <w:t>98% of its net ordinary income for each calendar year, (2) 98.2% of its capital gain net income for the one-year period ending October 31 in that calendar year and (3) any income recognized, but not distributed, in preceding years (the “Excise Tax Avoidance Requirement”), it generally will be required to pay an excise tax equal to 4% of the amount by which the Excise Tax Avoidance Requirement exceeds the distributions for the year. To the extent that the Company determines that its estimated current year annual taxable income will exceed estimated current year dividend distributions from such taxable income, the Company will accrue excise taxes, if any, on estimated excess taxable income as taxable income is earned using an annual effective excise tax rate. The annual effective excise tax rate is determined by dividing the estimated annual excise tax by the estimated annual taxable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400" w:lineRule="exact"/>
        <w:rPr>
          <w:sz w:val="20"/>
          <w:szCs w:val="20"/>
          <w:color w:val="auto"/>
        </w:rPr>
      </w:pPr>
    </w:p>
    <w:p>
      <w:pPr>
        <w:jc w:val="both"/>
        <w:ind w:firstLine="364"/>
        <w:spacing w:after="0" w:line="254" w:lineRule="auto"/>
        <w:rPr>
          <w:sz w:val="20"/>
          <w:szCs w:val="20"/>
          <w:color w:val="auto"/>
        </w:rPr>
      </w:pPr>
      <w:r>
        <w:rPr>
          <w:rFonts w:ascii="Arial" w:cs="Arial" w:eastAsia="Arial" w:hAnsi="Arial"/>
          <w:sz w:val="18"/>
          <w:szCs w:val="18"/>
          <w:color w:val="auto"/>
        </w:rPr>
        <w:t>So long as the Company qualifies and maintains its tax treatment as a RIC, it generally will not pay corporate-level U.S. federal and state income taxes on any ordinary income or capital gains that it distributes at least annually to its stockholders as dividends. Rather, any tax liability related to income earned by the RIC will represent obligations of the Company’s investors and will not be reflected in the consolidated financial statements of the Company. Included in the Company’s condensed consolidated financial statements, the Taxable Subsidiaries are taxable subsidiaries, regardless of whether the Company is a RIC. These taxable subsidiaries are not consolidated for income tax purposes and may generate income tax expenses as a result of their ownership of the portfolio companies. Such income tax expenses and deferred taxes, if any, will be reflected in the Company’s condensed consolidated financial statements.</w:t>
      </w:r>
    </w:p>
    <w:p>
      <w:pPr>
        <w:spacing w:after="0" w:line="222" w:lineRule="exact"/>
        <w:rPr>
          <w:sz w:val="20"/>
          <w:szCs w:val="20"/>
          <w:color w:val="auto"/>
        </w:rPr>
      </w:pPr>
    </w:p>
    <w:p>
      <w:pPr>
        <w:jc w:val="both"/>
        <w:ind w:firstLine="364"/>
        <w:spacing w:after="0" w:line="286" w:lineRule="auto"/>
        <w:rPr>
          <w:sz w:val="20"/>
          <w:szCs w:val="20"/>
          <w:color w:val="auto"/>
        </w:rPr>
      </w:pPr>
      <w:r>
        <w:rPr>
          <w:rFonts w:ascii="Arial" w:cs="Arial" w:eastAsia="Arial" w:hAnsi="Arial"/>
          <w:sz w:val="16"/>
          <w:szCs w:val="16"/>
          <w:color w:val="auto"/>
        </w:rPr>
        <w:t>If it is not treated as a RIC, the Company will be taxed as a regular corporation (a “C corporation”) under Subchapter C of the Code for such taxable year. If the Company has previously qualified as a RIC but is subsequently unable to qualify for treatment as a RIC, and certain amelioration provisions are not applicable, the Company would be subject to tax on all of its taxable income (including its net capital gains) at regular corporate rates. The Company would not be able to deduct distributions to stockholders, nor would it be required to make distributions. Distributions, including distributions of net long-term capital gain, would generally be taxable to its stockholders as ordinary dividend income to the extent of the Company’s current and accumulated earnings and profits. Subject to certain limitations under the Code, corporate stockholders would be eligible to claim a dividend received deduction with respect to such dividend; non-corporate stockholders would generally be able to treat such dividends as “qualified dividend income,” which is subject to reduced rates of U.S. federal income tax. Distributions in excess of the Company’s current and accumulated earnings and profits would be treated first as a return of capital to the extent of the stockholder’s tax basis, and any remaining distributions would be treated as a capital gain. In order to requalify as a RIC, in addition to the other requirements discussed above, the Company would be required to distribute all of its previously undistributed earnings attributable to the period it failed to qualify as a RIC by the end of the first year that it intends to requalify for tax treatment as a RIC. If the Company fails to requalify for tax treatment as a RIC for a period greater than two taxable years, it may be subject to regular corporate tax on any net built-in gains with respect to certain of its assets (i.e., the excess of the aggregate gains, including items of income, over aggregate losses that would have been realized with respect to such assets if the Company had been liquidated) that it elects to recognize on requalification or when recognized over the next five years. The Company was taxed as a C Corporation for its 2012 and 2013 taxable years. Refer to “Note 9—Income Taxes” for further details.</w:t>
      </w:r>
    </w:p>
    <w:p>
      <w:pPr>
        <w:spacing w:after="0" w:line="19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 elected to be treated as a RIC for the taxable year ended December 31, 2014 in connection with the filing of its 2014 tax return. As a result, the Company was required to pay a corporate-level U.S. federal income tax on the amount of the net built-in gains in its assets (the amount by which the net fair market value of the Company’s assets exceeds the net adjusted basis in its assets) either (1) as of the date it converted to a RIC (i.e., the beginning of the first taxable year that the Company qualifies as a RIC, which would be January 1, 2014), or (2) to the extent that the Company recognized such net built-in gains during the five-year recognition period beginning on the date of conversion. As of January 1, 2014, the Company had net unrealized built-in gains, but did not incur a built-in-gains tax for the 2014 tax year due to the fact that there were sufficient net capital loss carryforwards to completely offset recognized built-in gains as well as available net operating losses. The five-year recognition period ended on December 31,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 Share Information</w:t>
      </w:r>
    </w:p>
    <w:p>
      <w:pPr>
        <w:spacing w:after="0" w:line="256" w:lineRule="exact"/>
        <w:rPr>
          <w:sz w:val="20"/>
          <w:szCs w:val="20"/>
          <w:color w:val="auto"/>
        </w:rPr>
      </w:pPr>
    </w:p>
    <w:p>
      <w:pPr>
        <w:jc w:val="both"/>
        <w:ind w:firstLine="364"/>
        <w:spacing w:after="0" w:line="293" w:lineRule="auto"/>
        <w:rPr>
          <w:sz w:val="20"/>
          <w:szCs w:val="20"/>
          <w:color w:val="auto"/>
        </w:rPr>
      </w:pPr>
      <w:r>
        <w:rPr>
          <w:rFonts w:ascii="Arial" w:cs="Arial" w:eastAsia="Arial" w:hAnsi="Arial"/>
          <w:sz w:val="16"/>
          <w:szCs w:val="16"/>
          <w:color w:val="auto"/>
        </w:rPr>
        <w:t xml:space="preserve">Net change in net assets resulting from operations per basic common share is computed using the weighted-average number of shares outstanding for the period presented. Diluted net change in net assets resulting from operations per common share is computed by dividing net increase/(decrease) in net assets resulting from operations for the period adjusted to include the pre-tax effects of interest incurred on potentially dilutive securities, by the weighted-average number of common shares outstanding plus any potentially dilutive shares outstanding during the period. The Company used the if-converted method in accordance with </w:t>
      </w:r>
      <w:r>
        <w:rPr>
          <w:rFonts w:ascii="Arial" w:cs="Arial" w:eastAsia="Arial" w:hAnsi="Arial"/>
          <w:sz w:val="16"/>
          <w:szCs w:val="16"/>
          <w:i w:val="1"/>
          <w:iCs w:val="1"/>
          <w:color w:val="auto"/>
        </w:rPr>
        <w:t>FASB ASC 260, Earnings Per Share</w:t>
      </w:r>
      <w:r>
        <w:rPr>
          <w:rFonts w:ascii="Arial" w:cs="Arial" w:eastAsia="Arial" w:hAnsi="Arial"/>
          <w:sz w:val="16"/>
          <w:szCs w:val="16"/>
          <w:color w:val="auto"/>
        </w:rPr>
        <w:t xml:space="preserve"> (“ASC 260”) to determine the number of potentially dilutive shares outstanding. Refer to “Note 6—Net Increase in Net Assets Resulting from Operations per Common Share—Basic and Diluted” for further detail.</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or Adopted Accounting Standards</w:t>
      </w:r>
    </w:p>
    <w:p>
      <w:pPr>
        <w:spacing w:after="0" w:line="25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 (Topic 820)</w:t>
      </w:r>
      <w:r>
        <w:rPr>
          <w:rFonts w:ascii="Arial" w:cs="Arial" w:eastAsia="Arial" w:hAnsi="Arial"/>
          <w:sz w:val="16"/>
          <w:szCs w:val="16"/>
          <w:color w:val="auto"/>
        </w:rPr>
        <w:t>, which is intended to improve fair value and defined benefit disclosure requirements by removing disclosures that are not cost beneficial, clarifying disclosures' specific requirements, and adding relevant disclosure requirements. The amendments took effect for all organizations for fiscal years, and interim periods within those fiscal years, beginning after December 15, 2019. The Company adopted the eliminated and modified disclosure requirements during the three and six months ended June 30, 2020. No significant changes to the fair value disclosures were necessary in the notes to the condensed consolidated financial statements in order to comply with ASU 2018-13.</w:t>
      </w:r>
    </w:p>
    <w:p>
      <w:pPr>
        <w:spacing w:after="0" w:line="20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In August 2018, the SEC issued Final Rule Release No. 33-10532, </w:t>
      </w:r>
      <w:r>
        <w:rPr>
          <w:rFonts w:ascii="Arial" w:cs="Arial" w:eastAsia="Arial" w:hAnsi="Arial"/>
          <w:sz w:val="17"/>
          <w:szCs w:val="17"/>
          <w:i w:val="1"/>
          <w:iCs w:val="1"/>
          <w:color w:val="auto"/>
        </w:rPr>
        <w:t>Disclosure Update and Simplification,</w:t>
      </w:r>
      <w:r>
        <w:rPr>
          <w:rFonts w:ascii="Arial" w:cs="Arial" w:eastAsia="Arial" w:hAnsi="Arial"/>
          <w:sz w:val="17"/>
          <w:szCs w:val="17"/>
          <w:color w:val="auto"/>
        </w:rPr>
        <w:t xml:space="preserve"> amending certain disclosure requirements intended to eliminate redundant, duplicative, overlapping, outdated or superseded, in light of other SEC disclosure requirements, U.S. GAAP requirements, or changes in the information environment. In part, this final rule requires an investment company to present distributable earnings in total on the consolidated balance sheet, rather than showing the three components of distributable earnings as previously required. The Company decided not to adopt this change as the current, more detailed and expanded disclosure presentation was deemed to be most helpful, useful, and transparent for users of our condensed consolidated financial statements. The impact of the adoption of this amendment on the Company's consolidated financial statements would not be material. Additionally, the final rule requires disclosure of changes in net assets within a registrant's Form 10-Q filing on a quarter-to-date and year-to-date basis for both the current year and prior year comparative periods. The Company adopted the new requirement to present changes in net assets in interim financial statements within Form 10-Q filings during the year ended December 31, 2019. The adoption of this rule did not have a material impact on the consolidated financial statements.</w:t>
      </w:r>
    </w:p>
    <w:p>
      <w:pPr>
        <w:spacing w:after="0" w:line="21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May 2020, the SEC adopted rule amendments that will impact the requirement of investment companies, including BDCs, to disclose the financial statements of certain of their portfolio companies or acquired funds (the “Final Rules”). The Final adopted a new definition of “significant subsidiary” set forth in Rule 1-02(w)(2) of Regulation S-X under the Securities Act. Rules 3-09 and 4-08(g) of Regulation S-X require investment companies to include separate financial statements or summary financial information, respectively, in such investment company’s periodic reports for any portfolio company that meets the definition of “significant subsidiary.” The Final Rules amend the definition of “significant subsidiary” in a manner that is intended to more accurately capture those portfolio companies that are more likely to materially impact the financial condition of an investment company. The Final Rules will be effective on January 1, 2021, but voluntary compliance is permitted in advance of the effective date. The Company is reviewing the Final Rules as of June 30, 2020 and generally anticipates the new guidance will require the Company to provide separate audited financial statements and summarized financial information for fewer of its controlled portfolio companies going forward.</w:t>
      </w:r>
    </w:p>
    <w:p>
      <w:pPr>
        <w:spacing w:after="0" w:line="20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From time to time, new accounting pronouncements are issued by the FASB or other standards setting bodies that are adopted by the Company as of the specified effective date. The Company believes that the impact of recently issued standards and any that are not yet effective will not have a material impact on its consolidated financial statements upon adoption.</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3—RELATED-PARTY ARRANGEMENTS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Internalization of Company’s Operating Structure</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and effective March 12, 2019 (the "Effective Date"), our Board of Directors approved internalizing our operating structure and we began operating as an internally managed non-diversified closed-end management investment company that has elected to be regulated as a BDC under the 1940 Act. Prior to the Effective Date, we were externally managed by our former investment adviser, GSV Asset Management, pursuant to the Investment Advisory Agreement, and our former administrator, GSV Capital Service Company, provided the administrative services necessary for our operations pursuant to the Administration Agreement.</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accounting implications and related controls associated with the Internalization were analyzed and updated for fiscal year 2019.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of Investment Advisory Agreement</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and effective March 12, 2019, the Investment Advisory Agreement was terminated by mutual agreement of GSV Asset Management and us in connection with our Internalization.</w:t>
      </w:r>
    </w:p>
    <w:p>
      <w:pPr>
        <w:spacing w:after="0" w:line="19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Prior to our Internalization, GSV Asset Management served as our external investment adviser pursuant to the Investment Advisory Agreement. Pursuant to the terms of the Investment Advisory Agreement, we paid GSV Asset Management a fee for its services consisting of two components - a base management fee and an incentive fee. The base management fee was calculated at an annual rate of 2.00% of our gross assets (our total assets as reflected on our balance sheet with no deduction for liabilities). The incentive fee was determined and payable in arrears as of the end of each calendar year (or upon termination of the Investment Advisory Agreement, as of the termination date), and equaled the lesser of (i) 20% of our realized capital gains during such calendar year, if any, calculated on an investment-by-investment basis, subject to a non-compounded preferred return, or “hurdle” of 8.00% per year, and a “catch-up” feature, and (ii) 20% of our realized capital gains, if any, on a cumulative basis from inception through the end of each calendar year, computed net of all realized capital losses and unrealized capital depreciation on a cumulative basis, less the aggregate amount of any previously paid incentive fees. See “—Investment Advisory Agreement” below.</w:t>
      </w:r>
    </w:p>
    <w:p>
      <w:pPr>
        <w:spacing w:after="0" w:line="20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the Investment Advisory Agreement has been terminated, there will be no base management fees or incentives fees payable to GSV Asset Management going forward.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of Administration Agreement</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and effective March 12, 2019, the Administration Agreement was terminated by mutual agreement of GSV Capital Service Company and us in connection with our Internalization.</w:t>
      </w:r>
    </w:p>
    <w:p>
      <w:pPr>
        <w:spacing w:after="0" w:line="19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Prior to our Internalization, GSV Capital Service Company served as our external administrator and provided administrative services necessary for our operations, including but not limited to, furnishing us with office facilities, equipment and clerical, bookkeeping and record keeping services at such facilities, as well as providing us with certain other administrative services, including, but not limited to, assisting us with determining and publishing our net asset value, overseeing the preparation and filing of our tax returns and the printing and dissemination of reports to our stockholders.</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Under the Administration Agreement, we did not pay any fees to GSV Capital Service Company but reimbursed GSV Capital Service Company for our allocable portion of overhead and other expenses incurred by GSV Capital Service Company in performing its services under the Administration Agreement, including, but not limited to, fees and expenses associated with performing compliance functions and our allocable portion of rent and compensation of our President, Chief Financial Officer, Chief Compliance Officer and other staff providing administrative services. See “—Administration Agreement” below.</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the Administration Agreement has been terminated, there will be no costs incurred by GSV Capital Service Company going forward.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Departure of Director and Reduction of Number of Directors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and effective March 12, 2019, Michael T. Moe resigned from our Board of Directors in connection with our Internalization. As a result of Mr. Moe’s resignation, our Board of Directors reduced the number of directors that constitute our full Board of Directors to five directors from six directors in accordance with our bylaws. Mr. Moe will continue to provide services to us pursuant to the Consulting Agreement (as defined below). See “—Consulting Agreement.”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Consulting Agreement</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and effective March 12, 2019, we entered into a Consulting Agreement (the “Consulting Agreement”) with Michael T. Moe, the former Chairman of our Board of Directors and the Chief Executive Officer and Chief Investment Officer of GSV Asset Management, for the purpose of assisting us with certain transition services following the termination of the Investment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40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Advisory Agreement and our Internalization. Pursuant to the Consulting Agreement, Mr. Moe will provide certain transition services to us related to our existing portfolio investments for which Mr. Moe previously had oversight in his role as the Chief Executive Officer and Chief Investment Officer of GSV Asset Management. Such transition services will include providing information to us regarding such portfolio companies, including as a member of a portfolio company’s board of directors, assisting with the transition of portfolio company board seats as requested by us, making appropriate introductions to representatives of portfolio companies, and providing other similar types of services that we may reasonably request.</w:t>
      </w:r>
    </w:p>
    <w:p>
      <w:pPr>
        <w:spacing w:after="0" w:line="2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term of the Consulting Agreement commenced on March 12, 2019 and will continue for eighteen months, unless the parties thereto mutually agree to extend the Consulting Agreement for an additional period. Pursuant to the Consulting Agreement, we will pay Mr. Moe a total amount equal to $1,250,000.</w:t>
      </w:r>
    </w:p>
    <w:p>
      <w:pPr>
        <w:spacing w:after="0" w:line="211" w:lineRule="exact"/>
        <w:rPr>
          <w:sz w:val="20"/>
          <w:szCs w:val="20"/>
          <w:color w:val="auto"/>
        </w:rPr>
      </w:pPr>
    </w:p>
    <w:p>
      <w:pPr>
        <w:jc w:val="both"/>
        <w:ind w:firstLine="364"/>
        <w:spacing w:after="0" w:line="255" w:lineRule="auto"/>
        <w:rPr>
          <w:sz w:val="20"/>
          <w:szCs w:val="20"/>
          <w:color w:val="auto"/>
        </w:rPr>
      </w:pPr>
      <w:r>
        <w:rPr>
          <w:rFonts w:ascii="Arial" w:cs="Arial" w:eastAsia="Arial" w:hAnsi="Arial"/>
          <w:sz w:val="18"/>
          <w:szCs w:val="18"/>
          <w:color w:val="auto"/>
        </w:rPr>
        <w:t>For the three months ended June 30, 2020 and 2019 the Company incurred $208,333 and $250,896, respectively, of consulting expense related to the Consulting Agreement, as included in "professional fees" on the Condensed Consolidated Statements of Operations. For the six months ended June 30, 2020 and 2019 the Company incurred $416,667 and $250,896, respectively, of consulting expense related to the Consulting Agreement, as included in "professional fees" on the Condensed Consolidated Statements of Operations. As of June 30, 2020 and December 31, 2019, the Company recorded $165,771 and $332,437, respectively, of prepaid expense related to the Consulting Agreement on the Condensed Consolidated Statement of Assets and Liabilities.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Trademark License Agreement</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and effective March 12, 2019, we entered into an Amended and Restated Trademark License Agreement (the “Amended and Restated License Agreement”) with GSV Asset Management in connection with termination of the Investment Advisory Agreement. See “—Termination of Investment Advisory Agreement.”</w:t>
      </w:r>
    </w:p>
    <w:p>
      <w:pPr>
        <w:spacing w:after="0" w:line="21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GSV Asset Management is the owner of the trade name “GSV”, and other state or unregistered “GSV” marks, including the trading symbol “GSVC” (collectively, the “Licensed Marks”). Pursuant to the Amended and Restated License Agreement, GSV Asset Management granted us a non-transferable, non-sublicensable, and non-exclusive right and license to use the Licensed Marks, solely in connection with the operation of our existing business.</w:t>
      </w:r>
    </w:p>
    <w:p>
      <w:pPr>
        <w:spacing w:after="0" w:line="1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term of the Amended and Restated License Agreement commenced on March 12, 2019 and will continue for eighteen months, unless the parties thereto mutually agree to extend the Amended and Restated License Agreement for an additional period. Pursuant to the Amended and Restated License Agreement, we will pay GSV Asset Management a total amount equal to $1,250,000.</w:t>
      </w:r>
    </w:p>
    <w:p>
      <w:pPr>
        <w:spacing w:after="0" w:line="211" w:lineRule="exact"/>
        <w:rPr>
          <w:sz w:val="20"/>
          <w:szCs w:val="20"/>
          <w:color w:val="auto"/>
        </w:rPr>
      </w:pPr>
    </w:p>
    <w:p>
      <w:pPr>
        <w:jc w:val="both"/>
        <w:ind w:firstLine="364"/>
        <w:spacing w:after="0" w:line="275" w:lineRule="auto"/>
        <w:rPr>
          <w:sz w:val="20"/>
          <w:szCs w:val="20"/>
          <w:color w:val="auto"/>
        </w:rPr>
      </w:pPr>
      <w:r>
        <w:rPr>
          <w:rFonts w:ascii="Arial" w:cs="Arial" w:eastAsia="Arial" w:hAnsi="Arial"/>
          <w:sz w:val="17"/>
          <w:szCs w:val="17"/>
          <w:color w:val="auto"/>
        </w:rPr>
        <w:t>For the three months ended June 30, 2020 and 2019, the Company incurred $208,333 and $208,333, respectively, of licensing expense, as included in "other expenses" on the Condensed Consolidated Statements of Operations. For the six months ended June 30, 2020 and 2019, the Company incurred $416,666 and $250,896 respectively, of licensing expense, as included in "other expenses" on the Condensed Consolidated Statements of Operations. As of June 30, 2020 and December 31, 2019, the Company recorded $165,771 and $332,147, respectively, of prepaid expense related to the Amended and Restated Trademark License Agreement on the Condensed Consolidated Statement of Assets and Liabilities.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Advisory Agreement</w:t>
      </w:r>
    </w:p>
    <w:p>
      <w:pPr>
        <w:spacing w:after="0" w:line="256" w:lineRule="exact"/>
        <w:rPr>
          <w:sz w:val="20"/>
          <w:szCs w:val="20"/>
          <w:color w:val="auto"/>
        </w:rPr>
      </w:pPr>
    </w:p>
    <w:p>
      <w:pPr>
        <w:jc w:val="both"/>
        <w:ind w:firstLine="364"/>
        <w:spacing w:after="0" w:line="277" w:lineRule="auto"/>
        <w:rPr>
          <w:sz w:val="20"/>
          <w:szCs w:val="20"/>
          <w:color w:val="auto"/>
        </w:rPr>
      </w:pPr>
      <w:r>
        <w:rPr>
          <w:rFonts w:ascii="Arial" w:cs="Arial" w:eastAsia="Arial" w:hAnsi="Arial"/>
          <w:sz w:val="18"/>
          <w:szCs w:val="18"/>
          <w:color w:val="auto"/>
        </w:rPr>
        <w:t>On March 12, 2019, in connection with the Company's Internalization, the Investment Advisory Agreement was terminated in accordance with its terms.</w:t>
      </w:r>
    </w:p>
    <w:p>
      <w:pPr>
        <w:spacing w:after="0" w:line="197" w:lineRule="exact"/>
        <w:rPr>
          <w:sz w:val="20"/>
          <w:szCs w:val="20"/>
          <w:color w:val="auto"/>
        </w:rPr>
      </w:pPr>
    </w:p>
    <w:p>
      <w:pPr>
        <w:jc w:val="both"/>
        <w:ind w:firstLine="364"/>
        <w:spacing w:after="0" w:line="275" w:lineRule="auto"/>
        <w:rPr>
          <w:sz w:val="20"/>
          <w:szCs w:val="20"/>
          <w:color w:val="auto"/>
        </w:rPr>
      </w:pPr>
      <w:r>
        <w:rPr>
          <w:rFonts w:ascii="Arial" w:cs="Arial" w:eastAsia="Arial" w:hAnsi="Arial"/>
          <w:sz w:val="17"/>
          <w:szCs w:val="17"/>
          <w:color w:val="auto"/>
        </w:rPr>
        <w:t>Prior to our Internalization on March 12, 2019, the Company had entered into the Investment Advisory Agreement with GSV Asset Management. Under the terms of the Investment Advisory Agreement, GSV Asset Management was paid a quarterly management fee and an annual incentive fee. GSV Asset Management is controlled by Michael T. Moe, the former Chairman of the Company’s Board of Directors. Mr. Moe, through his ownership interest in GSV Asset Management, was entitled to a portion of any profits earned by GSV Asset Management in performing its services under the Investment Advisory Agreement. Mr. Moe serves as the principal of GSV Asset Management and manages the business and internal affairs of GSV</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40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Asset Management. Mark Klein, the Company’s Chief Executive Officer, President, and a member of the Company’s Board of Directors, or entities with which he is affiliated, received consulting fees from GSV Asset Management equal to a percentage of each of the base management fee and the incentive fee paid by the Company to GSV Asset Management pursuant to a consulting agreement with GSV Asset Management. As the Investment Advisory Agreement has been terminated, Mr. Klein no longer has a consulting agreement or any other affiliation with GSV Asset Management.</w:t>
      </w:r>
    </w:p>
    <w:p>
      <w:pPr>
        <w:spacing w:after="0" w:line="198" w:lineRule="exact"/>
        <w:rPr>
          <w:sz w:val="20"/>
          <w:szCs w:val="20"/>
          <w:color w:val="auto"/>
        </w:rPr>
      </w:pPr>
    </w:p>
    <w:p>
      <w:pPr>
        <w:jc w:val="both"/>
        <w:ind w:firstLine="364"/>
        <w:spacing w:after="0" w:line="254" w:lineRule="auto"/>
        <w:rPr>
          <w:sz w:val="20"/>
          <w:szCs w:val="20"/>
          <w:color w:val="auto"/>
        </w:rPr>
      </w:pPr>
      <w:r>
        <w:rPr>
          <w:rFonts w:ascii="Arial" w:cs="Arial" w:eastAsia="Arial" w:hAnsi="Arial"/>
          <w:sz w:val="18"/>
          <w:szCs w:val="18"/>
          <w:color w:val="auto"/>
        </w:rPr>
        <w:t>Under the Investment Advisory Agreement, there were no restrictions on the right of any manager, partner, officer or employee of GSV Asset Management to engage in any other business or to devote his or her time and attention in part to any other business, whether of a similar or dissimilar nature, or to receive any fees or compensation in connection therewith (including fees for serving as a director of, or providing consulting services to, one or more of the Company’s portfolio companies). GSV Asset Management had, however, adopted an internal policy whereby any fees or compensation received by a manager, partner, officer or employee of GSV Asset Management in exchange for serving as a director of, or providing consulting services to, any of the Company’s portfolio companies would be transferred to the Company, net of any personal taxes incurred, upon such receipt for the benefit of the Company and its stockholders.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Fees</w:t>
      </w:r>
    </w:p>
    <w:p>
      <w:pPr>
        <w:spacing w:after="0" w:line="25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Under the terms of the Investment Advisory Agreement, GSV Asset Management was paid a base management fee of 2.00% of gross assets, which is the Company’s total assets reflected on its Condensed Consolidated Statement of Assets and Liabilities (with no deduction for liabilities) reduced by any non-portfolio investments. During the month of January 2018, pursuant to a voluntary waiver by GSV Asset Management, the Company paid GSV Asset Management a base management fee of 1.75%, a 0.25% reduction from the 2.00% base management fee payable under the Investment Advisory Agreement. On February 2, 2018 GSV Asset Management voluntarily agreed to reduce fees payable under the Investment Advisory Agreement (the “Waiver Agreement”). Pursuant to the Waiver Agreement, effective February 1, 2018, the base management fee is reduced to 1.75% of the Company’s gross assets, as further described below. The waiver of a portion of the base management fee is not subject to recourse against or reimbursement by the Company.</w:t>
      </w:r>
    </w:p>
    <w:p>
      <w:pPr>
        <w:spacing w:after="0" w:line="219" w:lineRule="exact"/>
        <w:rPr>
          <w:sz w:val="20"/>
          <w:szCs w:val="20"/>
          <w:color w:val="auto"/>
        </w:rPr>
      </w:pPr>
    </w:p>
    <w:p>
      <w:pPr>
        <w:jc w:val="both"/>
        <w:ind w:firstLine="364"/>
        <w:spacing w:after="0" w:line="263" w:lineRule="auto"/>
        <w:rPr>
          <w:sz w:val="20"/>
          <w:szCs w:val="20"/>
          <w:color w:val="auto"/>
        </w:rPr>
      </w:pPr>
      <w:r>
        <w:rPr>
          <w:rFonts w:ascii="Arial" w:cs="Arial" w:eastAsia="Arial" w:hAnsi="Arial"/>
          <w:sz w:val="18"/>
          <w:szCs w:val="18"/>
          <w:color w:val="auto"/>
        </w:rPr>
        <w:t>GSV Asset Management did not earn any management fees for the three months ended June 30, 2020 and 2019 and did not waive any management fees for the three months ended June 30, 2020 or 2019. For the six months ended June 30, 2020 and 2019, GSV Asset Management earned $0 and $848,723 in management fees, respectively, and did not waive any management fees.</w:t>
      </w:r>
    </w:p>
    <w:p>
      <w:pPr>
        <w:spacing w:after="0" w:line="211" w:lineRule="exact"/>
        <w:rPr>
          <w:sz w:val="20"/>
          <w:szCs w:val="20"/>
          <w:color w:val="auto"/>
        </w:rPr>
      </w:pPr>
    </w:p>
    <w:p>
      <w:pPr>
        <w:jc w:val="both"/>
        <w:ind w:firstLine="364"/>
        <w:spacing w:after="0" w:line="277" w:lineRule="auto"/>
        <w:rPr>
          <w:sz w:val="20"/>
          <w:szCs w:val="20"/>
          <w:color w:val="auto"/>
        </w:rPr>
      </w:pPr>
      <w:r>
        <w:rPr>
          <w:rFonts w:ascii="Arial" w:cs="Arial" w:eastAsia="Arial" w:hAnsi="Arial"/>
          <w:sz w:val="18"/>
          <w:szCs w:val="18"/>
          <w:color w:val="auto"/>
        </w:rPr>
        <w:t>As the Investment Advisory Agreement has been terminated, there will be no base management fee payable to GSV Asset Management going forward.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Fees</w:t>
      </w:r>
    </w:p>
    <w:p>
      <w:pPr>
        <w:spacing w:after="0" w:line="252" w:lineRule="exact"/>
        <w:rPr>
          <w:sz w:val="20"/>
          <w:szCs w:val="20"/>
          <w:color w:val="auto"/>
        </w:rPr>
      </w:pPr>
    </w:p>
    <w:p>
      <w:pPr>
        <w:jc w:val="both"/>
        <w:ind w:firstLine="364"/>
        <w:spacing w:after="0" w:line="293" w:lineRule="auto"/>
        <w:rPr>
          <w:sz w:val="20"/>
          <w:szCs w:val="20"/>
          <w:color w:val="auto"/>
        </w:rPr>
      </w:pPr>
      <w:r>
        <w:rPr>
          <w:rFonts w:ascii="Arial" w:cs="Arial" w:eastAsia="Arial" w:hAnsi="Arial"/>
          <w:sz w:val="16"/>
          <w:szCs w:val="16"/>
          <w:color w:val="auto"/>
        </w:rPr>
        <w:t>Under the terms of the Investment Advisory Agreement, GSV Asset Management was paid an annual incentive fee equal to the lesser of (i) 20% of the Company’s realized capital gains during each calendar year, if any, calculated on an investment-by-investment basis, subject to a non-compounded preferred return, or “hurdle,” and a “catch-up” feature, and (ii) 20% of the Company’s realized capital gains, if any, on a cumulative basis from inception through the end of each calendar year, computed net of all realized capital losses and unrealized capital depreciation on a cumulative basis, less the aggregate amount of any previously paid incentive fees. Effective February 1, 2018, the incentive fee paid by the Company to GSV Asset Management under the Investment Advisory Agreement was modified pursuant to the terms of the Waiver Agreement, as further described below.</w:t>
      </w:r>
    </w:p>
    <w:p>
      <w:pPr>
        <w:spacing w:after="0" w:line="191"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The Company was required to accrue incentive fees for all periods as if the Company had fully liquidated its entire investment portfolio at the fair value stated on the Consolidated Statements of Assets and Liabilities as of December 31, 2018 or prior to the termination of the Investment Advisory Agreement. The accrual considered both the hypothetical liquidation of the Company’s portfolio described previously, as well as the Company’s actual cumulative realized gains and losses since inception, as well any previously paid incentive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400"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For the three and six months ended June 30, 2020, the Company did not accrue any incentive fees due to the termination of the Investment Advisory Agreement, effective March 12, 2019. For the three and six months ended June 30, 2019, the Company reversed previously accrued incentive fees of $0 and $4,660,472, respectively, due to the termination of the Investment Advisory Agreement. As the Investment Advisory Agreement has been terminated, there will be no incentive fee payable to GSV Asset Management going forward.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and Incentive Fee Waiver Agreement</w:t>
      </w:r>
    </w:p>
    <w:p>
      <w:pPr>
        <w:spacing w:after="0" w:line="252"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On February 2, 2018, GSV Asset Management voluntarily agreed to reduce the fees payable under the Investment Advisory Agreement pursuant to the Waiver Agreement. The Waiver Agreement was effective beginning February 1, 2018 and changed the fee structure set forth in the Investment Advisory Agreement by: (i) reducing the Company’s base management fee from 2.00% to 1.75%; and (ii) creating certain high-water marks that must be reached before any incentive fee is paid to GSV Asset Management.</w:t>
      </w:r>
    </w:p>
    <w:p>
      <w:pPr>
        <w:spacing w:after="0" w:line="214" w:lineRule="exact"/>
        <w:rPr>
          <w:sz w:val="20"/>
          <w:szCs w:val="20"/>
          <w:color w:val="auto"/>
        </w:rPr>
      </w:pPr>
    </w:p>
    <w:p>
      <w:pPr>
        <w:jc w:val="both"/>
        <w:ind w:firstLine="364"/>
        <w:spacing w:after="0" w:line="270" w:lineRule="auto"/>
        <w:rPr>
          <w:sz w:val="20"/>
          <w:szCs w:val="20"/>
          <w:color w:val="auto"/>
        </w:rPr>
      </w:pPr>
      <w:r>
        <w:rPr>
          <w:rFonts w:ascii="Arial" w:cs="Arial" w:eastAsia="Arial" w:hAnsi="Arial"/>
          <w:sz w:val="17"/>
          <w:szCs w:val="17"/>
          <w:color w:val="auto"/>
        </w:rPr>
        <w:t>Pursuant to the Waiver Agreement, in addition to the “hurdle” feature in the incentive fee, GSV Asset Management had agreed to additional conditions on its ability to receive an incentive fee. Specifically, the Waiver Agreement provided that an incentive fee earned by GSV Asset Management under the Investment Advisory Agreement would be payable to GSV Asset Management only if, at the time that such incentive fee becomes payable under the Investment Advisory Agreement, both the Company’s stock price and its last reported net asset value per share were equal to, or greater than, $12.55 (the “High-Water Mark”). The High-Water Mark was based upon the volume weighted average price (VWAP) of all the Company’s equity offerings since its initial public offering, less the dollar amount of all dividends paid by the Company since inception. Upon such time that the High-Water Mark was achieved, and GSV Asset Management was paid an incentive fee, a new High-Water Mark would have been established. Each new High-Water Mark would have been equal to the most recent High-Water Mark, plus 10%. Any High-Water Mark then in effect would have been adjusted to reflect any dividends paid by the Company or any stock split effected by the Company.</w:t>
      </w:r>
    </w:p>
    <w:p>
      <w:pPr>
        <w:spacing w:after="0" w:line="208" w:lineRule="exact"/>
        <w:rPr>
          <w:sz w:val="20"/>
          <w:szCs w:val="20"/>
          <w:color w:val="auto"/>
        </w:rPr>
      </w:pPr>
    </w:p>
    <w:p>
      <w:pPr>
        <w:jc w:val="both"/>
        <w:ind w:firstLine="364"/>
        <w:spacing w:after="0" w:line="263" w:lineRule="auto"/>
        <w:rPr>
          <w:sz w:val="20"/>
          <w:szCs w:val="20"/>
          <w:color w:val="auto"/>
        </w:rPr>
      </w:pPr>
      <w:r>
        <w:rPr>
          <w:rFonts w:ascii="Arial" w:cs="Arial" w:eastAsia="Arial" w:hAnsi="Arial"/>
          <w:sz w:val="18"/>
          <w:szCs w:val="18"/>
          <w:color w:val="auto"/>
        </w:rPr>
        <w:t>For the avoidance of doubt, after the effective date of the Waiver Agreement, under no circumstances would the aggregate fees earned by GSV Asset Management in any quarterly period have been higher than those aggregate fees that would have been earned prior to the effectiveness of the Waiver Agreement.</w:t>
      </w:r>
    </w:p>
    <w:p>
      <w:pPr>
        <w:spacing w:after="0" w:line="211" w:lineRule="exact"/>
        <w:rPr>
          <w:sz w:val="20"/>
          <w:szCs w:val="20"/>
          <w:color w:val="auto"/>
        </w:rPr>
      </w:pPr>
    </w:p>
    <w:p>
      <w:pPr>
        <w:jc w:val="both"/>
        <w:ind w:right="20" w:firstLine="364"/>
        <w:spacing w:after="0" w:line="308" w:lineRule="auto"/>
        <w:rPr>
          <w:sz w:val="20"/>
          <w:szCs w:val="20"/>
          <w:color w:val="auto"/>
        </w:rPr>
      </w:pPr>
      <w:r>
        <w:rPr>
          <w:rFonts w:ascii="Arial" w:cs="Arial" w:eastAsia="Arial" w:hAnsi="Arial"/>
          <w:sz w:val="17"/>
          <w:szCs w:val="17"/>
          <w:color w:val="auto"/>
        </w:rPr>
        <w:t>As of each of June 30, 2020 and December 31, 2019, there were no receivables owed to the Company by GSV Asset Management. As the Investment Advisory Agreement has been terminated, there will be no receivables owed to the Company by GSV Asset Management going forward.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Agreement</w:t>
      </w:r>
    </w:p>
    <w:p>
      <w:pPr>
        <w:spacing w:after="0" w:line="25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On March 12, 2019, in connection with the Company's Internalization, the Administration Agreement was terminated in accordance with its terms.</w:t>
      </w:r>
    </w:p>
    <w:p>
      <w:pPr>
        <w:spacing w:after="0" w:line="275" w:lineRule="exact"/>
        <w:rPr>
          <w:sz w:val="20"/>
          <w:szCs w:val="20"/>
          <w:color w:val="auto"/>
        </w:rPr>
      </w:pPr>
    </w:p>
    <w:p>
      <w:pPr>
        <w:jc w:val="both"/>
        <w:ind w:firstLine="364"/>
        <w:spacing w:after="0" w:line="254" w:lineRule="auto"/>
        <w:rPr>
          <w:sz w:val="20"/>
          <w:szCs w:val="20"/>
          <w:color w:val="auto"/>
        </w:rPr>
      </w:pPr>
      <w:r>
        <w:rPr>
          <w:rFonts w:ascii="Arial" w:cs="Arial" w:eastAsia="Arial" w:hAnsi="Arial"/>
          <w:sz w:val="18"/>
          <w:szCs w:val="18"/>
          <w:color w:val="auto"/>
        </w:rPr>
        <w:t>Prior to the Internalization, the Company had entered into the Administration Agreement with GSV Capital Service Company to provide administrative services, including furnishing the Company with office facilities, equipment, clerical, bookkeeping, record keeping services, and other administrative services. The Company reimbursed GSV Capital Service Company an allocable portion of overhead and other expenses in performing its obligations under the Administration Agreement, including a portion of the rent and the compensation of the Company’s President, Chief Financial Officer, Chief Compliance Officer and other staff providing administrative services. While there was no limit on the total amount of expenses the Company may have been required to reimburse to GSV Capital Service Company, GSV Capital Service Company would only charge the Company for the actual expenses GSV Capital Service Company incurred on the Company’s behalf, or the Company’s allocable portion thereof, without any profit to GSV Capital Service Company.</w:t>
      </w:r>
    </w:p>
    <w:p>
      <w:pPr>
        <w:spacing w:after="0" w:line="219"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For the three months ended June 30, 2020 and 2019, the Company incurred $0 and $306,084, respectively, in such costs incurred under the Administration Agreement. For the six months ended June 30, 2020 and 2019, the Company incurred $0 and $306,084, respectively, in such costs incurred under the Administration Agreement. As the Administration Agreement has been terminated, there will be no costs incurred by GSV Capital Service Company on behalf of the Company going forward.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March 12, 2019, in connection with the Company's Internalization, as of the Effective Date, the Company entered into the Amended and Restated Trademark License Agreement to use the trade name “GSV”, and other state or unregistered “GSV” marks, including the trading symbol “GSVC.” for a period of up to eighteen months and a predetermined fee of $1,250,000. Other than with respect to this limited license, the Company has no legal right to the “GSV” name.</w:t>
      </w:r>
    </w:p>
    <w:p>
      <w:pPr>
        <w:spacing w:after="0" w:line="214" w:lineRule="exact"/>
        <w:rPr>
          <w:sz w:val="20"/>
          <w:szCs w:val="20"/>
          <w:color w:val="auto"/>
        </w:rPr>
      </w:pPr>
    </w:p>
    <w:p>
      <w:pPr>
        <w:jc w:val="both"/>
        <w:ind w:firstLine="364"/>
        <w:spacing w:after="0" w:line="286" w:lineRule="auto"/>
        <w:rPr>
          <w:sz w:val="20"/>
          <w:szCs w:val="20"/>
          <w:color w:val="auto"/>
        </w:rPr>
      </w:pPr>
      <w:r>
        <w:rPr>
          <w:rFonts w:ascii="Arial" w:cs="Arial" w:eastAsia="Arial" w:hAnsi="Arial"/>
          <w:sz w:val="17"/>
          <w:szCs w:val="17"/>
          <w:color w:val="auto"/>
        </w:rPr>
        <w:t>Prior to the Internalization on March 12, 2019, the Company entered into a license agreement with GSV Asset Management pursuant to which GSV Asset Management had agreed to grant the Company a non-exclusive, royalty-free license to use the name “GSV.” Under this agreement, the Company had the right to use the GSV name for so long as the Investment Advisory Agreement with GSV Asset Management is in effect.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Arrangements</w:t>
      </w:r>
    </w:p>
    <w:p>
      <w:pPr>
        <w:spacing w:after="0" w:line="256" w:lineRule="exact"/>
        <w:rPr>
          <w:sz w:val="20"/>
          <w:szCs w:val="20"/>
          <w:color w:val="auto"/>
        </w:rPr>
      </w:pPr>
    </w:p>
    <w:p>
      <w:pPr>
        <w:jc w:val="both"/>
        <w:ind w:right="20" w:firstLine="364"/>
        <w:spacing w:after="0" w:line="277" w:lineRule="auto"/>
        <w:rPr>
          <w:sz w:val="20"/>
          <w:szCs w:val="20"/>
          <w:color w:val="auto"/>
        </w:rPr>
      </w:pPr>
      <w:r>
        <w:rPr>
          <w:rFonts w:ascii="Arial" w:cs="Arial" w:eastAsia="Arial" w:hAnsi="Arial"/>
          <w:sz w:val="18"/>
          <w:szCs w:val="18"/>
          <w:color w:val="auto"/>
        </w:rPr>
        <w:t>Mark Moe, who is the brother of Michael Moe, the former Chairman of the Company’s Board of Directors, serves as Vice President of Business Development, Global Expansion for NestGSV, Inc. (d/b/a GSV Labs, Inc.), one of the Company’s portfolio companies.</w:t>
      </w:r>
    </w:p>
    <w:p>
      <w:pPr>
        <w:spacing w:after="0" w:line="197"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In addition, the Company’s executive officers and directors, and the principals of the Company’s former investment adviser, GSV Asset Management, serve or may serve as officers, directors, or managers of entities that operate in a line of business similar to the Company’s, including new entities that may be formed in the future. Accordingly, they may have obligations to investors in those entities, the fulfillment of which might not be in the best interests of the Company or the Company’s stockholders.</w:t>
      </w:r>
    </w:p>
    <w:p>
      <w:pPr>
        <w:spacing w:after="0" w:line="214" w:lineRule="exact"/>
        <w:rPr>
          <w:sz w:val="20"/>
          <w:szCs w:val="20"/>
          <w:color w:val="auto"/>
        </w:rPr>
      </w:pPr>
    </w:p>
    <w:p>
      <w:pPr>
        <w:jc w:val="both"/>
        <w:ind w:firstLine="364"/>
        <w:spacing w:after="0" w:line="257" w:lineRule="auto"/>
        <w:rPr>
          <w:sz w:val="20"/>
          <w:szCs w:val="20"/>
          <w:color w:val="auto"/>
        </w:rPr>
      </w:pPr>
      <w:r>
        <w:rPr>
          <w:rFonts w:ascii="Arial" w:cs="Arial" w:eastAsia="Arial" w:hAnsi="Arial"/>
          <w:sz w:val="18"/>
          <w:szCs w:val="18"/>
          <w:color w:val="auto"/>
        </w:rPr>
        <w:t>The 1940 Act prohibits the Company from participating in certain negotiated co-investments with certain affiliates unless it receives an order from the SEC permitting it to do so. As a BDC, the Company is prohibited under the 1940 Act from participating in certain transactions with certain of its affiliates without the prior approval of the Board of Directors, including its independent directors, and, in some cases, the SEC. The affiliates with which the Company may be prohibited from transacting include its officers, directors, and employees and any person controlling or under common control with the Company, subject to certain exceptions.</w:t>
      </w:r>
    </w:p>
    <w:p>
      <w:pPr>
        <w:spacing w:after="0" w:line="215" w:lineRule="exact"/>
        <w:rPr>
          <w:sz w:val="20"/>
          <w:szCs w:val="20"/>
          <w:color w:val="auto"/>
        </w:rPr>
      </w:pPr>
    </w:p>
    <w:p>
      <w:pPr>
        <w:jc w:val="both"/>
        <w:ind w:firstLine="364"/>
        <w:spacing w:after="0" w:line="257" w:lineRule="auto"/>
        <w:rPr>
          <w:sz w:val="20"/>
          <w:szCs w:val="20"/>
          <w:color w:val="auto"/>
        </w:rPr>
      </w:pPr>
      <w:r>
        <w:rPr>
          <w:rFonts w:ascii="Arial" w:cs="Arial" w:eastAsia="Arial" w:hAnsi="Arial"/>
          <w:sz w:val="18"/>
          <w:szCs w:val="18"/>
          <w:color w:val="auto"/>
        </w:rPr>
        <w:t>In the ordinary course of business, the Company may enter into transactions with portfolio companies that may be considered related-party transactions. To ensure that the Company does not engage in any prohibited transactions with any persons affiliated with the Company, the Company has implemented certain written policies and procedures whereby the Company’s executive officers screen each of the Company’s transactions for any possible affiliations between the proposed portfolio investment, the Company, companies controlled by the Company, and the Company’s executive officers and directors.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4—INVESTMENTS AT FAIR VALUE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Portfolio Composition</w:t>
      </w:r>
    </w:p>
    <w:p>
      <w:pPr>
        <w:spacing w:after="0" w:line="256" w:lineRule="exact"/>
        <w:rPr>
          <w:sz w:val="20"/>
          <w:szCs w:val="20"/>
          <w:color w:val="auto"/>
        </w:rPr>
      </w:pPr>
    </w:p>
    <w:p>
      <w:pPr>
        <w:jc w:val="both"/>
        <w:ind w:firstLine="364"/>
        <w:spacing w:after="0" w:line="279" w:lineRule="auto"/>
        <w:rPr>
          <w:sz w:val="20"/>
          <w:szCs w:val="20"/>
          <w:color w:val="auto"/>
        </w:rPr>
      </w:pPr>
      <w:r>
        <w:rPr>
          <w:rFonts w:ascii="Arial" w:cs="Arial" w:eastAsia="Arial" w:hAnsi="Arial"/>
          <w:sz w:val="17"/>
          <w:szCs w:val="17"/>
          <w:color w:val="auto"/>
        </w:rPr>
        <w:t>The Company’s investments in portfolio companies consist primarily of equity securities (such as common stock, preferred stock and options to purchase common and preferred stock) and to a lesser extent, debt securities, issued by private and publicly traded companies. The Company may also, from time to time, invest in U.S. Treasury securities. Non-portfolio investments represent investments in U.S. Treasury securities. As of June 30, 2020, the Company had 48 positions in 24 portfolio companies. As of December 31, 2019, the Company had 46 positions in 23 portfolio companies.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4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tables summarize the composition of the Company’s investment portfolio by security type at cost and fair value as of June 30, 2020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30, 2020</w:t>
            </w:r>
          </w:p>
        </w:tc>
        <w:tc>
          <w:tcPr>
            <w:tcW w:w="10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December 31, 2019</w:t>
            </w:r>
          </w:p>
        </w:tc>
        <w:tc>
          <w:tcPr>
            <w:tcW w:w="10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3"/>
                <w:szCs w:val="13"/>
                <w:color w:val="auto"/>
              </w:rPr>
            </w:pPr>
          </w:p>
        </w:tc>
        <w:tc>
          <w:tcPr>
            <w:tcW w:w="13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Fair Value</w:t>
            </w:r>
          </w:p>
        </w:tc>
        <w:tc>
          <w:tcPr>
            <w:tcW w:w="10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Percentage of</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3"/>
                <w:szCs w:val="13"/>
                <w:color w:val="auto"/>
              </w:rPr>
            </w:pPr>
          </w:p>
        </w:tc>
        <w:tc>
          <w:tcPr>
            <w:tcW w:w="13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10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Percentage of</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080" w:type="dxa"/>
            <w:vAlign w:val="bottom"/>
          </w:tcPr>
          <w:p>
            <w:pPr>
              <w:jc w:val="right"/>
              <w:ind w:right="33"/>
              <w:spacing w:after="0"/>
              <w:rPr>
                <w:sz w:val="20"/>
                <w:szCs w:val="20"/>
                <w:color w:val="auto"/>
              </w:rPr>
            </w:pPr>
            <w:r>
              <w:rPr>
                <w:rFonts w:ascii="Arial" w:cs="Arial" w:eastAsia="Arial" w:hAnsi="Arial"/>
                <w:sz w:val="14"/>
                <w:szCs w:val="14"/>
                <w:b w:val="1"/>
                <w:bCs w:val="1"/>
                <w:color w:val="auto"/>
              </w:rPr>
              <w:t>Net Assets</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060" w:type="dxa"/>
            <w:vAlign w:val="bottom"/>
          </w:tcPr>
          <w:p>
            <w:pPr>
              <w:jc w:val="right"/>
              <w:ind w:right="33"/>
              <w:spacing w:after="0"/>
              <w:rPr>
                <w:sz w:val="20"/>
                <w:szCs w:val="20"/>
                <w:color w:val="auto"/>
              </w:rPr>
            </w:pPr>
            <w:r>
              <w:rPr>
                <w:rFonts w:ascii="Arial" w:cs="Arial" w:eastAsia="Arial" w:hAnsi="Arial"/>
                <w:sz w:val="14"/>
                <w:szCs w:val="14"/>
                <w:b w:val="1"/>
                <w:bCs w:val="1"/>
                <w:color w:val="auto"/>
              </w:rPr>
              <w:t>Net Assets</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Private Portfolio Companies</w:t>
            </w:r>
          </w:p>
        </w:tc>
        <w:tc>
          <w:tcPr>
            <w:tcW w:w="2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500" w:type="dxa"/>
            <w:vAlign w:val="bottom"/>
          </w:tcPr>
          <w:p>
            <w:pPr>
              <w:ind w:left="120"/>
              <w:spacing w:after="0"/>
              <w:rPr>
                <w:sz w:val="20"/>
                <w:szCs w:val="20"/>
                <w:color w:val="auto"/>
              </w:rPr>
            </w:pPr>
            <w:r>
              <w:rPr>
                <w:rFonts w:ascii="Arial" w:cs="Arial" w:eastAsia="Arial" w:hAnsi="Arial"/>
                <w:sz w:val="18"/>
                <w:szCs w:val="18"/>
                <w:color w:val="auto"/>
              </w:rPr>
              <w:t>Preferred Stock</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74,990,201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132,789,236</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73,557,331</w:t>
            </w:r>
          </w:p>
        </w:tc>
        <w:tc>
          <w:tcPr>
            <w:tcW w:w="100" w:type="dxa"/>
            <w:vAlign w:val="bottom"/>
          </w:tcPr>
          <w:p>
            <w:pPr>
              <w:spacing w:after="0"/>
              <w:rPr>
                <w:sz w:val="21"/>
                <w:szCs w:val="21"/>
                <w:color w:val="auto"/>
              </w:rPr>
            </w:pPr>
          </w:p>
        </w:tc>
        <w:tc>
          <w:tcPr>
            <w:tcW w:w="240" w:type="dxa"/>
            <w:vAlign w:val="bottom"/>
          </w:tcPr>
          <w:p>
            <w:pPr>
              <w:jc w:val="right"/>
              <w:ind w:right="36"/>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125,448,358</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63,421,153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54,893,315</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63,425,065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59,209,559</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2500" w:type="dxa"/>
            <w:vAlign w:val="bottom"/>
          </w:tcPr>
          <w:p>
            <w:pPr>
              <w:ind w:left="120"/>
              <w:spacing w:after="0"/>
              <w:rPr>
                <w:sz w:val="20"/>
                <w:szCs w:val="20"/>
                <w:color w:val="auto"/>
              </w:rPr>
            </w:pPr>
            <w:r>
              <w:rPr>
                <w:rFonts w:ascii="Arial" w:cs="Arial" w:eastAsia="Arial" w:hAnsi="Arial"/>
                <w:sz w:val="18"/>
                <w:szCs w:val="18"/>
                <w:color w:val="auto"/>
              </w:rPr>
              <w:t>Debt Investments</w:t>
            </w:r>
          </w:p>
        </w:tc>
        <w:tc>
          <w:tcPr>
            <w:tcW w:w="22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11,963,993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8,224,227</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4,838,415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1,644,155</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Options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8,764,885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3,092,540</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8,764,885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5,283,506</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64"/>
        </w:trPr>
        <w:tc>
          <w:tcPr>
            <w:tcW w:w="25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Private Portfolio Companies</w:t>
            </w:r>
          </w:p>
        </w:tc>
        <w:tc>
          <w:tcPr>
            <w:tcW w:w="2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159,140,232</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198,999,318</w:t>
            </w:r>
          </w:p>
        </w:tc>
        <w:tc>
          <w:tcPr>
            <w:tcW w:w="100" w:type="dxa"/>
            <w:vAlign w:val="bottom"/>
            <w:tcBorders>
              <w:bottom w:val="single" w:sz="8" w:color="CCEEFF"/>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103.3</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150,585,696</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191,585,578</w:t>
            </w:r>
          </w:p>
        </w:tc>
        <w:tc>
          <w:tcPr>
            <w:tcW w:w="120" w:type="dxa"/>
            <w:vAlign w:val="bottom"/>
            <w:tcBorders>
              <w:bottom w:val="single" w:sz="8" w:color="CCEEFF"/>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55"/>
        </w:trPr>
        <w:tc>
          <w:tcPr>
            <w:tcW w:w="25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Publicly Traded Portfolio</w:t>
            </w:r>
          </w:p>
        </w:tc>
        <w:tc>
          <w:tcPr>
            <w:tcW w:w="2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Companies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500" w:type="dxa"/>
            <w:vAlign w:val="bottom"/>
          </w:tcPr>
          <w:p>
            <w:pPr>
              <w:ind w:left="120"/>
              <w:spacing w:after="0"/>
              <w:rPr>
                <w:sz w:val="20"/>
                <w:szCs w:val="20"/>
                <w:color w:val="auto"/>
              </w:rPr>
            </w:pPr>
            <w:r>
              <w:rPr>
                <w:rFonts w:ascii="Arial" w:cs="Arial" w:eastAsia="Arial" w:hAnsi="Arial"/>
                <w:sz w:val="18"/>
                <w:szCs w:val="18"/>
                <w:color w:val="auto"/>
              </w:rPr>
              <w:t>Common Stock</w:t>
            </w:r>
          </w:p>
        </w:tc>
        <w:tc>
          <w:tcPr>
            <w:tcW w:w="22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2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Portfolio Investments</w:t>
            </w:r>
          </w:p>
        </w:tc>
        <w:tc>
          <w:tcPr>
            <w:tcW w:w="2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159,140,232</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198,999,318</w:t>
            </w:r>
          </w:p>
        </w:tc>
        <w:tc>
          <w:tcPr>
            <w:tcW w:w="100" w:type="dxa"/>
            <w:vAlign w:val="bottom"/>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150,585,696</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191,585,578</w:t>
            </w:r>
          </w:p>
        </w:tc>
        <w:tc>
          <w:tcPr>
            <w:tcW w:w="120" w:type="dxa"/>
            <w:vAlign w:val="bottom"/>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9"/>
        </w:trPr>
        <w:tc>
          <w:tcPr>
            <w:tcW w:w="2500" w:type="dxa"/>
            <w:vAlign w:val="bottom"/>
          </w:tcPr>
          <w:p>
            <w:pPr>
              <w:ind w:left="20"/>
              <w:spacing w:after="0"/>
              <w:rPr>
                <w:sz w:val="20"/>
                <w:szCs w:val="20"/>
                <w:color w:val="auto"/>
              </w:rPr>
            </w:pPr>
            <w:r>
              <w:rPr>
                <w:rFonts w:ascii="Arial" w:cs="Arial" w:eastAsia="Arial" w:hAnsi="Arial"/>
                <w:sz w:val="18"/>
                <w:szCs w:val="18"/>
                <w:b w:val="1"/>
                <w:bCs w:val="1"/>
                <w:color w:val="auto"/>
              </w:rPr>
              <w:t>Non-Portfolio Investments</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U.S. Treasury bill</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99,999,611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100,000,000</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49,996,667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50,000,000</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63"/>
        </w:trPr>
        <w:tc>
          <w:tcPr>
            <w:tcW w:w="2500" w:type="dxa"/>
            <w:vAlign w:val="bottom"/>
          </w:tcPr>
          <w:p>
            <w:pPr>
              <w:ind w:left="20"/>
              <w:spacing w:after="0"/>
              <w:rPr>
                <w:sz w:val="20"/>
                <w:szCs w:val="20"/>
                <w:color w:val="auto"/>
              </w:rPr>
            </w:pPr>
            <w:r>
              <w:rPr>
                <w:rFonts w:ascii="Arial" w:cs="Arial" w:eastAsia="Arial" w:hAnsi="Arial"/>
                <w:sz w:val="18"/>
                <w:szCs w:val="18"/>
                <w:b w:val="1"/>
                <w:bCs w:val="1"/>
                <w:color w:val="auto"/>
              </w:rPr>
              <w:t>Total Investments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259,139,843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298,999,318</w:t>
            </w:r>
          </w:p>
        </w:tc>
        <w:tc>
          <w:tcPr>
            <w:tcW w:w="10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155.2</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200,582,363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241,585,578</w:t>
            </w:r>
          </w:p>
        </w:tc>
        <w:tc>
          <w:tcPr>
            <w:tcW w:w="12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120.8</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
        </w:trPr>
        <w:tc>
          <w:tcPr>
            <w:tcW w:w="2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geographic and industrial compositions of the Company’s portfolio at fair value as of June 30, 2020 and December 31, 2019 were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As of June 30, 2020</w:t>
            </w:r>
          </w:p>
        </w:tc>
        <w:tc>
          <w:tcPr>
            <w:tcW w:w="10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2"/>
              </w:rPr>
              <w:t>As of December 31, 2019</w:t>
            </w:r>
          </w:p>
        </w:tc>
        <w:tc>
          <w:tcPr>
            <w:tcW w:w="1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3"/>
                <w:szCs w:val="13"/>
                <w:color w:val="auto"/>
              </w:rPr>
            </w:pPr>
          </w:p>
        </w:tc>
        <w:tc>
          <w:tcPr>
            <w:tcW w:w="1480" w:type="dxa"/>
            <w:vAlign w:val="bottom"/>
            <w:gridSpan w:val="5"/>
          </w:tcPr>
          <w:p>
            <w:pPr>
              <w:ind w:left="280"/>
              <w:spacing w:after="0" w:line="153" w:lineRule="exact"/>
              <w:rPr>
                <w:sz w:val="20"/>
                <w:szCs w:val="20"/>
                <w:color w:val="auto"/>
              </w:rPr>
            </w:pPr>
            <w:r>
              <w:rPr>
                <w:rFonts w:ascii="Arial" w:cs="Arial" w:eastAsia="Arial" w:hAnsi="Arial"/>
                <w:sz w:val="14"/>
                <w:szCs w:val="14"/>
                <w:b w:val="1"/>
                <w:bCs w:val="1"/>
                <w:color w:val="auto"/>
              </w:rPr>
              <w:t>Percentage of</w:t>
            </w:r>
          </w:p>
        </w:tc>
        <w:tc>
          <w:tcPr>
            <w:tcW w:w="1420" w:type="dxa"/>
            <w:vAlign w:val="bottom"/>
            <w:gridSpan w:val="4"/>
          </w:tcPr>
          <w:p>
            <w:pPr>
              <w:ind w:left="300"/>
              <w:spacing w:after="0" w:line="153" w:lineRule="exact"/>
              <w:rPr>
                <w:sz w:val="20"/>
                <w:szCs w:val="20"/>
                <w:color w:val="auto"/>
              </w:rPr>
            </w:pPr>
            <w:r>
              <w:rPr>
                <w:rFonts w:ascii="Arial" w:cs="Arial" w:eastAsia="Arial" w:hAnsi="Arial"/>
                <w:sz w:val="14"/>
                <w:szCs w:val="14"/>
                <w:b w:val="1"/>
                <w:bCs w:val="1"/>
                <w:color w:val="auto"/>
              </w:rPr>
              <w:t>Percentage of</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tcPr>
          <w:p>
            <w:pPr>
              <w:jc w:val="center"/>
              <w:ind w:left="148"/>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center"/>
              <w:ind w:left="95"/>
              <w:spacing w:after="0" w:line="153" w:lineRule="exact"/>
              <w:rPr>
                <w:sz w:val="20"/>
                <w:szCs w:val="20"/>
                <w:color w:val="auto"/>
              </w:rPr>
            </w:pPr>
            <w:r>
              <w:rPr>
                <w:rFonts w:ascii="Arial" w:cs="Arial" w:eastAsia="Arial" w:hAnsi="Arial"/>
                <w:sz w:val="14"/>
                <w:szCs w:val="14"/>
                <w:b w:val="1"/>
                <w:bCs w:val="1"/>
                <w:color w:val="auto"/>
                <w:w w:val="88"/>
              </w:rPr>
              <w:t>Percentage of</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1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Portfolio</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Net Assets</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w w:val="97"/>
              </w:rPr>
              <w:t>Portfolio</w:t>
            </w: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ind w:left="95"/>
              <w:spacing w:after="0"/>
              <w:rPr>
                <w:sz w:val="20"/>
                <w:szCs w:val="20"/>
                <w:color w:val="auto"/>
              </w:rPr>
            </w:pPr>
            <w:r>
              <w:rPr>
                <w:rFonts w:ascii="Arial" w:cs="Arial" w:eastAsia="Arial" w:hAnsi="Arial"/>
                <w:sz w:val="14"/>
                <w:szCs w:val="14"/>
                <w:b w:val="1"/>
                <w:bCs w:val="1"/>
                <w:color w:val="auto"/>
                <w:w w:val="85"/>
              </w:rPr>
              <w:t>Net Assets</w:t>
            </w:r>
          </w:p>
        </w:tc>
        <w:tc>
          <w:tcPr>
            <w:tcW w:w="1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Geographic Region</w:t>
            </w:r>
          </w:p>
        </w:tc>
        <w:tc>
          <w:tcPr>
            <w:tcW w:w="2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100" w:type="dxa"/>
            <w:vAlign w:val="bottom"/>
          </w:tcPr>
          <w:p>
            <w:pPr>
              <w:ind w:left="20"/>
              <w:spacing w:after="0"/>
              <w:rPr>
                <w:sz w:val="20"/>
                <w:szCs w:val="20"/>
                <w:color w:val="auto"/>
              </w:rPr>
            </w:pPr>
            <w:r>
              <w:rPr>
                <w:rFonts w:ascii="Arial" w:cs="Arial" w:eastAsia="Arial" w:hAnsi="Arial"/>
                <w:sz w:val="18"/>
                <w:szCs w:val="18"/>
                <w:color w:val="auto"/>
              </w:rPr>
              <w:t>West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181,749,069</w:t>
            </w:r>
          </w:p>
        </w:tc>
        <w:tc>
          <w:tcPr>
            <w:tcW w:w="120" w:type="dxa"/>
            <w:vAlign w:val="bottom"/>
          </w:tcPr>
          <w:p>
            <w:pPr>
              <w:spacing w:after="0"/>
              <w:rPr>
                <w:sz w:val="21"/>
                <w:szCs w:val="21"/>
                <w:color w:val="auto"/>
              </w:rPr>
            </w:pPr>
          </w:p>
        </w:tc>
        <w:tc>
          <w:tcPr>
            <w:tcW w:w="1480" w:type="dxa"/>
            <w:vAlign w:val="bottom"/>
            <w:gridSpan w:val="5"/>
          </w:tcPr>
          <w:p>
            <w:pPr>
              <w:jc w:val="right"/>
              <w:ind w:right="20"/>
              <w:spacing w:after="0"/>
              <w:rPr>
                <w:sz w:val="20"/>
                <w:szCs w:val="20"/>
                <w:color w:val="auto"/>
              </w:rPr>
            </w:pPr>
            <w:r>
              <w:rPr>
                <w:rFonts w:ascii="Arial" w:cs="Arial" w:eastAsia="Arial" w:hAnsi="Arial"/>
                <w:sz w:val="18"/>
                <w:szCs w:val="18"/>
                <w:color w:val="auto"/>
              </w:rPr>
              <w:t>91.3 %</w:t>
            </w:r>
          </w:p>
        </w:tc>
        <w:tc>
          <w:tcPr>
            <w:tcW w:w="100" w:type="dxa"/>
            <w:vAlign w:val="bottom"/>
          </w:tcPr>
          <w:p>
            <w:pPr>
              <w:spacing w:after="0"/>
              <w:rPr>
                <w:sz w:val="21"/>
                <w:szCs w:val="21"/>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94.3 %</w:t>
            </w:r>
          </w:p>
        </w:tc>
        <w:tc>
          <w:tcPr>
            <w:tcW w:w="20" w:type="dxa"/>
            <w:vAlign w:val="bottom"/>
          </w:tcPr>
          <w:p>
            <w:pPr>
              <w:spacing w:after="0"/>
              <w:rPr>
                <w:sz w:val="21"/>
                <w:szCs w:val="21"/>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w w:val="99"/>
              </w:rPr>
              <w:t>176,331,572</w:t>
            </w:r>
          </w:p>
        </w:tc>
        <w:tc>
          <w:tcPr>
            <w:tcW w:w="40" w:type="dxa"/>
            <w:vAlign w:val="bottom"/>
          </w:tcPr>
          <w:p>
            <w:pPr>
              <w:spacing w:after="0"/>
              <w:rPr>
                <w:sz w:val="21"/>
                <w:szCs w:val="21"/>
                <w:color w:val="auto"/>
              </w:rPr>
            </w:pPr>
          </w:p>
        </w:tc>
        <w:tc>
          <w:tcPr>
            <w:tcW w:w="1500" w:type="dxa"/>
            <w:vAlign w:val="bottom"/>
            <w:gridSpan w:val="4"/>
          </w:tcPr>
          <w:p>
            <w:pPr>
              <w:jc w:val="right"/>
              <w:spacing w:after="0"/>
              <w:rPr>
                <w:sz w:val="20"/>
                <w:szCs w:val="20"/>
                <w:color w:val="auto"/>
              </w:rPr>
            </w:pPr>
            <w:r>
              <w:rPr>
                <w:rFonts w:ascii="Arial" w:cs="Arial" w:eastAsia="Arial" w:hAnsi="Arial"/>
                <w:sz w:val="18"/>
                <w:szCs w:val="18"/>
                <w:color w:val="auto"/>
              </w:rPr>
              <w:t>92.0 %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88.2 %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Northeast</w:t>
            </w:r>
          </w:p>
        </w:tc>
        <w:tc>
          <w:tcPr>
            <w:tcW w:w="2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12,155,464</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6.1 %</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7,847,769</w:t>
            </w:r>
          </w:p>
        </w:tc>
        <w:tc>
          <w:tcPr>
            <w:tcW w:w="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00" w:type="dxa"/>
            <w:vAlign w:val="bottom"/>
          </w:tcPr>
          <w:p>
            <w:pPr>
              <w:ind w:left="20"/>
              <w:spacing w:after="0"/>
              <w:rPr>
                <w:sz w:val="20"/>
                <w:szCs w:val="20"/>
                <w:color w:val="auto"/>
              </w:rPr>
            </w:pPr>
            <w:r>
              <w:rPr>
                <w:rFonts w:ascii="Arial" w:cs="Arial" w:eastAsia="Arial" w:hAnsi="Arial"/>
                <w:sz w:val="18"/>
                <w:szCs w:val="18"/>
                <w:color w:val="auto"/>
              </w:rPr>
              <w:t>Mid-west</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5,094,785</w:t>
            </w:r>
          </w:p>
        </w:tc>
        <w:tc>
          <w:tcPr>
            <w:tcW w:w="120" w:type="dxa"/>
            <w:vAlign w:val="bottom"/>
          </w:tcPr>
          <w:p>
            <w:pPr>
              <w:spacing w:after="0"/>
              <w:rPr>
                <w:sz w:val="21"/>
                <w:szCs w:val="21"/>
                <w:color w:val="auto"/>
              </w:rPr>
            </w:pPr>
          </w:p>
        </w:tc>
        <w:tc>
          <w:tcPr>
            <w:tcW w:w="1480" w:type="dxa"/>
            <w:vAlign w:val="bottom"/>
            <w:gridSpan w:val="5"/>
          </w:tcPr>
          <w:p>
            <w:pPr>
              <w:jc w:val="right"/>
              <w:ind w:right="20"/>
              <w:spacing w:after="0"/>
              <w:rPr>
                <w:sz w:val="20"/>
                <w:szCs w:val="20"/>
                <w:color w:val="auto"/>
              </w:rPr>
            </w:pPr>
            <w:r>
              <w:rPr>
                <w:rFonts w:ascii="Arial" w:cs="Arial" w:eastAsia="Arial" w:hAnsi="Arial"/>
                <w:sz w:val="18"/>
                <w:szCs w:val="18"/>
                <w:color w:val="auto"/>
              </w:rPr>
              <w:t>2.6 %</w:t>
            </w:r>
          </w:p>
        </w:tc>
        <w:tc>
          <w:tcPr>
            <w:tcW w:w="100" w:type="dxa"/>
            <w:vAlign w:val="bottom"/>
          </w:tcPr>
          <w:p>
            <w:pPr>
              <w:spacing w:after="0"/>
              <w:rPr>
                <w:sz w:val="21"/>
                <w:szCs w:val="21"/>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2.7 %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7,406,237</w:t>
            </w:r>
          </w:p>
        </w:tc>
        <w:tc>
          <w:tcPr>
            <w:tcW w:w="40" w:type="dxa"/>
            <w:vAlign w:val="bottom"/>
          </w:tcPr>
          <w:p>
            <w:pPr>
              <w:spacing w:after="0"/>
              <w:rPr>
                <w:sz w:val="21"/>
                <w:szCs w:val="21"/>
                <w:color w:val="auto"/>
              </w:rPr>
            </w:pPr>
          </w:p>
        </w:tc>
        <w:tc>
          <w:tcPr>
            <w:tcW w:w="1500" w:type="dxa"/>
            <w:vAlign w:val="bottom"/>
            <w:gridSpan w:val="4"/>
          </w:tcPr>
          <w:p>
            <w:pPr>
              <w:jc w:val="right"/>
              <w:spacing w:after="0"/>
              <w:rPr>
                <w:sz w:val="20"/>
                <w:szCs w:val="20"/>
                <w:color w:val="auto"/>
              </w:rPr>
            </w:pPr>
            <w:r>
              <w:rPr>
                <w:rFonts w:ascii="Arial" w:cs="Arial" w:eastAsia="Arial" w:hAnsi="Arial"/>
                <w:sz w:val="18"/>
                <w:szCs w:val="18"/>
                <w:color w:val="auto"/>
              </w:rPr>
              <w:t>3.9 %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3.7 %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198,999,318</w:t>
            </w:r>
          </w:p>
        </w:tc>
        <w:tc>
          <w:tcPr>
            <w:tcW w:w="120" w:type="dxa"/>
            <w:vAlign w:val="bottom"/>
            <w:shd w:val="clear" w:color="auto" w:fill="CCEEFF"/>
          </w:tcPr>
          <w:p>
            <w:pPr>
              <w:spacing w:after="0"/>
              <w:rPr>
                <w:sz w:val="24"/>
                <w:szCs w:val="24"/>
                <w:color w:val="auto"/>
              </w:rPr>
            </w:pPr>
          </w:p>
        </w:tc>
        <w:tc>
          <w:tcPr>
            <w:tcW w:w="14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24"/>
                <w:szCs w:val="24"/>
                <w:color w:val="auto"/>
              </w:rPr>
            </w:pP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103.3 %</w:t>
            </w:r>
          </w:p>
        </w:tc>
        <w:tc>
          <w:tcPr>
            <w:tcW w:w="20" w:type="dxa"/>
            <w:vAlign w:val="bottom"/>
            <w:shd w:val="clear" w:color="auto" w:fill="CCEEFF"/>
          </w:tcPr>
          <w:p>
            <w:pPr>
              <w:spacing w:after="0"/>
              <w:rPr>
                <w:sz w:val="24"/>
                <w:szCs w:val="24"/>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w w:val="99"/>
              </w:rPr>
              <w:t>191,585,578</w:t>
            </w:r>
          </w:p>
        </w:tc>
        <w:tc>
          <w:tcPr>
            <w:tcW w:w="40" w:type="dxa"/>
            <w:vAlign w:val="bottom"/>
            <w:shd w:val="clear" w:color="auto" w:fill="CCEEFF"/>
          </w:tcPr>
          <w:p>
            <w:pPr>
              <w:spacing w:after="0"/>
              <w:rPr>
                <w:sz w:val="24"/>
                <w:szCs w:val="24"/>
                <w:color w:val="auto"/>
              </w:rPr>
            </w:pPr>
          </w:p>
        </w:tc>
        <w:tc>
          <w:tcPr>
            <w:tcW w:w="1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95.8 %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2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6"/>
          </w:tcPr>
          <w:p>
            <w:pPr>
              <w:jc w:val="center"/>
              <w:ind w:right="360"/>
              <w:spacing w:after="0"/>
              <w:rPr>
                <w:sz w:val="20"/>
                <w:szCs w:val="20"/>
                <w:color w:val="auto"/>
              </w:rPr>
            </w:pPr>
            <w:r>
              <w:rPr>
                <w:rFonts w:ascii="Arial" w:cs="Arial" w:eastAsia="Arial" w:hAnsi="Arial"/>
                <w:sz w:val="14"/>
                <w:szCs w:val="14"/>
                <w:b w:val="1"/>
                <w:bCs w:val="1"/>
                <w:color w:val="auto"/>
                <w:w w:val="90"/>
              </w:rPr>
              <w:t>As of June 30, 2020</w:t>
            </w: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w w:val="92"/>
              </w:rPr>
              <w:t>As of December 31, 2019</w:t>
            </w:r>
          </w:p>
        </w:tc>
        <w:tc>
          <w:tcPr>
            <w:tcW w:w="1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3"/>
                <w:szCs w:val="13"/>
                <w:color w:val="auto"/>
              </w:rPr>
            </w:pP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ind w:right="15"/>
              <w:spacing w:after="0" w:line="153" w:lineRule="exact"/>
              <w:rPr>
                <w:sz w:val="20"/>
                <w:szCs w:val="20"/>
                <w:color w:val="auto"/>
              </w:rPr>
            </w:pPr>
            <w:r>
              <w:rPr>
                <w:rFonts w:ascii="Arial" w:cs="Arial" w:eastAsia="Arial" w:hAnsi="Arial"/>
                <w:sz w:val="14"/>
                <w:szCs w:val="14"/>
                <w:b w:val="1"/>
                <w:bCs w:val="1"/>
                <w:color w:val="auto"/>
              </w:rPr>
              <w:t>Percentage of</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tcPr>
          <w:p>
            <w:pPr>
              <w:jc w:val="center"/>
              <w:ind w:left="68"/>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center"/>
              <w:ind w:left="115"/>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3"/>
              </w:rPr>
              <w:t>Portfolio</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115"/>
              <w:spacing w:after="0"/>
              <w:rPr>
                <w:sz w:val="20"/>
                <w:szCs w:val="20"/>
                <w:color w:val="auto"/>
              </w:rPr>
            </w:pPr>
            <w:r>
              <w:rPr>
                <w:rFonts w:ascii="Arial" w:cs="Arial" w:eastAsia="Arial" w:hAnsi="Arial"/>
                <w:sz w:val="14"/>
                <w:szCs w:val="14"/>
                <w:b w:val="1"/>
                <w:bCs w:val="1"/>
                <w:color w:val="auto"/>
              </w:rPr>
              <w:t>Net Assets</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tcPr>
          <w:p>
            <w:pPr>
              <w:jc w:val="center"/>
              <w:ind w:left="88"/>
              <w:spacing w:after="0"/>
              <w:rPr>
                <w:sz w:val="20"/>
                <w:szCs w:val="20"/>
                <w:color w:val="auto"/>
              </w:rPr>
            </w:pPr>
            <w:r>
              <w:rPr>
                <w:rFonts w:ascii="Arial" w:cs="Arial" w:eastAsia="Arial" w:hAnsi="Arial"/>
                <w:sz w:val="14"/>
                <w:szCs w:val="14"/>
                <w:b w:val="1"/>
                <w:bCs w:val="1"/>
                <w:color w:val="auto"/>
                <w:w w:val="93"/>
              </w:rPr>
              <w:t>Portfolio</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center"/>
              <w:ind w:left="115"/>
              <w:spacing w:after="0"/>
              <w:rPr>
                <w:sz w:val="20"/>
                <w:szCs w:val="20"/>
                <w:color w:val="auto"/>
              </w:rPr>
            </w:pPr>
            <w:r>
              <w:rPr>
                <w:rFonts w:ascii="Arial" w:cs="Arial" w:eastAsia="Arial" w:hAnsi="Arial"/>
                <w:sz w:val="14"/>
                <w:szCs w:val="14"/>
                <w:b w:val="1"/>
                <w:bCs w:val="1"/>
                <w:color w:val="auto"/>
                <w:w w:val="88"/>
              </w:rPr>
              <w:t>Net Assets</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Industry</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100" w:type="dxa"/>
            <w:vAlign w:val="bottom"/>
          </w:tcPr>
          <w:p>
            <w:pPr>
              <w:ind w:left="20"/>
              <w:spacing w:after="0"/>
              <w:rPr>
                <w:sz w:val="20"/>
                <w:szCs w:val="20"/>
                <w:color w:val="auto"/>
              </w:rPr>
            </w:pPr>
            <w:r>
              <w:rPr>
                <w:rFonts w:ascii="Arial" w:cs="Arial" w:eastAsia="Arial" w:hAnsi="Arial"/>
                <w:sz w:val="18"/>
                <w:szCs w:val="18"/>
                <w:color w:val="auto"/>
              </w:rPr>
              <w:t>Education Technology</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w w:val="90"/>
              </w:rPr>
              <w:t>94,594,726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47.5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82,578,640</w:t>
            </w:r>
          </w:p>
        </w:tc>
        <w:tc>
          <w:tcPr>
            <w:tcW w:w="40" w:type="dxa"/>
            <w:vAlign w:val="bottom"/>
          </w:tcPr>
          <w:p>
            <w:pPr>
              <w:spacing w:after="0"/>
              <w:rPr>
                <w:sz w:val="21"/>
                <w:szCs w:val="21"/>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43.1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41.3</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Big Data/Cloud</w:t>
            </w:r>
          </w:p>
        </w:tc>
        <w:tc>
          <w:tcPr>
            <w:tcW w:w="2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0"/>
              </w:rPr>
              <w:t>37,442,820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31,582,084</w:t>
            </w:r>
          </w:p>
        </w:tc>
        <w:tc>
          <w:tcPr>
            <w:tcW w:w="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2100" w:type="dxa"/>
            <w:vAlign w:val="bottom"/>
          </w:tcPr>
          <w:p>
            <w:pPr>
              <w:ind w:left="20"/>
              <w:spacing w:after="0"/>
              <w:rPr>
                <w:sz w:val="20"/>
                <w:szCs w:val="20"/>
                <w:color w:val="auto"/>
              </w:rPr>
            </w:pPr>
            <w:r>
              <w:rPr>
                <w:rFonts w:ascii="Arial" w:cs="Arial" w:eastAsia="Arial" w:hAnsi="Arial"/>
                <w:sz w:val="18"/>
                <w:szCs w:val="18"/>
                <w:color w:val="auto"/>
              </w:rPr>
              <w:t>Financial Technology</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w w:val="90"/>
              </w:rPr>
              <w:t>25,322,137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26,754,801</w:t>
            </w:r>
          </w:p>
        </w:tc>
        <w:tc>
          <w:tcPr>
            <w:tcW w:w="40" w:type="dxa"/>
            <w:vAlign w:val="bottom"/>
          </w:tcPr>
          <w:p>
            <w:pPr>
              <w:spacing w:after="0"/>
              <w:rPr>
                <w:sz w:val="21"/>
                <w:szCs w:val="21"/>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14.0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Social/Mobile</w:t>
            </w:r>
          </w:p>
        </w:tc>
        <w:tc>
          <w:tcPr>
            <w:tcW w:w="2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0"/>
              </w:rPr>
              <w:t>22,651,621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26,573,046</w:t>
            </w:r>
          </w:p>
        </w:tc>
        <w:tc>
          <w:tcPr>
            <w:tcW w:w="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2100" w:type="dxa"/>
            <w:vAlign w:val="bottom"/>
          </w:tcPr>
          <w:p>
            <w:pPr>
              <w:ind w:left="20"/>
              <w:spacing w:after="0"/>
              <w:rPr>
                <w:sz w:val="20"/>
                <w:szCs w:val="20"/>
                <w:color w:val="auto"/>
              </w:rPr>
            </w:pPr>
            <w:r>
              <w:rPr>
                <w:rFonts w:ascii="Arial" w:cs="Arial" w:eastAsia="Arial" w:hAnsi="Arial"/>
                <w:sz w:val="18"/>
                <w:szCs w:val="18"/>
                <w:color w:val="auto"/>
              </w:rPr>
              <w:t>Marketplaces</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w w:val="90"/>
              </w:rPr>
              <w:t>18,127,816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23,321,809</w:t>
            </w:r>
          </w:p>
        </w:tc>
        <w:tc>
          <w:tcPr>
            <w:tcW w:w="40" w:type="dxa"/>
            <w:vAlign w:val="bottom"/>
          </w:tcPr>
          <w:p>
            <w:pPr>
              <w:spacing w:after="0"/>
              <w:rPr>
                <w:sz w:val="21"/>
                <w:szCs w:val="21"/>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12.2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Sustainability</w:t>
            </w:r>
          </w:p>
        </w:tc>
        <w:tc>
          <w:tcPr>
            <w:tcW w:w="2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860,198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775,198</w:t>
            </w:r>
          </w:p>
        </w:tc>
        <w:tc>
          <w:tcPr>
            <w:tcW w:w="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63"/>
        </w:trPr>
        <w:tc>
          <w:tcPr>
            <w:tcW w:w="210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400" w:type="dxa"/>
            <w:vAlign w:val="bottom"/>
            <w:tcBorders>
              <w:top w:val="single" w:sz="8" w:color="auto"/>
              <w:bottom w:val="single" w:sz="8" w:color="auto"/>
            </w:tcBorders>
            <w:gridSpan w:val="3"/>
          </w:tcPr>
          <w:p>
            <w:pPr>
              <w:jc w:val="right"/>
              <w:ind w:right="52"/>
              <w:spacing w:after="0"/>
              <w:rPr>
                <w:sz w:val="20"/>
                <w:szCs w:val="20"/>
                <w:color w:val="auto"/>
              </w:rPr>
            </w:pPr>
            <w:r>
              <w:rPr>
                <w:rFonts w:ascii="Arial" w:cs="Arial" w:eastAsia="Arial" w:hAnsi="Arial"/>
                <w:sz w:val="18"/>
                <w:szCs w:val="18"/>
                <w:b w:val="1"/>
                <w:bCs w:val="1"/>
                <w:color w:val="auto"/>
                <w:w w:val="99"/>
              </w:rPr>
              <w:t>$   198,999,318</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103.3 %</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8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w w:val="93"/>
              </w:rPr>
              <w:t>191,585,578</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100.0 %</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95.8 %</w:t>
            </w:r>
          </w:p>
        </w:tc>
        <w:tc>
          <w:tcPr>
            <w:tcW w:w="0" w:type="dxa"/>
            <w:vAlign w:val="bottom"/>
          </w:tcPr>
          <w:p>
            <w:pPr>
              <w:spacing w:after="0"/>
              <w:rPr>
                <w:sz w:val="1"/>
                <w:szCs w:val="1"/>
                <w:color w:val="auto"/>
              </w:rPr>
            </w:pPr>
          </w:p>
        </w:tc>
      </w:tr>
      <w:tr>
        <w:trPr>
          <w:trHeight w:val="21"/>
        </w:trPr>
        <w:tc>
          <w:tcPr>
            <w:tcW w:w="2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details the composition of the Company’s industrial themes presented in the preceding tables: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June 30, 2020</w:t>
      </w:r>
    </w:p>
    <w:p>
      <w:pPr>
        <w:spacing w:after="0" w:line="200" w:lineRule="exact"/>
        <w:rPr>
          <w:sz w:val="20"/>
          <w:szCs w:val="20"/>
          <w:color w:val="auto"/>
        </w:rPr>
      </w:pPr>
    </w:p>
    <w:p>
      <w:pPr>
        <w:spacing w:after="0" w:line="340" w:lineRule="exact"/>
        <w:rPr>
          <w:sz w:val="20"/>
          <w:szCs w:val="20"/>
          <w:color w:val="auto"/>
        </w:rPr>
      </w:pPr>
    </w:p>
    <w:p>
      <w:pPr>
        <w:ind w:left="20"/>
        <w:spacing w:after="0"/>
        <w:tabs>
          <w:tab w:leader="none" w:pos="3700" w:val="left"/>
        </w:tabs>
        <w:rPr>
          <w:sz w:val="20"/>
          <w:szCs w:val="20"/>
          <w:color w:val="auto"/>
        </w:rPr>
      </w:pPr>
      <w:r>
        <w:rPr>
          <w:rFonts w:ascii="Arial" w:cs="Arial" w:eastAsia="Arial" w:hAnsi="Arial"/>
          <w:sz w:val="14"/>
          <w:szCs w:val="14"/>
          <w:b w:val="1"/>
          <w:bCs w:val="1"/>
          <w:color w:val="auto"/>
        </w:rPr>
        <w:t>Industry Theme</w:t>
      </w:r>
      <w:r>
        <w:rPr>
          <w:sz w:val="20"/>
          <w:szCs w:val="20"/>
          <w:color w:val="auto"/>
        </w:rPr>
        <w:tab/>
      </w:r>
      <w:r>
        <w:rPr>
          <w:rFonts w:ascii="Arial" w:cs="Arial" w:eastAsia="Arial" w:hAnsi="Arial"/>
          <w:sz w:val="13"/>
          <w:szCs w:val="13"/>
          <w:b w:val="1"/>
          <w:bCs w:val="1"/>
          <w:color w:val="auto"/>
        </w:rPr>
        <w:t>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p>
      <w:pPr>
        <w:spacing w:after="0" w:line="63" w:lineRule="exact"/>
        <w:rPr>
          <w:sz w:val="20"/>
          <w:szCs w:val="20"/>
          <w:color w:val="auto"/>
        </w:rPr>
      </w:pPr>
    </w:p>
    <w:p>
      <w:pPr>
        <w:ind w:left="20"/>
        <w:spacing w:after="0"/>
        <w:rPr>
          <w:sz w:val="20"/>
          <w:szCs w:val="20"/>
          <w:color w:val="auto"/>
        </w:rPr>
      </w:pPr>
      <w:r>
        <w:rPr>
          <w:rFonts w:ascii="Arial" w:cs="Arial" w:eastAsia="Arial" w:hAnsi="Arial"/>
          <w:sz w:val="16"/>
          <w:szCs w:val="16"/>
          <w:color w:val="auto"/>
        </w:rPr>
        <w:t>Education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1075055</wp:posOffset>
            </wp:positionV>
            <wp:extent cx="22713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713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Big Data/Cloud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2713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Marketplaces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889000</wp:posOffset>
            </wp:positionV>
            <wp:extent cx="22713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Arial" w:cs="Arial" w:eastAsia="Arial" w:hAnsi="Arial"/>
          <w:sz w:val="17"/>
          <w:szCs w:val="17"/>
          <w:color w:val="auto"/>
        </w:rPr>
        <w:t>Financial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382270</wp:posOffset>
            </wp:positionV>
            <wp:extent cx="22713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Social/Mobile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22713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Sustainability</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Business Education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Computer Software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Corporate Education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Education Software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E-Transcript Exchange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Interactive Learning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Online 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479171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79171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Data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47917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791710" cy="825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Global Innovation Platform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Knowledge Networks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On-Demand Commerce</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Subscription Fashion Rental</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Micromobility</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Peer-to-Peer Pet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39370</wp:posOffset>
            </wp:positionV>
            <wp:extent cx="47917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791710"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Online Marketplace Finance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Financial Services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Cannabis REIT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47917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791710" cy="825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Digital Media Platform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Social Networking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Social Data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47917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791710" cy="825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Clean Technology</w:t>
      </w:r>
    </w:p>
    <w:p>
      <w:pPr>
        <w:spacing w:after="0" w:line="200" w:lineRule="exact"/>
        <w:rPr>
          <w:sz w:val="20"/>
          <w:szCs w:val="20"/>
          <w:color w:val="auto"/>
        </w:rPr>
      </w:pPr>
    </w:p>
    <w:p>
      <w:pPr>
        <w:sectPr>
          <w:pgSz w:w="11900" w:h="16838" w:orient="portrait"/>
          <w:cols w:equalWidth="0" w:num="2">
            <w:col w:w="3000" w:space="720"/>
            <w:col w:w="6419"/>
          </w:cols>
          <w:pgMar w:left="320" w:top="12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0139"/>
          </w:cols>
          <w:pgMar w:left="320" w:top="121" w:right="1440" w:bottom="1440" w:gutter="0" w:footer="0" w:header="0"/>
          <w:type w:val="continuous"/>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2020</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Valuation Inputs</w:t>
      </w:r>
    </w:p>
    <w:p>
      <w:pPr>
        <w:spacing w:after="0" w:line="256" w:lineRule="exact"/>
        <w:rPr>
          <w:sz w:val="20"/>
          <w:szCs w:val="20"/>
          <w:color w:val="auto"/>
        </w:rPr>
      </w:pPr>
    </w:p>
    <w:p>
      <w:pPr>
        <w:ind w:firstLine="364"/>
        <w:spacing w:after="0" w:line="277" w:lineRule="auto"/>
        <w:rPr>
          <w:sz w:val="20"/>
          <w:szCs w:val="20"/>
          <w:color w:val="auto"/>
        </w:rPr>
      </w:pPr>
      <w:r>
        <w:rPr>
          <w:rFonts w:ascii="Arial" w:cs="Arial" w:eastAsia="Arial" w:hAnsi="Arial"/>
          <w:sz w:val="18"/>
          <w:szCs w:val="18"/>
          <w:color w:val="auto"/>
        </w:rPr>
        <w:t>The fair values of the Company’s investments disaggregated into the three levels of the fair value hierarchy based upon the lowest level of significant input used in the valuation as of June 30, 2020 and December 31, 2019 are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5"/>
          </w:tcPr>
          <w:p>
            <w:pPr>
              <w:ind w:left="900"/>
              <w:spacing w:after="0"/>
              <w:rPr>
                <w:sz w:val="20"/>
                <w:szCs w:val="20"/>
                <w:color w:val="auto"/>
              </w:rPr>
            </w:pPr>
            <w:r>
              <w:rPr>
                <w:rFonts w:ascii="Arial" w:cs="Arial" w:eastAsia="Arial" w:hAnsi="Arial"/>
                <w:sz w:val="14"/>
                <w:szCs w:val="14"/>
                <w:b w:val="1"/>
                <w:bCs w:val="1"/>
                <w:color w:val="auto"/>
              </w:rPr>
              <w:t>As of June 30, 2020</w:t>
            </w: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200" w:type="dxa"/>
            <w:vAlign w:val="bottom"/>
          </w:tcPr>
          <w:p>
            <w:pPr>
              <w:spacing w:after="0"/>
              <w:rPr>
                <w:sz w:val="13"/>
                <w:szCs w:val="13"/>
                <w:color w:val="auto"/>
              </w:rPr>
            </w:pPr>
          </w:p>
        </w:tc>
        <w:tc>
          <w:tcPr>
            <w:tcW w:w="15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3"/>
              </w:rPr>
              <w:t>Significant Other</w:t>
            </w:r>
          </w:p>
        </w:tc>
        <w:tc>
          <w:tcPr>
            <w:tcW w:w="240" w:type="dxa"/>
            <w:vAlign w:val="bottom"/>
          </w:tcPr>
          <w:p>
            <w:pPr>
              <w:spacing w:after="0"/>
              <w:rPr>
                <w:sz w:val="13"/>
                <w:szCs w:val="13"/>
                <w:color w:val="auto"/>
              </w:rPr>
            </w:pPr>
          </w:p>
        </w:tc>
        <w:tc>
          <w:tcPr>
            <w:tcW w:w="150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2"/>
              </w:rPr>
              <w:t>Significant</w:t>
            </w:r>
          </w:p>
        </w:tc>
        <w:tc>
          <w:tcPr>
            <w:tcW w:w="3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200" w:type="dxa"/>
            <w:vAlign w:val="bottom"/>
          </w:tcPr>
          <w:p>
            <w:pPr>
              <w:spacing w:after="0"/>
              <w:rPr>
                <w:sz w:val="12"/>
                <w:szCs w:val="12"/>
                <w:color w:val="auto"/>
              </w:rPr>
            </w:pPr>
          </w:p>
        </w:tc>
        <w:tc>
          <w:tcPr>
            <w:tcW w:w="15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40" w:type="dxa"/>
            <w:vAlign w:val="bottom"/>
          </w:tcPr>
          <w:p>
            <w:pPr>
              <w:spacing w:after="0"/>
              <w:rPr>
                <w:sz w:val="12"/>
                <w:szCs w:val="12"/>
                <w:color w:val="auto"/>
              </w:rPr>
            </w:pPr>
          </w:p>
        </w:tc>
        <w:tc>
          <w:tcPr>
            <w:tcW w:w="15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Identical Securities</w:t>
            </w:r>
          </w:p>
        </w:tc>
        <w:tc>
          <w:tcPr>
            <w:tcW w:w="200" w:type="dxa"/>
            <w:vAlign w:val="bottom"/>
          </w:tcPr>
          <w:p>
            <w:pPr>
              <w:spacing w:after="0"/>
              <w:rPr>
                <w:sz w:val="12"/>
                <w:szCs w:val="12"/>
                <w:color w:val="auto"/>
              </w:rPr>
            </w:pPr>
          </w:p>
        </w:tc>
        <w:tc>
          <w:tcPr>
            <w:tcW w:w="15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15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Inputs</w:t>
            </w:r>
          </w:p>
        </w:tc>
        <w:tc>
          <w:tcPr>
            <w:tcW w:w="340" w:type="dxa"/>
            <w:vAlign w:val="bottom"/>
          </w:tcPr>
          <w:p>
            <w:pPr>
              <w:spacing w:after="0"/>
              <w:rPr>
                <w:sz w:val="12"/>
                <w:szCs w:val="12"/>
                <w:color w:val="auto"/>
              </w:rPr>
            </w:pPr>
          </w:p>
        </w:tc>
        <w:tc>
          <w:tcPr>
            <w:tcW w:w="1300" w:type="dxa"/>
            <w:vAlign w:val="bottom"/>
            <w:vMerge w:val="restart"/>
          </w:tcPr>
          <w:p>
            <w:pPr>
              <w:jc w:val="right"/>
              <w:ind w:right="5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6"/>
                <w:szCs w:val="16"/>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Pr>
          <w:p>
            <w:pPr>
              <w:spacing w:after="0"/>
              <w:rPr>
                <w:sz w:val="16"/>
                <w:szCs w:val="16"/>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(Level 3)</w:t>
            </w:r>
          </w:p>
        </w:tc>
        <w:tc>
          <w:tcPr>
            <w:tcW w:w="3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Investments at Fair Value</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4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b w:val="1"/>
                <w:bCs w:val="1"/>
                <w:color w:val="auto"/>
              </w:rPr>
              <w:t>Private Portfolio Companies</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Preferred Stock</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132,789,236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132,789,236</w:t>
            </w:r>
          </w:p>
        </w:tc>
        <w:tc>
          <w:tcPr>
            <w:tcW w:w="0" w:type="dxa"/>
            <w:vAlign w:val="bottom"/>
          </w:tcPr>
          <w:p>
            <w:pPr>
              <w:spacing w:after="0"/>
              <w:rPr>
                <w:sz w:val="1"/>
                <w:szCs w:val="1"/>
                <w:color w:val="auto"/>
              </w:rPr>
            </w:pPr>
          </w:p>
        </w:tc>
      </w:tr>
      <w:tr>
        <w:trPr>
          <w:trHeight w:val="243"/>
        </w:trPr>
        <w:tc>
          <w:tcPr>
            <w:tcW w:w="4360" w:type="dxa"/>
            <w:vAlign w:val="bottom"/>
          </w:tcPr>
          <w:p>
            <w:pPr>
              <w:ind w:left="120"/>
              <w:spacing w:after="0"/>
              <w:rPr>
                <w:sz w:val="20"/>
                <w:szCs w:val="20"/>
                <w:color w:val="auto"/>
              </w:rPr>
            </w:pPr>
            <w:r>
              <w:rPr>
                <w:rFonts w:ascii="Arial" w:cs="Arial" w:eastAsia="Arial" w:hAnsi="Arial"/>
                <w:sz w:val="18"/>
                <w:szCs w:val="18"/>
                <w:color w:val="auto"/>
              </w:rPr>
              <w:t>Common Stock</w:t>
            </w:r>
          </w:p>
        </w:tc>
        <w:tc>
          <w:tcPr>
            <w:tcW w:w="160" w:type="dxa"/>
            <w:vAlign w:val="bottom"/>
          </w:tcPr>
          <w:p>
            <w:pPr>
              <w:spacing w:after="0"/>
              <w:rPr>
                <w:sz w:val="21"/>
                <w:szCs w:val="21"/>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4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00" w:type="dxa"/>
            <w:vAlign w:val="bottom"/>
          </w:tcPr>
          <w:p>
            <w:pPr>
              <w:jc w:val="right"/>
              <w:ind w:right="76"/>
              <w:spacing w:after="0"/>
              <w:rPr>
                <w:sz w:val="20"/>
                <w:szCs w:val="20"/>
                <w:color w:val="auto"/>
              </w:rPr>
            </w:pPr>
            <w:r>
              <w:rPr>
                <w:rFonts w:ascii="Arial" w:cs="Arial" w:eastAsia="Arial" w:hAnsi="Arial"/>
                <w:sz w:val="18"/>
                <w:szCs w:val="18"/>
                <w:color w:val="auto"/>
              </w:rPr>
              <w:t>54,893,315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54,893,315</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Debt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8,224,227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8,224,227</w:t>
            </w:r>
          </w:p>
        </w:tc>
        <w:tc>
          <w:tcPr>
            <w:tcW w:w="0" w:type="dxa"/>
            <w:vAlign w:val="bottom"/>
          </w:tcPr>
          <w:p>
            <w:pPr>
              <w:spacing w:after="0"/>
              <w:rPr>
                <w:sz w:val="1"/>
                <w:szCs w:val="1"/>
                <w:color w:val="auto"/>
              </w:rPr>
            </w:pPr>
          </w:p>
        </w:tc>
      </w:tr>
      <w:tr>
        <w:trPr>
          <w:trHeight w:val="243"/>
        </w:trPr>
        <w:tc>
          <w:tcPr>
            <w:tcW w:w="4360" w:type="dxa"/>
            <w:vAlign w:val="bottom"/>
          </w:tcPr>
          <w:p>
            <w:pPr>
              <w:ind w:left="120"/>
              <w:spacing w:after="0"/>
              <w:rPr>
                <w:sz w:val="20"/>
                <w:szCs w:val="20"/>
                <w:color w:val="auto"/>
              </w:rPr>
            </w:pPr>
            <w:r>
              <w:rPr>
                <w:rFonts w:ascii="Arial" w:cs="Arial" w:eastAsia="Arial" w:hAnsi="Arial"/>
                <w:sz w:val="18"/>
                <w:szCs w:val="18"/>
                <w:color w:val="auto"/>
              </w:rPr>
              <w:t>Options</w:t>
            </w:r>
          </w:p>
        </w:tc>
        <w:tc>
          <w:tcPr>
            <w:tcW w:w="160" w:type="dxa"/>
            <w:vAlign w:val="bottom"/>
          </w:tcPr>
          <w:p>
            <w:pPr>
              <w:spacing w:after="0"/>
              <w:rPr>
                <w:sz w:val="21"/>
                <w:szCs w:val="21"/>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4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00" w:type="dxa"/>
            <w:vAlign w:val="bottom"/>
          </w:tcPr>
          <w:p>
            <w:pPr>
              <w:jc w:val="right"/>
              <w:ind w:right="76"/>
              <w:spacing w:after="0"/>
              <w:rPr>
                <w:sz w:val="20"/>
                <w:szCs w:val="20"/>
                <w:color w:val="auto"/>
              </w:rPr>
            </w:pPr>
            <w:r>
              <w:rPr>
                <w:rFonts w:ascii="Arial" w:cs="Arial" w:eastAsia="Arial" w:hAnsi="Arial"/>
                <w:sz w:val="18"/>
                <w:szCs w:val="18"/>
                <w:color w:val="auto"/>
              </w:rPr>
              <w:t>3,092,540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3,092,540</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Private Portfolio Companies</w:t>
            </w:r>
          </w:p>
        </w:tc>
        <w:tc>
          <w:tcPr>
            <w:tcW w:w="1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198,999,318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198,999,318</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b w:val="1"/>
                <w:bCs w:val="1"/>
                <w:color w:val="auto"/>
              </w:rPr>
              <w:t>Publicly Traded Portfolio Companies</w:t>
            </w:r>
          </w:p>
        </w:tc>
        <w:tc>
          <w:tcPr>
            <w:tcW w:w="1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Common Stock</w:t>
            </w:r>
          </w:p>
        </w:tc>
        <w:tc>
          <w:tcPr>
            <w:tcW w:w="1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360" w:type="dxa"/>
            <w:vAlign w:val="bottom"/>
          </w:tcPr>
          <w:p>
            <w:pPr>
              <w:ind w:left="20"/>
              <w:spacing w:after="0"/>
              <w:rPr>
                <w:sz w:val="20"/>
                <w:szCs w:val="20"/>
                <w:color w:val="auto"/>
              </w:rPr>
            </w:pPr>
            <w:r>
              <w:rPr>
                <w:rFonts w:ascii="Arial" w:cs="Arial" w:eastAsia="Arial" w:hAnsi="Arial"/>
                <w:sz w:val="18"/>
                <w:szCs w:val="18"/>
                <w:b w:val="1"/>
                <w:bCs w:val="1"/>
                <w:color w:val="auto"/>
              </w:rPr>
              <w:t>Total Portfolio Investments</w:t>
            </w: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198,999,318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198,999,318</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Non-Portfolio Investments</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U.S. Treasury bills</w:t>
            </w:r>
          </w:p>
        </w:tc>
        <w:tc>
          <w:tcPr>
            <w:tcW w:w="160" w:type="dxa"/>
            <w:vAlign w:val="bottom"/>
          </w:tcPr>
          <w:p>
            <w:pPr>
              <w:spacing w:after="0"/>
              <w:rPr>
                <w:sz w:val="21"/>
                <w:szCs w:val="21"/>
                <w:color w:val="auto"/>
              </w:rPr>
            </w:pPr>
          </w:p>
        </w:tc>
        <w:tc>
          <w:tcPr>
            <w:tcW w:w="1460" w:type="dxa"/>
            <w:vAlign w:val="bottom"/>
          </w:tcPr>
          <w:p>
            <w:pPr>
              <w:jc w:val="right"/>
              <w:ind w:right="56"/>
              <w:spacing w:after="0"/>
              <w:rPr>
                <w:sz w:val="20"/>
                <w:szCs w:val="20"/>
                <w:color w:val="auto"/>
              </w:rPr>
            </w:pPr>
            <w:r>
              <w:rPr>
                <w:rFonts w:ascii="Arial" w:cs="Arial" w:eastAsia="Arial" w:hAnsi="Arial"/>
                <w:sz w:val="18"/>
                <w:szCs w:val="18"/>
                <w:color w:val="auto"/>
              </w:rPr>
              <w:t>100,000,000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100,000,000</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Investments at Fair Value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100,000,000</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198,999,318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298,999,318</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6"/>
        </w:trPr>
        <w:tc>
          <w:tcPr>
            <w:tcW w:w="43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rPr>
              <w:t>As of December 31, 2019</w:t>
            </w:r>
          </w:p>
        </w:tc>
        <w:tc>
          <w:tcPr>
            <w:tcW w:w="3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200" w:type="dxa"/>
            <w:vAlign w:val="bottom"/>
          </w:tcPr>
          <w:p>
            <w:pPr>
              <w:spacing w:after="0"/>
              <w:rPr>
                <w:sz w:val="13"/>
                <w:szCs w:val="13"/>
                <w:color w:val="auto"/>
              </w:rPr>
            </w:pPr>
          </w:p>
        </w:tc>
        <w:tc>
          <w:tcPr>
            <w:tcW w:w="15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3"/>
              </w:rPr>
              <w:t>Significant Other</w:t>
            </w:r>
          </w:p>
        </w:tc>
        <w:tc>
          <w:tcPr>
            <w:tcW w:w="240" w:type="dxa"/>
            <w:vAlign w:val="bottom"/>
          </w:tcPr>
          <w:p>
            <w:pPr>
              <w:spacing w:after="0"/>
              <w:rPr>
                <w:sz w:val="13"/>
                <w:szCs w:val="13"/>
                <w:color w:val="auto"/>
              </w:rPr>
            </w:pPr>
          </w:p>
        </w:tc>
        <w:tc>
          <w:tcPr>
            <w:tcW w:w="150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2"/>
              </w:rPr>
              <w:t>Significant</w:t>
            </w:r>
          </w:p>
        </w:tc>
        <w:tc>
          <w:tcPr>
            <w:tcW w:w="3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200" w:type="dxa"/>
            <w:vAlign w:val="bottom"/>
          </w:tcPr>
          <w:p>
            <w:pPr>
              <w:spacing w:after="0"/>
              <w:rPr>
                <w:sz w:val="12"/>
                <w:szCs w:val="12"/>
                <w:color w:val="auto"/>
              </w:rPr>
            </w:pPr>
          </w:p>
        </w:tc>
        <w:tc>
          <w:tcPr>
            <w:tcW w:w="15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40" w:type="dxa"/>
            <w:vAlign w:val="bottom"/>
          </w:tcPr>
          <w:p>
            <w:pPr>
              <w:spacing w:after="0"/>
              <w:rPr>
                <w:sz w:val="12"/>
                <w:szCs w:val="12"/>
                <w:color w:val="auto"/>
              </w:rPr>
            </w:pPr>
          </w:p>
        </w:tc>
        <w:tc>
          <w:tcPr>
            <w:tcW w:w="15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Identical Securities</w:t>
            </w:r>
          </w:p>
        </w:tc>
        <w:tc>
          <w:tcPr>
            <w:tcW w:w="200" w:type="dxa"/>
            <w:vAlign w:val="bottom"/>
          </w:tcPr>
          <w:p>
            <w:pPr>
              <w:spacing w:after="0"/>
              <w:rPr>
                <w:sz w:val="12"/>
                <w:szCs w:val="12"/>
                <w:color w:val="auto"/>
              </w:rPr>
            </w:pPr>
          </w:p>
        </w:tc>
        <w:tc>
          <w:tcPr>
            <w:tcW w:w="15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15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Inputs</w:t>
            </w:r>
          </w:p>
        </w:tc>
        <w:tc>
          <w:tcPr>
            <w:tcW w:w="340" w:type="dxa"/>
            <w:vAlign w:val="bottom"/>
          </w:tcPr>
          <w:p>
            <w:pPr>
              <w:spacing w:after="0"/>
              <w:rPr>
                <w:sz w:val="12"/>
                <w:szCs w:val="12"/>
                <w:color w:val="auto"/>
              </w:rPr>
            </w:pPr>
          </w:p>
        </w:tc>
        <w:tc>
          <w:tcPr>
            <w:tcW w:w="1300" w:type="dxa"/>
            <w:vAlign w:val="bottom"/>
            <w:vMerge w:val="restart"/>
          </w:tcPr>
          <w:p>
            <w:pPr>
              <w:jc w:val="right"/>
              <w:ind w:right="5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6"/>
                <w:szCs w:val="16"/>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Pr>
          <w:p>
            <w:pPr>
              <w:spacing w:after="0"/>
              <w:rPr>
                <w:sz w:val="16"/>
                <w:szCs w:val="16"/>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(Level 3)</w:t>
            </w:r>
          </w:p>
        </w:tc>
        <w:tc>
          <w:tcPr>
            <w:tcW w:w="3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Investments at Fair Value</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4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b w:val="1"/>
                <w:bCs w:val="1"/>
                <w:color w:val="auto"/>
              </w:rPr>
              <w:t>Private Portfolio Companies</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Preferred Stock</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125,448,358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125,448,358</w:t>
            </w:r>
          </w:p>
        </w:tc>
        <w:tc>
          <w:tcPr>
            <w:tcW w:w="0" w:type="dxa"/>
            <w:vAlign w:val="bottom"/>
          </w:tcPr>
          <w:p>
            <w:pPr>
              <w:spacing w:after="0"/>
              <w:rPr>
                <w:sz w:val="1"/>
                <w:szCs w:val="1"/>
                <w:color w:val="auto"/>
              </w:rPr>
            </w:pPr>
          </w:p>
        </w:tc>
      </w:tr>
      <w:tr>
        <w:trPr>
          <w:trHeight w:val="243"/>
        </w:trPr>
        <w:tc>
          <w:tcPr>
            <w:tcW w:w="4360" w:type="dxa"/>
            <w:vAlign w:val="bottom"/>
          </w:tcPr>
          <w:p>
            <w:pPr>
              <w:ind w:left="120"/>
              <w:spacing w:after="0"/>
              <w:rPr>
                <w:sz w:val="20"/>
                <w:szCs w:val="20"/>
                <w:color w:val="auto"/>
              </w:rPr>
            </w:pPr>
            <w:r>
              <w:rPr>
                <w:rFonts w:ascii="Arial" w:cs="Arial" w:eastAsia="Arial" w:hAnsi="Arial"/>
                <w:sz w:val="18"/>
                <w:szCs w:val="18"/>
                <w:color w:val="auto"/>
              </w:rPr>
              <w:t>Common Stock</w:t>
            </w:r>
          </w:p>
        </w:tc>
        <w:tc>
          <w:tcPr>
            <w:tcW w:w="160" w:type="dxa"/>
            <w:vAlign w:val="bottom"/>
          </w:tcPr>
          <w:p>
            <w:pPr>
              <w:spacing w:after="0"/>
              <w:rPr>
                <w:sz w:val="21"/>
                <w:szCs w:val="21"/>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4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00" w:type="dxa"/>
            <w:vAlign w:val="bottom"/>
          </w:tcPr>
          <w:p>
            <w:pPr>
              <w:jc w:val="right"/>
              <w:ind w:right="76"/>
              <w:spacing w:after="0"/>
              <w:rPr>
                <w:sz w:val="20"/>
                <w:szCs w:val="20"/>
                <w:color w:val="auto"/>
              </w:rPr>
            </w:pPr>
            <w:r>
              <w:rPr>
                <w:rFonts w:ascii="Arial" w:cs="Arial" w:eastAsia="Arial" w:hAnsi="Arial"/>
                <w:sz w:val="18"/>
                <w:szCs w:val="18"/>
                <w:color w:val="auto"/>
              </w:rPr>
              <w:t>59,209,559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59,209,559</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Debt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1,644,155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1,644,155</w:t>
            </w:r>
          </w:p>
        </w:tc>
        <w:tc>
          <w:tcPr>
            <w:tcW w:w="0" w:type="dxa"/>
            <w:vAlign w:val="bottom"/>
          </w:tcPr>
          <w:p>
            <w:pPr>
              <w:spacing w:after="0"/>
              <w:rPr>
                <w:sz w:val="1"/>
                <w:szCs w:val="1"/>
                <w:color w:val="auto"/>
              </w:rPr>
            </w:pPr>
          </w:p>
        </w:tc>
      </w:tr>
      <w:tr>
        <w:trPr>
          <w:trHeight w:val="243"/>
        </w:trPr>
        <w:tc>
          <w:tcPr>
            <w:tcW w:w="4360" w:type="dxa"/>
            <w:vAlign w:val="bottom"/>
          </w:tcPr>
          <w:p>
            <w:pPr>
              <w:ind w:left="120"/>
              <w:spacing w:after="0"/>
              <w:rPr>
                <w:sz w:val="20"/>
                <w:szCs w:val="20"/>
                <w:color w:val="auto"/>
              </w:rPr>
            </w:pPr>
            <w:r>
              <w:rPr>
                <w:rFonts w:ascii="Arial" w:cs="Arial" w:eastAsia="Arial" w:hAnsi="Arial"/>
                <w:sz w:val="18"/>
                <w:szCs w:val="18"/>
                <w:color w:val="auto"/>
              </w:rPr>
              <w:t>Options</w:t>
            </w:r>
          </w:p>
        </w:tc>
        <w:tc>
          <w:tcPr>
            <w:tcW w:w="160" w:type="dxa"/>
            <w:vAlign w:val="bottom"/>
          </w:tcPr>
          <w:p>
            <w:pPr>
              <w:spacing w:after="0"/>
              <w:rPr>
                <w:sz w:val="21"/>
                <w:szCs w:val="21"/>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4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00" w:type="dxa"/>
            <w:vAlign w:val="bottom"/>
          </w:tcPr>
          <w:p>
            <w:pPr>
              <w:jc w:val="right"/>
              <w:ind w:right="76"/>
              <w:spacing w:after="0"/>
              <w:rPr>
                <w:sz w:val="20"/>
                <w:szCs w:val="20"/>
                <w:color w:val="auto"/>
              </w:rPr>
            </w:pPr>
            <w:r>
              <w:rPr>
                <w:rFonts w:ascii="Arial" w:cs="Arial" w:eastAsia="Arial" w:hAnsi="Arial"/>
                <w:sz w:val="18"/>
                <w:szCs w:val="18"/>
                <w:color w:val="auto"/>
              </w:rPr>
              <w:t>5,283,506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5,283,506</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Private Portfolio Companies</w:t>
            </w:r>
          </w:p>
        </w:tc>
        <w:tc>
          <w:tcPr>
            <w:tcW w:w="1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191,585,578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191,585,578</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b w:val="1"/>
                <w:bCs w:val="1"/>
                <w:color w:val="auto"/>
              </w:rPr>
              <w:t>Publicly Traded Portfolio Companies</w:t>
            </w:r>
          </w:p>
        </w:tc>
        <w:tc>
          <w:tcPr>
            <w:tcW w:w="1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Common Stock</w:t>
            </w:r>
          </w:p>
        </w:tc>
        <w:tc>
          <w:tcPr>
            <w:tcW w:w="1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360" w:type="dxa"/>
            <w:vAlign w:val="bottom"/>
          </w:tcPr>
          <w:p>
            <w:pPr>
              <w:ind w:left="20"/>
              <w:spacing w:after="0"/>
              <w:rPr>
                <w:sz w:val="20"/>
                <w:szCs w:val="20"/>
                <w:color w:val="auto"/>
              </w:rPr>
            </w:pPr>
            <w:r>
              <w:rPr>
                <w:rFonts w:ascii="Arial" w:cs="Arial" w:eastAsia="Arial" w:hAnsi="Arial"/>
                <w:sz w:val="18"/>
                <w:szCs w:val="18"/>
                <w:b w:val="1"/>
                <w:bCs w:val="1"/>
                <w:color w:val="auto"/>
              </w:rPr>
              <w:t>Total Portfolio Investments</w:t>
            </w: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191,585,578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191,585,578</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Non-Portfolio Investments</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U.S. Treasury bills</w:t>
            </w:r>
          </w:p>
        </w:tc>
        <w:tc>
          <w:tcPr>
            <w:tcW w:w="160" w:type="dxa"/>
            <w:vAlign w:val="bottom"/>
          </w:tcPr>
          <w:p>
            <w:pPr>
              <w:spacing w:after="0"/>
              <w:rPr>
                <w:sz w:val="21"/>
                <w:szCs w:val="21"/>
                <w:color w:val="auto"/>
              </w:rPr>
            </w:pPr>
          </w:p>
        </w:tc>
        <w:tc>
          <w:tcPr>
            <w:tcW w:w="1460" w:type="dxa"/>
            <w:vAlign w:val="bottom"/>
          </w:tcPr>
          <w:p>
            <w:pPr>
              <w:jc w:val="right"/>
              <w:ind w:right="56"/>
              <w:spacing w:after="0"/>
              <w:rPr>
                <w:sz w:val="20"/>
                <w:szCs w:val="20"/>
                <w:color w:val="auto"/>
              </w:rPr>
            </w:pPr>
            <w:r>
              <w:rPr>
                <w:rFonts w:ascii="Arial" w:cs="Arial" w:eastAsia="Arial" w:hAnsi="Arial"/>
                <w:sz w:val="18"/>
                <w:szCs w:val="18"/>
                <w:color w:val="auto"/>
              </w:rPr>
              <w:t>50,000,000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50,000,000</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Investments at Fair Value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50,000,000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191,585,578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241,585,578</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-3333750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-3333750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-3676650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-3676650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-4379595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-4379595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June 30, 2020</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Unobservable Inputs for Level 3 Assets and Liabilities</w:t>
      </w:r>
    </w:p>
    <w:p>
      <w:pPr>
        <w:spacing w:after="0" w:line="252" w:lineRule="exact"/>
        <w:rPr>
          <w:sz w:val="20"/>
          <w:szCs w:val="20"/>
          <w:color w:val="auto"/>
        </w:rPr>
      </w:pPr>
    </w:p>
    <w:p>
      <w:pPr>
        <w:jc w:val="both"/>
        <w:ind w:right="20" w:firstLine="364"/>
        <w:spacing w:after="0" w:line="254" w:lineRule="auto"/>
        <w:rPr>
          <w:sz w:val="20"/>
          <w:szCs w:val="20"/>
          <w:color w:val="auto"/>
        </w:rPr>
      </w:pPr>
      <w:r>
        <w:rPr>
          <w:rFonts w:ascii="Arial" w:cs="Arial" w:eastAsia="Arial" w:hAnsi="Arial"/>
          <w:sz w:val="18"/>
          <w:szCs w:val="18"/>
          <w:color w:val="auto"/>
        </w:rPr>
        <w:t xml:space="preserve">In accordance with FASB ASC 820, the tables below provide quantitative information about the Company’s fair value measurements of its Level 3 assets as of June 30, 2020 and December 31, 2019. In addition to the techniques and inputs noted in the tables below, according to the Company’s valuation policy, the Company may also use other valuation techniques and methodologies when determining the Company’s fair value measurements. The tables below are not intended to be all-inclusive, but rather provide information on the significant Level 3 inputs as they relate to the Company’s fair value measurements. To the extent an unobservable input is not reflected in the tables below, such input is deemed insignificant with respect to the Company’s Level 3 fair value measurements as of June 30, 2020 and December 31, 2019. Significant changes in the inputs in isolation would result in a significant change in the fair value measurement, depending on the input and the materiality of the investment. Refer to “Note 2—Significant Accounting Policies— </w:t>
      </w:r>
      <w:r>
        <w:rPr>
          <w:rFonts w:ascii="Arial" w:cs="Arial" w:eastAsia="Arial" w:hAnsi="Arial"/>
          <w:sz w:val="18"/>
          <w:szCs w:val="18"/>
          <w:i w:val="1"/>
          <w:iCs w:val="1"/>
          <w:color w:val="auto"/>
        </w:rPr>
        <w:t>Investments at Fair Value</w:t>
      </w:r>
      <w:r>
        <w:rPr>
          <w:rFonts w:ascii="Arial" w:cs="Arial" w:eastAsia="Arial" w:hAnsi="Arial"/>
          <w:sz w:val="18"/>
          <w:szCs w:val="18"/>
          <w:color w:val="auto"/>
        </w:rPr>
        <w:t>” for more detail.</w:t>
      </w: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of June 30, 2020</w:t>
      </w:r>
    </w:p>
    <w:p>
      <w:pPr>
        <w:spacing w:after="0" w:line="129" w:lineRule="exact"/>
        <w:rPr>
          <w:sz w:val="20"/>
          <w:szCs w:val="20"/>
          <w:color w:val="auto"/>
        </w:rPr>
      </w:pPr>
    </w:p>
    <w:tbl>
      <w:tblPr>
        <w:tblLayout w:type="fixed"/>
        <w:tblInd w:w="10" w:type="dxa"/>
        <w:tblCellMar>
          <w:top w:w="0" w:type="dxa"/>
          <w:left w:w="0" w:type="dxa"/>
          <w:bottom w:w="0" w:type="dxa"/>
          <w:right w:w="0" w:type="dxa"/>
        </w:tblCellMar>
      </w:tblPr>
      <w:tr>
        <w:trPr>
          <w:trHeight w:val="148"/>
        </w:trPr>
        <w:tc>
          <w:tcPr>
            <w:tcW w:w="374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Asset</w:t>
            </w:r>
          </w:p>
        </w:tc>
        <w:tc>
          <w:tcPr>
            <w:tcW w:w="1900" w:type="dxa"/>
            <w:vAlign w:val="bottom"/>
            <w:tcBorders>
              <w:top w:val="single" w:sz="8" w:color="auto"/>
              <w:right w:val="single" w:sz="8" w:color="auto"/>
            </w:tcBorders>
            <w:vMerge w:val="restart"/>
          </w:tcPr>
          <w:p>
            <w:pPr>
              <w:ind w:left="600"/>
              <w:spacing w:after="0"/>
              <w:rPr>
                <w:sz w:val="20"/>
                <w:szCs w:val="20"/>
                <w:color w:val="auto"/>
              </w:rPr>
            </w:pPr>
            <w:r>
              <w:rPr>
                <w:rFonts w:ascii="Arial" w:cs="Arial" w:eastAsia="Arial" w:hAnsi="Arial"/>
                <w:sz w:val="14"/>
                <w:szCs w:val="14"/>
                <w:b w:val="1"/>
                <w:bCs w:val="1"/>
                <w:color w:val="auto"/>
              </w:rPr>
              <w:t>Fair Value</w:t>
            </w:r>
          </w:p>
        </w:tc>
        <w:tc>
          <w:tcPr>
            <w:tcW w:w="1860" w:type="dxa"/>
            <w:vAlign w:val="bottom"/>
            <w:tcBorders>
              <w:top w:val="single" w:sz="8" w:color="auto"/>
              <w:right w:val="single" w:sz="8" w:color="auto"/>
            </w:tcBorders>
          </w:tcPr>
          <w:p>
            <w:pPr>
              <w:ind w:left="300"/>
              <w:spacing w:after="0" w:line="149" w:lineRule="exact"/>
              <w:rPr>
                <w:sz w:val="20"/>
                <w:szCs w:val="20"/>
                <w:color w:val="auto"/>
              </w:rPr>
            </w:pPr>
            <w:r>
              <w:rPr>
                <w:rFonts w:ascii="Arial" w:cs="Arial" w:eastAsia="Arial" w:hAnsi="Arial"/>
                <w:sz w:val="14"/>
                <w:szCs w:val="14"/>
                <w:b w:val="1"/>
                <w:bCs w:val="1"/>
                <w:color w:val="auto"/>
              </w:rPr>
              <w:t>Valuation</w:t>
            </w:r>
            <w:r>
              <w:rPr>
                <w:rFonts w:ascii="MS PGothic" w:cs="MS PGothic" w:eastAsia="MS PGothic" w:hAnsi="MS PGothic"/>
                <w:sz w:val="14"/>
                <w:szCs w:val="14"/>
                <w:color w:val="auto"/>
              </w:rPr>
              <w:t> </w:t>
            </w:r>
            <w:r>
              <w:rPr>
                <w:rFonts w:ascii="Arial" w:cs="Arial" w:eastAsia="Arial" w:hAnsi="Arial"/>
                <w:sz w:val="14"/>
                <w:szCs w:val="14"/>
                <w:b w:val="1"/>
                <w:bCs w:val="1"/>
                <w:color w:val="auto"/>
              </w:rPr>
              <w:t>Approach/</w:t>
            </w:r>
            <w:r>
              <w:rPr>
                <w:rFonts w:ascii="MS PGothic" w:cs="MS PGothic" w:eastAsia="MS PGothic" w:hAnsi="MS PGothic"/>
                <w:sz w:val="14"/>
                <w:szCs w:val="14"/>
                <w:color w:val="auto"/>
              </w:rPr>
              <w:t> </w:t>
            </w:r>
          </w:p>
        </w:tc>
        <w:tc>
          <w:tcPr>
            <w:tcW w:w="1880" w:type="dxa"/>
            <w:vAlign w:val="bottom"/>
            <w:tcBorders>
              <w:top w:val="single" w:sz="8" w:color="auto"/>
              <w:right w:val="single" w:sz="8" w:color="auto"/>
            </w:tcBorders>
          </w:tcPr>
          <w:p>
            <w:pPr>
              <w:jc w:val="right"/>
              <w:ind w:right="173"/>
              <w:spacing w:after="0"/>
              <w:rPr>
                <w:sz w:val="20"/>
                <w:szCs w:val="20"/>
                <w:color w:val="auto"/>
              </w:rPr>
            </w:pPr>
            <w:r>
              <w:rPr>
                <w:rFonts w:ascii="Arial" w:cs="Arial" w:eastAsia="Arial" w:hAnsi="Arial"/>
                <w:sz w:val="9"/>
                <w:szCs w:val="9"/>
                <w:b w:val="1"/>
                <w:bCs w:val="1"/>
                <w:color w:val="auto"/>
              </w:rPr>
              <w:t>(2)</w:t>
            </w:r>
          </w:p>
        </w:tc>
        <w:tc>
          <w:tcPr>
            <w:tcW w:w="1680" w:type="dxa"/>
            <w:vAlign w:val="bottom"/>
            <w:tcBorders>
              <w:top w:val="single" w:sz="8" w:color="auto"/>
            </w:tcBorders>
            <w:vMerge w:val="restart"/>
          </w:tcPr>
          <w:p>
            <w:pPr>
              <w:ind w:left="80"/>
              <w:spacing w:after="0" w:line="161" w:lineRule="exact"/>
              <w:rPr>
                <w:sz w:val="20"/>
                <w:szCs w:val="20"/>
                <w:color w:val="auto"/>
              </w:rPr>
            </w:pPr>
            <w:r>
              <w:rPr>
                <w:rFonts w:ascii="Arial" w:cs="Arial" w:eastAsia="Arial" w:hAnsi="Arial"/>
                <w:sz w:val="14"/>
                <w:szCs w:val="14"/>
                <w:b w:val="1"/>
                <w:bCs w:val="1"/>
                <w:color w:val="auto"/>
                <w:w w:val="90"/>
              </w:rPr>
              <w:t>Range</w:t>
            </w:r>
            <w:r>
              <w:rPr>
                <w:rFonts w:ascii="MS PGothic" w:cs="MS PGothic" w:eastAsia="MS PGothic" w:hAnsi="MS PGothic"/>
                <w:sz w:val="14"/>
                <w:szCs w:val="14"/>
                <w:color w:val="auto"/>
                <w:w w:val="90"/>
              </w:rPr>
              <w:t> </w:t>
            </w:r>
            <w:r>
              <w:rPr>
                <w:rFonts w:ascii="Arial" w:cs="Arial" w:eastAsia="Arial" w:hAnsi="Arial"/>
                <w:sz w:val="14"/>
                <w:szCs w:val="14"/>
                <w:b w:val="1"/>
                <w:bCs w:val="1"/>
                <w:color w:val="auto"/>
                <w:w w:val="90"/>
              </w:rPr>
              <w:t>(Weighted Average)</w:t>
            </w:r>
          </w:p>
        </w:tc>
        <w:tc>
          <w:tcPr>
            <w:tcW w:w="200" w:type="dxa"/>
            <w:vAlign w:val="bottom"/>
            <w:tcBorders>
              <w:top w:val="single" w:sz="8" w:color="auto"/>
              <w:right w:val="single" w:sz="8" w:color="auto"/>
            </w:tcBorders>
          </w:tcPr>
          <w:p>
            <w:pPr>
              <w:jc w:val="right"/>
              <w:ind w:right="53"/>
              <w:spacing w:after="0"/>
              <w:rPr>
                <w:sz w:val="20"/>
                <w:szCs w:val="20"/>
                <w:color w:val="auto"/>
              </w:rPr>
            </w:pPr>
            <w:r>
              <w:rPr>
                <w:rFonts w:ascii="Arial" w:cs="Arial" w:eastAsia="Arial" w:hAnsi="Arial"/>
                <w:sz w:val="9"/>
                <w:szCs w:val="9"/>
                <w:b w:val="1"/>
                <w:bCs w:val="1"/>
                <w:color w:val="auto"/>
                <w:w w:val="72"/>
              </w:rPr>
              <w:t>(3)</w:t>
            </w:r>
          </w:p>
        </w:tc>
        <w:tc>
          <w:tcPr>
            <w:tcW w:w="0" w:type="dxa"/>
            <w:vAlign w:val="bottom"/>
          </w:tcPr>
          <w:p>
            <w:pPr>
              <w:spacing w:after="0"/>
              <w:rPr>
                <w:sz w:val="1"/>
                <w:szCs w:val="1"/>
                <w:color w:val="auto"/>
              </w:rPr>
            </w:pPr>
          </w:p>
        </w:tc>
      </w:tr>
      <w:tr>
        <w:trPr>
          <w:trHeight w:val="188"/>
        </w:trPr>
        <w:tc>
          <w:tcPr>
            <w:tcW w:w="374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900" w:type="dxa"/>
            <w:vAlign w:val="bottom"/>
            <w:tcBorders>
              <w:bottom w:val="single" w:sz="8" w:color="auto"/>
              <w:right w:val="single" w:sz="8" w:color="auto"/>
            </w:tcBorders>
            <w:vMerge w:val="continue"/>
          </w:tcPr>
          <w:p>
            <w:pPr>
              <w:spacing w:after="0"/>
              <w:rPr>
                <w:sz w:val="16"/>
                <w:szCs w:val="16"/>
                <w:color w:val="auto"/>
              </w:rPr>
            </w:pP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Technique</w:t>
            </w:r>
            <w:r>
              <w:rPr>
                <w:rFonts w:ascii="Arial" w:cs="Arial" w:eastAsia="Arial" w:hAnsi="Arial"/>
                <w:sz w:val="9"/>
                <w:szCs w:val="9"/>
                <w:b w:val="1"/>
                <w:bCs w:val="1"/>
                <w:color w:val="auto"/>
                <w:w w:val="91"/>
              </w:rPr>
              <w:t>(1)</w:t>
            </w:r>
          </w:p>
        </w:tc>
        <w:tc>
          <w:tcPr>
            <w:tcW w:w="1880" w:type="dxa"/>
            <w:vAlign w:val="bottom"/>
            <w:tcBorders>
              <w:bottom w:val="single" w:sz="8" w:color="auto"/>
              <w:right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Unobservable Inputs</w:t>
            </w:r>
          </w:p>
        </w:tc>
        <w:tc>
          <w:tcPr>
            <w:tcW w:w="16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3740" w:type="dxa"/>
            <w:vAlign w:val="bottom"/>
            <w:tcBorders>
              <w:left w:val="single" w:sz="8" w:color="auto"/>
              <w:right w:val="single" w:sz="8" w:color="auto"/>
            </w:tcBorders>
          </w:tcPr>
          <w:p>
            <w:pPr>
              <w:spacing w:after="0"/>
              <w:rPr>
                <w:sz w:val="23"/>
                <w:szCs w:val="23"/>
                <w:color w:val="auto"/>
              </w:rPr>
            </w:pPr>
          </w:p>
        </w:tc>
        <w:tc>
          <w:tcPr>
            <w:tcW w:w="1900" w:type="dxa"/>
            <w:vAlign w:val="bottom"/>
            <w:tcBorders>
              <w:right w:val="single" w:sz="8" w:color="auto"/>
            </w:tcBorders>
          </w:tcPr>
          <w:p>
            <w:pPr>
              <w:spacing w:after="0"/>
              <w:rPr>
                <w:sz w:val="23"/>
                <w:szCs w:val="23"/>
                <w:color w:val="auto"/>
              </w:rPr>
            </w:pPr>
          </w:p>
        </w:tc>
        <w:tc>
          <w:tcPr>
            <w:tcW w:w="1860" w:type="dxa"/>
            <w:vAlign w:val="bottom"/>
            <w:tcBorders>
              <w:right w:val="single" w:sz="8" w:color="auto"/>
            </w:tcBorders>
          </w:tcPr>
          <w:p>
            <w:pPr>
              <w:spacing w:after="0"/>
              <w:rPr>
                <w:sz w:val="23"/>
                <w:szCs w:val="23"/>
                <w:color w:val="auto"/>
              </w:rPr>
            </w:pP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AFFO</w:t>
            </w:r>
            <w:r>
              <w:rPr>
                <w:rFonts w:ascii="Arial" w:cs="Arial" w:eastAsia="Arial" w:hAnsi="Arial"/>
                <w:sz w:val="23"/>
                <w:szCs w:val="23"/>
                <w:color w:val="auto"/>
                <w:w w:val="92"/>
                <w:vertAlign w:val="superscript"/>
              </w:rPr>
              <w:t>(4)</w:t>
            </w:r>
            <w:r>
              <w:rPr>
                <w:rFonts w:ascii="Arial" w:cs="Arial" w:eastAsia="Arial" w:hAnsi="Arial"/>
                <w:sz w:val="18"/>
                <w:szCs w:val="18"/>
                <w:color w:val="auto"/>
                <w:w w:val="92"/>
              </w:rPr>
              <w:t xml:space="preserve"> multiple</w:t>
            </w:r>
          </w:p>
        </w:tc>
        <w:tc>
          <w:tcPr>
            <w:tcW w:w="18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25.10x - 25.10x (25.10x)</w:t>
            </w:r>
          </w:p>
        </w:tc>
        <w:tc>
          <w:tcPr>
            <w:tcW w:w="0" w:type="dxa"/>
            <w:vAlign w:val="bottom"/>
          </w:tcPr>
          <w:p>
            <w:pPr>
              <w:spacing w:after="0"/>
              <w:rPr>
                <w:sz w:val="1"/>
                <w:szCs w:val="1"/>
                <w:color w:val="auto"/>
              </w:rPr>
            </w:pPr>
          </w:p>
        </w:tc>
      </w:tr>
      <w:tr>
        <w:trPr>
          <w:trHeight w:val="263"/>
        </w:trPr>
        <w:tc>
          <w:tcPr>
            <w:tcW w:w="3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Common stock in</w:t>
            </w: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$54,893,315</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Market approach</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Revenue multiples</w:t>
            </w:r>
          </w:p>
        </w:tc>
        <w:tc>
          <w:tcPr>
            <w:tcW w:w="18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1.31x - 4.48x (4.04x)</w:t>
            </w:r>
          </w:p>
        </w:tc>
        <w:tc>
          <w:tcPr>
            <w:tcW w:w="0" w:type="dxa"/>
            <w:vAlign w:val="bottom"/>
          </w:tcPr>
          <w:p>
            <w:pPr>
              <w:spacing w:after="0"/>
              <w:rPr>
                <w:sz w:val="1"/>
                <w:szCs w:val="1"/>
                <w:color w:val="auto"/>
              </w:rPr>
            </w:pPr>
          </w:p>
        </w:tc>
      </w:tr>
      <w:tr>
        <w:trPr>
          <w:trHeight w:val="88"/>
        </w:trPr>
        <w:tc>
          <w:tcPr>
            <w:tcW w:w="3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private companies</w:t>
            </w:r>
          </w:p>
        </w:tc>
        <w:tc>
          <w:tcPr>
            <w:tcW w:w="1900" w:type="dxa"/>
            <w:vAlign w:val="bottom"/>
            <w:tcBorders>
              <w:right w:val="single" w:sz="8" w:color="auto"/>
            </w:tcBorders>
            <w:vMerge w:val="continue"/>
          </w:tcPr>
          <w:p>
            <w:pPr>
              <w:spacing w:after="0"/>
              <w:rPr>
                <w:sz w:val="7"/>
                <w:szCs w:val="7"/>
                <w:color w:val="auto"/>
              </w:rPr>
            </w:pPr>
          </w:p>
        </w:tc>
        <w:tc>
          <w:tcPr>
            <w:tcW w:w="1860" w:type="dxa"/>
            <w:vAlign w:val="bottom"/>
            <w:tcBorders>
              <w:right w:val="single" w:sz="8" w:color="auto"/>
            </w:tcBorders>
          </w:tcPr>
          <w:p>
            <w:pPr>
              <w:spacing w:after="0"/>
              <w:rPr>
                <w:sz w:val="7"/>
                <w:szCs w:val="7"/>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Liquidation value</w:t>
            </w:r>
          </w:p>
        </w:tc>
        <w:tc>
          <w:tcPr>
            <w:tcW w:w="1680" w:type="dxa"/>
            <w:vAlign w:val="bottom"/>
            <w:vMerge w:val="restart"/>
          </w:tcPr>
          <w:p>
            <w:pPr>
              <w:ind w:left="780"/>
              <w:spacing w:after="0"/>
              <w:rPr>
                <w:sz w:val="20"/>
                <w:szCs w:val="20"/>
                <w:color w:val="auto"/>
              </w:rPr>
            </w:pPr>
            <w:r>
              <w:rPr>
                <w:rFonts w:ascii="Arial" w:cs="Arial" w:eastAsia="Arial" w:hAnsi="Arial"/>
                <w:sz w:val="18"/>
                <w:szCs w:val="18"/>
                <w:color w:val="auto"/>
              </w:rPr>
              <w:t>N/A</w:t>
            </w:r>
          </w:p>
        </w:tc>
        <w:tc>
          <w:tcPr>
            <w:tcW w:w="2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740" w:type="dxa"/>
            <w:vAlign w:val="bottom"/>
            <w:tcBorders>
              <w:left w:val="single" w:sz="8" w:color="auto"/>
              <w:right w:val="single" w:sz="8" w:color="auto"/>
            </w:tcBorders>
            <w:vMerge w:val="continue"/>
          </w:tcPr>
          <w:p>
            <w:pPr>
              <w:spacing w:after="0"/>
              <w:rPr>
                <w:sz w:val="12"/>
                <w:szCs w:val="12"/>
                <w:color w:val="auto"/>
              </w:rPr>
            </w:pPr>
          </w:p>
        </w:tc>
        <w:tc>
          <w:tcPr>
            <w:tcW w:w="1900" w:type="dxa"/>
            <w:vAlign w:val="bottom"/>
            <w:tcBorders>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880" w:type="dxa"/>
            <w:vAlign w:val="bottom"/>
            <w:tcBorders>
              <w:right w:val="single" w:sz="8" w:color="auto"/>
            </w:tcBorders>
            <w:vMerge w:val="continue"/>
          </w:tcPr>
          <w:p>
            <w:pPr>
              <w:spacing w:after="0"/>
              <w:rPr>
                <w:sz w:val="12"/>
                <w:szCs w:val="12"/>
                <w:color w:val="auto"/>
              </w:rPr>
            </w:pPr>
          </w:p>
        </w:tc>
        <w:tc>
          <w:tcPr>
            <w:tcW w:w="1680" w:type="dxa"/>
            <w:vAlign w:val="bottom"/>
            <w:vMerge w:val="continu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740" w:type="dxa"/>
            <w:vAlign w:val="bottom"/>
            <w:tcBorders>
              <w:left w:val="single" w:sz="8" w:color="auto"/>
              <w:right w:val="single" w:sz="8" w:color="auto"/>
            </w:tcBorders>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740" w:type="dxa"/>
            <w:vAlign w:val="bottom"/>
            <w:tcBorders>
              <w:left w:val="single" w:sz="8" w:color="auto"/>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Discounted cash flow</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Discount rate</w:t>
            </w:r>
          </w:p>
        </w:tc>
        <w:tc>
          <w:tcPr>
            <w:tcW w:w="1680" w:type="dxa"/>
            <w:vAlign w:val="bottom"/>
          </w:tcPr>
          <w:p>
            <w:pPr>
              <w:jc w:val="center"/>
              <w:ind w:left="91"/>
              <w:spacing w:after="0"/>
              <w:rPr>
                <w:sz w:val="20"/>
                <w:szCs w:val="20"/>
                <w:color w:val="auto"/>
              </w:rPr>
            </w:pPr>
            <w:r>
              <w:rPr>
                <w:rFonts w:ascii="Arial" w:cs="Arial" w:eastAsia="Arial" w:hAnsi="Arial"/>
                <w:sz w:val="18"/>
                <w:szCs w:val="18"/>
                <w:color w:val="auto"/>
                <w:w w:val="92"/>
              </w:rPr>
              <w:t>12.0% (12.0%)</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Borders>
              <w:left w:val="single" w:sz="8" w:color="auto"/>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1860" w:type="dxa"/>
            <w:vAlign w:val="bottom"/>
            <w:tcBorders>
              <w:right w:val="single" w:sz="8" w:color="auto"/>
            </w:tcBorders>
          </w:tcPr>
          <w:p>
            <w:pPr>
              <w:spacing w:after="0"/>
              <w:rPr>
                <w:sz w:val="20"/>
                <w:szCs w:val="20"/>
                <w:color w:val="auto"/>
              </w:rPr>
            </w:pP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Revenue multiples</w:t>
            </w:r>
          </w:p>
        </w:tc>
        <w:tc>
          <w:tcPr>
            <w:tcW w:w="18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2.34x - 3.83x (2.71x)</w:t>
            </w:r>
          </w:p>
        </w:tc>
        <w:tc>
          <w:tcPr>
            <w:tcW w:w="0" w:type="dxa"/>
            <w:vAlign w:val="bottom"/>
          </w:tcPr>
          <w:p>
            <w:pPr>
              <w:spacing w:after="0"/>
              <w:rPr>
                <w:sz w:val="1"/>
                <w:szCs w:val="1"/>
                <w:color w:val="auto"/>
              </w:rPr>
            </w:pPr>
          </w:p>
        </w:tc>
      </w:tr>
      <w:tr>
        <w:trPr>
          <w:trHeight w:val="27"/>
        </w:trPr>
        <w:tc>
          <w:tcPr>
            <w:tcW w:w="3740" w:type="dxa"/>
            <w:vAlign w:val="bottom"/>
            <w:tcBorders>
              <w:left w:val="single" w:sz="8" w:color="auto"/>
              <w:right w:val="single" w:sz="8" w:color="auto"/>
            </w:tcBorders>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1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Market approach</w:t>
            </w:r>
          </w:p>
        </w:tc>
        <w:tc>
          <w:tcPr>
            <w:tcW w:w="18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740" w:type="dxa"/>
            <w:vAlign w:val="bottom"/>
            <w:tcBorders>
              <w:left w:val="single" w:sz="8" w:color="auto"/>
              <w:right w:val="single" w:sz="8" w:color="auto"/>
            </w:tcBorders>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1860" w:type="dxa"/>
            <w:vAlign w:val="bottom"/>
            <w:tcBorders>
              <w:right w:val="single" w:sz="8" w:color="auto"/>
            </w:tcBorders>
            <w:vMerge w:val="continue"/>
          </w:tcPr>
          <w:p>
            <w:pPr>
              <w:spacing w:after="0"/>
              <w:rPr>
                <w:sz w:val="19"/>
                <w:szCs w:val="19"/>
                <w:color w:val="auto"/>
              </w:rPr>
            </w:pP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Precedent</w:t>
            </w:r>
          </w:p>
        </w:tc>
        <w:tc>
          <w:tcPr>
            <w:tcW w:w="1680" w:type="dxa"/>
            <w:vAlign w:val="bottom"/>
            <w:vMerge w:val="restart"/>
          </w:tcPr>
          <w:p>
            <w:pPr>
              <w:ind w:left="780"/>
              <w:spacing w:after="0"/>
              <w:rPr>
                <w:sz w:val="20"/>
                <w:szCs w:val="20"/>
                <w:color w:val="auto"/>
              </w:rPr>
            </w:pPr>
            <w:r>
              <w:rPr>
                <w:rFonts w:ascii="Arial" w:cs="Arial" w:eastAsia="Arial" w:hAnsi="Arial"/>
                <w:sz w:val="18"/>
                <w:szCs w:val="18"/>
                <w:color w:val="auto"/>
              </w:rPr>
              <w:t>N/A</w:t>
            </w:r>
          </w:p>
        </w:tc>
        <w:tc>
          <w:tcPr>
            <w:tcW w:w="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3740" w:type="dxa"/>
            <w:vAlign w:val="bottom"/>
            <w:tcBorders>
              <w:left w:val="single" w:sz="8" w:color="auto"/>
              <w:right w:val="single" w:sz="8" w:color="auto"/>
            </w:tcBorders>
          </w:tcPr>
          <w:p>
            <w:pPr>
              <w:spacing w:after="0"/>
              <w:rPr>
                <w:sz w:val="10"/>
                <w:szCs w:val="10"/>
                <w:color w:val="auto"/>
              </w:rPr>
            </w:pPr>
          </w:p>
        </w:tc>
        <w:tc>
          <w:tcPr>
            <w:tcW w:w="1900" w:type="dxa"/>
            <w:vAlign w:val="bottom"/>
            <w:tcBorders>
              <w:right w:val="single" w:sz="8" w:color="auto"/>
            </w:tcBorders>
          </w:tcPr>
          <w:p>
            <w:pPr>
              <w:spacing w:after="0"/>
              <w:rPr>
                <w:sz w:val="10"/>
                <w:szCs w:val="10"/>
                <w:color w:val="auto"/>
              </w:rPr>
            </w:pPr>
          </w:p>
        </w:tc>
        <w:tc>
          <w:tcPr>
            <w:tcW w:w="1860" w:type="dxa"/>
            <w:vAlign w:val="bottom"/>
            <w:tcBorders>
              <w:right w:val="single" w:sz="8" w:color="auto"/>
            </w:tcBorders>
          </w:tcPr>
          <w:p>
            <w:pPr>
              <w:spacing w:after="0"/>
              <w:rPr>
                <w:sz w:val="10"/>
                <w:szCs w:val="10"/>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transactions</w:t>
            </w:r>
          </w:p>
        </w:tc>
        <w:tc>
          <w:tcPr>
            <w:tcW w:w="1680" w:type="dxa"/>
            <w:vAlign w:val="bottom"/>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Preferred stock in</w:t>
            </w:r>
          </w:p>
        </w:tc>
        <w:tc>
          <w:tcPr>
            <w:tcW w:w="1900" w:type="dxa"/>
            <w:vAlign w:val="bottom"/>
            <w:tcBorders>
              <w:right w:val="single" w:sz="8" w:color="auto"/>
            </w:tcBorders>
          </w:tcPr>
          <w:p>
            <w:pPr>
              <w:spacing w:after="0"/>
              <w:rPr>
                <w:sz w:val="9"/>
                <w:szCs w:val="9"/>
                <w:color w:val="auto"/>
              </w:rPr>
            </w:pPr>
          </w:p>
        </w:tc>
        <w:tc>
          <w:tcPr>
            <w:tcW w:w="1860" w:type="dxa"/>
            <w:vAlign w:val="bottom"/>
            <w:tcBorders>
              <w:right w:val="single" w:sz="8" w:color="auto"/>
            </w:tcBorders>
          </w:tcPr>
          <w:p>
            <w:pPr>
              <w:spacing w:after="0"/>
              <w:rPr>
                <w:sz w:val="9"/>
                <w:szCs w:val="9"/>
                <w:color w:val="auto"/>
              </w:rPr>
            </w:pPr>
          </w:p>
        </w:tc>
        <w:tc>
          <w:tcPr>
            <w:tcW w:w="1880" w:type="dxa"/>
            <w:vAlign w:val="bottom"/>
            <w:tcBorders>
              <w:right w:val="single" w:sz="8" w:color="auto"/>
            </w:tcBorders>
            <w:vMerge w:val="continue"/>
          </w:tcPr>
          <w:p>
            <w:pPr>
              <w:spacing w:after="0"/>
              <w:rPr>
                <w:sz w:val="9"/>
                <w:szCs w:val="9"/>
                <w:color w:val="auto"/>
              </w:rPr>
            </w:pPr>
          </w:p>
        </w:tc>
        <w:tc>
          <w:tcPr>
            <w:tcW w:w="168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740" w:type="dxa"/>
            <w:vAlign w:val="bottom"/>
            <w:tcBorders>
              <w:left w:val="single" w:sz="8" w:color="auto"/>
              <w:right w:val="single" w:sz="8" w:color="auto"/>
            </w:tcBorders>
            <w:vMerge w:val="continue"/>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3740" w:type="dxa"/>
            <w:vAlign w:val="bottom"/>
            <w:tcBorders>
              <w:left w:val="single" w:sz="8" w:color="auto"/>
              <w:right w:val="single" w:sz="8" w:color="auto"/>
            </w:tcBorders>
            <w:vMerge w:val="continue"/>
          </w:tcPr>
          <w:p>
            <w:pPr>
              <w:spacing w:after="0"/>
              <w:rPr>
                <w:sz w:val="9"/>
                <w:szCs w:val="9"/>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$132,789,236</w:t>
            </w:r>
          </w:p>
        </w:tc>
        <w:tc>
          <w:tcPr>
            <w:tcW w:w="1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Discounted cash flow</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Discount rate</w:t>
            </w:r>
          </w:p>
        </w:tc>
        <w:tc>
          <w:tcPr>
            <w:tcW w:w="1680" w:type="dxa"/>
            <w:vAlign w:val="bottom"/>
            <w:vMerge w:val="restart"/>
          </w:tcPr>
          <w:p>
            <w:pPr>
              <w:jc w:val="center"/>
              <w:ind w:left="91"/>
              <w:spacing w:after="0"/>
              <w:rPr>
                <w:sz w:val="20"/>
                <w:szCs w:val="20"/>
                <w:color w:val="auto"/>
              </w:rPr>
            </w:pPr>
            <w:r>
              <w:rPr>
                <w:rFonts w:ascii="Arial" w:cs="Arial" w:eastAsia="Arial" w:hAnsi="Arial"/>
                <w:sz w:val="18"/>
                <w:szCs w:val="18"/>
                <w:color w:val="auto"/>
                <w:w w:val="92"/>
              </w:rPr>
              <w:t>12.0% (12.0%)</w:t>
            </w:r>
          </w:p>
        </w:tc>
        <w:tc>
          <w:tcPr>
            <w:tcW w:w="2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private companies</w:t>
            </w:r>
          </w:p>
        </w:tc>
        <w:tc>
          <w:tcPr>
            <w:tcW w:w="1900" w:type="dxa"/>
            <w:vAlign w:val="bottom"/>
            <w:tcBorders>
              <w:right w:val="single" w:sz="8" w:color="auto"/>
            </w:tcBorders>
            <w:vMerge w:val="continue"/>
          </w:tcPr>
          <w:p>
            <w:pPr>
              <w:spacing w:after="0"/>
              <w:rPr>
                <w:sz w:val="10"/>
                <w:szCs w:val="10"/>
                <w:color w:val="auto"/>
              </w:rPr>
            </w:pPr>
          </w:p>
        </w:tc>
        <w:tc>
          <w:tcPr>
            <w:tcW w:w="1860" w:type="dxa"/>
            <w:vAlign w:val="bottom"/>
            <w:tcBorders>
              <w:right w:val="single" w:sz="8" w:color="auto"/>
            </w:tcBorders>
            <w:vMerge w:val="continue"/>
          </w:tcPr>
          <w:p>
            <w:pPr>
              <w:spacing w:after="0"/>
              <w:rPr>
                <w:sz w:val="10"/>
                <w:szCs w:val="10"/>
                <w:color w:val="auto"/>
              </w:rPr>
            </w:pPr>
          </w:p>
        </w:tc>
        <w:tc>
          <w:tcPr>
            <w:tcW w:w="1880" w:type="dxa"/>
            <w:vAlign w:val="bottom"/>
            <w:tcBorders>
              <w:right w:val="single" w:sz="8" w:color="auto"/>
            </w:tcBorders>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3740" w:type="dxa"/>
            <w:vAlign w:val="bottom"/>
            <w:tcBorders>
              <w:left w:val="single" w:sz="8" w:color="auto"/>
              <w:right w:val="single" w:sz="8" w:color="auto"/>
            </w:tcBorders>
            <w:vMerge w:val="continue"/>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3740" w:type="dxa"/>
            <w:vAlign w:val="bottom"/>
            <w:tcBorders>
              <w:left w:val="single" w:sz="8" w:color="auto"/>
              <w:right w:val="single" w:sz="8" w:color="auto"/>
            </w:tcBorders>
            <w:vMerge w:val="continue"/>
          </w:tcPr>
          <w:p>
            <w:pPr>
              <w:spacing w:after="0"/>
              <w:rPr>
                <w:sz w:val="5"/>
                <w:szCs w:val="5"/>
                <w:color w:val="auto"/>
              </w:rPr>
            </w:pPr>
          </w:p>
        </w:tc>
        <w:tc>
          <w:tcPr>
            <w:tcW w:w="1900" w:type="dxa"/>
            <w:vAlign w:val="bottom"/>
            <w:tcBorders>
              <w:right w:val="single" w:sz="8" w:color="auto"/>
            </w:tcBorders>
          </w:tcPr>
          <w:p>
            <w:pPr>
              <w:spacing w:after="0"/>
              <w:rPr>
                <w:sz w:val="5"/>
                <w:szCs w:val="5"/>
                <w:color w:val="auto"/>
              </w:rPr>
            </w:pPr>
          </w:p>
        </w:tc>
        <w:tc>
          <w:tcPr>
            <w:tcW w:w="1860" w:type="dxa"/>
            <w:vAlign w:val="bottom"/>
            <w:tcBorders>
              <w:right w:val="single" w:sz="8" w:color="auto"/>
            </w:tcBorders>
          </w:tcPr>
          <w:p>
            <w:pPr>
              <w:spacing w:after="0"/>
              <w:rPr>
                <w:sz w:val="5"/>
                <w:szCs w:val="5"/>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Revenue multiples</w:t>
            </w:r>
          </w:p>
        </w:tc>
        <w:tc>
          <w:tcPr>
            <w:tcW w:w="1680" w:type="dxa"/>
            <w:vAlign w:val="bottom"/>
            <w:vMerge w:val="restart"/>
          </w:tcPr>
          <w:p>
            <w:pPr>
              <w:jc w:val="center"/>
              <w:ind w:left="71"/>
              <w:spacing w:after="0"/>
              <w:rPr>
                <w:sz w:val="20"/>
                <w:szCs w:val="20"/>
                <w:color w:val="auto"/>
              </w:rPr>
            </w:pPr>
            <w:r>
              <w:rPr>
                <w:rFonts w:ascii="Arial" w:cs="Arial" w:eastAsia="Arial" w:hAnsi="Arial"/>
                <w:sz w:val="18"/>
                <w:szCs w:val="18"/>
                <w:color w:val="auto"/>
                <w:w w:val="92"/>
              </w:rPr>
              <w:t>1.00x - 2.93x</w:t>
            </w:r>
          </w:p>
        </w:tc>
        <w:tc>
          <w:tcPr>
            <w:tcW w:w="2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3740" w:type="dxa"/>
            <w:vAlign w:val="bottom"/>
            <w:tcBorders>
              <w:left w:val="single" w:sz="8" w:color="auto"/>
              <w:right w:val="single" w:sz="8" w:color="auto"/>
            </w:tcBorders>
          </w:tcPr>
          <w:p>
            <w:pPr>
              <w:spacing w:after="0"/>
              <w:rPr>
                <w:sz w:val="14"/>
                <w:szCs w:val="14"/>
                <w:color w:val="auto"/>
              </w:rPr>
            </w:pPr>
          </w:p>
        </w:tc>
        <w:tc>
          <w:tcPr>
            <w:tcW w:w="1900" w:type="dxa"/>
            <w:vAlign w:val="bottom"/>
            <w:tcBorders>
              <w:right w:val="single" w:sz="8" w:color="auto"/>
            </w:tcBorders>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740" w:type="dxa"/>
            <w:vAlign w:val="bottom"/>
            <w:tcBorders>
              <w:left w:val="single" w:sz="8" w:color="auto"/>
              <w:right w:val="single" w:sz="8" w:color="auto"/>
            </w:tcBorders>
          </w:tcPr>
          <w:p>
            <w:pPr>
              <w:spacing w:after="0"/>
              <w:rPr>
                <w:sz w:val="10"/>
                <w:szCs w:val="10"/>
                <w:color w:val="auto"/>
              </w:rPr>
            </w:pPr>
          </w:p>
        </w:tc>
        <w:tc>
          <w:tcPr>
            <w:tcW w:w="1900" w:type="dxa"/>
            <w:vAlign w:val="bottom"/>
            <w:tcBorders>
              <w:right w:val="single" w:sz="8" w:color="auto"/>
            </w:tcBorders>
          </w:tcPr>
          <w:p>
            <w:pPr>
              <w:spacing w:after="0"/>
              <w:rPr>
                <w:sz w:val="10"/>
                <w:szCs w:val="10"/>
                <w:color w:val="auto"/>
              </w:rPr>
            </w:pPr>
          </w:p>
        </w:tc>
        <w:tc>
          <w:tcPr>
            <w:tcW w:w="1860" w:type="dxa"/>
            <w:vAlign w:val="bottom"/>
            <w:tcBorders>
              <w:right w:val="single" w:sz="8" w:color="auto"/>
            </w:tcBorders>
            <w:vMerge w:val="restart"/>
          </w:tcPr>
          <w:p>
            <w:pPr>
              <w:jc w:val="center"/>
              <w:spacing w:after="0" w:line="257" w:lineRule="exact"/>
              <w:rPr>
                <w:sz w:val="20"/>
                <w:szCs w:val="20"/>
                <w:color w:val="auto"/>
              </w:rPr>
            </w:pPr>
            <w:r>
              <w:rPr>
                <w:rFonts w:ascii="Arial" w:cs="Arial" w:eastAsia="Arial" w:hAnsi="Arial"/>
                <w:sz w:val="18"/>
                <w:szCs w:val="18"/>
                <w:color w:val="auto"/>
                <w:w w:val="91"/>
              </w:rPr>
              <w:t>PWERM</w:t>
            </w:r>
            <w:r>
              <w:rPr>
                <w:rFonts w:ascii="Arial" w:cs="Arial" w:eastAsia="Arial" w:hAnsi="Arial"/>
                <w:sz w:val="23"/>
                <w:szCs w:val="23"/>
                <w:color w:val="auto"/>
                <w:w w:val="91"/>
                <w:vertAlign w:val="superscript"/>
              </w:rPr>
              <w:t>(5)</w:t>
            </w:r>
          </w:p>
        </w:tc>
        <w:tc>
          <w:tcPr>
            <w:tcW w:w="1880" w:type="dxa"/>
            <w:vAlign w:val="bottom"/>
            <w:tcBorders>
              <w:right w:val="single" w:sz="8" w:color="auto"/>
            </w:tcBorders>
            <w:vMerge w:val="continue"/>
          </w:tcPr>
          <w:p>
            <w:pPr>
              <w:spacing w:after="0"/>
              <w:rPr>
                <w:sz w:val="10"/>
                <w:szCs w:val="10"/>
                <w:color w:val="auto"/>
              </w:rPr>
            </w:pPr>
          </w:p>
        </w:tc>
        <w:tc>
          <w:tcPr>
            <w:tcW w:w="1680" w:type="dxa"/>
            <w:vAlign w:val="bottom"/>
            <w:vMerge w:val="restart"/>
          </w:tcPr>
          <w:p>
            <w:pPr>
              <w:jc w:val="center"/>
              <w:ind w:left="91"/>
              <w:spacing w:after="0"/>
              <w:rPr>
                <w:sz w:val="20"/>
                <w:szCs w:val="20"/>
                <w:color w:val="auto"/>
              </w:rPr>
            </w:pPr>
            <w:r>
              <w:rPr>
                <w:rFonts w:ascii="Arial" w:cs="Arial" w:eastAsia="Arial" w:hAnsi="Arial"/>
                <w:sz w:val="18"/>
                <w:szCs w:val="18"/>
                <w:color w:val="auto"/>
                <w:w w:val="96"/>
              </w:rPr>
              <w:t>(2.90x)</w:t>
            </w:r>
          </w:p>
        </w:tc>
        <w:tc>
          <w:tcPr>
            <w:tcW w:w="2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740" w:type="dxa"/>
            <w:vAlign w:val="bottom"/>
            <w:tcBorders>
              <w:left w:val="single" w:sz="8" w:color="auto"/>
              <w:right w:val="single" w:sz="8" w:color="auto"/>
            </w:tcBorders>
          </w:tcPr>
          <w:p>
            <w:pPr>
              <w:spacing w:after="0"/>
              <w:rPr>
                <w:sz w:val="11"/>
                <w:szCs w:val="11"/>
                <w:color w:val="auto"/>
              </w:rPr>
            </w:pPr>
          </w:p>
        </w:tc>
        <w:tc>
          <w:tcPr>
            <w:tcW w:w="1900" w:type="dxa"/>
            <w:vAlign w:val="bottom"/>
            <w:tcBorders>
              <w:right w:val="single" w:sz="8" w:color="auto"/>
            </w:tcBorders>
          </w:tcPr>
          <w:p>
            <w:pPr>
              <w:spacing w:after="0"/>
              <w:rPr>
                <w:sz w:val="11"/>
                <w:szCs w:val="11"/>
                <w:color w:val="auto"/>
              </w:rPr>
            </w:pPr>
          </w:p>
        </w:tc>
        <w:tc>
          <w:tcPr>
            <w:tcW w:w="1860" w:type="dxa"/>
            <w:vAlign w:val="bottom"/>
            <w:tcBorders>
              <w:right w:val="single" w:sz="8" w:color="auto"/>
            </w:tcBorders>
            <w:vMerge w:val="continue"/>
          </w:tcPr>
          <w:p>
            <w:pPr>
              <w:spacing w:after="0"/>
              <w:rPr>
                <w:sz w:val="11"/>
                <w:szCs w:val="11"/>
                <w:color w:val="auto"/>
              </w:rPr>
            </w:pPr>
          </w:p>
        </w:tc>
        <w:tc>
          <w:tcPr>
            <w:tcW w:w="1880" w:type="dxa"/>
            <w:vAlign w:val="bottom"/>
            <w:tcBorders>
              <w:bottom w:val="single" w:sz="8" w:color="auto"/>
              <w:right w:val="single" w:sz="8" w:color="auto"/>
            </w:tcBorders>
          </w:tcPr>
          <w:p>
            <w:pPr>
              <w:spacing w:after="0"/>
              <w:rPr>
                <w:sz w:val="11"/>
                <w:szCs w:val="11"/>
                <w:color w:val="auto"/>
              </w:rPr>
            </w:pPr>
          </w:p>
        </w:tc>
        <w:tc>
          <w:tcPr>
            <w:tcW w:w="1680" w:type="dxa"/>
            <w:vAlign w:val="bottom"/>
            <w:tcBorders>
              <w:bottom w:val="single" w:sz="8" w:color="auto"/>
            </w:tcBorders>
            <w:vMerge w:val="continue"/>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3740" w:type="dxa"/>
            <w:vAlign w:val="bottom"/>
            <w:tcBorders>
              <w:left w:val="single" w:sz="8" w:color="auto"/>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1860" w:type="dxa"/>
            <w:vAlign w:val="bottom"/>
            <w:tcBorders>
              <w:right w:val="single" w:sz="8" w:color="auto"/>
            </w:tcBorders>
          </w:tcPr>
          <w:p>
            <w:pPr>
              <w:spacing w:after="0"/>
              <w:rPr>
                <w:sz w:val="20"/>
                <w:szCs w:val="20"/>
                <w:color w:val="auto"/>
              </w:rPr>
            </w:pP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Precedent transactions</w:t>
            </w:r>
          </w:p>
        </w:tc>
        <w:tc>
          <w:tcPr>
            <w:tcW w:w="1680" w:type="dxa"/>
            <w:vAlign w:val="bottom"/>
          </w:tcPr>
          <w:p>
            <w:pPr>
              <w:ind w:left="780"/>
              <w:spacing w:after="0"/>
              <w:rPr>
                <w:sz w:val="20"/>
                <w:szCs w:val="20"/>
                <w:color w:val="auto"/>
              </w:rPr>
            </w:pPr>
            <w:r>
              <w:rPr>
                <w:rFonts w:ascii="Arial" w:cs="Arial" w:eastAsia="Arial" w:hAnsi="Arial"/>
                <w:sz w:val="18"/>
                <w:szCs w:val="18"/>
                <w:color w:val="auto"/>
              </w:rPr>
              <w:t>N/A</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Borders>
              <w:left w:val="single" w:sz="8" w:color="auto"/>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Market approach</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Revenue multiples</w:t>
            </w:r>
          </w:p>
        </w:tc>
        <w:tc>
          <w:tcPr>
            <w:tcW w:w="18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1.31x - 1.42x (1.36x)</w:t>
            </w:r>
          </w:p>
        </w:tc>
        <w:tc>
          <w:tcPr>
            <w:tcW w:w="0" w:type="dxa"/>
            <w:vAlign w:val="bottom"/>
          </w:tcPr>
          <w:p>
            <w:pPr>
              <w:spacing w:after="0"/>
              <w:rPr>
                <w:sz w:val="1"/>
                <w:szCs w:val="1"/>
                <w:color w:val="auto"/>
              </w:rPr>
            </w:pPr>
          </w:p>
        </w:tc>
      </w:tr>
      <w:tr>
        <w:trPr>
          <w:trHeight w:val="27"/>
        </w:trPr>
        <w:tc>
          <w:tcPr>
            <w:tcW w:w="3740" w:type="dxa"/>
            <w:vAlign w:val="bottom"/>
            <w:tcBorders>
              <w:left w:val="single" w:sz="8" w:color="auto"/>
              <w:right w:val="single" w:sz="8" w:color="auto"/>
            </w:tcBorders>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Debt investments</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$8,224,227</w:t>
            </w:r>
          </w:p>
        </w:tc>
        <w:tc>
          <w:tcPr>
            <w:tcW w:w="1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PWERM</w:t>
            </w:r>
            <w:r>
              <w:rPr>
                <w:rFonts w:ascii="Arial" w:cs="Arial" w:eastAsia="Arial" w:hAnsi="Arial"/>
                <w:sz w:val="23"/>
                <w:szCs w:val="23"/>
                <w:color w:val="auto"/>
                <w:w w:val="91"/>
                <w:vertAlign w:val="superscript"/>
              </w:rPr>
              <w:t>(5)</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Revenue multiples</w:t>
            </w:r>
          </w:p>
        </w:tc>
        <w:tc>
          <w:tcPr>
            <w:tcW w:w="1680" w:type="dxa"/>
            <w:vAlign w:val="bottom"/>
          </w:tcPr>
          <w:p>
            <w:pPr>
              <w:ind w:left="780"/>
              <w:spacing w:after="0"/>
              <w:rPr>
                <w:sz w:val="20"/>
                <w:szCs w:val="20"/>
                <w:color w:val="auto"/>
              </w:rPr>
            </w:pPr>
            <w:r>
              <w:rPr>
                <w:rFonts w:ascii="Arial" w:cs="Arial" w:eastAsia="Arial" w:hAnsi="Arial"/>
                <w:sz w:val="18"/>
                <w:szCs w:val="18"/>
                <w:color w:val="auto"/>
              </w:rPr>
              <w:t>N/A</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40" w:type="dxa"/>
            <w:vAlign w:val="bottom"/>
            <w:tcBorders>
              <w:left w:val="single" w:sz="8" w:color="auto"/>
              <w:right w:val="single" w:sz="8" w:color="auto"/>
            </w:tcBorders>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1860" w:type="dxa"/>
            <w:vAlign w:val="bottom"/>
            <w:tcBorders>
              <w:right w:val="single" w:sz="8" w:color="auto"/>
            </w:tcBorders>
            <w:vMerge w:val="continue"/>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740" w:type="dxa"/>
            <w:vAlign w:val="bottom"/>
            <w:tcBorders>
              <w:left w:val="single" w:sz="8" w:color="auto"/>
              <w:right w:val="single" w:sz="8" w:color="auto"/>
            </w:tcBorders>
          </w:tcPr>
          <w:p>
            <w:pPr>
              <w:spacing w:after="0"/>
              <w:rPr>
                <w:sz w:val="15"/>
                <w:szCs w:val="15"/>
                <w:color w:val="auto"/>
              </w:rPr>
            </w:pPr>
          </w:p>
        </w:tc>
        <w:tc>
          <w:tcPr>
            <w:tcW w:w="1900" w:type="dxa"/>
            <w:vAlign w:val="bottom"/>
            <w:tcBorders>
              <w:right w:val="single" w:sz="8" w:color="auto"/>
            </w:tcBorders>
          </w:tcPr>
          <w:p>
            <w:pPr>
              <w:spacing w:after="0"/>
              <w:rPr>
                <w:sz w:val="15"/>
                <w:szCs w:val="15"/>
                <w:color w:val="auto"/>
              </w:rPr>
            </w:pPr>
          </w:p>
        </w:tc>
        <w:tc>
          <w:tcPr>
            <w:tcW w:w="1860" w:type="dxa"/>
            <w:vAlign w:val="bottom"/>
            <w:tcBorders>
              <w:right w:val="single" w:sz="8" w:color="auto"/>
            </w:tcBorders>
            <w:vMerge w:val="continue"/>
          </w:tcPr>
          <w:p>
            <w:pPr>
              <w:spacing w:after="0"/>
              <w:rPr>
                <w:sz w:val="15"/>
                <w:szCs w:val="15"/>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Liquidation value</w:t>
            </w:r>
          </w:p>
        </w:tc>
        <w:tc>
          <w:tcPr>
            <w:tcW w:w="1680" w:type="dxa"/>
            <w:vAlign w:val="bottom"/>
            <w:vMerge w:val="restart"/>
          </w:tcPr>
          <w:p>
            <w:pPr>
              <w:ind w:left="780"/>
              <w:spacing w:after="0"/>
              <w:rPr>
                <w:sz w:val="20"/>
                <w:szCs w:val="20"/>
                <w:color w:val="auto"/>
              </w:rPr>
            </w:pPr>
            <w:r>
              <w:rPr>
                <w:rFonts w:ascii="Arial" w:cs="Arial" w:eastAsia="Arial" w:hAnsi="Arial"/>
                <w:sz w:val="18"/>
                <w:szCs w:val="18"/>
                <w:color w:val="auto"/>
              </w:rPr>
              <w:t>N/A</w:t>
            </w:r>
          </w:p>
        </w:tc>
        <w:tc>
          <w:tcPr>
            <w:tcW w:w="2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3740" w:type="dxa"/>
            <w:vAlign w:val="bottom"/>
            <w:tcBorders>
              <w:left w:val="single" w:sz="8" w:color="auto"/>
              <w:right w:val="single" w:sz="8" w:color="auto"/>
            </w:tcBorders>
          </w:tcPr>
          <w:p>
            <w:pPr>
              <w:spacing w:after="0"/>
              <w:rPr>
                <w:sz w:val="4"/>
                <w:szCs w:val="4"/>
                <w:color w:val="auto"/>
              </w:rPr>
            </w:pPr>
          </w:p>
        </w:tc>
        <w:tc>
          <w:tcPr>
            <w:tcW w:w="1900" w:type="dxa"/>
            <w:vAlign w:val="bottom"/>
            <w:tcBorders>
              <w:right w:val="single" w:sz="8" w:color="auto"/>
            </w:tcBorders>
          </w:tcPr>
          <w:p>
            <w:pPr>
              <w:spacing w:after="0"/>
              <w:rPr>
                <w:sz w:val="4"/>
                <w:szCs w:val="4"/>
                <w:color w:val="auto"/>
              </w:rPr>
            </w:pPr>
          </w:p>
        </w:tc>
        <w:tc>
          <w:tcPr>
            <w:tcW w:w="1860" w:type="dxa"/>
            <w:vAlign w:val="bottom"/>
            <w:tcBorders>
              <w:right w:val="single" w:sz="8" w:color="auto"/>
            </w:tcBorders>
          </w:tcPr>
          <w:p>
            <w:pPr>
              <w:spacing w:after="0"/>
              <w:rPr>
                <w:sz w:val="4"/>
                <w:szCs w:val="4"/>
                <w:color w:val="auto"/>
              </w:rPr>
            </w:pPr>
          </w:p>
        </w:tc>
        <w:tc>
          <w:tcPr>
            <w:tcW w:w="1880" w:type="dxa"/>
            <w:vAlign w:val="bottom"/>
            <w:tcBorders>
              <w:right w:val="single" w:sz="8" w:color="auto"/>
            </w:tcBorders>
            <w:vMerge w:val="continue"/>
          </w:tcPr>
          <w:p>
            <w:pPr>
              <w:spacing w:after="0"/>
              <w:rPr>
                <w:sz w:val="4"/>
                <w:szCs w:val="4"/>
                <w:color w:val="auto"/>
              </w:rPr>
            </w:pPr>
          </w:p>
        </w:tc>
        <w:tc>
          <w:tcPr>
            <w:tcW w:w="1680" w:type="dxa"/>
            <w:vAlign w:val="bottom"/>
            <w:vMerge w:val="continue"/>
          </w:tcPr>
          <w:p>
            <w:pPr>
              <w:spacing w:after="0"/>
              <w:rPr>
                <w:sz w:val="4"/>
                <w:szCs w:val="4"/>
                <w:color w:val="auto"/>
              </w:rPr>
            </w:pPr>
          </w:p>
        </w:tc>
        <w:tc>
          <w:tcPr>
            <w:tcW w:w="2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740" w:type="dxa"/>
            <w:vAlign w:val="bottom"/>
            <w:tcBorders>
              <w:left w:val="single" w:sz="8" w:color="auto"/>
              <w:right w:val="single" w:sz="8" w:color="auto"/>
            </w:tcBorders>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1860" w:type="dxa"/>
            <w:vAlign w:val="bottom"/>
            <w:tcBorders>
              <w:right w:val="single" w:sz="8" w:color="auto"/>
            </w:tcBorders>
          </w:tcPr>
          <w:p>
            <w:pPr>
              <w:spacing w:after="0"/>
              <w:rPr>
                <w:sz w:val="19"/>
                <w:szCs w:val="19"/>
                <w:color w:val="auto"/>
              </w:rPr>
            </w:pP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Term to expiration</w:t>
            </w:r>
          </w:p>
        </w:tc>
        <w:tc>
          <w:tcPr>
            <w:tcW w:w="1680" w:type="dxa"/>
            <w:vAlign w:val="bottom"/>
            <w:vMerge w:val="restart"/>
          </w:tcPr>
          <w:p>
            <w:pPr>
              <w:jc w:val="center"/>
              <w:ind w:left="91"/>
              <w:spacing w:after="0"/>
              <w:rPr>
                <w:sz w:val="20"/>
                <w:szCs w:val="20"/>
                <w:color w:val="auto"/>
              </w:rPr>
            </w:pPr>
            <w:r>
              <w:rPr>
                <w:rFonts w:ascii="Arial" w:cs="Arial" w:eastAsia="Arial" w:hAnsi="Arial"/>
                <w:sz w:val="18"/>
                <w:szCs w:val="18"/>
                <w:color w:val="auto"/>
                <w:w w:val="91"/>
              </w:rPr>
              <w:t>0.76 - 7.80 (5.12)</w:t>
            </w:r>
          </w:p>
        </w:tc>
        <w:tc>
          <w:tcPr>
            <w:tcW w:w="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3740" w:type="dxa"/>
            <w:vAlign w:val="bottom"/>
            <w:tcBorders>
              <w:left w:val="single" w:sz="8" w:color="auto"/>
              <w:right w:val="single" w:sz="8" w:color="auto"/>
            </w:tcBorders>
          </w:tcPr>
          <w:p>
            <w:pPr>
              <w:spacing w:after="0"/>
              <w:rPr>
                <w:sz w:val="10"/>
                <w:szCs w:val="10"/>
                <w:color w:val="auto"/>
              </w:rPr>
            </w:pPr>
          </w:p>
        </w:tc>
        <w:tc>
          <w:tcPr>
            <w:tcW w:w="1900" w:type="dxa"/>
            <w:vAlign w:val="bottom"/>
            <w:tcBorders>
              <w:right w:val="single" w:sz="8" w:color="auto"/>
            </w:tcBorders>
          </w:tcPr>
          <w:p>
            <w:pPr>
              <w:spacing w:after="0"/>
              <w:rPr>
                <w:sz w:val="10"/>
                <w:szCs w:val="10"/>
                <w:color w:val="auto"/>
              </w:rPr>
            </w:pPr>
          </w:p>
        </w:tc>
        <w:tc>
          <w:tcPr>
            <w:tcW w:w="1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Option pricing model</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(Years)</w:t>
            </w:r>
          </w:p>
        </w:tc>
        <w:tc>
          <w:tcPr>
            <w:tcW w:w="1680" w:type="dxa"/>
            <w:vAlign w:val="bottom"/>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Options</w:t>
            </w: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$3,092,540</w:t>
            </w:r>
          </w:p>
        </w:tc>
        <w:tc>
          <w:tcPr>
            <w:tcW w:w="1860" w:type="dxa"/>
            <w:vAlign w:val="bottom"/>
            <w:tcBorders>
              <w:right w:val="single" w:sz="8" w:color="auto"/>
            </w:tcBorders>
            <w:vMerge w:val="continue"/>
          </w:tcPr>
          <w:p>
            <w:pPr>
              <w:spacing w:after="0"/>
              <w:rPr>
                <w:sz w:val="11"/>
                <w:szCs w:val="11"/>
                <w:color w:val="auto"/>
              </w:rPr>
            </w:pPr>
          </w:p>
        </w:tc>
        <w:tc>
          <w:tcPr>
            <w:tcW w:w="1880" w:type="dxa"/>
            <w:vAlign w:val="bottom"/>
            <w:tcBorders>
              <w:bottom w:val="single" w:sz="8" w:color="auto"/>
              <w:right w:val="single" w:sz="8" w:color="auto"/>
            </w:tcBorders>
            <w:vMerge w:val="continue"/>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740" w:type="dxa"/>
            <w:vAlign w:val="bottom"/>
            <w:tcBorders>
              <w:left w:val="single" w:sz="8" w:color="auto"/>
              <w:right w:val="single" w:sz="8" w:color="auto"/>
            </w:tcBorders>
            <w:vMerge w:val="continue"/>
          </w:tcPr>
          <w:p>
            <w:pPr>
              <w:spacing w:after="0"/>
              <w:rPr>
                <w:sz w:val="11"/>
                <w:szCs w:val="11"/>
                <w:color w:val="auto"/>
              </w:rPr>
            </w:pPr>
          </w:p>
        </w:tc>
        <w:tc>
          <w:tcPr>
            <w:tcW w:w="1900" w:type="dxa"/>
            <w:vAlign w:val="bottom"/>
            <w:tcBorders>
              <w:right w:val="single" w:sz="8" w:color="auto"/>
            </w:tcBorders>
            <w:vMerge w:val="continue"/>
          </w:tcPr>
          <w:p>
            <w:pPr>
              <w:spacing w:after="0"/>
              <w:rPr>
                <w:sz w:val="11"/>
                <w:szCs w:val="11"/>
                <w:color w:val="auto"/>
              </w:rPr>
            </w:pPr>
          </w:p>
        </w:tc>
        <w:tc>
          <w:tcPr>
            <w:tcW w:w="1860" w:type="dxa"/>
            <w:vAlign w:val="bottom"/>
            <w:tcBorders>
              <w:right w:val="single" w:sz="8" w:color="auto"/>
            </w:tcBorders>
          </w:tcPr>
          <w:p>
            <w:pPr>
              <w:spacing w:after="0"/>
              <w:rPr>
                <w:sz w:val="11"/>
                <w:szCs w:val="11"/>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Volatility</w:t>
            </w:r>
          </w:p>
        </w:tc>
        <w:tc>
          <w:tcPr>
            <w:tcW w:w="188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1"/>
              </w:rPr>
              <w:t>34.3%-52.3% (36.4%)</w:t>
            </w:r>
          </w:p>
        </w:tc>
        <w:tc>
          <w:tcPr>
            <w:tcW w:w="0" w:type="dxa"/>
            <w:vAlign w:val="bottom"/>
          </w:tcPr>
          <w:p>
            <w:pPr>
              <w:spacing w:after="0"/>
              <w:rPr>
                <w:sz w:val="1"/>
                <w:szCs w:val="1"/>
                <w:color w:val="auto"/>
              </w:rPr>
            </w:pPr>
          </w:p>
        </w:tc>
      </w:tr>
      <w:tr>
        <w:trPr>
          <w:trHeight w:val="108"/>
        </w:trPr>
        <w:tc>
          <w:tcPr>
            <w:tcW w:w="3740" w:type="dxa"/>
            <w:vAlign w:val="bottom"/>
            <w:tcBorders>
              <w:left w:val="single" w:sz="8" w:color="auto"/>
              <w:right w:val="single" w:sz="8" w:color="auto"/>
            </w:tcBorders>
          </w:tcPr>
          <w:p>
            <w:pPr>
              <w:spacing w:after="0"/>
              <w:rPr>
                <w:sz w:val="9"/>
                <w:szCs w:val="9"/>
                <w:color w:val="auto"/>
              </w:rPr>
            </w:pPr>
          </w:p>
        </w:tc>
        <w:tc>
          <w:tcPr>
            <w:tcW w:w="1900" w:type="dxa"/>
            <w:vAlign w:val="bottom"/>
            <w:tcBorders>
              <w:right w:val="single" w:sz="8" w:color="auto"/>
            </w:tcBorders>
          </w:tcPr>
          <w:p>
            <w:pPr>
              <w:spacing w:after="0"/>
              <w:rPr>
                <w:sz w:val="9"/>
                <w:szCs w:val="9"/>
                <w:color w:val="auto"/>
              </w:rPr>
            </w:pPr>
          </w:p>
        </w:tc>
        <w:tc>
          <w:tcPr>
            <w:tcW w:w="1860" w:type="dxa"/>
            <w:vAlign w:val="bottom"/>
            <w:tcBorders>
              <w:right w:val="single" w:sz="8" w:color="auto"/>
            </w:tcBorders>
          </w:tcPr>
          <w:p>
            <w:pPr>
              <w:spacing w:after="0"/>
              <w:rPr>
                <w:sz w:val="9"/>
                <w:szCs w:val="9"/>
                <w:color w:val="auto"/>
              </w:rPr>
            </w:pPr>
          </w:p>
        </w:tc>
        <w:tc>
          <w:tcPr>
            <w:tcW w:w="1880" w:type="dxa"/>
            <w:vAlign w:val="bottom"/>
            <w:tcBorders>
              <w:right w:val="single" w:sz="8" w:color="auto"/>
            </w:tcBorders>
            <w:vMerge w:val="continue"/>
          </w:tcPr>
          <w:p>
            <w:pPr>
              <w:spacing w:after="0"/>
              <w:rPr>
                <w:sz w:val="9"/>
                <w:szCs w:val="9"/>
                <w:color w:val="auto"/>
              </w:rPr>
            </w:pPr>
          </w:p>
        </w:tc>
        <w:tc>
          <w:tcPr>
            <w:tcW w:w="188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740" w:type="dxa"/>
            <w:vAlign w:val="bottom"/>
            <w:tcBorders>
              <w:left w:val="single" w:sz="8" w:color="auto"/>
              <w:right w:val="single" w:sz="8" w:color="auto"/>
            </w:tcBorders>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Borders>
              <w:left w:val="single" w:sz="8" w:color="auto"/>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Discounted cash flow</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Discount Rate</w:t>
            </w:r>
          </w:p>
        </w:tc>
        <w:tc>
          <w:tcPr>
            <w:tcW w:w="1680" w:type="dxa"/>
            <w:vAlign w:val="bottom"/>
          </w:tcPr>
          <w:p>
            <w:pPr>
              <w:jc w:val="center"/>
              <w:ind w:left="91"/>
              <w:spacing w:after="0"/>
              <w:rPr>
                <w:sz w:val="20"/>
                <w:szCs w:val="20"/>
                <w:color w:val="auto"/>
              </w:rPr>
            </w:pPr>
            <w:r>
              <w:rPr>
                <w:rFonts w:ascii="Arial" w:cs="Arial" w:eastAsia="Arial" w:hAnsi="Arial"/>
                <w:sz w:val="18"/>
                <w:szCs w:val="18"/>
                <w:color w:val="auto"/>
                <w:w w:val="92"/>
              </w:rPr>
              <w:t>12.0% (12.0%)</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122" w:lineRule="exact"/>
        <w:rPr>
          <w:sz w:val="20"/>
          <w:szCs w:val="20"/>
          <w:color w:val="auto"/>
        </w:rPr>
      </w:pPr>
    </w:p>
    <w:p>
      <w:pPr>
        <w:ind w:left="660" w:right="20" w:hanging="652"/>
        <w:spacing w:after="0" w:line="256" w:lineRule="auto"/>
        <w:tabs>
          <w:tab w:leader="none" w:pos="253" w:val="left"/>
        </w:tabs>
        <w:numPr>
          <w:ilvl w:val="0"/>
          <w:numId w:val="18"/>
        </w:numPr>
        <w:rPr>
          <w:rFonts w:ascii="Arial" w:cs="Arial" w:eastAsia="Arial" w:hAnsi="Arial"/>
          <w:sz w:val="16"/>
          <w:szCs w:val="16"/>
          <w:color w:val="auto"/>
        </w:rPr>
      </w:pPr>
      <w:r>
        <w:rPr>
          <w:rFonts w:ascii="Arial" w:cs="Arial" w:eastAsia="Arial" w:hAnsi="Arial"/>
          <w:sz w:val="16"/>
          <w:szCs w:val="16"/>
          <w:color w:val="auto"/>
        </w:rPr>
        <w:t>As of June 30, 2020, the Company used a hybrid market and income approach to value certain common and preferred stock investments as the Company felt this approach better reflected the fair value of these investments. By considering multiple valuation approaches (and consequently, multiple valuation techniques), the valuation approaches and techniques are not likely to change from one period of measurement to the next; however, the weighting of each in determining the final fair value of a Level 3</w:t>
      </w: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60"/>
          </w:cols>
          <w:pgMar w:left="320" w:top="121" w:right="31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June 30, 2020</w:t>
      </w:r>
    </w:p>
    <w:p>
      <w:pPr>
        <w:spacing w:after="0" w:line="200" w:lineRule="exact"/>
        <w:rPr>
          <w:sz w:val="20"/>
          <w:szCs w:val="20"/>
          <w:color w:val="auto"/>
        </w:rPr>
      </w:pPr>
    </w:p>
    <w:p>
      <w:pPr>
        <w:spacing w:after="0" w:line="312" w:lineRule="exact"/>
        <w:rPr>
          <w:sz w:val="20"/>
          <w:szCs w:val="20"/>
          <w:color w:val="auto"/>
        </w:rPr>
      </w:pPr>
    </w:p>
    <w:p>
      <w:pPr>
        <w:ind w:left="660" w:right="40"/>
        <w:spacing w:after="0" w:line="255" w:lineRule="auto"/>
        <w:rPr>
          <w:sz w:val="20"/>
          <w:szCs w:val="20"/>
          <w:color w:val="auto"/>
        </w:rPr>
      </w:pPr>
      <w:r>
        <w:rPr>
          <w:rFonts w:ascii="Arial" w:cs="Arial" w:eastAsia="Arial" w:hAnsi="Arial"/>
          <w:sz w:val="16"/>
          <w:szCs w:val="16"/>
          <w:color w:val="auto"/>
        </w:rPr>
        <w:t>investment may change based on recent events or transactions. The hybrid approach may also consider certain risk weightings to account for the uncertainty of future events. Refer to “Note 2—Significant Accounting Policies—</w:t>
      </w:r>
      <w:r>
        <w:rPr>
          <w:rFonts w:ascii="Arial" w:cs="Arial" w:eastAsia="Arial" w:hAnsi="Arial"/>
          <w:sz w:val="16"/>
          <w:szCs w:val="16"/>
          <w:i w:val="1"/>
          <w:iCs w:val="1"/>
          <w:color w:val="auto"/>
        </w:rPr>
        <w:t>Investments at Fair Value</w:t>
      </w:r>
      <w:r>
        <w:rPr>
          <w:rFonts w:ascii="Arial" w:cs="Arial" w:eastAsia="Arial" w:hAnsi="Arial"/>
          <w:sz w:val="16"/>
          <w:szCs w:val="16"/>
          <w:color w:val="auto"/>
        </w:rPr>
        <w:t>” for more detail.</w:t>
      </w:r>
    </w:p>
    <w:p>
      <w:pPr>
        <w:spacing w:after="0" w:line="1" w:lineRule="exact"/>
        <w:rPr>
          <w:sz w:val="20"/>
          <w:szCs w:val="20"/>
          <w:color w:val="auto"/>
        </w:rPr>
      </w:pPr>
    </w:p>
    <w:p>
      <w:pPr>
        <w:ind w:left="660" w:right="20" w:hanging="652"/>
        <w:spacing w:after="0" w:line="262" w:lineRule="auto"/>
        <w:tabs>
          <w:tab w:leader="none" w:pos="252"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Company considers all relevant information that can reasonably be obtained when determining the fair value of Level 3 investments. Due to any given portfolio company’s information rights, changes in capital structure, recent events, transactions, or liquidity events, the type and availability of unobservable inputs may change. Increases/(decreases) in revenue multiples, earnings before interest and taxes (“EBIT”) multiples, time to expiration, and stock price/strike price would result in higher (lower) fair values all else equal. Decreases (increases) in discount rates, volatility, and annual risk rates, would result in higher (lower) fair values all else equal. The market approach utilizes market value (revenue and EBIT) multiples of publicly traded comparable companies and available precedent sales transactions of comparable companies. The Company carefully considers numerous factors when selecting the appropriate companies whose multiples are used to value its portfolio companies. These factors include, but are not limited to, the type of organization, similarity to the business being valued, relevant risk factors, as well as size, profitability and growth expectations. In general, precedent transactions include recent rounds of financing, recent purchases made by the Company, and tender offers. Refer to “Note 2—Significant Accounting Policies—</w:t>
      </w:r>
      <w:r>
        <w:rPr>
          <w:rFonts w:ascii="Arial" w:cs="Arial" w:eastAsia="Arial" w:hAnsi="Arial"/>
          <w:sz w:val="15"/>
          <w:szCs w:val="15"/>
          <w:i w:val="1"/>
          <w:iCs w:val="1"/>
          <w:color w:val="auto"/>
        </w:rPr>
        <w:t>Investments at Fair Value</w:t>
      </w:r>
      <w:r>
        <w:rPr>
          <w:rFonts w:ascii="Arial" w:cs="Arial" w:eastAsia="Arial" w:hAnsi="Arial"/>
          <w:sz w:val="15"/>
          <w:szCs w:val="15"/>
          <w:color w:val="auto"/>
        </w:rPr>
        <w:t>” for more detail.</w:t>
      </w:r>
    </w:p>
    <w:p>
      <w:pPr>
        <w:spacing w:after="0" w:line="6" w:lineRule="exact"/>
        <w:rPr>
          <w:rFonts w:ascii="Arial" w:cs="Arial" w:eastAsia="Arial" w:hAnsi="Arial"/>
          <w:sz w:val="15"/>
          <w:szCs w:val="15"/>
          <w:color w:val="auto"/>
        </w:rPr>
      </w:pPr>
    </w:p>
    <w:p>
      <w:pPr>
        <w:ind w:left="240" w:hanging="232"/>
        <w:spacing w:after="0"/>
        <w:tabs>
          <w:tab w:leader="none" w:pos="2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weighted averages are calculated based on the fair market value of each investment.</w:t>
      </w:r>
    </w:p>
    <w:p>
      <w:pPr>
        <w:spacing w:after="0" w:line="5" w:lineRule="exact"/>
        <w:rPr>
          <w:rFonts w:ascii="Arial" w:cs="Arial" w:eastAsia="Arial" w:hAnsi="Arial"/>
          <w:sz w:val="16"/>
          <w:szCs w:val="16"/>
          <w:color w:val="auto"/>
        </w:rPr>
      </w:pPr>
    </w:p>
    <w:p>
      <w:pPr>
        <w:ind w:left="220" w:hanging="212"/>
        <w:spacing w:after="0"/>
        <w:tabs>
          <w:tab w:leader="none" w:pos="2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Adjusted Funds From Operations, or "AFFO"</w:t>
      </w:r>
    </w:p>
    <w:p>
      <w:pPr>
        <w:spacing w:after="0" w:line="5" w:lineRule="exact"/>
        <w:rPr>
          <w:rFonts w:ascii="Arial" w:cs="Arial" w:eastAsia="Arial" w:hAnsi="Arial"/>
          <w:sz w:val="16"/>
          <w:szCs w:val="16"/>
          <w:color w:val="auto"/>
        </w:rPr>
      </w:pPr>
    </w:p>
    <w:p>
      <w:pPr>
        <w:ind w:left="240" w:hanging="232"/>
        <w:spacing w:after="0"/>
        <w:tabs>
          <w:tab w:leader="none" w:pos="2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Probability-Weighted Expected Return Method, or "PWERM"</w:t>
      </w: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of December 31, 2019</w:t>
      </w:r>
    </w:p>
    <w:p>
      <w:pPr>
        <w:spacing w:after="0" w:line="129" w:lineRule="exact"/>
        <w:rPr>
          <w:sz w:val="20"/>
          <w:szCs w:val="20"/>
          <w:color w:val="auto"/>
        </w:rPr>
      </w:pPr>
    </w:p>
    <w:tbl>
      <w:tblPr>
        <w:tblLayout w:type="fixed"/>
        <w:tblInd w:w="10" w:type="dxa"/>
        <w:tblCellMar>
          <w:top w:w="0" w:type="dxa"/>
          <w:left w:w="0" w:type="dxa"/>
          <w:bottom w:w="0" w:type="dxa"/>
          <w:right w:w="0" w:type="dxa"/>
        </w:tblCellMar>
      </w:tblPr>
      <w:tr>
        <w:trPr>
          <w:trHeight w:val="148"/>
        </w:trPr>
        <w:tc>
          <w:tcPr>
            <w:tcW w:w="374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Asset</w:t>
            </w:r>
          </w:p>
        </w:tc>
        <w:tc>
          <w:tcPr>
            <w:tcW w:w="1620" w:type="dxa"/>
            <w:vAlign w:val="bottom"/>
            <w:tcBorders>
              <w:top w:val="single" w:sz="8" w:color="auto"/>
            </w:tcBorders>
            <w:vMerge w:val="restart"/>
          </w:tcPr>
          <w:p>
            <w:pPr>
              <w:ind w:left="600"/>
              <w:spacing w:after="0"/>
              <w:rPr>
                <w:sz w:val="20"/>
                <w:szCs w:val="20"/>
                <w:color w:val="auto"/>
              </w:rPr>
            </w:pPr>
            <w:r>
              <w:rPr>
                <w:rFonts w:ascii="Arial" w:cs="Arial" w:eastAsia="Arial" w:hAnsi="Arial"/>
                <w:sz w:val="14"/>
                <w:szCs w:val="14"/>
                <w:b w:val="1"/>
                <w:bCs w:val="1"/>
                <w:color w:val="auto"/>
              </w:rPr>
              <w:t>Fair Value</w:t>
            </w:r>
          </w:p>
        </w:tc>
        <w:tc>
          <w:tcPr>
            <w:tcW w:w="280" w:type="dxa"/>
            <w:vAlign w:val="bottom"/>
            <w:tcBorders>
              <w:top w:val="single" w:sz="8" w:color="auto"/>
              <w:right w:val="single" w:sz="8" w:color="auto"/>
            </w:tcBorders>
          </w:tcPr>
          <w:p>
            <w:pPr>
              <w:spacing w:after="0"/>
              <w:rPr>
                <w:sz w:val="12"/>
                <w:szCs w:val="12"/>
                <w:color w:val="auto"/>
              </w:rPr>
            </w:pPr>
          </w:p>
        </w:tc>
        <w:tc>
          <w:tcPr>
            <w:tcW w:w="1860" w:type="dxa"/>
            <w:vAlign w:val="bottom"/>
            <w:tcBorders>
              <w:top w:val="single" w:sz="8" w:color="auto"/>
              <w:right w:val="single" w:sz="8" w:color="auto"/>
            </w:tcBorders>
          </w:tcPr>
          <w:p>
            <w:pPr>
              <w:jc w:val="right"/>
              <w:ind w:right="153"/>
              <w:spacing w:after="0" w:line="149" w:lineRule="exact"/>
              <w:rPr>
                <w:sz w:val="20"/>
                <w:szCs w:val="20"/>
                <w:color w:val="auto"/>
              </w:rPr>
            </w:pPr>
            <w:r>
              <w:rPr>
                <w:rFonts w:ascii="Arial" w:cs="Arial" w:eastAsia="Arial" w:hAnsi="Arial"/>
                <w:sz w:val="14"/>
                <w:szCs w:val="14"/>
                <w:b w:val="1"/>
                <w:bCs w:val="1"/>
                <w:color w:val="auto"/>
              </w:rPr>
              <w:t>Valuation</w:t>
            </w:r>
            <w:r>
              <w:rPr>
                <w:rFonts w:ascii="MS PGothic" w:cs="MS PGothic" w:eastAsia="MS PGothic" w:hAnsi="MS PGothic"/>
                <w:sz w:val="14"/>
                <w:szCs w:val="14"/>
                <w:color w:val="auto"/>
              </w:rPr>
              <w:t> </w:t>
            </w:r>
            <w:r>
              <w:rPr>
                <w:rFonts w:ascii="Arial" w:cs="Arial" w:eastAsia="Arial" w:hAnsi="Arial"/>
                <w:sz w:val="14"/>
                <w:szCs w:val="14"/>
                <w:b w:val="1"/>
                <w:bCs w:val="1"/>
                <w:color w:val="auto"/>
              </w:rPr>
              <w:t>Approach/</w:t>
            </w:r>
            <w:r>
              <w:rPr>
                <w:rFonts w:ascii="MS PGothic" w:cs="MS PGothic" w:eastAsia="MS PGothic" w:hAnsi="MS PGothic"/>
                <w:sz w:val="14"/>
                <w:szCs w:val="14"/>
                <w:color w:val="auto"/>
              </w:rPr>
              <w:t> </w:t>
            </w:r>
          </w:p>
        </w:tc>
        <w:tc>
          <w:tcPr>
            <w:tcW w:w="1880" w:type="dxa"/>
            <w:vAlign w:val="bottom"/>
            <w:tcBorders>
              <w:top w:val="single" w:sz="8" w:color="auto"/>
              <w:right w:val="single" w:sz="8" w:color="auto"/>
            </w:tcBorders>
          </w:tcPr>
          <w:p>
            <w:pPr>
              <w:jc w:val="right"/>
              <w:ind w:right="173"/>
              <w:spacing w:after="0"/>
              <w:rPr>
                <w:sz w:val="20"/>
                <w:szCs w:val="20"/>
                <w:color w:val="auto"/>
              </w:rPr>
            </w:pPr>
            <w:r>
              <w:rPr>
                <w:rFonts w:ascii="Arial" w:cs="Arial" w:eastAsia="Arial" w:hAnsi="Arial"/>
                <w:sz w:val="9"/>
                <w:szCs w:val="9"/>
                <w:b w:val="1"/>
                <w:bCs w:val="1"/>
                <w:color w:val="auto"/>
              </w:rPr>
              <w:t>(2)</w:t>
            </w:r>
          </w:p>
        </w:tc>
        <w:tc>
          <w:tcPr>
            <w:tcW w:w="1680" w:type="dxa"/>
            <w:vAlign w:val="bottom"/>
            <w:tcBorders>
              <w:top w:val="single" w:sz="8" w:color="auto"/>
            </w:tcBorders>
            <w:gridSpan w:val="3"/>
            <w:vMerge w:val="restart"/>
          </w:tcPr>
          <w:p>
            <w:pPr>
              <w:jc w:val="center"/>
              <w:spacing w:after="0" w:line="161" w:lineRule="exact"/>
              <w:rPr>
                <w:sz w:val="20"/>
                <w:szCs w:val="20"/>
                <w:color w:val="auto"/>
              </w:rPr>
            </w:pPr>
            <w:r>
              <w:rPr>
                <w:rFonts w:ascii="Arial" w:cs="Arial" w:eastAsia="Arial" w:hAnsi="Arial"/>
                <w:sz w:val="14"/>
                <w:szCs w:val="14"/>
                <w:b w:val="1"/>
                <w:bCs w:val="1"/>
                <w:color w:val="auto"/>
                <w:w w:val="91"/>
              </w:rPr>
              <w:t>Range</w:t>
            </w:r>
            <w:r>
              <w:rPr>
                <w:rFonts w:ascii="MS PGothic" w:cs="MS PGothic" w:eastAsia="MS PGothic" w:hAnsi="MS PGothic"/>
                <w:sz w:val="14"/>
                <w:szCs w:val="14"/>
                <w:color w:val="auto"/>
                <w:w w:val="91"/>
              </w:rPr>
              <w:t> </w:t>
            </w:r>
            <w:r>
              <w:rPr>
                <w:rFonts w:ascii="Arial" w:cs="Arial" w:eastAsia="Arial" w:hAnsi="Arial"/>
                <w:sz w:val="14"/>
                <w:szCs w:val="14"/>
                <w:b w:val="1"/>
                <w:bCs w:val="1"/>
                <w:color w:val="auto"/>
                <w:w w:val="91"/>
              </w:rPr>
              <w:t>(Weighted Average)</w:t>
            </w:r>
          </w:p>
        </w:tc>
        <w:tc>
          <w:tcPr>
            <w:tcW w:w="200" w:type="dxa"/>
            <w:vAlign w:val="bottom"/>
            <w:tcBorders>
              <w:top w:val="single" w:sz="8" w:color="auto"/>
              <w:right w:val="single" w:sz="8" w:color="auto"/>
            </w:tcBorders>
          </w:tcPr>
          <w:p>
            <w:pPr>
              <w:jc w:val="right"/>
              <w:ind w:right="53"/>
              <w:spacing w:after="0"/>
              <w:rPr>
                <w:sz w:val="20"/>
                <w:szCs w:val="20"/>
                <w:color w:val="auto"/>
              </w:rPr>
            </w:pPr>
            <w:r>
              <w:rPr>
                <w:rFonts w:ascii="Arial" w:cs="Arial" w:eastAsia="Arial" w:hAnsi="Arial"/>
                <w:sz w:val="9"/>
                <w:szCs w:val="9"/>
                <w:b w:val="1"/>
                <w:bCs w:val="1"/>
                <w:color w:val="auto"/>
                <w:w w:val="72"/>
              </w:rPr>
              <w:t>(3)</w:t>
            </w:r>
          </w:p>
        </w:tc>
        <w:tc>
          <w:tcPr>
            <w:tcW w:w="0" w:type="dxa"/>
            <w:vAlign w:val="bottom"/>
          </w:tcPr>
          <w:p>
            <w:pPr>
              <w:spacing w:after="0"/>
              <w:rPr>
                <w:sz w:val="1"/>
                <w:szCs w:val="1"/>
                <w:color w:val="auto"/>
              </w:rPr>
            </w:pPr>
          </w:p>
        </w:tc>
      </w:tr>
      <w:tr>
        <w:trPr>
          <w:trHeight w:val="188"/>
        </w:trPr>
        <w:tc>
          <w:tcPr>
            <w:tcW w:w="374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right w:val="single" w:sz="8" w:color="auto"/>
            </w:tcBorders>
          </w:tcPr>
          <w:p>
            <w:pPr>
              <w:spacing w:after="0"/>
              <w:rPr>
                <w:sz w:val="16"/>
                <w:szCs w:val="16"/>
                <w:color w:val="auto"/>
              </w:rPr>
            </w:pP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Technique</w:t>
            </w:r>
            <w:r>
              <w:rPr>
                <w:rFonts w:ascii="Arial" w:cs="Arial" w:eastAsia="Arial" w:hAnsi="Arial"/>
                <w:sz w:val="9"/>
                <w:szCs w:val="9"/>
                <w:b w:val="1"/>
                <w:bCs w:val="1"/>
                <w:color w:val="auto"/>
                <w:w w:val="91"/>
              </w:rPr>
              <w:t>(1)</w:t>
            </w:r>
          </w:p>
        </w:tc>
        <w:tc>
          <w:tcPr>
            <w:tcW w:w="1880" w:type="dxa"/>
            <w:vAlign w:val="bottom"/>
            <w:tcBorders>
              <w:bottom w:val="single" w:sz="8" w:color="auto"/>
              <w:right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Unobservable Inputs</w:t>
            </w:r>
          </w:p>
        </w:tc>
        <w:tc>
          <w:tcPr>
            <w:tcW w:w="1680" w:type="dxa"/>
            <w:vAlign w:val="bottom"/>
            <w:tcBorders>
              <w:bottom w:val="single" w:sz="8" w:color="auto"/>
            </w:tcBorders>
            <w:gridSpan w:val="3"/>
            <w:vMerge w:val="continue"/>
          </w:tcPr>
          <w:p>
            <w:pPr>
              <w:spacing w:after="0"/>
              <w:rPr>
                <w:sz w:val="16"/>
                <w:szCs w:val="16"/>
                <w:color w:val="auto"/>
              </w:rPr>
            </w:pPr>
          </w:p>
        </w:tc>
        <w:tc>
          <w:tcPr>
            <w:tcW w:w="2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3740" w:type="dxa"/>
            <w:vAlign w:val="bottom"/>
            <w:tcBorders>
              <w:left w:val="single" w:sz="8" w:color="auto"/>
              <w:right w:val="single" w:sz="8" w:color="auto"/>
            </w:tcBorders>
          </w:tcPr>
          <w:p>
            <w:pPr>
              <w:spacing w:after="0"/>
              <w:rPr>
                <w:sz w:val="23"/>
                <w:szCs w:val="23"/>
                <w:color w:val="auto"/>
              </w:rPr>
            </w:pPr>
          </w:p>
        </w:tc>
        <w:tc>
          <w:tcPr>
            <w:tcW w:w="1620" w:type="dxa"/>
            <w:vAlign w:val="bottom"/>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c>
          <w:tcPr>
            <w:tcW w:w="1860" w:type="dxa"/>
            <w:vAlign w:val="bottom"/>
            <w:tcBorders>
              <w:right w:val="single" w:sz="8" w:color="auto"/>
            </w:tcBorders>
          </w:tcPr>
          <w:p>
            <w:pPr>
              <w:spacing w:after="0"/>
              <w:rPr>
                <w:sz w:val="23"/>
                <w:szCs w:val="23"/>
                <w:color w:val="auto"/>
              </w:rPr>
            </w:pP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AFFO</w:t>
            </w:r>
            <w:r>
              <w:rPr>
                <w:rFonts w:ascii="Arial" w:cs="Arial" w:eastAsia="Arial" w:hAnsi="Arial"/>
                <w:sz w:val="23"/>
                <w:szCs w:val="23"/>
                <w:color w:val="auto"/>
                <w:w w:val="92"/>
                <w:vertAlign w:val="superscript"/>
              </w:rPr>
              <w:t>(4)</w:t>
            </w:r>
            <w:r>
              <w:rPr>
                <w:rFonts w:ascii="Arial" w:cs="Arial" w:eastAsia="Arial" w:hAnsi="Arial"/>
                <w:sz w:val="18"/>
                <w:szCs w:val="18"/>
                <w:color w:val="auto"/>
                <w:w w:val="92"/>
              </w:rPr>
              <w:t xml:space="preserve"> multiple</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16.67x</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- 37.32</w:t>
            </w:r>
          </w:p>
        </w:tc>
        <w:tc>
          <w:tcPr>
            <w:tcW w:w="7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(25.09x)</w:t>
            </w:r>
          </w:p>
        </w:tc>
        <w:tc>
          <w:tcPr>
            <w:tcW w:w="0" w:type="dxa"/>
            <w:vAlign w:val="bottom"/>
          </w:tcPr>
          <w:p>
            <w:pPr>
              <w:spacing w:after="0"/>
              <w:rPr>
                <w:sz w:val="1"/>
                <w:szCs w:val="1"/>
                <w:color w:val="auto"/>
              </w:rPr>
            </w:pPr>
          </w:p>
        </w:tc>
      </w:tr>
      <w:tr>
        <w:trPr>
          <w:trHeight w:val="263"/>
        </w:trPr>
        <w:tc>
          <w:tcPr>
            <w:tcW w:w="3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Common stock in</w:t>
            </w:r>
          </w:p>
        </w:tc>
        <w:tc>
          <w:tcPr>
            <w:tcW w:w="1620" w:type="dxa"/>
            <w:vAlign w:val="bottom"/>
            <w:vMerge w:val="restart"/>
          </w:tcPr>
          <w:p>
            <w:pPr>
              <w:jc w:val="center"/>
              <w:ind w:left="154"/>
              <w:spacing w:after="0"/>
              <w:rPr>
                <w:sz w:val="20"/>
                <w:szCs w:val="20"/>
                <w:color w:val="auto"/>
              </w:rPr>
            </w:pPr>
            <w:r>
              <w:rPr>
                <w:rFonts w:ascii="Arial" w:cs="Arial" w:eastAsia="Arial" w:hAnsi="Arial"/>
                <w:sz w:val="18"/>
                <w:szCs w:val="18"/>
                <w:color w:val="auto"/>
                <w:w w:val="89"/>
              </w:rPr>
              <w:t>$59,209,559</w:t>
            </w:r>
          </w:p>
        </w:tc>
        <w:tc>
          <w:tcPr>
            <w:tcW w:w="280" w:type="dxa"/>
            <w:vAlign w:val="bottom"/>
            <w:tcBorders>
              <w:right w:val="single" w:sz="8" w:color="auto"/>
            </w:tcBorders>
          </w:tcPr>
          <w:p>
            <w:pPr>
              <w:spacing w:after="0"/>
              <w:rPr>
                <w:sz w:val="22"/>
                <w:szCs w:val="22"/>
                <w:color w:val="auto"/>
              </w:rPr>
            </w:pP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Market approach</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Revenue multiples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1.45x</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- 3.23x</w:t>
            </w:r>
          </w:p>
        </w:tc>
        <w:tc>
          <w:tcPr>
            <w:tcW w:w="7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(2.86x)</w:t>
            </w:r>
          </w:p>
        </w:tc>
        <w:tc>
          <w:tcPr>
            <w:tcW w:w="0" w:type="dxa"/>
            <w:vAlign w:val="bottom"/>
          </w:tcPr>
          <w:p>
            <w:pPr>
              <w:spacing w:after="0"/>
              <w:rPr>
                <w:sz w:val="1"/>
                <w:szCs w:val="1"/>
                <w:color w:val="auto"/>
              </w:rPr>
            </w:pPr>
          </w:p>
        </w:tc>
      </w:tr>
      <w:tr>
        <w:trPr>
          <w:trHeight w:val="88"/>
        </w:trPr>
        <w:tc>
          <w:tcPr>
            <w:tcW w:w="3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private companies</w:t>
            </w:r>
          </w:p>
        </w:tc>
        <w:tc>
          <w:tcPr>
            <w:tcW w:w="1620" w:type="dxa"/>
            <w:vAlign w:val="bottom"/>
            <w:vMerge w:val="continue"/>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1860" w:type="dxa"/>
            <w:vAlign w:val="bottom"/>
            <w:tcBorders>
              <w:right w:val="single" w:sz="8" w:color="auto"/>
            </w:tcBorders>
          </w:tcPr>
          <w:p>
            <w:pPr>
              <w:spacing w:after="0"/>
              <w:rPr>
                <w:sz w:val="7"/>
                <w:szCs w:val="7"/>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Liquidation value</w:t>
            </w:r>
          </w:p>
        </w:tc>
        <w:tc>
          <w:tcPr>
            <w:tcW w:w="600" w:type="dxa"/>
            <w:vAlign w:val="bottom"/>
          </w:tcPr>
          <w:p>
            <w:pPr>
              <w:spacing w:after="0"/>
              <w:rPr>
                <w:sz w:val="7"/>
                <w:szCs w:val="7"/>
                <w:color w:val="auto"/>
              </w:rPr>
            </w:pPr>
          </w:p>
        </w:tc>
        <w:tc>
          <w:tcPr>
            <w:tcW w:w="540" w:type="dxa"/>
            <w:vAlign w:val="bottom"/>
            <w:vMerge w:val="restart"/>
          </w:tcPr>
          <w:p>
            <w:pPr>
              <w:ind w:left="180"/>
              <w:spacing w:after="0"/>
              <w:rPr>
                <w:sz w:val="20"/>
                <w:szCs w:val="20"/>
                <w:color w:val="auto"/>
              </w:rPr>
            </w:pPr>
            <w:r>
              <w:rPr>
                <w:rFonts w:ascii="Arial" w:cs="Arial" w:eastAsia="Arial" w:hAnsi="Arial"/>
                <w:sz w:val="18"/>
                <w:szCs w:val="18"/>
                <w:color w:val="auto"/>
              </w:rPr>
              <w:t>N/A</w:t>
            </w:r>
          </w:p>
        </w:tc>
        <w:tc>
          <w:tcPr>
            <w:tcW w:w="54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740" w:type="dxa"/>
            <w:vAlign w:val="bottom"/>
            <w:tcBorders>
              <w:left w:val="single" w:sz="8" w:color="auto"/>
              <w:right w:val="single" w:sz="8" w:color="auto"/>
            </w:tcBorders>
            <w:vMerge w:val="continue"/>
          </w:tcPr>
          <w:p>
            <w:pPr>
              <w:spacing w:after="0"/>
              <w:rPr>
                <w:sz w:val="12"/>
                <w:szCs w:val="12"/>
                <w:color w:val="auto"/>
              </w:rPr>
            </w:pPr>
          </w:p>
        </w:tc>
        <w:tc>
          <w:tcPr>
            <w:tcW w:w="162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880" w:type="dxa"/>
            <w:vAlign w:val="bottom"/>
            <w:tcBorders>
              <w:right w:val="single" w:sz="8" w:color="auto"/>
            </w:tcBorders>
            <w:vMerge w:val="continue"/>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740" w:type="dxa"/>
            <w:vAlign w:val="bottom"/>
            <w:tcBorders>
              <w:left w:val="single" w:sz="8" w:color="auto"/>
              <w:right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Borders>
              <w:left w:val="single" w:sz="8" w:color="auto"/>
              <w:right w:val="single" w:sz="8" w:color="auto"/>
            </w:tcBorders>
          </w:tcPr>
          <w:p>
            <w:pPr>
              <w:spacing w:after="0"/>
              <w:rPr>
                <w:sz w:val="20"/>
                <w:szCs w:val="20"/>
                <w:color w:val="auto"/>
              </w:rPr>
            </w:pPr>
          </w:p>
        </w:tc>
        <w:tc>
          <w:tcPr>
            <w:tcW w:w="162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Discounted cash flow</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Discount rate</w:t>
            </w:r>
          </w:p>
        </w:tc>
        <w:tc>
          <w:tcPr>
            <w:tcW w:w="1680" w:type="dxa"/>
            <w:vAlign w:val="bottom"/>
            <w:gridSpan w:val="3"/>
          </w:tcPr>
          <w:p>
            <w:pPr>
              <w:jc w:val="center"/>
              <w:ind w:left="92"/>
              <w:spacing w:after="0"/>
              <w:rPr>
                <w:sz w:val="20"/>
                <w:szCs w:val="20"/>
                <w:color w:val="auto"/>
              </w:rPr>
            </w:pPr>
            <w:r>
              <w:rPr>
                <w:rFonts w:ascii="Arial" w:cs="Arial" w:eastAsia="Arial" w:hAnsi="Arial"/>
                <w:sz w:val="18"/>
                <w:szCs w:val="18"/>
                <w:color w:val="auto"/>
                <w:w w:val="92"/>
              </w:rPr>
              <w:t>12.0% (12.0%)</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Borders>
              <w:left w:val="single" w:sz="8" w:color="auto"/>
              <w:right w:val="single" w:sz="8" w:color="auto"/>
            </w:tcBorders>
          </w:tcPr>
          <w:p>
            <w:pPr>
              <w:spacing w:after="0"/>
              <w:rPr>
                <w:sz w:val="20"/>
                <w:szCs w:val="20"/>
                <w:color w:val="auto"/>
              </w:rPr>
            </w:pPr>
          </w:p>
        </w:tc>
        <w:tc>
          <w:tcPr>
            <w:tcW w:w="162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1860" w:type="dxa"/>
            <w:vAlign w:val="bottom"/>
            <w:tcBorders>
              <w:right w:val="single" w:sz="8" w:color="auto"/>
            </w:tcBorders>
          </w:tcPr>
          <w:p>
            <w:pPr>
              <w:spacing w:after="0"/>
              <w:rPr>
                <w:sz w:val="20"/>
                <w:szCs w:val="20"/>
                <w:color w:val="auto"/>
              </w:rPr>
            </w:pP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Revenue multiples</w:t>
            </w:r>
          </w:p>
        </w:tc>
        <w:tc>
          <w:tcPr>
            <w:tcW w:w="600" w:type="dxa"/>
            <w:vAlign w:val="bottom"/>
          </w:tcPr>
          <w:p>
            <w:pPr>
              <w:jc w:val="right"/>
              <w:spacing w:after="0"/>
              <w:rPr>
                <w:sz w:val="20"/>
                <w:szCs w:val="20"/>
                <w:color w:val="auto"/>
              </w:rPr>
            </w:pPr>
            <w:r>
              <w:rPr>
                <w:rFonts w:ascii="Arial" w:cs="Arial" w:eastAsia="Arial" w:hAnsi="Arial"/>
                <w:sz w:val="18"/>
                <w:szCs w:val="18"/>
                <w:color w:val="auto"/>
              </w:rPr>
              <w:t>1.89x</w:t>
            </w:r>
          </w:p>
        </w:tc>
        <w:tc>
          <w:tcPr>
            <w:tcW w:w="540" w:type="dxa"/>
            <w:vAlign w:val="bottom"/>
          </w:tcPr>
          <w:p>
            <w:pPr>
              <w:jc w:val="center"/>
              <w:spacing w:after="0"/>
              <w:rPr>
                <w:sz w:val="20"/>
                <w:szCs w:val="20"/>
                <w:color w:val="auto"/>
              </w:rPr>
            </w:pPr>
            <w:r>
              <w:rPr>
                <w:rFonts w:ascii="Arial" w:cs="Arial" w:eastAsia="Arial" w:hAnsi="Arial"/>
                <w:sz w:val="18"/>
                <w:szCs w:val="18"/>
                <w:color w:val="auto"/>
                <w:w w:val="90"/>
              </w:rPr>
              <w:t>- 5.43x</w:t>
            </w:r>
          </w:p>
        </w:tc>
        <w:tc>
          <w:tcPr>
            <w:tcW w:w="74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(3.77x)</w:t>
            </w:r>
          </w:p>
        </w:tc>
        <w:tc>
          <w:tcPr>
            <w:tcW w:w="0" w:type="dxa"/>
            <w:vAlign w:val="bottom"/>
          </w:tcPr>
          <w:p>
            <w:pPr>
              <w:spacing w:after="0"/>
              <w:rPr>
                <w:sz w:val="1"/>
                <w:szCs w:val="1"/>
                <w:color w:val="auto"/>
              </w:rPr>
            </w:pPr>
          </w:p>
        </w:tc>
      </w:tr>
      <w:tr>
        <w:trPr>
          <w:trHeight w:val="27"/>
        </w:trPr>
        <w:tc>
          <w:tcPr>
            <w:tcW w:w="3740" w:type="dxa"/>
            <w:vAlign w:val="bottom"/>
            <w:tcBorders>
              <w:left w:val="single" w:sz="8" w:color="auto"/>
              <w:right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Market approach</w:t>
            </w:r>
          </w:p>
        </w:tc>
        <w:tc>
          <w:tcPr>
            <w:tcW w:w="188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740" w:type="dxa"/>
            <w:vAlign w:val="bottom"/>
            <w:tcBorders>
              <w:left w:val="single" w:sz="8" w:color="auto"/>
              <w:right w:val="single" w:sz="8" w:color="auto"/>
            </w:tcBorders>
          </w:tcPr>
          <w:p>
            <w:pPr>
              <w:spacing w:after="0"/>
              <w:rPr>
                <w:sz w:val="19"/>
                <w:szCs w:val="19"/>
                <w:color w:val="auto"/>
              </w:rPr>
            </w:pPr>
          </w:p>
        </w:tc>
        <w:tc>
          <w:tcPr>
            <w:tcW w:w="16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1860" w:type="dxa"/>
            <w:vAlign w:val="bottom"/>
            <w:tcBorders>
              <w:right w:val="single" w:sz="8" w:color="auto"/>
            </w:tcBorders>
            <w:vMerge w:val="continue"/>
          </w:tcPr>
          <w:p>
            <w:pPr>
              <w:spacing w:after="0"/>
              <w:rPr>
                <w:sz w:val="19"/>
                <w:szCs w:val="19"/>
                <w:color w:val="auto"/>
              </w:rPr>
            </w:pP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Precedent</w:t>
            </w:r>
          </w:p>
        </w:tc>
        <w:tc>
          <w:tcPr>
            <w:tcW w:w="600" w:type="dxa"/>
            <w:vAlign w:val="bottom"/>
          </w:tcPr>
          <w:p>
            <w:pPr>
              <w:spacing w:after="0"/>
              <w:rPr>
                <w:sz w:val="19"/>
                <w:szCs w:val="19"/>
                <w:color w:val="auto"/>
              </w:rPr>
            </w:pPr>
          </w:p>
        </w:tc>
        <w:tc>
          <w:tcPr>
            <w:tcW w:w="540" w:type="dxa"/>
            <w:vAlign w:val="bottom"/>
            <w:vMerge w:val="restart"/>
          </w:tcPr>
          <w:p>
            <w:pPr>
              <w:ind w:left="180"/>
              <w:spacing w:after="0"/>
              <w:rPr>
                <w:sz w:val="20"/>
                <w:szCs w:val="20"/>
                <w:color w:val="auto"/>
              </w:rPr>
            </w:pPr>
            <w:r>
              <w:rPr>
                <w:rFonts w:ascii="Arial" w:cs="Arial" w:eastAsia="Arial" w:hAnsi="Arial"/>
                <w:sz w:val="18"/>
                <w:szCs w:val="18"/>
                <w:color w:val="auto"/>
              </w:rPr>
              <w:t>N/A</w:t>
            </w:r>
          </w:p>
        </w:tc>
        <w:tc>
          <w:tcPr>
            <w:tcW w:w="54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3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Preferred stock in</w:t>
            </w:r>
          </w:p>
        </w:tc>
        <w:tc>
          <w:tcPr>
            <w:tcW w:w="162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1860" w:type="dxa"/>
            <w:vAlign w:val="bottom"/>
            <w:tcBorders>
              <w:right w:val="single" w:sz="8" w:color="auto"/>
            </w:tcBorders>
          </w:tcPr>
          <w:p>
            <w:pPr>
              <w:spacing w:after="0"/>
              <w:rPr>
                <w:sz w:val="10"/>
                <w:szCs w:val="10"/>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transactions</w:t>
            </w:r>
          </w:p>
        </w:tc>
        <w:tc>
          <w:tcPr>
            <w:tcW w:w="6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740" w:type="dxa"/>
            <w:vAlign w:val="bottom"/>
            <w:tcBorders>
              <w:left w:val="single" w:sz="8" w:color="auto"/>
              <w:right w:val="single" w:sz="8" w:color="auto"/>
            </w:tcBorders>
            <w:vMerge w:val="continue"/>
          </w:tcPr>
          <w:p>
            <w:pPr>
              <w:spacing w:after="0"/>
              <w:rPr>
                <w:sz w:val="9"/>
                <w:szCs w:val="9"/>
                <w:color w:val="auto"/>
              </w:rPr>
            </w:pPr>
          </w:p>
        </w:tc>
        <w:tc>
          <w:tcPr>
            <w:tcW w:w="1620" w:type="dxa"/>
            <w:vAlign w:val="bottom"/>
            <w:vMerge w:val="restart"/>
          </w:tcPr>
          <w:p>
            <w:pPr>
              <w:jc w:val="center"/>
              <w:ind w:left="154"/>
              <w:spacing w:after="0"/>
              <w:rPr>
                <w:sz w:val="20"/>
                <w:szCs w:val="20"/>
                <w:color w:val="auto"/>
              </w:rPr>
            </w:pPr>
            <w:r>
              <w:rPr>
                <w:rFonts w:ascii="Arial" w:cs="Arial" w:eastAsia="Arial" w:hAnsi="Arial"/>
                <w:sz w:val="18"/>
                <w:szCs w:val="18"/>
                <w:color w:val="auto"/>
                <w:w w:val="88"/>
              </w:rPr>
              <w:t>$125,448,358</w:t>
            </w:r>
          </w:p>
        </w:tc>
        <w:tc>
          <w:tcPr>
            <w:tcW w:w="280" w:type="dxa"/>
            <w:vAlign w:val="bottom"/>
            <w:tcBorders>
              <w:right w:val="single" w:sz="8" w:color="auto"/>
            </w:tcBorders>
          </w:tcPr>
          <w:p>
            <w:pPr>
              <w:spacing w:after="0"/>
              <w:rPr>
                <w:sz w:val="9"/>
                <w:szCs w:val="9"/>
                <w:color w:val="auto"/>
              </w:rPr>
            </w:pPr>
          </w:p>
        </w:tc>
        <w:tc>
          <w:tcPr>
            <w:tcW w:w="1860" w:type="dxa"/>
            <w:vAlign w:val="bottom"/>
            <w:tcBorders>
              <w:right w:val="single" w:sz="8" w:color="auto"/>
            </w:tcBorders>
          </w:tcPr>
          <w:p>
            <w:pPr>
              <w:spacing w:after="0"/>
              <w:rPr>
                <w:sz w:val="9"/>
                <w:szCs w:val="9"/>
                <w:color w:val="auto"/>
              </w:rPr>
            </w:pPr>
          </w:p>
        </w:tc>
        <w:tc>
          <w:tcPr>
            <w:tcW w:w="1880" w:type="dxa"/>
            <w:vAlign w:val="bottom"/>
            <w:tcBorders>
              <w:right w:val="single" w:sz="8" w:color="auto"/>
            </w:tcBorders>
            <w:vMerge w:val="continue"/>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740" w:type="dxa"/>
            <w:vAlign w:val="bottom"/>
            <w:tcBorders>
              <w:left w:val="single" w:sz="8" w:color="auto"/>
              <w:right w:val="single" w:sz="8" w:color="auto"/>
            </w:tcBorders>
            <w:vMerge w:val="continue"/>
          </w:tcPr>
          <w:p>
            <w:pPr>
              <w:spacing w:after="0"/>
              <w:rPr>
                <w:sz w:val="2"/>
                <w:szCs w:val="2"/>
                <w:color w:val="auto"/>
              </w:rPr>
            </w:pPr>
          </w:p>
        </w:tc>
        <w:tc>
          <w:tcPr>
            <w:tcW w:w="1620" w:type="dxa"/>
            <w:vAlign w:val="bottom"/>
            <w:vMerge w:val="continue"/>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private companies</w:t>
            </w:r>
          </w:p>
        </w:tc>
        <w:tc>
          <w:tcPr>
            <w:tcW w:w="1620" w:type="dxa"/>
            <w:vAlign w:val="bottom"/>
            <w:vMerge w:val="continue"/>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1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Discounted cash flow</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Discount rate</w:t>
            </w:r>
          </w:p>
        </w:tc>
        <w:tc>
          <w:tcPr>
            <w:tcW w:w="1680" w:type="dxa"/>
            <w:vAlign w:val="bottom"/>
            <w:gridSpan w:val="3"/>
            <w:vMerge w:val="restart"/>
          </w:tcPr>
          <w:p>
            <w:pPr>
              <w:jc w:val="center"/>
              <w:ind w:left="92"/>
              <w:spacing w:after="0"/>
              <w:rPr>
                <w:sz w:val="20"/>
                <w:szCs w:val="20"/>
                <w:color w:val="auto"/>
              </w:rPr>
            </w:pPr>
            <w:r>
              <w:rPr>
                <w:rFonts w:ascii="Arial" w:cs="Arial" w:eastAsia="Arial" w:hAnsi="Arial"/>
                <w:sz w:val="18"/>
                <w:szCs w:val="18"/>
                <w:color w:val="auto"/>
                <w:w w:val="92"/>
              </w:rPr>
              <w:t>12.0% (12.0%)</w:t>
            </w:r>
          </w:p>
        </w:tc>
        <w:tc>
          <w:tcPr>
            <w:tcW w:w="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740" w:type="dxa"/>
            <w:vAlign w:val="bottom"/>
            <w:tcBorders>
              <w:left w:val="single" w:sz="8" w:color="auto"/>
              <w:right w:val="single" w:sz="8" w:color="auto"/>
            </w:tcBorders>
            <w:vMerge w:val="continue"/>
          </w:tcPr>
          <w:p>
            <w:pPr>
              <w:spacing w:after="0"/>
              <w:rPr>
                <w:sz w:val="9"/>
                <w:szCs w:val="9"/>
                <w:color w:val="auto"/>
              </w:rPr>
            </w:pPr>
          </w:p>
        </w:tc>
        <w:tc>
          <w:tcPr>
            <w:tcW w:w="1620" w:type="dxa"/>
            <w:vAlign w:val="bottom"/>
          </w:tcPr>
          <w:p>
            <w:pPr>
              <w:spacing w:after="0"/>
              <w:rPr>
                <w:sz w:val="9"/>
                <w:szCs w:val="9"/>
                <w:color w:val="auto"/>
              </w:rPr>
            </w:pPr>
          </w:p>
        </w:tc>
        <w:tc>
          <w:tcPr>
            <w:tcW w:w="280" w:type="dxa"/>
            <w:vAlign w:val="bottom"/>
            <w:tcBorders>
              <w:right w:val="single" w:sz="8" w:color="auto"/>
            </w:tcBorders>
          </w:tcPr>
          <w:p>
            <w:pPr>
              <w:spacing w:after="0"/>
              <w:rPr>
                <w:sz w:val="9"/>
                <w:szCs w:val="9"/>
                <w:color w:val="auto"/>
              </w:rPr>
            </w:pPr>
          </w:p>
        </w:tc>
        <w:tc>
          <w:tcPr>
            <w:tcW w:w="1860" w:type="dxa"/>
            <w:vAlign w:val="bottom"/>
            <w:tcBorders>
              <w:right w:val="single" w:sz="8" w:color="auto"/>
            </w:tcBorders>
            <w:vMerge w:val="continue"/>
          </w:tcPr>
          <w:p>
            <w:pPr>
              <w:spacing w:after="0"/>
              <w:rPr>
                <w:sz w:val="9"/>
                <w:szCs w:val="9"/>
                <w:color w:val="auto"/>
              </w:rPr>
            </w:pPr>
          </w:p>
        </w:tc>
        <w:tc>
          <w:tcPr>
            <w:tcW w:w="1880" w:type="dxa"/>
            <w:vAlign w:val="bottom"/>
            <w:tcBorders>
              <w:right w:val="single" w:sz="8" w:color="auto"/>
            </w:tcBorders>
            <w:vMerge w:val="continue"/>
          </w:tcPr>
          <w:p>
            <w:pPr>
              <w:spacing w:after="0"/>
              <w:rPr>
                <w:sz w:val="9"/>
                <w:szCs w:val="9"/>
                <w:color w:val="auto"/>
              </w:rPr>
            </w:pPr>
          </w:p>
        </w:tc>
        <w:tc>
          <w:tcPr>
            <w:tcW w:w="1680" w:type="dxa"/>
            <w:vAlign w:val="bottom"/>
            <w:gridSpan w:val="3"/>
            <w:vMerge w:val="continue"/>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740" w:type="dxa"/>
            <w:vAlign w:val="bottom"/>
            <w:tcBorders>
              <w:left w:val="single" w:sz="8" w:color="auto"/>
              <w:right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Borders>
              <w:left w:val="single" w:sz="8" w:color="auto"/>
              <w:right w:val="single" w:sz="8" w:color="auto"/>
            </w:tcBorders>
          </w:tcPr>
          <w:p>
            <w:pPr>
              <w:spacing w:after="0"/>
              <w:rPr>
                <w:sz w:val="20"/>
                <w:szCs w:val="20"/>
                <w:color w:val="auto"/>
              </w:rPr>
            </w:pPr>
          </w:p>
        </w:tc>
        <w:tc>
          <w:tcPr>
            <w:tcW w:w="162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1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PWERM</w:t>
            </w:r>
            <w:r>
              <w:rPr>
                <w:rFonts w:ascii="Arial" w:cs="Arial" w:eastAsia="Arial" w:hAnsi="Arial"/>
                <w:sz w:val="23"/>
                <w:szCs w:val="23"/>
                <w:color w:val="auto"/>
                <w:w w:val="91"/>
                <w:vertAlign w:val="superscript"/>
              </w:rPr>
              <w:t>(5)</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Revenue multiples</w:t>
            </w:r>
          </w:p>
        </w:tc>
        <w:tc>
          <w:tcPr>
            <w:tcW w:w="600" w:type="dxa"/>
            <w:vAlign w:val="bottom"/>
          </w:tcPr>
          <w:p>
            <w:pPr>
              <w:jc w:val="right"/>
              <w:spacing w:after="0"/>
              <w:rPr>
                <w:sz w:val="20"/>
                <w:szCs w:val="20"/>
                <w:color w:val="auto"/>
              </w:rPr>
            </w:pPr>
            <w:r>
              <w:rPr>
                <w:rFonts w:ascii="Arial" w:cs="Arial" w:eastAsia="Arial" w:hAnsi="Arial"/>
                <w:sz w:val="18"/>
                <w:szCs w:val="18"/>
                <w:color w:val="auto"/>
              </w:rPr>
              <w:t>1.23x</w:t>
            </w:r>
          </w:p>
        </w:tc>
        <w:tc>
          <w:tcPr>
            <w:tcW w:w="540" w:type="dxa"/>
            <w:vAlign w:val="bottom"/>
          </w:tcPr>
          <w:p>
            <w:pPr>
              <w:jc w:val="center"/>
              <w:spacing w:after="0"/>
              <w:rPr>
                <w:sz w:val="20"/>
                <w:szCs w:val="20"/>
                <w:color w:val="auto"/>
              </w:rPr>
            </w:pPr>
            <w:r>
              <w:rPr>
                <w:rFonts w:ascii="Arial" w:cs="Arial" w:eastAsia="Arial" w:hAnsi="Arial"/>
                <w:sz w:val="18"/>
                <w:szCs w:val="18"/>
                <w:color w:val="auto"/>
                <w:w w:val="90"/>
              </w:rPr>
              <w:t>- 2.05x</w:t>
            </w:r>
          </w:p>
        </w:tc>
        <w:tc>
          <w:tcPr>
            <w:tcW w:w="74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(1.83x)</w:t>
            </w:r>
          </w:p>
        </w:tc>
        <w:tc>
          <w:tcPr>
            <w:tcW w:w="0" w:type="dxa"/>
            <w:vAlign w:val="bottom"/>
          </w:tcPr>
          <w:p>
            <w:pPr>
              <w:spacing w:after="0"/>
              <w:rPr>
                <w:sz w:val="1"/>
                <w:szCs w:val="1"/>
                <w:color w:val="auto"/>
              </w:rPr>
            </w:pPr>
          </w:p>
        </w:tc>
      </w:tr>
      <w:tr>
        <w:trPr>
          <w:trHeight w:val="27"/>
        </w:trPr>
        <w:tc>
          <w:tcPr>
            <w:tcW w:w="3740" w:type="dxa"/>
            <w:vAlign w:val="bottom"/>
            <w:tcBorders>
              <w:left w:val="single" w:sz="8" w:color="auto"/>
              <w:right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860" w:type="dxa"/>
            <w:vAlign w:val="bottom"/>
            <w:tcBorders>
              <w:right w:val="single" w:sz="8" w:color="auto"/>
            </w:tcBorders>
            <w:vMerge w:val="continue"/>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740" w:type="dxa"/>
            <w:vAlign w:val="bottom"/>
            <w:tcBorders>
              <w:left w:val="single" w:sz="8" w:color="auto"/>
              <w:right w:val="single" w:sz="8" w:color="auto"/>
            </w:tcBorders>
          </w:tcPr>
          <w:p>
            <w:pPr>
              <w:spacing w:after="0"/>
              <w:rPr>
                <w:sz w:val="15"/>
                <w:szCs w:val="15"/>
                <w:color w:val="auto"/>
              </w:rPr>
            </w:pPr>
          </w:p>
        </w:tc>
        <w:tc>
          <w:tcPr>
            <w:tcW w:w="162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1860" w:type="dxa"/>
            <w:vAlign w:val="bottom"/>
            <w:tcBorders>
              <w:right w:val="single" w:sz="8" w:color="auto"/>
            </w:tcBorders>
            <w:vMerge w:val="continue"/>
          </w:tcPr>
          <w:p>
            <w:pPr>
              <w:spacing w:after="0"/>
              <w:rPr>
                <w:sz w:val="15"/>
                <w:szCs w:val="15"/>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Precedent transactions</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2.97x</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auto"/>
                <w:w w:val="90"/>
              </w:rPr>
              <w:t>- 3.23x</w:t>
            </w:r>
          </w:p>
        </w:tc>
        <w:tc>
          <w:tcPr>
            <w:tcW w:w="74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(3.10x)</w:t>
            </w:r>
          </w:p>
        </w:tc>
        <w:tc>
          <w:tcPr>
            <w:tcW w:w="0" w:type="dxa"/>
            <w:vAlign w:val="bottom"/>
          </w:tcPr>
          <w:p>
            <w:pPr>
              <w:spacing w:after="0"/>
              <w:rPr>
                <w:sz w:val="1"/>
                <w:szCs w:val="1"/>
                <w:color w:val="auto"/>
              </w:rPr>
            </w:pPr>
          </w:p>
        </w:tc>
      </w:tr>
      <w:tr>
        <w:trPr>
          <w:trHeight w:val="54"/>
        </w:trPr>
        <w:tc>
          <w:tcPr>
            <w:tcW w:w="3740" w:type="dxa"/>
            <w:vAlign w:val="bottom"/>
            <w:tcBorders>
              <w:left w:val="single" w:sz="8" w:color="auto"/>
              <w:right w:val="single" w:sz="8" w:color="auto"/>
            </w:tcBorders>
          </w:tcPr>
          <w:p>
            <w:pPr>
              <w:spacing w:after="0"/>
              <w:rPr>
                <w:sz w:val="4"/>
                <w:szCs w:val="4"/>
                <w:color w:val="auto"/>
              </w:rPr>
            </w:pPr>
          </w:p>
        </w:tc>
        <w:tc>
          <w:tcPr>
            <w:tcW w:w="1620" w:type="dxa"/>
            <w:vAlign w:val="bottom"/>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1860" w:type="dxa"/>
            <w:vAlign w:val="bottom"/>
            <w:tcBorders>
              <w:right w:val="single" w:sz="8" w:color="auto"/>
            </w:tcBorders>
          </w:tcPr>
          <w:p>
            <w:pPr>
              <w:spacing w:after="0"/>
              <w:rPr>
                <w:sz w:val="4"/>
                <w:szCs w:val="4"/>
                <w:color w:val="auto"/>
              </w:rPr>
            </w:pPr>
          </w:p>
        </w:tc>
        <w:tc>
          <w:tcPr>
            <w:tcW w:w="1880" w:type="dxa"/>
            <w:vAlign w:val="bottom"/>
            <w:tcBorders>
              <w:right w:val="single" w:sz="8" w:color="auto"/>
            </w:tcBorders>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740" w:type="dxa"/>
            <w:vAlign w:val="bottom"/>
            <w:tcBorders>
              <w:right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Borders>
              <w:left w:val="single" w:sz="8" w:color="auto"/>
              <w:right w:val="single" w:sz="8" w:color="auto"/>
            </w:tcBorders>
          </w:tcPr>
          <w:p>
            <w:pPr>
              <w:spacing w:after="0"/>
              <w:rPr>
                <w:sz w:val="20"/>
                <w:szCs w:val="20"/>
                <w:color w:val="auto"/>
              </w:rPr>
            </w:pPr>
          </w:p>
        </w:tc>
        <w:tc>
          <w:tcPr>
            <w:tcW w:w="162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Market approach</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Revenue multiples</w:t>
            </w:r>
          </w:p>
        </w:tc>
        <w:tc>
          <w:tcPr>
            <w:tcW w:w="600" w:type="dxa"/>
            <w:vAlign w:val="bottom"/>
          </w:tcPr>
          <w:p>
            <w:pPr>
              <w:jc w:val="right"/>
              <w:spacing w:after="0"/>
              <w:rPr>
                <w:sz w:val="20"/>
                <w:szCs w:val="20"/>
                <w:color w:val="auto"/>
              </w:rPr>
            </w:pPr>
            <w:r>
              <w:rPr>
                <w:rFonts w:ascii="Arial" w:cs="Arial" w:eastAsia="Arial" w:hAnsi="Arial"/>
                <w:sz w:val="18"/>
                <w:szCs w:val="18"/>
                <w:color w:val="auto"/>
              </w:rPr>
              <w:t>1.45x</w:t>
            </w:r>
          </w:p>
        </w:tc>
        <w:tc>
          <w:tcPr>
            <w:tcW w:w="540" w:type="dxa"/>
            <w:vAlign w:val="bottom"/>
          </w:tcPr>
          <w:p>
            <w:pPr>
              <w:jc w:val="center"/>
              <w:spacing w:after="0"/>
              <w:rPr>
                <w:sz w:val="20"/>
                <w:szCs w:val="20"/>
                <w:color w:val="auto"/>
              </w:rPr>
            </w:pPr>
            <w:r>
              <w:rPr>
                <w:rFonts w:ascii="Arial" w:cs="Arial" w:eastAsia="Arial" w:hAnsi="Arial"/>
                <w:sz w:val="18"/>
                <w:szCs w:val="18"/>
                <w:color w:val="auto"/>
                <w:w w:val="90"/>
              </w:rPr>
              <w:t>- 1.57x</w:t>
            </w:r>
          </w:p>
        </w:tc>
        <w:tc>
          <w:tcPr>
            <w:tcW w:w="74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(1.51x)</w:t>
            </w:r>
          </w:p>
        </w:tc>
        <w:tc>
          <w:tcPr>
            <w:tcW w:w="0" w:type="dxa"/>
            <w:vAlign w:val="bottom"/>
          </w:tcPr>
          <w:p>
            <w:pPr>
              <w:spacing w:after="0"/>
              <w:rPr>
                <w:sz w:val="1"/>
                <w:szCs w:val="1"/>
                <w:color w:val="auto"/>
              </w:rPr>
            </w:pPr>
          </w:p>
        </w:tc>
      </w:tr>
      <w:tr>
        <w:trPr>
          <w:trHeight w:val="27"/>
        </w:trPr>
        <w:tc>
          <w:tcPr>
            <w:tcW w:w="3740" w:type="dxa"/>
            <w:vAlign w:val="bottom"/>
            <w:tcBorders>
              <w:left w:val="single" w:sz="8" w:color="auto"/>
              <w:right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Debt investments</w:t>
            </w:r>
          </w:p>
        </w:tc>
        <w:tc>
          <w:tcPr>
            <w:tcW w:w="1620" w:type="dxa"/>
            <w:vAlign w:val="bottom"/>
          </w:tcPr>
          <w:p>
            <w:pPr>
              <w:jc w:val="center"/>
              <w:ind w:left="154"/>
              <w:spacing w:after="0"/>
              <w:rPr>
                <w:sz w:val="20"/>
                <w:szCs w:val="20"/>
                <w:color w:val="auto"/>
              </w:rPr>
            </w:pPr>
            <w:r>
              <w:rPr>
                <w:rFonts w:ascii="Arial" w:cs="Arial" w:eastAsia="Arial" w:hAnsi="Arial"/>
                <w:sz w:val="18"/>
                <w:szCs w:val="18"/>
                <w:color w:val="auto"/>
                <w:w w:val="90"/>
              </w:rPr>
              <w:t>$1,644,155</w:t>
            </w:r>
          </w:p>
        </w:tc>
        <w:tc>
          <w:tcPr>
            <w:tcW w:w="280" w:type="dxa"/>
            <w:vAlign w:val="bottom"/>
            <w:tcBorders>
              <w:right w:val="single" w:sz="8" w:color="auto"/>
            </w:tcBorders>
          </w:tcPr>
          <w:p>
            <w:pPr>
              <w:spacing w:after="0"/>
              <w:rPr>
                <w:sz w:val="20"/>
                <w:szCs w:val="20"/>
                <w:color w:val="auto"/>
              </w:rPr>
            </w:pPr>
          </w:p>
        </w:tc>
        <w:tc>
          <w:tcPr>
            <w:tcW w:w="1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PWERM</w:t>
            </w:r>
            <w:r>
              <w:rPr>
                <w:rFonts w:ascii="Arial" w:cs="Arial" w:eastAsia="Arial" w:hAnsi="Arial"/>
                <w:sz w:val="23"/>
                <w:szCs w:val="23"/>
                <w:color w:val="auto"/>
                <w:w w:val="91"/>
                <w:vertAlign w:val="superscript"/>
              </w:rPr>
              <w:t>(5)</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Revenue multiples</w:t>
            </w:r>
          </w:p>
        </w:tc>
        <w:tc>
          <w:tcPr>
            <w:tcW w:w="600" w:type="dxa"/>
            <w:vAlign w:val="bottom"/>
          </w:tcPr>
          <w:p>
            <w:pPr>
              <w:spacing w:after="0"/>
              <w:rPr>
                <w:sz w:val="20"/>
                <w:szCs w:val="20"/>
                <w:color w:val="auto"/>
              </w:rPr>
            </w:pPr>
          </w:p>
        </w:tc>
        <w:tc>
          <w:tcPr>
            <w:tcW w:w="540" w:type="dxa"/>
            <w:vAlign w:val="bottom"/>
          </w:tcPr>
          <w:p>
            <w:pPr>
              <w:ind w:left="180"/>
              <w:spacing w:after="0"/>
              <w:rPr>
                <w:sz w:val="20"/>
                <w:szCs w:val="20"/>
                <w:color w:val="auto"/>
              </w:rPr>
            </w:pPr>
            <w:r>
              <w:rPr>
                <w:rFonts w:ascii="Arial" w:cs="Arial" w:eastAsia="Arial" w:hAnsi="Arial"/>
                <w:sz w:val="18"/>
                <w:szCs w:val="18"/>
                <w:color w:val="auto"/>
              </w:rPr>
              <w:t>N/A</w:t>
            </w:r>
          </w:p>
        </w:tc>
        <w:tc>
          <w:tcPr>
            <w:tcW w:w="5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40" w:type="dxa"/>
            <w:vAlign w:val="bottom"/>
            <w:tcBorders>
              <w:left w:val="single" w:sz="8" w:color="auto"/>
              <w:right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860" w:type="dxa"/>
            <w:vAlign w:val="bottom"/>
            <w:tcBorders>
              <w:right w:val="single" w:sz="8" w:color="auto"/>
            </w:tcBorders>
            <w:vMerge w:val="continue"/>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740" w:type="dxa"/>
            <w:vAlign w:val="bottom"/>
            <w:tcBorders>
              <w:left w:val="single" w:sz="8" w:color="auto"/>
              <w:right w:val="single" w:sz="8" w:color="auto"/>
            </w:tcBorders>
          </w:tcPr>
          <w:p>
            <w:pPr>
              <w:spacing w:after="0"/>
              <w:rPr>
                <w:sz w:val="15"/>
                <w:szCs w:val="15"/>
                <w:color w:val="auto"/>
              </w:rPr>
            </w:pPr>
          </w:p>
        </w:tc>
        <w:tc>
          <w:tcPr>
            <w:tcW w:w="162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1860" w:type="dxa"/>
            <w:vAlign w:val="bottom"/>
            <w:tcBorders>
              <w:right w:val="single" w:sz="8" w:color="auto"/>
            </w:tcBorders>
            <w:vMerge w:val="continue"/>
          </w:tcPr>
          <w:p>
            <w:pPr>
              <w:spacing w:after="0"/>
              <w:rPr>
                <w:sz w:val="15"/>
                <w:szCs w:val="15"/>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Liquidation value</w:t>
            </w:r>
          </w:p>
        </w:tc>
        <w:tc>
          <w:tcPr>
            <w:tcW w:w="600" w:type="dxa"/>
            <w:vAlign w:val="bottom"/>
          </w:tcPr>
          <w:p>
            <w:pPr>
              <w:spacing w:after="0"/>
              <w:rPr>
                <w:sz w:val="15"/>
                <w:szCs w:val="15"/>
                <w:color w:val="auto"/>
              </w:rPr>
            </w:pPr>
          </w:p>
        </w:tc>
        <w:tc>
          <w:tcPr>
            <w:tcW w:w="540" w:type="dxa"/>
            <w:vAlign w:val="bottom"/>
            <w:vMerge w:val="restart"/>
          </w:tcPr>
          <w:p>
            <w:pPr>
              <w:ind w:left="180"/>
              <w:spacing w:after="0"/>
              <w:rPr>
                <w:sz w:val="20"/>
                <w:szCs w:val="20"/>
                <w:color w:val="auto"/>
              </w:rPr>
            </w:pPr>
            <w:r>
              <w:rPr>
                <w:rFonts w:ascii="Arial" w:cs="Arial" w:eastAsia="Arial" w:hAnsi="Arial"/>
                <w:sz w:val="18"/>
                <w:szCs w:val="18"/>
                <w:color w:val="auto"/>
              </w:rPr>
              <w:t>N/A</w:t>
            </w:r>
          </w:p>
        </w:tc>
        <w:tc>
          <w:tcPr>
            <w:tcW w:w="54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3740" w:type="dxa"/>
            <w:vAlign w:val="bottom"/>
            <w:tcBorders>
              <w:left w:val="single" w:sz="8" w:color="auto"/>
              <w:right w:val="single" w:sz="8" w:color="auto"/>
            </w:tcBorders>
          </w:tcPr>
          <w:p>
            <w:pPr>
              <w:spacing w:after="0"/>
              <w:rPr>
                <w:sz w:val="4"/>
                <w:szCs w:val="4"/>
                <w:color w:val="auto"/>
              </w:rPr>
            </w:pPr>
          </w:p>
        </w:tc>
        <w:tc>
          <w:tcPr>
            <w:tcW w:w="1620" w:type="dxa"/>
            <w:vAlign w:val="bottom"/>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1860" w:type="dxa"/>
            <w:vAlign w:val="bottom"/>
            <w:tcBorders>
              <w:right w:val="single" w:sz="8" w:color="auto"/>
            </w:tcBorders>
          </w:tcPr>
          <w:p>
            <w:pPr>
              <w:spacing w:after="0"/>
              <w:rPr>
                <w:sz w:val="4"/>
                <w:szCs w:val="4"/>
                <w:color w:val="auto"/>
              </w:rPr>
            </w:pPr>
          </w:p>
        </w:tc>
        <w:tc>
          <w:tcPr>
            <w:tcW w:w="1880" w:type="dxa"/>
            <w:vAlign w:val="bottom"/>
            <w:tcBorders>
              <w:right w:val="single" w:sz="8" w:color="auto"/>
            </w:tcBorders>
            <w:vMerge w:val="continue"/>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740" w:type="dxa"/>
            <w:vAlign w:val="bottom"/>
            <w:tcBorders>
              <w:left w:val="single" w:sz="8" w:color="auto"/>
              <w:right w:val="single" w:sz="8" w:color="auto"/>
            </w:tcBorders>
          </w:tcPr>
          <w:p>
            <w:pPr>
              <w:spacing w:after="0"/>
              <w:rPr>
                <w:sz w:val="19"/>
                <w:szCs w:val="19"/>
                <w:color w:val="auto"/>
              </w:rPr>
            </w:pPr>
          </w:p>
        </w:tc>
        <w:tc>
          <w:tcPr>
            <w:tcW w:w="16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1860" w:type="dxa"/>
            <w:vAlign w:val="bottom"/>
            <w:tcBorders>
              <w:right w:val="single" w:sz="8" w:color="auto"/>
            </w:tcBorders>
          </w:tcPr>
          <w:p>
            <w:pPr>
              <w:spacing w:after="0"/>
              <w:rPr>
                <w:sz w:val="19"/>
                <w:szCs w:val="19"/>
                <w:color w:val="auto"/>
              </w:rPr>
            </w:pP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Term to expiration</w:t>
            </w:r>
          </w:p>
        </w:tc>
        <w:tc>
          <w:tcPr>
            <w:tcW w:w="1680" w:type="dxa"/>
            <w:vAlign w:val="bottom"/>
            <w:gridSpan w:val="3"/>
            <w:vMerge w:val="restart"/>
          </w:tcPr>
          <w:p>
            <w:pPr>
              <w:jc w:val="center"/>
              <w:ind w:left="92"/>
              <w:spacing w:after="0"/>
              <w:rPr>
                <w:sz w:val="20"/>
                <w:szCs w:val="20"/>
                <w:color w:val="auto"/>
              </w:rPr>
            </w:pPr>
            <w:r>
              <w:rPr>
                <w:rFonts w:ascii="Arial" w:cs="Arial" w:eastAsia="Arial" w:hAnsi="Arial"/>
                <w:sz w:val="18"/>
                <w:szCs w:val="18"/>
                <w:color w:val="auto"/>
                <w:w w:val="91"/>
              </w:rPr>
              <w:t>0.13 - 8.30 (5.35)</w:t>
            </w:r>
          </w:p>
        </w:tc>
        <w:tc>
          <w:tcPr>
            <w:tcW w:w="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3740" w:type="dxa"/>
            <w:vAlign w:val="bottom"/>
            <w:tcBorders>
              <w:left w:val="single" w:sz="8" w:color="auto"/>
              <w:right w:val="single" w:sz="8" w:color="auto"/>
            </w:tcBorders>
          </w:tcPr>
          <w:p>
            <w:pPr>
              <w:spacing w:after="0"/>
              <w:rPr>
                <w:sz w:val="10"/>
                <w:szCs w:val="10"/>
                <w:color w:val="auto"/>
              </w:rPr>
            </w:pPr>
          </w:p>
        </w:tc>
        <w:tc>
          <w:tcPr>
            <w:tcW w:w="162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1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Option pricing model</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(Years)</w:t>
            </w:r>
          </w:p>
        </w:tc>
        <w:tc>
          <w:tcPr>
            <w:tcW w:w="1680" w:type="dxa"/>
            <w:vAlign w:val="bottom"/>
            <w:gridSpan w:val="3"/>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Options</w:t>
            </w:r>
          </w:p>
        </w:tc>
        <w:tc>
          <w:tcPr>
            <w:tcW w:w="1620" w:type="dxa"/>
            <w:vAlign w:val="bottom"/>
            <w:vMerge w:val="restart"/>
          </w:tcPr>
          <w:p>
            <w:pPr>
              <w:jc w:val="center"/>
              <w:ind w:left="154"/>
              <w:spacing w:after="0"/>
              <w:rPr>
                <w:sz w:val="20"/>
                <w:szCs w:val="20"/>
                <w:color w:val="auto"/>
              </w:rPr>
            </w:pPr>
            <w:r>
              <w:rPr>
                <w:rFonts w:ascii="Arial" w:cs="Arial" w:eastAsia="Arial" w:hAnsi="Arial"/>
                <w:sz w:val="18"/>
                <w:szCs w:val="18"/>
                <w:color w:val="auto"/>
                <w:w w:val="90"/>
              </w:rPr>
              <w:t>$5,283,506</w:t>
            </w:r>
          </w:p>
        </w:tc>
        <w:tc>
          <w:tcPr>
            <w:tcW w:w="280" w:type="dxa"/>
            <w:vAlign w:val="bottom"/>
            <w:tcBorders>
              <w:right w:val="single" w:sz="8" w:color="auto"/>
            </w:tcBorders>
          </w:tcPr>
          <w:p>
            <w:pPr>
              <w:spacing w:after="0"/>
              <w:rPr>
                <w:sz w:val="11"/>
                <w:szCs w:val="11"/>
                <w:color w:val="auto"/>
              </w:rPr>
            </w:pPr>
          </w:p>
        </w:tc>
        <w:tc>
          <w:tcPr>
            <w:tcW w:w="1860" w:type="dxa"/>
            <w:vAlign w:val="bottom"/>
            <w:tcBorders>
              <w:right w:val="single" w:sz="8" w:color="auto"/>
            </w:tcBorders>
            <w:vMerge w:val="continue"/>
          </w:tcPr>
          <w:p>
            <w:pPr>
              <w:spacing w:after="0"/>
              <w:rPr>
                <w:sz w:val="11"/>
                <w:szCs w:val="11"/>
                <w:color w:val="auto"/>
              </w:rPr>
            </w:pPr>
          </w:p>
        </w:tc>
        <w:tc>
          <w:tcPr>
            <w:tcW w:w="1880" w:type="dxa"/>
            <w:vAlign w:val="bottom"/>
            <w:tcBorders>
              <w:bottom w:val="single" w:sz="8" w:color="auto"/>
              <w:right w:val="single" w:sz="8" w:color="auto"/>
            </w:tcBorders>
            <w:vMerge w:val="continue"/>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740" w:type="dxa"/>
            <w:vAlign w:val="bottom"/>
            <w:tcBorders>
              <w:left w:val="single" w:sz="8" w:color="auto"/>
              <w:right w:val="single" w:sz="8" w:color="auto"/>
            </w:tcBorders>
            <w:vMerge w:val="continue"/>
          </w:tcPr>
          <w:p>
            <w:pPr>
              <w:spacing w:after="0"/>
              <w:rPr>
                <w:sz w:val="11"/>
                <w:szCs w:val="11"/>
                <w:color w:val="auto"/>
              </w:rPr>
            </w:pPr>
          </w:p>
        </w:tc>
        <w:tc>
          <w:tcPr>
            <w:tcW w:w="1620" w:type="dxa"/>
            <w:vAlign w:val="bottom"/>
            <w:vMerge w:val="continue"/>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1860" w:type="dxa"/>
            <w:vAlign w:val="bottom"/>
            <w:tcBorders>
              <w:right w:val="single" w:sz="8" w:color="auto"/>
            </w:tcBorders>
          </w:tcPr>
          <w:p>
            <w:pPr>
              <w:spacing w:after="0"/>
              <w:rPr>
                <w:sz w:val="11"/>
                <w:szCs w:val="11"/>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Volatility</w:t>
            </w:r>
          </w:p>
        </w:tc>
        <w:tc>
          <w:tcPr>
            <w:tcW w:w="1880" w:type="dxa"/>
            <w:vAlign w:val="bottom"/>
            <w:tcBorders>
              <w:right w:val="single" w:sz="8" w:color="auto"/>
            </w:tcBorders>
            <w:gridSpan w:val="4"/>
            <w:vMerge w:val="restart"/>
          </w:tcPr>
          <w:p>
            <w:pPr>
              <w:jc w:val="center"/>
              <w:spacing w:after="0"/>
              <w:rPr>
                <w:sz w:val="20"/>
                <w:szCs w:val="20"/>
                <w:color w:val="auto"/>
              </w:rPr>
            </w:pPr>
            <w:r>
              <w:rPr>
                <w:rFonts w:ascii="Arial" w:cs="Arial" w:eastAsia="Arial" w:hAnsi="Arial"/>
                <w:sz w:val="18"/>
                <w:szCs w:val="18"/>
                <w:color w:val="auto"/>
                <w:w w:val="91"/>
              </w:rPr>
              <w:t>30.0%-48.0% (36.0%)</w:t>
            </w:r>
          </w:p>
        </w:tc>
        <w:tc>
          <w:tcPr>
            <w:tcW w:w="0" w:type="dxa"/>
            <w:vAlign w:val="bottom"/>
          </w:tcPr>
          <w:p>
            <w:pPr>
              <w:spacing w:after="0"/>
              <w:rPr>
                <w:sz w:val="1"/>
                <w:szCs w:val="1"/>
                <w:color w:val="auto"/>
              </w:rPr>
            </w:pPr>
          </w:p>
        </w:tc>
      </w:tr>
      <w:tr>
        <w:trPr>
          <w:trHeight w:val="108"/>
        </w:trPr>
        <w:tc>
          <w:tcPr>
            <w:tcW w:w="3740" w:type="dxa"/>
            <w:vAlign w:val="bottom"/>
            <w:tcBorders>
              <w:left w:val="single" w:sz="8" w:color="auto"/>
              <w:right w:val="single" w:sz="8" w:color="auto"/>
            </w:tcBorders>
          </w:tcPr>
          <w:p>
            <w:pPr>
              <w:spacing w:after="0"/>
              <w:rPr>
                <w:sz w:val="9"/>
                <w:szCs w:val="9"/>
                <w:color w:val="auto"/>
              </w:rPr>
            </w:pPr>
          </w:p>
        </w:tc>
        <w:tc>
          <w:tcPr>
            <w:tcW w:w="1620" w:type="dxa"/>
            <w:vAlign w:val="bottom"/>
          </w:tcPr>
          <w:p>
            <w:pPr>
              <w:spacing w:after="0"/>
              <w:rPr>
                <w:sz w:val="9"/>
                <w:szCs w:val="9"/>
                <w:color w:val="auto"/>
              </w:rPr>
            </w:pPr>
          </w:p>
        </w:tc>
        <w:tc>
          <w:tcPr>
            <w:tcW w:w="280" w:type="dxa"/>
            <w:vAlign w:val="bottom"/>
            <w:tcBorders>
              <w:right w:val="single" w:sz="8" w:color="auto"/>
            </w:tcBorders>
          </w:tcPr>
          <w:p>
            <w:pPr>
              <w:spacing w:after="0"/>
              <w:rPr>
                <w:sz w:val="9"/>
                <w:szCs w:val="9"/>
                <w:color w:val="auto"/>
              </w:rPr>
            </w:pPr>
          </w:p>
        </w:tc>
        <w:tc>
          <w:tcPr>
            <w:tcW w:w="1860" w:type="dxa"/>
            <w:vAlign w:val="bottom"/>
            <w:tcBorders>
              <w:right w:val="single" w:sz="8" w:color="auto"/>
            </w:tcBorders>
          </w:tcPr>
          <w:p>
            <w:pPr>
              <w:spacing w:after="0"/>
              <w:rPr>
                <w:sz w:val="9"/>
                <w:szCs w:val="9"/>
                <w:color w:val="auto"/>
              </w:rPr>
            </w:pPr>
          </w:p>
        </w:tc>
        <w:tc>
          <w:tcPr>
            <w:tcW w:w="1880" w:type="dxa"/>
            <w:vAlign w:val="bottom"/>
            <w:tcBorders>
              <w:right w:val="single" w:sz="8" w:color="auto"/>
            </w:tcBorders>
            <w:vMerge w:val="continue"/>
          </w:tcPr>
          <w:p>
            <w:pPr>
              <w:spacing w:after="0"/>
              <w:rPr>
                <w:sz w:val="9"/>
                <w:szCs w:val="9"/>
                <w:color w:val="auto"/>
              </w:rPr>
            </w:pPr>
          </w:p>
        </w:tc>
        <w:tc>
          <w:tcPr>
            <w:tcW w:w="1880" w:type="dxa"/>
            <w:vAlign w:val="bottom"/>
            <w:tcBorders>
              <w:right w:val="single" w:sz="8" w:color="auto"/>
            </w:tcBorders>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740" w:type="dxa"/>
            <w:vAlign w:val="bottom"/>
            <w:tcBorders>
              <w:left w:val="single" w:sz="8" w:color="auto"/>
              <w:right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Borders>
              <w:left w:val="single" w:sz="8" w:color="auto"/>
              <w:right w:val="single" w:sz="8" w:color="auto"/>
            </w:tcBorders>
          </w:tcPr>
          <w:p>
            <w:pPr>
              <w:spacing w:after="0"/>
              <w:rPr>
                <w:sz w:val="20"/>
                <w:szCs w:val="20"/>
                <w:color w:val="auto"/>
              </w:rPr>
            </w:pPr>
          </w:p>
        </w:tc>
        <w:tc>
          <w:tcPr>
            <w:tcW w:w="162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Discounted cash flow</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Discount Rate</w:t>
            </w:r>
          </w:p>
        </w:tc>
        <w:tc>
          <w:tcPr>
            <w:tcW w:w="1680" w:type="dxa"/>
            <w:vAlign w:val="bottom"/>
            <w:gridSpan w:val="3"/>
          </w:tcPr>
          <w:p>
            <w:pPr>
              <w:jc w:val="center"/>
              <w:ind w:left="92"/>
              <w:spacing w:after="0"/>
              <w:rPr>
                <w:sz w:val="20"/>
                <w:szCs w:val="20"/>
                <w:color w:val="auto"/>
              </w:rPr>
            </w:pPr>
            <w:r>
              <w:rPr>
                <w:rFonts w:ascii="Arial" w:cs="Arial" w:eastAsia="Arial" w:hAnsi="Arial"/>
                <w:sz w:val="18"/>
                <w:szCs w:val="18"/>
                <w:color w:val="auto"/>
                <w:w w:val="92"/>
              </w:rPr>
              <w:t>12.0% (12.0%)</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98"/>
        </w:trPr>
        <w:tc>
          <w:tcPr>
            <w:tcW w:w="37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40" w:type="dxa"/>
            <w:vAlign w:val="bottom"/>
            <w:gridSpan w:val="2"/>
          </w:tcPr>
          <w:p>
            <w:pPr>
              <w:jc w:val="right"/>
              <w:ind w:right="1693"/>
              <w:spacing w:after="0"/>
              <w:rPr>
                <w:sz w:val="20"/>
                <w:szCs w:val="20"/>
                <w:color w:val="auto"/>
              </w:rPr>
            </w:pPr>
            <w:r>
              <w:rPr>
                <w:rFonts w:ascii="Arial" w:cs="Arial" w:eastAsia="Arial" w:hAnsi="Arial"/>
                <w:sz w:val="18"/>
                <w:szCs w:val="18"/>
                <w:color w:val="auto"/>
              </w:rPr>
              <w:t>31</w:t>
            </w:r>
          </w:p>
        </w:tc>
        <w:tc>
          <w:tcPr>
            <w:tcW w:w="1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1" w:right="31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23" w:lineRule="exact"/>
        <w:rPr>
          <w:sz w:val="20"/>
          <w:szCs w:val="20"/>
          <w:color w:val="auto"/>
        </w:rPr>
      </w:pPr>
    </w:p>
    <w:p>
      <w:pPr>
        <w:ind w:left="660" w:hanging="652"/>
        <w:spacing w:after="0" w:line="264" w:lineRule="auto"/>
        <w:tabs>
          <w:tab w:leader="none" w:pos="239" w:val="left"/>
        </w:tabs>
        <w:numPr>
          <w:ilvl w:val="0"/>
          <w:numId w:val="20"/>
        </w:numPr>
        <w:rPr>
          <w:rFonts w:ascii="Arial" w:cs="Arial" w:eastAsia="Arial" w:hAnsi="Arial"/>
          <w:sz w:val="15"/>
          <w:szCs w:val="15"/>
          <w:color w:val="auto"/>
        </w:rPr>
      </w:pPr>
      <w:r>
        <w:rPr>
          <w:rFonts w:ascii="Arial" w:cs="Arial" w:eastAsia="Arial" w:hAnsi="Arial"/>
          <w:sz w:val="15"/>
          <w:szCs w:val="15"/>
          <w:color w:val="auto"/>
        </w:rPr>
        <w:t>As of December 31, 2019, the Company used a hybrid market and income approach to value certain common and preferred stock investments as the Company felt this approach better reflected the fair value of these investments. By considering multiple valuation approaches (and consequently, multiple valuation techniques), the valuation approaches and techniques are not likely to change from one period of measurement to the next; however, the weighting of each in determining the final fair value of a Level 3 investment may change based on recent events or transactions. The hybrid approach may also consider certain risk weightings to account for the uncertainty of future events. Refer to “Note 2—Significant Accounting Policies—</w:t>
      </w:r>
      <w:r>
        <w:rPr>
          <w:rFonts w:ascii="Arial" w:cs="Arial" w:eastAsia="Arial" w:hAnsi="Arial"/>
          <w:sz w:val="15"/>
          <w:szCs w:val="15"/>
          <w:i w:val="1"/>
          <w:iCs w:val="1"/>
          <w:color w:val="auto"/>
        </w:rPr>
        <w:t>Investments at Fair Value</w:t>
      </w:r>
      <w:r>
        <w:rPr>
          <w:rFonts w:ascii="Arial" w:cs="Arial" w:eastAsia="Arial" w:hAnsi="Arial"/>
          <w:sz w:val="15"/>
          <w:szCs w:val="15"/>
          <w:color w:val="auto"/>
        </w:rPr>
        <w:t>” for more detail.</w:t>
      </w:r>
    </w:p>
    <w:p>
      <w:pPr>
        <w:ind w:left="660" w:hanging="652"/>
        <w:spacing w:after="0" w:line="262" w:lineRule="auto"/>
        <w:tabs>
          <w:tab w:leader="none" w:pos="252"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Company considers all relevant information that can reasonably be obtained when determining the fair value of Level 3 investments. Due to any given portfolio company’s information rights, changes in capital structure, recent events, transactions, or liquidity events, the type and availability of unobservable inputs may change. Increases/(decreases) in revenue multiples, earnings before interest and taxes (“EBIT”) multiples, time to expiration, and stock price/strike price would result in higher (lower) fair values all else equal. Decreases (increases) in discount rates, volatility, and annual risk rates, would result in higher (lower) fair values all else equal. The market approach utilizes market value (revenue and EBIT) multiples of publicly traded comparable companies and available precedent sales transactions of comparable companies. The Company carefully considers numerous factors when selecting the appropriate companies whose multiples are used to value its portfolio companies. These factors include, but are not limited to, the type of organization, similarity to the business being valued, relevant risk factors, as well as size, profitability and growth expectations. In general, precedent transactions include recent rounds of financing, recent purchases made by the Company, and tender offers. Refer to “Note 2—Significant Accounting Policies—</w:t>
      </w:r>
      <w:r>
        <w:rPr>
          <w:rFonts w:ascii="Arial" w:cs="Arial" w:eastAsia="Arial" w:hAnsi="Arial"/>
          <w:sz w:val="15"/>
          <w:szCs w:val="15"/>
          <w:i w:val="1"/>
          <w:iCs w:val="1"/>
          <w:color w:val="auto"/>
        </w:rPr>
        <w:t>Investments at Fair Value</w:t>
      </w:r>
      <w:r>
        <w:rPr>
          <w:rFonts w:ascii="Arial" w:cs="Arial" w:eastAsia="Arial" w:hAnsi="Arial"/>
          <w:sz w:val="15"/>
          <w:szCs w:val="15"/>
          <w:color w:val="auto"/>
        </w:rPr>
        <w:t>” for more detail.</w:t>
      </w:r>
    </w:p>
    <w:p>
      <w:pPr>
        <w:spacing w:after="0" w:line="6" w:lineRule="exact"/>
        <w:rPr>
          <w:rFonts w:ascii="Arial" w:cs="Arial" w:eastAsia="Arial" w:hAnsi="Arial"/>
          <w:sz w:val="15"/>
          <w:szCs w:val="15"/>
          <w:color w:val="auto"/>
        </w:rPr>
      </w:pPr>
    </w:p>
    <w:p>
      <w:pPr>
        <w:ind w:left="240" w:hanging="232"/>
        <w:spacing w:after="0"/>
        <w:tabs>
          <w:tab w:leader="none" w:pos="2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weighted averages are calculated based on the fair market value of each investment.</w:t>
      </w:r>
    </w:p>
    <w:p>
      <w:pPr>
        <w:spacing w:after="0" w:line="5" w:lineRule="exact"/>
        <w:rPr>
          <w:rFonts w:ascii="Arial" w:cs="Arial" w:eastAsia="Arial" w:hAnsi="Arial"/>
          <w:sz w:val="16"/>
          <w:szCs w:val="16"/>
          <w:color w:val="auto"/>
        </w:rPr>
      </w:pPr>
    </w:p>
    <w:p>
      <w:pPr>
        <w:ind w:left="220" w:hanging="212"/>
        <w:spacing w:after="0"/>
        <w:tabs>
          <w:tab w:leader="none" w:pos="2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Adjusted Funds From Operations, or "AFFO"</w:t>
      </w:r>
    </w:p>
    <w:p>
      <w:pPr>
        <w:spacing w:after="0" w:line="5" w:lineRule="exact"/>
        <w:rPr>
          <w:rFonts w:ascii="Arial" w:cs="Arial" w:eastAsia="Arial" w:hAnsi="Arial"/>
          <w:sz w:val="16"/>
          <w:szCs w:val="16"/>
          <w:color w:val="auto"/>
        </w:rPr>
      </w:pPr>
    </w:p>
    <w:p>
      <w:pPr>
        <w:ind w:left="240" w:hanging="232"/>
        <w:spacing w:after="0"/>
        <w:tabs>
          <w:tab w:leader="none" w:pos="2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Probability-Weighted Expected Return Method, or "PWERM"</w:t>
      </w:r>
    </w:p>
    <w:p>
      <w:pPr>
        <w:spacing w:after="0" w:line="9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aggregate values of Level 3 assets and liabilities changed during the six months ended June 30, 2020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6"/>
          </w:tcPr>
          <w:p>
            <w:pPr>
              <w:jc w:val="center"/>
              <w:ind w:left="755"/>
              <w:spacing w:after="0"/>
              <w:rPr>
                <w:sz w:val="20"/>
                <w:szCs w:val="20"/>
                <w:color w:val="auto"/>
              </w:rPr>
            </w:pPr>
            <w:r>
              <w:rPr>
                <w:rFonts w:ascii="Arial" w:cs="Arial" w:eastAsia="Arial" w:hAnsi="Arial"/>
                <w:sz w:val="14"/>
                <w:szCs w:val="14"/>
                <w:b w:val="1"/>
                <w:bCs w:val="1"/>
                <w:color w:val="auto"/>
                <w:w w:val="92"/>
              </w:rPr>
              <w:t>Six Months Ended June 30, 2020</w:t>
            </w: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5"/>
              </w:rPr>
              <w:t>Common</w:t>
            </w:r>
          </w:p>
        </w:tc>
        <w:tc>
          <w:tcPr>
            <w:tcW w:w="240" w:type="dxa"/>
            <w:vAlign w:val="bottom"/>
          </w:tcPr>
          <w:p>
            <w:pPr>
              <w:spacing w:after="0"/>
              <w:rPr>
                <w:sz w:val="13"/>
                <w:szCs w:val="13"/>
                <w:color w:val="auto"/>
              </w:rPr>
            </w:pPr>
          </w:p>
        </w:tc>
        <w:tc>
          <w:tcPr>
            <w:tcW w:w="130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3"/>
              </w:rPr>
              <w:t>Preferred</w:t>
            </w:r>
          </w:p>
        </w:tc>
        <w:tc>
          <w:tcPr>
            <w:tcW w:w="220" w:type="dxa"/>
            <w:vAlign w:val="bottom"/>
          </w:tcPr>
          <w:p>
            <w:pPr>
              <w:spacing w:after="0"/>
              <w:rPr>
                <w:sz w:val="13"/>
                <w:szCs w:val="13"/>
                <w:color w:val="auto"/>
              </w:rPr>
            </w:pPr>
          </w:p>
        </w:tc>
        <w:tc>
          <w:tcPr>
            <w:tcW w:w="130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6"/>
              </w:rPr>
              <w:t>Debt</w:t>
            </w:r>
          </w:p>
        </w:tc>
        <w:tc>
          <w:tcPr>
            <w:tcW w:w="340" w:type="dxa"/>
            <w:vAlign w:val="bottom"/>
          </w:tcPr>
          <w:p>
            <w:pPr>
              <w:spacing w:after="0"/>
              <w:rPr>
                <w:sz w:val="13"/>
                <w:szCs w:val="13"/>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Options</w:t>
            </w:r>
          </w:p>
        </w:tc>
        <w:tc>
          <w:tcPr>
            <w:tcW w:w="260" w:type="dxa"/>
            <w:vAlign w:val="bottom"/>
          </w:tcPr>
          <w:p>
            <w:pPr>
              <w:spacing w:after="0"/>
              <w:rPr>
                <w:sz w:val="13"/>
                <w:szCs w:val="13"/>
                <w:color w:val="auto"/>
              </w:rPr>
            </w:pPr>
          </w:p>
        </w:tc>
        <w:tc>
          <w:tcPr>
            <w:tcW w:w="118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3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Fair Value as of December 31, 2019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59,209,559</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55"/>
              <w:spacing w:after="0"/>
              <w:rPr>
                <w:sz w:val="20"/>
                <w:szCs w:val="20"/>
                <w:color w:val="auto"/>
              </w:rPr>
            </w:pPr>
            <w:r>
              <w:rPr>
                <w:rFonts w:ascii="Arial" w:cs="Arial" w:eastAsia="Arial" w:hAnsi="Arial"/>
                <w:sz w:val="18"/>
                <w:szCs w:val="18"/>
                <w:color w:val="auto"/>
              </w:rPr>
              <w:t>125,448,358</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74"/>
              <w:spacing w:after="0"/>
              <w:rPr>
                <w:sz w:val="20"/>
                <w:szCs w:val="20"/>
                <w:color w:val="auto"/>
              </w:rPr>
            </w:pPr>
            <w:r>
              <w:rPr>
                <w:rFonts w:ascii="Arial" w:cs="Arial" w:eastAsia="Arial" w:hAnsi="Arial"/>
                <w:sz w:val="18"/>
                <w:szCs w:val="18"/>
                <w:color w:val="auto"/>
              </w:rPr>
              <w:t>1,644,155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5,283,506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w w:val="99"/>
              </w:rPr>
              <w:t>191,585,578</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capitalized fees, and interest</w:t>
            </w: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(3,912)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5,152,663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7,406,768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12,555,519</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Sales/Maturity of investments</w:t>
            </w:r>
          </w:p>
        </w:tc>
        <w:tc>
          <w:tcPr>
            <w:tcW w:w="26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(10,876,621)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(10,876,621)</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Exercises and conversions</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281,190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(281,190)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Realized gains</w:t>
            </w:r>
          </w:p>
        </w:tc>
        <w:tc>
          <w:tcPr>
            <w:tcW w:w="26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80" w:type="dxa"/>
            <w:vAlign w:val="bottom"/>
          </w:tcPr>
          <w:p>
            <w:pPr>
              <w:jc w:val="right"/>
              <w:ind w:right="55"/>
              <w:spacing w:after="0"/>
              <w:rPr>
                <w:sz w:val="20"/>
                <w:szCs w:val="20"/>
                <w:color w:val="auto"/>
              </w:rPr>
            </w:pPr>
            <w:r>
              <w:rPr>
                <w:rFonts w:ascii="Arial" w:cs="Arial" w:eastAsia="Arial" w:hAnsi="Arial"/>
                <w:sz w:val="18"/>
                <w:szCs w:val="18"/>
                <w:color w:val="auto"/>
              </w:rPr>
              <w:t>6,875,639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6,875,639</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36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Net change in unrealized appreciation/</w:t>
            </w:r>
          </w:p>
        </w:tc>
        <w:tc>
          <w:tcPr>
            <w:tcW w:w="2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(4,312,332)</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55"/>
              <w:spacing w:after="0"/>
              <w:rPr>
                <w:sz w:val="20"/>
                <w:szCs w:val="20"/>
                <w:color w:val="auto"/>
              </w:rPr>
            </w:pPr>
            <w:r>
              <w:rPr>
                <w:rFonts w:ascii="Arial" w:cs="Arial" w:eastAsia="Arial" w:hAnsi="Arial"/>
                <w:sz w:val="18"/>
                <w:szCs w:val="18"/>
                <w:color w:val="auto"/>
              </w:rPr>
              <w:t>5,908,007</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(545,506)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(2,190,966)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(1,140,797)</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included in earnings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660" w:type="dxa"/>
            <w:vAlign w:val="bottom"/>
          </w:tcPr>
          <w:p>
            <w:pPr>
              <w:ind w:left="20"/>
              <w:spacing w:after="0"/>
              <w:rPr>
                <w:sz w:val="20"/>
                <w:szCs w:val="20"/>
                <w:color w:val="auto"/>
              </w:rPr>
            </w:pPr>
            <w:r>
              <w:rPr>
                <w:rFonts w:ascii="Arial" w:cs="Arial" w:eastAsia="Arial" w:hAnsi="Arial"/>
                <w:sz w:val="18"/>
                <w:szCs w:val="18"/>
                <w:color w:val="auto"/>
              </w:rPr>
              <w:t>Fair Value as of June 30, 2020</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54,893,315</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132,789,236</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8,224,227</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3,092,540</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198,999,318</w:t>
            </w: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60" w:type="dxa"/>
            <w:vAlign w:val="bottom"/>
            <w:shd w:val="clear" w:color="auto" w:fill="CCEEFF"/>
          </w:tcPr>
          <w:p>
            <w:pPr>
              <w:ind w:left="180"/>
              <w:spacing w:after="0" w:line="195" w:lineRule="exact"/>
              <w:rPr>
                <w:sz w:val="20"/>
                <w:szCs w:val="20"/>
                <w:color w:val="auto"/>
              </w:rPr>
            </w:pPr>
            <w:r>
              <w:rPr>
                <w:rFonts w:ascii="Arial" w:cs="Arial" w:eastAsia="Arial" w:hAnsi="Arial"/>
                <w:sz w:val="18"/>
                <w:szCs w:val="18"/>
                <w:color w:val="auto"/>
              </w:rPr>
              <w:t>Net change in unrealized appreciation/</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(depreciation) of Level 3 investments still held</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(4,312,332)</w:t>
            </w:r>
          </w:p>
        </w:tc>
        <w:tc>
          <w:tcPr>
            <w:tcW w:w="12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ind w:right="55"/>
              <w:spacing w:after="0"/>
              <w:rPr>
                <w:sz w:val="20"/>
                <w:szCs w:val="20"/>
                <w:color w:val="auto"/>
              </w:rPr>
            </w:pPr>
            <w:r>
              <w:rPr>
                <w:rFonts w:ascii="Arial" w:cs="Arial" w:eastAsia="Arial" w:hAnsi="Arial"/>
                <w:sz w:val="18"/>
                <w:szCs w:val="18"/>
                <w:color w:val="auto"/>
              </w:rPr>
              <w:t>12,783,646</w:t>
            </w:r>
          </w:p>
        </w:tc>
        <w:tc>
          <w:tcPr>
            <w:tcW w:w="12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(545,506)</w:t>
            </w: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(2,190,966)</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5,734,842</w:t>
            </w: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 of June 30, 2020</w:t>
            </w:r>
          </w:p>
        </w:tc>
        <w:tc>
          <w:tcPr>
            <w:tcW w:w="260" w:type="dxa"/>
            <w:vAlign w:val="bottom"/>
            <w:tcBorders>
              <w:bottom w:val="single" w:sz="8" w:color="auto"/>
            </w:tcBorders>
            <w:vMerge w:val="continue"/>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vMerge w:val="continue"/>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vMerge w:val="continue"/>
            <w:shd w:val="clear" w:color="auto" w:fill="CCEEFF"/>
          </w:tcPr>
          <w:p>
            <w:pPr>
              <w:spacing w:after="0"/>
              <w:rPr>
                <w:sz w:val="21"/>
                <w:szCs w:val="21"/>
                <w:color w:val="auto"/>
              </w:rPr>
            </w:pPr>
          </w:p>
        </w:tc>
        <w:tc>
          <w:tcPr>
            <w:tcW w:w="12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vMerge w:val="continue"/>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vMerge w:val="continue"/>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(1) During the six months ended June 30, 2020, the Company’s portfolio investments had the following corporate actions which are reflected above: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20" w:type="dxa"/>
            <w:vAlign w:val="bottom"/>
            <w:gridSpan w:val="2"/>
          </w:tcPr>
          <w:p>
            <w:pPr>
              <w:ind w:left="20"/>
              <w:spacing w:after="0"/>
              <w:rPr>
                <w:sz w:val="20"/>
                <w:szCs w:val="20"/>
                <w:color w:val="auto"/>
              </w:rPr>
            </w:pPr>
            <w:r>
              <w:rPr>
                <w:rFonts w:ascii="Arial" w:cs="Arial" w:eastAsia="Arial" w:hAnsi="Arial"/>
                <w:sz w:val="16"/>
                <w:szCs w:val="16"/>
                <w:b w:val="1"/>
                <w:bCs w:val="1"/>
                <w:color w:val="auto"/>
              </w:rPr>
              <w:t>Portfolio Company</w:t>
            </w:r>
          </w:p>
        </w:tc>
        <w:tc>
          <w:tcPr>
            <w:tcW w:w="3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Conversion from</w:t>
            </w:r>
          </w:p>
        </w:tc>
        <w:tc>
          <w:tcPr>
            <w:tcW w:w="3460" w:type="dxa"/>
            <w:vAlign w:val="bottom"/>
          </w:tcPr>
          <w:p>
            <w:pPr>
              <w:jc w:val="center"/>
              <w:spacing w:after="0"/>
              <w:rPr>
                <w:sz w:val="20"/>
                <w:szCs w:val="20"/>
                <w:color w:val="auto"/>
              </w:rPr>
            </w:pPr>
            <w:r>
              <w:rPr>
                <w:rFonts w:ascii="Arial" w:cs="Arial" w:eastAsia="Arial" w:hAnsi="Arial"/>
                <w:sz w:val="16"/>
                <w:szCs w:val="16"/>
                <w:b w:val="1"/>
                <w:bCs w:val="1"/>
                <w:color w:val="auto"/>
                <w:w w:val="89"/>
              </w:rPr>
              <w:t>Conversion to</w:t>
            </w:r>
          </w:p>
        </w:tc>
      </w:tr>
      <w:tr>
        <w:trPr>
          <w:trHeight w:val="33"/>
        </w:trPr>
        <w:tc>
          <w:tcPr>
            <w:tcW w:w="3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230"/>
        </w:trPr>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Neutron Holdings, Inc. (d/b/a/ Lime)</w:t>
            </w:r>
          </w:p>
        </w:tc>
        <w:tc>
          <w:tcPr>
            <w:tcW w:w="39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8"/>
              </w:rPr>
              <w:t>Preferred shares, Series D</w:t>
            </w:r>
          </w:p>
        </w:tc>
        <w:tc>
          <w:tcPr>
            <w:tcW w:w="3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Junior Preferred shares, Series 1-D</w:t>
            </w:r>
          </w:p>
        </w:tc>
      </w:tr>
      <w:tr>
        <w:trPr>
          <w:trHeight w:val="223"/>
        </w:trPr>
        <w:tc>
          <w:tcPr>
            <w:tcW w:w="3820" w:type="dxa"/>
            <w:vAlign w:val="bottom"/>
            <w:gridSpan w:val="2"/>
          </w:tcPr>
          <w:p>
            <w:pPr>
              <w:ind w:left="20"/>
              <w:spacing w:after="0"/>
              <w:rPr>
                <w:sz w:val="20"/>
                <w:szCs w:val="20"/>
                <w:color w:val="auto"/>
              </w:rPr>
            </w:pPr>
            <w:r>
              <w:rPr>
                <w:rFonts w:ascii="Arial" w:cs="Arial" w:eastAsia="Arial" w:hAnsi="Arial"/>
                <w:sz w:val="16"/>
                <w:szCs w:val="16"/>
                <w:color w:val="auto"/>
              </w:rPr>
              <w:t>Aspiration Partners, Inc.</w:t>
            </w:r>
          </w:p>
        </w:tc>
        <w:tc>
          <w:tcPr>
            <w:tcW w:w="396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Convertible Promissory Note</w:t>
            </w:r>
          </w:p>
        </w:tc>
        <w:tc>
          <w:tcPr>
            <w:tcW w:w="3460" w:type="dxa"/>
            <w:vAlign w:val="bottom"/>
          </w:tcPr>
          <w:p>
            <w:pPr>
              <w:jc w:val="center"/>
              <w:spacing w:after="0"/>
              <w:rPr>
                <w:sz w:val="20"/>
                <w:szCs w:val="20"/>
                <w:color w:val="auto"/>
              </w:rPr>
            </w:pPr>
            <w:r>
              <w:rPr>
                <w:rFonts w:ascii="Arial" w:cs="Arial" w:eastAsia="Arial" w:hAnsi="Arial"/>
                <w:sz w:val="16"/>
                <w:szCs w:val="16"/>
                <w:color w:val="auto"/>
                <w:w w:val="88"/>
              </w:rPr>
              <w:t>Preferred shares, Series C-3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-312420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-312420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200" w:lineRule="exact"/>
        <w:rPr>
          <w:sz w:val="20"/>
          <w:szCs w:val="20"/>
          <w:color w:val="auto"/>
        </w:rPr>
      </w:pPr>
    </w:p>
    <w:p>
      <w:pPr>
        <w:spacing w:after="0" w:line="30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aggregate values of Level 3 assets and liabilities changed during the year ended December 31, 2019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6"/>
          </w:tcPr>
          <w:p>
            <w:pPr>
              <w:jc w:val="center"/>
              <w:ind w:left="774"/>
              <w:spacing w:after="0"/>
              <w:rPr>
                <w:sz w:val="20"/>
                <w:szCs w:val="20"/>
                <w:color w:val="auto"/>
              </w:rPr>
            </w:pPr>
            <w:r>
              <w:rPr>
                <w:rFonts w:ascii="Arial" w:cs="Arial" w:eastAsia="Arial" w:hAnsi="Arial"/>
                <w:sz w:val="14"/>
                <w:szCs w:val="14"/>
                <w:b w:val="1"/>
                <w:bCs w:val="1"/>
                <w:color w:val="auto"/>
                <w:w w:val="92"/>
              </w:rPr>
              <w:t>Year Ended December 31, 2019</w:t>
            </w: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5"/>
              </w:rPr>
              <w:t>Common</w:t>
            </w:r>
          </w:p>
        </w:tc>
        <w:tc>
          <w:tcPr>
            <w:tcW w:w="240" w:type="dxa"/>
            <w:vAlign w:val="bottom"/>
          </w:tcPr>
          <w:p>
            <w:pPr>
              <w:spacing w:after="0"/>
              <w:rPr>
                <w:sz w:val="13"/>
                <w:szCs w:val="13"/>
                <w:color w:val="auto"/>
              </w:rPr>
            </w:pPr>
          </w:p>
        </w:tc>
        <w:tc>
          <w:tcPr>
            <w:tcW w:w="130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3"/>
              </w:rPr>
              <w:t>Preferred</w:t>
            </w:r>
          </w:p>
        </w:tc>
        <w:tc>
          <w:tcPr>
            <w:tcW w:w="220" w:type="dxa"/>
            <w:vAlign w:val="bottom"/>
          </w:tcPr>
          <w:p>
            <w:pPr>
              <w:spacing w:after="0"/>
              <w:rPr>
                <w:sz w:val="13"/>
                <w:szCs w:val="13"/>
                <w:color w:val="auto"/>
              </w:rPr>
            </w:pPr>
          </w:p>
        </w:tc>
        <w:tc>
          <w:tcPr>
            <w:tcW w:w="130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6"/>
              </w:rPr>
              <w:t>Debt</w:t>
            </w:r>
          </w:p>
        </w:tc>
        <w:tc>
          <w:tcPr>
            <w:tcW w:w="320" w:type="dxa"/>
            <w:vAlign w:val="bottom"/>
          </w:tcPr>
          <w:p>
            <w:pPr>
              <w:spacing w:after="0"/>
              <w:rPr>
                <w:sz w:val="13"/>
                <w:szCs w:val="13"/>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Options</w:t>
            </w:r>
          </w:p>
        </w:tc>
        <w:tc>
          <w:tcPr>
            <w:tcW w:w="260" w:type="dxa"/>
            <w:vAlign w:val="bottom"/>
          </w:tcPr>
          <w:p>
            <w:pPr>
              <w:spacing w:after="0"/>
              <w:rPr>
                <w:sz w:val="13"/>
                <w:szCs w:val="13"/>
                <w:color w:val="auto"/>
              </w:rPr>
            </w:pPr>
          </w:p>
        </w:tc>
        <w:tc>
          <w:tcPr>
            <w:tcW w:w="118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3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Fair Value as of December 31, 2018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48,517,824</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99,856,159</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5,584,994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267,446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w w:val="99"/>
              </w:rPr>
              <w:t>154,226,423</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Transfers out of Level 3</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(21,947,688)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(21,947,688)</w:t>
            </w:r>
          </w:p>
        </w:tc>
        <w:tc>
          <w:tcPr>
            <w:tcW w:w="0" w:type="dxa"/>
            <w:vAlign w:val="bottom"/>
          </w:tcPr>
          <w:p>
            <w:pPr>
              <w:spacing w:after="0"/>
              <w:rPr>
                <w:sz w:val="1"/>
                <w:szCs w:val="1"/>
                <w:color w:val="auto"/>
              </w:rPr>
            </w:pPr>
          </w:p>
        </w:tc>
      </w:tr>
      <w:tr>
        <w:trPr>
          <w:trHeight w:val="270"/>
        </w:trPr>
        <w:tc>
          <w:tcPr>
            <w:tcW w:w="3660" w:type="dxa"/>
            <w:vAlign w:val="bottom"/>
          </w:tcPr>
          <w:p>
            <w:pPr>
              <w:ind w:left="20"/>
              <w:spacing w:after="0"/>
              <w:rPr>
                <w:sz w:val="20"/>
                <w:szCs w:val="20"/>
                <w:color w:val="auto"/>
              </w:rPr>
            </w:pPr>
            <w:r>
              <w:rPr>
                <w:rFonts w:ascii="Arial" w:cs="Arial" w:eastAsia="Arial" w:hAnsi="Arial"/>
                <w:sz w:val="18"/>
                <w:szCs w:val="18"/>
                <w:color w:val="auto"/>
              </w:rPr>
              <w:t>Purchases, capitalized fees, and interest</w:t>
            </w:r>
          </w:p>
        </w:tc>
        <w:tc>
          <w:tcPr>
            <w:tcW w:w="260" w:type="dxa"/>
            <w:vAlign w:val="bottom"/>
          </w:tcPr>
          <w:p>
            <w:pPr>
              <w:spacing w:after="0"/>
              <w:rPr>
                <w:sz w:val="23"/>
                <w:szCs w:val="23"/>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15,001,530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10,576,421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359,095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16,618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25,953,664</w:t>
            </w: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Sales/Maturity of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(51,511)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(51,511)</w:t>
            </w:r>
          </w:p>
        </w:tc>
        <w:tc>
          <w:tcPr>
            <w:tcW w:w="0" w:type="dxa"/>
            <w:vAlign w:val="bottom"/>
          </w:tcPr>
          <w:p>
            <w:pPr>
              <w:spacing w:after="0"/>
              <w:rPr>
                <w:sz w:val="1"/>
                <w:szCs w:val="1"/>
                <w:color w:val="auto"/>
              </w:rPr>
            </w:pPr>
          </w:p>
        </w:tc>
      </w:tr>
      <w:tr>
        <w:trPr>
          <w:trHeight w:val="270"/>
        </w:trPr>
        <w:tc>
          <w:tcPr>
            <w:tcW w:w="3660" w:type="dxa"/>
            <w:vAlign w:val="bottom"/>
          </w:tcPr>
          <w:p>
            <w:pPr>
              <w:ind w:left="20"/>
              <w:spacing w:after="0"/>
              <w:rPr>
                <w:sz w:val="20"/>
                <w:szCs w:val="20"/>
                <w:color w:val="auto"/>
              </w:rPr>
            </w:pPr>
            <w:r>
              <w:rPr>
                <w:rFonts w:ascii="Arial" w:cs="Arial" w:eastAsia="Arial" w:hAnsi="Arial"/>
                <w:sz w:val="18"/>
                <w:szCs w:val="18"/>
                <w:color w:val="auto"/>
              </w:rPr>
              <w:t>Exercises and conversions</w:t>
            </w:r>
            <w:r>
              <w:rPr>
                <w:rFonts w:ascii="Arial" w:cs="Arial" w:eastAsia="Arial" w:hAnsi="Arial"/>
                <w:sz w:val="23"/>
                <w:szCs w:val="23"/>
                <w:color w:val="auto"/>
                <w:vertAlign w:val="superscript"/>
              </w:rPr>
              <w:t>(1)</w:t>
            </w:r>
          </w:p>
        </w:tc>
        <w:tc>
          <w:tcPr>
            <w:tcW w:w="26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(6,435,123)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(2,102,384)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8,538,507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6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Amortization of fixed income security premiums</w:t>
            </w:r>
          </w:p>
        </w:tc>
        <w:tc>
          <w:tcPr>
            <w:tcW w:w="26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color w:val="auto"/>
              </w:rPr>
              <w:t>5,065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5,065</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discounts</w:t>
            </w:r>
          </w:p>
        </w:tc>
        <w:tc>
          <w:tcPr>
            <w:tcW w:w="26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Realized losses</w:t>
            </w:r>
          </w:p>
        </w:tc>
        <w:tc>
          <w:tcPr>
            <w:tcW w:w="26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(16,002,159)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(2,527,865)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(18,530,024)</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36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Net change in unrealized appreciation/</w:t>
            </w:r>
          </w:p>
        </w:tc>
        <w:tc>
          <w:tcPr>
            <w:tcW w:w="2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(4,308,795)</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54"/>
              <w:spacing w:after="0"/>
              <w:rPr>
                <w:sz w:val="20"/>
                <w:szCs w:val="20"/>
                <w:color w:val="auto"/>
              </w:rPr>
            </w:pPr>
            <w:r>
              <w:rPr>
                <w:rFonts w:ascii="Arial" w:cs="Arial" w:eastAsia="Arial" w:hAnsi="Arial"/>
                <w:sz w:val="18"/>
                <w:szCs w:val="18"/>
                <w:color w:val="auto"/>
              </w:rPr>
              <w:t>59,400,748</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color w:val="auto"/>
              </w:rPr>
              <w:t>376,761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(3,539,065)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51,929,649</w:t>
            </w: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included in earnings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3660" w:type="dxa"/>
            <w:vAlign w:val="bottom"/>
          </w:tcPr>
          <w:p>
            <w:pPr>
              <w:ind w:left="20"/>
              <w:spacing w:after="0"/>
              <w:rPr>
                <w:sz w:val="20"/>
                <w:szCs w:val="20"/>
                <w:color w:val="auto"/>
              </w:rPr>
            </w:pPr>
            <w:r>
              <w:rPr>
                <w:rFonts w:ascii="Arial" w:cs="Arial" w:eastAsia="Arial" w:hAnsi="Arial"/>
                <w:sz w:val="18"/>
                <w:szCs w:val="18"/>
                <w:color w:val="auto"/>
              </w:rPr>
              <w:t>Fair Value as of December 31, 2019</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59,209,559</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125,448,358</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1,644,155</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5,283,506</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191,585,578</w:t>
            </w: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66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Net change in unrealized appreciation/</w:t>
            </w: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6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5"/>
              </w:rPr>
              <w:t>(depreciation) of Level 3 investments still held</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(4,309,794)</w:t>
            </w:r>
          </w:p>
        </w:tc>
        <w:tc>
          <w:tcPr>
            <w:tcW w:w="12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ind w:right="54"/>
              <w:spacing w:after="0"/>
              <w:rPr>
                <w:sz w:val="20"/>
                <w:szCs w:val="20"/>
                <w:color w:val="auto"/>
              </w:rPr>
            </w:pPr>
            <w:r>
              <w:rPr>
                <w:rFonts w:ascii="Arial" w:cs="Arial" w:eastAsia="Arial" w:hAnsi="Arial"/>
                <w:sz w:val="18"/>
                <w:szCs w:val="18"/>
                <w:color w:val="auto"/>
              </w:rPr>
              <w:t>38,560,931</w:t>
            </w:r>
          </w:p>
        </w:tc>
        <w:tc>
          <w:tcPr>
            <w:tcW w:w="1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(907,009)</w:t>
            </w:r>
          </w:p>
        </w:tc>
        <w:tc>
          <w:tcPr>
            <w:tcW w:w="10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(3,539,066)</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29,805,062</w:t>
            </w:r>
          </w:p>
        </w:tc>
        <w:tc>
          <w:tcPr>
            <w:tcW w:w="0" w:type="dxa"/>
            <w:vAlign w:val="bottom"/>
          </w:tcPr>
          <w:p>
            <w:pPr>
              <w:spacing w:after="0"/>
              <w:rPr>
                <w:sz w:val="1"/>
                <w:szCs w:val="1"/>
                <w:color w:val="auto"/>
              </w:rPr>
            </w:pPr>
          </w:p>
        </w:tc>
      </w:tr>
      <w:tr>
        <w:trPr>
          <w:trHeight w:val="223"/>
        </w:trPr>
        <w:tc>
          <w:tcPr>
            <w:tcW w:w="366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as of December 31, 2019</w:t>
            </w: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(1) During the year ended December 31, 2019, the Company’s portfolio investments had the following corporate actions which are reflected above:</w:t>
      </w:r>
    </w:p>
    <w:p>
      <w:pPr>
        <w:sectPr>
          <w:pgSz w:w="11900" w:h="16838" w:orient="portrait"/>
          <w:cols w:equalWidth="0" w:num="1">
            <w:col w:w="11240"/>
          </w:cols>
          <w:pgMar w:left="320" w:top="121" w:right="339" w:bottom="1440" w:gutter="0" w:footer="0" w:header="0"/>
        </w:sectPr>
      </w:pPr>
    </w:p>
    <w:p>
      <w:pPr>
        <w:spacing w:after="0" w:line="15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Portfolio Company</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6"/>
          <w:szCs w:val="16"/>
          <w:color w:val="auto"/>
        </w:rPr>
        <w:t>Lyft, Inc.</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6"/>
          <w:szCs w:val="16"/>
          <w:color w:val="auto"/>
        </w:rPr>
        <w:t>Ozy Media, Inc.</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NestGSV, Inc (d/b/a GSV Labs, Inc.)</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jc w:val="center"/>
        <w:ind w:right="1460"/>
        <w:spacing w:after="0"/>
        <w:rPr>
          <w:sz w:val="20"/>
          <w:szCs w:val="20"/>
          <w:color w:val="auto"/>
        </w:rPr>
      </w:pPr>
      <w:r>
        <w:rPr>
          <w:rFonts w:ascii="Arial" w:cs="Arial" w:eastAsia="Arial" w:hAnsi="Arial"/>
          <w:sz w:val="16"/>
          <w:szCs w:val="16"/>
          <w:b w:val="1"/>
          <w:bCs w:val="1"/>
          <w:color w:val="auto"/>
        </w:rPr>
        <w:t>Conversion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37465</wp:posOffset>
            </wp:positionV>
            <wp:extent cx="7115175" cy="3003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15175" cy="300355"/>
                    </a:xfrm>
                    <a:prstGeom prst="rect">
                      <a:avLst/>
                    </a:prstGeom>
                    <a:noFill/>
                  </pic:spPr>
                </pic:pic>
              </a:graphicData>
            </a:graphic>
          </wp:anchor>
        </w:drawing>
      </w:r>
    </w:p>
    <w:p>
      <w:pPr>
        <w:spacing w:after="0" w:line="7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Preferred shares, Series D</w:t>
      </w:r>
    </w:p>
    <w:p>
      <w:pPr>
        <w:spacing w:after="0" w:line="34" w:lineRule="exact"/>
        <w:rPr>
          <w:sz w:val="20"/>
          <w:szCs w:val="20"/>
          <w:color w:val="auto"/>
        </w:rPr>
      </w:pPr>
    </w:p>
    <w:p>
      <w:pPr>
        <w:ind w:left="100"/>
        <w:spacing w:after="0"/>
        <w:rPr>
          <w:sz w:val="20"/>
          <w:szCs w:val="20"/>
          <w:color w:val="auto"/>
        </w:rPr>
      </w:pPr>
      <w:r>
        <w:rPr>
          <w:rFonts w:ascii="Arial" w:cs="Arial" w:eastAsia="Arial" w:hAnsi="Arial"/>
          <w:sz w:val="15"/>
          <w:szCs w:val="15"/>
          <w:color w:val="auto"/>
        </w:rPr>
        <w:t>Preferred shares, Series E</w:t>
      </w:r>
    </w:p>
    <w:p>
      <w:pPr>
        <w:spacing w:after="0" w:line="80" w:lineRule="exact"/>
        <w:rPr>
          <w:sz w:val="20"/>
          <w:szCs w:val="20"/>
          <w:color w:val="auto"/>
        </w:rPr>
      </w:pPr>
    </w:p>
    <w:p>
      <w:pPr>
        <w:jc w:val="center"/>
        <w:ind w:right="1460"/>
        <w:spacing w:after="0"/>
        <w:rPr>
          <w:sz w:val="20"/>
          <w:szCs w:val="20"/>
          <w:color w:val="auto"/>
        </w:rPr>
      </w:pPr>
      <w:r>
        <w:rPr>
          <w:rFonts w:ascii="Arial" w:cs="Arial" w:eastAsia="Arial" w:hAnsi="Arial"/>
          <w:sz w:val="14"/>
          <w:szCs w:val="14"/>
          <w:color w:val="auto"/>
        </w:rPr>
        <w:t>Convertible Promissory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49530</wp:posOffset>
            </wp:positionV>
            <wp:extent cx="7115175" cy="677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5175" cy="677545"/>
                    </a:xfrm>
                    <a:prstGeom prst="rect">
                      <a:avLst/>
                    </a:prstGeom>
                    <a:noFill/>
                  </pic:spPr>
                </pic:pic>
              </a:graphicData>
            </a:graphic>
          </wp:anchor>
        </w:drawing>
      </w:r>
    </w:p>
    <w:p>
      <w:pPr>
        <w:spacing w:after="0" w:line="76" w:lineRule="exact"/>
        <w:rPr>
          <w:sz w:val="20"/>
          <w:szCs w:val="20"/>
          <w:color w:val="auto"/>
        </w:rPr>
      </w:pPr>
    </w:p>
    <w:p>
      <w:pPr>
        <w:jc w:val="center"/>
        <w:ind w:right="1460"/>
        <w:spacing w:after="0"/>
        <w:rPr>
          <w:sz w:val="20"/>
          <w:szCs w:val="20"/>
          <w:color w:val="auto"/>
        </w:rPr>
      </w:pPr>
      <w:r>
        <w:rPr>
          <w:rFonts w:ascii="Arial" w:cs="Arial" w:eastAsia="Arial" w:hAnsi="Arial"/>
          <w:sz w:val="16"/>
          <w:szCs w:val="16"/>
          <w:color w:val="auto"/>
        </w:rPr>
        <w:t>Common shares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Preferred shares, Series A-1</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Preferred shares, Series A-2</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Preferred shares, Series A-3</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Preferred shares, Series A-4</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jc w:val="center"/>
        <w:ind w:right="680"/>
        <w:spacing w:after="0"/>
        <w:rPr>
          <w:sz w:val="20"/>
          <w:szCs w:val="20"/>
          <w:color w:val="auto"/>
        </w:rPr>
      </w:pPr>
      <w:r>
        <w:rPr>
          <w:rFonts w:ascii="Arial" w:cs="Arial" w:eastAsia="Arial" w:hAnsi="Arial"/>
          <w:sz w:val="16"/>
          <w:szCs w:val="16"/>
          <w:b w:val="1"/>
          <w:bCs w:val="1"/>
          <w:color w:val="auto"/>
        </w:rPr>
        <w:t>Conversion to</w:t>
      </w:r>
    </w:p>
    <w:p>
      <w:pPr>
        <w:spacing w:after="0" w:line="185" w:lineRule="exact"/>
        <w:rPr>
          <w:sz w:val="20"/>
          <w:szCs w:val="20"/>
          <w:color w:val="auto"/>
        </w:rPr>
      </w:pPr>
    </w:p>
    <w:p>
      <w:pPr>
        <w:jc w:val="center"/>
        <w:ind w:right="680"/>
        <w:spacing w:after="0"/>
        <w:rPr>
          <w:sz w:val="20"/>
          <w:szCs w:val="20"/>
          <w:color w:val="auto"/>
        </w:rPr>
      </w:pPr>
      <w:r>
        <w:rPr>
          <w:rFonts w:ascii="Arial" w:cs="Arial" w:eastAsia="Arial" w:hAnsi="Arial"/>
          <w:sz w:val="14"/>
          <w:szCs w:val="14"/>
          <w:color w:val="auto"/>
        </w:rPr>
        <w:t>Public Common Shares (Level 2)</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5"/>
          <w:szCs w:val="15"/>
          <w:color w:val="auto"/>
        </w:rPr>
        <w:t>Preferred shares, Series C-2</w:t>
      </w:r>
    </w:p>
    <w:p>
      <w:pPr>
        <w:spacing w:after="0" w:line="200" w:lineRule="exact"/>
        <w:rPr>
          <w:sz w:val="20"/>
          <w:szCs w:val="20"/>
          <w:color w:val="auto"/>
        </w:rPr>
      </w:pPr>
    </w:p>
    <w:p>
      <w:pPr>
        <w:spacing w:after="0" w:line="28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Derivative Security</w:t>
      </w:r>
    </w:p>
    <w:p>
      <w:pPr>
        <w:spacing w:after="0" w:line="585" w:lineRule="exact"/>
        <w:rPr>
          <w:sz w:val="20"/>
          <w:szCs w:val="20"/>
          <w:color w:val="auto"/>
        </w:rPr>
      </w:pPr>
    </w:p>
    <w:p>
      <w:pPr>
        <w:sectPr>
          <w:pgSz w:w="11900" w:h="16838" w:orient="portrait"/>
          <w:cols w:equalWidth="0" w:num="3">
            <w:col w:w="3620" w:space="720"/>
            <w:col w:w="3340" w:space="720"/>
            <w:col w:w="2840"/>
          </w:cols>
          <w:pgMar w:left="320" w:top="121" w:right="339" w:bottom="1440" w:gutter="0" w:footer="0" w:header="0"/>
          <w:type w:val="continuous"/>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2020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of Investments In, and Advances to, Affiliates</w:t>
      </w:r>
    </w:p>
    <w:p>
      <w:pPr>
        <w:spacing w:after="0" w:line="256" w:lineRule="exact"/>
        <w:rPr>
          <w:sz w:val="20"/>
          <w:szCs w:val="20"/>
          <w:color w:val="auto"/>
        </w:rPr>
      </w:pPr>
    </w:p>
    <w:p>
      <w:pPr>
        <w:ind w:right="320" w:firstLine="364"/>
        <w:spacing w:after="0" w:line="258" w:lineRule="auto"/>
        <w:rPr>
          <w:sz w:val="20"/>
          <w:szCs w:val="20"/>
          <w:color w:val="auto"/>
        </w:rPr>
      </w:pPr>
      <w:r>
        <w:rPr>
          <w:rFonts w:ascii="Arial" w:cs="Arial" w:eastAsia="Arial" w:hAnsi="Arial"/>
          <w:sz w:val="18"/>
          <w:szCs w:val="18"/>
          <w:color w:val="auto"/>
        </w:rPr>
        <w:t>Transactions during the six months ended June 30, 2020 involving the Company’s controlled investments and non-controlled/affiliate investments were as follows: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Schedule of Investments In, and Advances to, Affiliate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Interest, Fees,</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Purchases,</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9"/>
              </w:rPr>
              <w:t>or</w:t>
            </w:r>
          </w:p>
        </w:tc>
        <w:tc>
          <w:tcPr>
            <w:tcW w:w="10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6"/>
              </w:rPr>
              <w:t>Fair Value at</w:t>
            </w:r>
          </w:p>
        </w:tc>
        <w:tc>
          <w:tcPr>
            <w:tcW w:w="10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Capitalized</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8"/>
              </w:rPr>
              <w:t>Fair Value at</w:t>
            </w:r>
          </w:p>
        </w:tc>
        <w:tc>
          <w:tcPr>
            <w:tcW w:w="80" w:type="dxa"/>
            <w:vAlign w:val="bottom"/>
          </w:tcPr>
          <w:p>
            <w:pPr>
              <w:spacing w:after="0"/>
              <w:rPr>
                <w:sz w:val="12"/>
                <w:szCs w:val="12"/>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Principal/</w:t>
            </w:r>
          </w:p>
        </w:tc>
        <w:tc>
          <w:tcPr>
            <w:tcW w:w="14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Dividends</w:t>
            </w:r>
          </w:p>
        </w:tc>
        <w:tc>
          <w:tcPr>
            <w:tcW w:w="10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Fees,</w:t>
            </w:r>
          </w:p>
        </w:tc>
        <w:tc>
          <w:tcPr>
            <w:tcW w:w="160" w:type="dxa"/>
            <w:vAlign w:val="bottom"/>
          </w:tcPr>
          <w:p>
            <w:pPr>
              <w:spacing w:after="0"/>
              <w:rPr>
                <w:sz w:val="12"/>
                <w:szCs w:val="12"/>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Realized</w:t>
            </w:r>
          </w:p>
        </w:tc>
        <w:tc>
          <w:tcPr>
            <w:tcW w:w="120" w:type="dxa"/>
            <w:vAlign w:val="bottom"/>
          </w:tcPr>
          <w:p>
            <w:pPr>
              <w:spacing w:after="0"/>
              <w:rPr>
                <w:sz w:val="12"/>
                <w:szCs w:val="12"/>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Unrealized</w:t>
            </w: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Type/Industry/Portfolio Company/Investment</w:t>
            </w:r>
          </w:p>
        </w:tc>
        <w:tc>
          <w:tcPr>
            <w:tcW w:w="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Credited</w:t>
            </w: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Interest and</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100"/>
              <w:spacing w:after="0" w:line="149" w:lineRule="exact"/>
              <w:rPr>
                <w:sz w:val="20"/>
                <w:szCs w:val="20"/>
                <w:color w:val="auto"/>
              </w:rPr>
            </w:pPr>
            <w:r>
              <w:rPr>
                <w:rFonts w:ascii="Arial" w:cs="Arial" w:eastAsia="Arial" w:hAnsi="Arial"/>
                <w:sz w:val="14"/>
                <w:szCs w:val="14"/>
                <w:b w:val="1"/>
                <w:bCs w:val="1"/>
                <w:color w:val="auto"/>
                <w:w w:val="92"/>
              </w:rPr>
              <w:t>June 30,</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of Net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2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Quantity</w:t>
            </w:r>
          </w:p>
        </w:tc>
        <w:tc>
          <w:tcPr>
            <w:tcW w:w="14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 Income</w:t>
            </w:r>
          </w:p>
        </w:tc>
        <w:tc>
          <w:tcPr>
            <w:tcW w:w="120" w:type="dxa"/>
            <w:vAlign w:val="bottom"/>
          </w:tcPr>
          <w:p>
            <w:pPr>
              <w:spacing w:after="0"/>
              <w:rPr>
                <w:sz w:val="16"/>
                <w:szCs w:val="16"/>
                <w:color w:val="auto"/>
              </w:rPr>
            </w:pPr>
          </w:p>
        </w:tc>
        <w:tc>
          <w:tcPr>
            <w:tcW w:w="820" w:type="dxa"/>
            <w:vAlign w:val="bottom"/>
          </w:tcPr>
          <w:p>
            <w:pPr>
              <w:jc w:val="center"/>
              <w:ind w:right="40"/>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6"/>
                <w:szCs w:val="16"/>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8"/>
              </w:rPr>
              <w:t>Amortization</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Gains/(Losses)</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Gains/(Losses)</w:t>
            </w:r>
          </w:p>
        </w:tc>
        <w:tc>
          <w:tcPr>
            <w:tcW w:w="140" w:type="dxa"/>
            <w:vAlign w:val="bottom"/>
          </w:tcPr>
          <w:p>
            <w:pPr>
              <w:spacing w:after="0"/>
              <w:rPr>
                <w:sz w:val="16"/>
                <w:szCs w:val="16"/>
                <w:color w:val="auto"/>
              </w:rPr>
            </w:pPr>
          </w:p>
        </w:tc>
        <w:tc>
          <w:tcPr>
            <w:tcW w:w="720" w:type="dxa"/>
            <w:vAlign w:val="bottom"/>
          </w:tcPr>
          <w:p>
            <w:pPr>
              <w:jc w:val="right"/>
              <w:ind w:right="200"/>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auto"/>
            </w:tcBorders>
            <w:shd w:val="clear" w:color="auto" w:fill="CCEEFF"/>
          </w:tcPr>
          <w:p>
            <w:pPr>
              <w:spacing w:after="0"/>
              <w:rPr>
                <w:sz w:val="17"/>
                <w:szCs w:val="17"/>
                <w:color w:val="auto"/>
              </w:rPr>
            </w:pPr>
          </w:p>
        </w:tc>
        <w:tc>
          <w:tcPr>
            <w:tcW w:w="3220" w:type="dxa"/>
            <w:vAlign w:val="bottom"/>
            <w:tcBorders>
              <w:top w:val="single" w:sz="8" w:color="auto"/>
            </w:tcBorders>
            <w:gridSpan w:val="4"/>
            <w:shd w:val="clear" w:color="auto" w:fill="CCEEFF"/>
          </w:tcPr>
          <w:p>
            <w:pPr>
              <w:spacing w:after="0" w:line="175" w:lineRule="exact"/>
              <w:rPr>
                <w:sz w:val="20"/>
                <w:szCs w:val="20"/>
                <w:color w:val="auto"/>
              </w:rPr>
            </w:pPr>
            <w:r>
              <w:rPr>
                <w:rFonts w:ascii="Arial" w:cs="Arial" w:eastAsia="Arial" w:hAnsi="Arial"/>
                <w:sz w:val="15"/>
                <w:szCs w:val="15"/>
                <w:b w:val="1"/>
                <w:bCs w:val="1"/>
                <w:color w:val="auto"/>
              </w:rPr>
              <w:t>CONTROLLED INVESTMENTS*</w:t>
            </w:r>
            <w:r>
              <w:rPr>
                <w:rFonts w:ascii="Arial" w:cs="Arial" w:eastAsia="Arial" w:hAnsi="Arial"/>
                <w:sz w:val="20"/>
                <w:szCs w:val="20"/>
                <w:b w:val="1"/>
                <w:bCs w:val="1"/>
                <w:color w:val="auto"/>
                <w:vertAlign w:val="superscript"/>
              </w:rPr>
              <w:t>(2)</w:t>
            </w: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tcPr>
          <w:p>
            <w:pPr>
              <w:spacing w:after="0"/>
              <w:rPr>
                <w:sz w:val="19"/>
                <w:szCs w:val="19"/>
                <w:color w:val="auto"/>
              </w:rPr>
            </w:pPr>
          </w:p>
        </w:tc>
        <w:tc>
          <w:tcPr>
            <w:tcW w:w="238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Preferred Stock</w:t>
            </w:r>
          </w:p>
        </w:tc>
        <w:tc>
          <w:tcPr>
            <w:tcW w:w="840" w:type="dxa"/>
            <w:vAlign w:val="bottom"/>
            <w:tcBorders>
              <w:top w:val="single" w:sz="8" w:color="CCEEFF"/>
            </w:tcBorders>
            <w:gridSpan w:val="2"/>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7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220" w:type="dxa"/>
            <w:vAlign w:val="bottom"/>
            <w:tcBorders>
              <w:bottom w:val="single" w:sz="8" w:color="CCEEFF"/>
            </w:tcBorders>
            <w:gridSpan w:val="4"/>
            <w:shd w:val="clear" w:color="auto" w:fill="CCEEFF"/>
          </w:tcPr>
          <w:p>
            <w:pPr>
              <w:ind w:left="100"/>
              <w:spacing w:after="0"/>
              <w:rPr>
                <w:sz w:val="20"/>
                <w:szCs w:val="20"/>
                <w:color w:val="auto"/>
              </w:rPr>
            </w:pPr>
            <w:r>
              <w:rPr>
                <w:rFonts w:ascii="Arial" w:cs="Arial" w:eastAsia="Arial" w:hAnsi="Arial"/>
                <w:sz w:val="16"/>
                <w:szCs w:val="16"/>
                <w:i w:val="1"/>
                <w:iCs w:val="1"/>
                <w:color w:val="auto"/>
              </w:rPr>
              <w:t>Clean Technology</w:t>
            </w: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220" w:type="dxa"/>
            <w:vAlign w:val="bottom"/>
            <w:gridSpan w:val="4"/>
          </w:tcPr>
          <w:p>
            <w:pPr>
              <w:ind w:left="200"/>
              <w:spacing w:after="0" w:line="166" w:lineRule="exact"/>
              <w:rPr>
                <w:sz w:val="20"/>
                <w:szCs w:val="20"/>
                <w:color w:val="auto"/>
              </w:rPr>
            </w:pPr>
            <w:r>
              <w:rPr>
                <w:rFonts w:ascii="Arial" w:cs="Arial" w:eastAsia="Arial" w:hAnsi="Arial"/>
                <w:sz w:val="16"/>
                <w:szCs w:val="16"/>
                <w:color w:val="auto"/>
              </w:rPr>
              <w:t>SPBRX, INC. (f/k/a GSV Sustainability</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20" w:type="dxa"/>
            <w:vAlign w:val="bottom"/>
            <w:gridSpan w:val="4"/>
          </w:tcPr>
          <w:p>
            <w:pPr>
              <w:ind w:left="200"/>
              <w:spacing w:after="0" w:line="165" w:lineRule="exact"/>
              <w:rPr>
                <w:sz w:val="20"/>
                <w:szCs w:val="20"/>
                <w:color w:val="auto"/>
              </w:rPr>
            </w:pPr>
            <w:r>
              <w:rPr>
                <w:rFonts w:ascii="Arial" w:cs="Arial" w:eastAsia="Arial" w:hAnsi="Arial"/>
                <w:sz w:val="16"/>
                <w:szCs w:val="16"/>
                <w:color w:val="auto"/>
                <w:w w:val="96"/>
              </w:rPr>
              <w:t>Partners, Inc.)–Preferred shares, Class A***</w:t>
            </w:r>
          </w:p>
        </w:tc>
        <w:tc>
          <w:tcPr>
            <w:tcW w:w="1000" w:type="dxa"/>
            <w:vAlign w:val="bottom"/>
            <w:gridSpan w:val="2"/>
            <w:vMerge w:val="restart"/>
          </w:tcPr>
          <w:p>
            <w:pPr>
              <w:jc w:val="right"/>
              <w:ind w:right="68"/>
              <w:spacing w:after="0"/>
              <w:rPr>
                <w:sz w:val="20"/>
                <w:szCs w:val="20"/>
                <w:color w:val="auto"/>
              </w:rPr>
            </w:pPr>
            <w:r>
              <w:rPr>
                <w:rFonts w:ascii="Arial" w:cs="Arial" w:eastAsia="Arial" w:hAnsi="Arial"/>
                <w:sz w:val="16"/>
                <w:szCs w:val="16"/>
                <w:color w:val="auto"/>
              </w:rPr>
              <w:t>14,300,000</w:t>
            </w:r>
          </w:p>
        </w:tc>
        <w:tc>
          <w:tcPr>
            <w:tcW w:w="8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ind w:right="61"/>
              <w:spacing w:after="0"/>
              <w:rPr>
                <w:sz w:val="20"/>
                <w:szCs w:val="20"/>
                <w:color w:val="auto"/>
              </w:rPr>
            </w:pPr>
            <w:r>
              <w:rPr>
                <w:rFonts w:ascii="Arial" w:cs="Arial" w:eastAsia="Arial" w:hAnsi="Arial"/>
                <w:sz w:val="16"/>
                <w:szCs w:val="16"/>
                <w:color w:val="auto"/>
              </w:rPr>
              <w:t>200,000</w:t>
            </w:r>
          </w:p>
        </w:tc>
        <w:tc>
          <w:tcPr>
            <w:tcW w:w="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ind w:right="80"/>
              <w:spacing w:after="0"/>
              <w:rPr>
                <w:sz w:val="20"/>
                <w:szCs w:val="20"/>
                <w:color w:val="auto"/>
              </w:rPr>
            </w:pPr>
            <w:r>
              <w:rPr>
                <w:rFonts w:ascii="Arial" w:cs="Arial" w:eastAsia="Arial" w:hAnsi="Arial"/>
                <w:sz w:val="16"/>
                <w:szCs w:val="16"/>
                <w:color w:val="auto"/>
              </w:rPr>
              <w:t>775,198</w:t>
            </w:r>
          </w:p>
        </w:tc>
        <w:tc>
          <w:tcPr>
            <w:tcW w:w="8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vMerge w:val="restart"/>
          </w:tcPr>
          <w:p>
            <w:pPr>
              <w:ind w:left="560"/>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860" w:type="dxa"/>
            <w:vAlign w:val="bottom"/>
            <w:gridSpan w:val="2"/>
            <w:vMerge w:val="restart"/>
          </w:tcPr>
          <w:p>
            <w:pPr>
              <w:ind w:left="46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w w:val="89"/>
              </w:rPr>
              <w:t>$</w:t>
            </w:r>
          </w:p>
        </w:tc>
        <w:tc>
          <w:tcPr>
            <w:tcW w:w="800" w:type="dxa"/>
            <w:vAlign w:val="bottom"/>
            <w:vMerge w:val="restart"/>
          </w:tcPr>
          <w:p>
            <w:pPr>
              <w:jc w:val="right"/>
              <w:ind w:right="80"/>
              <w:spacing w:after="0"/>
              <w:rPr>
                <w:sz w:val="20"/>
                <w:szCs w:val="20"/>
                <w:color w:val="auto"/>
              </w:rPr>
            </w:pPr>
            <w:r>
              <w:rPr>
                <w:rFonts w:ascii="Arial" w:cs="Arial" w:eastAsia="Arial" w:hAnsi="Arial"/>
                <w:sz w:val="16"/>
                <w:szCs w:val="16"/>
                <w:color w:val="auto"/>
              </w:rPr>
              <w:t>85,000</w:t>
            </w:r>
          </w:p>
        </w:tc>
        <w:tc>
          <w:tcPr>
            <w:tcW w:w="80" w:type="dxa"/>
            <w:vAlign w:val="bottom"/>
          </w:tcPr>
          <w:p>
            <w:pPr>
              <w:spacing w:after="0"/>
              <w:rPr>
                <w:sz w:val="14"/>
                <w:szCs w:val="14"/>
                <w:color w:val="auto"/>
              </w:rPr>
            </w:pPr>
          </w:p>
        </w:tc>
        <w:tc>
          <w:tcPr>
            <w:tcW w:w="14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ind w:right="60"/>
              <w:spacing w:after="0"/>
              <w:rPr>
                <w:sz w:val="20"/>
                <w:szCs w:val="20"/>
                <w:color w:val="auto"/>
              </w:rPr>
            </w:pPr>
            <w:r>
              <w:rPr>
                <w:rFonts w:ascii="Arial" w:cs="Arial" w:eastAsia="Arial" w:hAnsi="Arial"/>
                <w:sz w:val="16"/>
                <w:szCs w:val="16"/>
                <w:color w:val="auto"/>
                <w:w w:val="96"/>
              </w:rPr>
              <w:t>860,198</w:t>
            </w:r>
          </w:p>
        </w:tc>
        <w:tc>
          <w:tcPr>
            <w:tcW w:w="700" w:type="dxa"/>
            <w:vAlign w:val="bottom"/>
            <w:gridSpan w:val="2"/>
            <w:vMerge w:val="restart"/>
          </w:tcPr>
          <w:p>
            <w:pPr>
              <w:jc w:val="right"/>
              <w:spacing w:after="0"/>
              <w:rPr>
                <w:sz w:val="20"/>
                <w:szCs w:val="20"/>
                <w:color w:val="auto"/>
              </w:rPr>
            </w:pPr>
            <w:r>
              <w:rPr>
                <w:rFonts w:ascii="Arial" w:cs="Arial" w:eastAsia="Arial" w:hAnsi="Arial"/>
                <w:sz w:val="16"/>
                <w:szCs w:val="16"/>
                <w:color w:val="auto"/>
              </w:rPr>
              <w:t>0.45</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137"/>
        </w:trPr>
        <w:tc>
          <w:tcPr>
            <w:tcW w:w="1200" w:type="dxa"/>
            <w:vAlign w:val="bottom"/>
            <w:gridSpan w:val="2"/>
          </w:tcPr>
          <w:p>
            <w:pPr>
              <w:ind w:left="220"/>
              <w:spacing w:after="0"/>
              <w:rPr>
                <w:sz w:val="20"/>
                <w:szCs w:val="20"/>
                <w:color w:val="auto"/>
              </w:rPr>
            </w:pPr>
            <w:r>
              <w:rPr>
                <w:rFonts w:ascii="Arial" w:cs="Arial" w:eastAsia="Arial" w:hAnsi="Arial"/>
                <w:sz w:val="11"/>
                <w:szCs w:val="11"/>
                <w:color w:val="auto"/>
              </w:rPr>
              <w:t>(4)</w:t>
            </w: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2"/>
        </w:trPr>
        <w:tc>
          <w:tcPr>
            <w:tcW w:w="20" w:type="dxa"/>
            <w:vAlign w:val="bottom"/>
            <w:tcBorders>
              <w:bottom w:val="single" w:sz="8" w:color="CCEEFF"/>
            </w:tcBorders>
            <w:shd w:val="clear" w:color="auto" w:fill="CCEEFF"/>
          </w:tcPr>
          <w:p>
            <w:pPr>
              <w:spacing w:after="0"/>
              <w:rPr>
                <w:sz w:val="21"/>
                <w:szCs w:val="21"/>
                <w:color w:val="auto"/>
              </w:rPr>
            </w:pPr>
          </w:p>
        </w:tc>
        <w:tc>
          <w:tcPr>
            <w:tcW w:w="32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b w:val="1"/>
                <w:bCs w:val="1"/>
                <w:color w:val="auto"/>
              </w:rPr>
              <w:t>Total Preferred Stock</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200,000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775,198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85,000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96"/>
              </w:rPr>
              <w:t>860,198</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0.45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20" w:type="dxa"/>
            <w:vAlign w:val="bottom"/>
            <w:gridSpan w:val="4"/>
          </w:tcPr>
          <w:p>
            <w:pPr>
              <w:spacing w:after="0"/>
              <w:rPr>
                <w:sz w:val="20"/>
                <w:szCs w:val="20"/>
                <w:color w:val="auto"/>
              </w:rPr>
            </w:pPr>
            <w:r>
              <w:rPr>
                <w:rFonts w:ascii="Arial" w:cs="Arial" w:eastAsia="Arial" w:hAnsi="Arial"/>
                <w:sz w:val="16"/>
                <w:szCs w:val="16"/>
                <w:b w:val="1"/>
                <w:bCs w:val="1"/>
                <w:color w:val="auto"/>
              </w:rPr>
              <w:t>Common Stock</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3220" w:type="dxa"/>
            <w:vAlign w:val="bottom"/>
            <w:tcBorders>
              <w:bottom w:val="single" w:sz="8" w:color="CCEEFF"/>
            </w:tcBorders>
            <w:gridSpan w:val="4"/>
            <w:shd w:val="clear" w:color="auto" w:fill="CCEEFF"/>
          </w:tcPr>
          <w:p>
            <w:pPr>
              <w:ind w:left="100"/>
              <w:spacing w:after="0"/>
              <w:rPr>
                <w:sz w:val="20"/>
                <w:szCs w:val="20"/>
                <w:color w:val="auto"/>
              </w:rPr>
            </w:pPr>
            <w:r>
              <w:rPr>
                <w:rFonts w:ascii="Arial" w:cs="Arial" w:eastAsia="Arial" w:hAnsi="Arial"/>
                <w:sz w:val="16"/>
                <w:szCs w:val="16"/>
                <w:i w:val="1"/>
                <w:iCs w:val="1"/>
                <w:color w:val="auto"/>
              </w:rPr>
              <w:t>Clean Technology</w:t>
            </w: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220" w:type="dxa"/>
            <w:vAlign w:val="bottom"/>
            <w:gridSpan w:val="4"/>
          </w:tcPr>
          <w:p>
            <w:pPr>
              <w:ind w:left="200"/>
              <w:spacing w:after="0"/>
              <w:rPr>
                <w:sz w:val="20"/>
                <w:szCs w:val="20"/>
                <w:color w:val="auto"/>
              </w:rPr>
            </w:pPr>
            <w:r>
              <w:rPr>
                <w:rFonts w:ascii="Arial" w:cs="Arial" w:eastAsia="Arial" w:hAnsi="Arial"/>
                <w:sz w:val="16"/>
                <w:szCs w:val="16"/>
                <w:color w:val="auto"/>
              </w:rPr>
              <w:t>SPBRX, INC. (f/k/a GSV Sustainability</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220" w:type="dxa"/>
            <w:vAlign w:val="bottom"/>
            <w:gridSpan w:val="4"/>
          </w:tcPr>
          <w:p>
            <w:pPr>
              <w:ind w:left="200"/>
              <w:spacing w:after="0"/>
              <w:rPr>
                <w:sz w:val="20"/>
                <w:szCs w:val="20"/>
                <w:color w:val="auto"/>
              </w:rPr>
            </w:pPr>
            <w:r>
              <w:rPr>
                <w:rFonts w:ascii="Arial" w:cs="Arial" w:eastAsia="Arial" w:hAnsi="Arial"/>
                <w:sz w:val="16"/>
                <w:szCs w:val="16"/>
                <w:color w:val="auto"/>
              </w:rPr>
              <w:t>Partners, Inc.)–Common shares</w:t>
            </w:r>
          </w:p>
        </w:tc>
        <w:tc>
          <w:tcPr>
            <w:tcW w:w="1000" w:type="dxa"/>
            <w:vAlign w:val="bottom"/>
            <w:gridSpan w:val="2"/>
          </w:tcPr>
          <w:p>
            <w:pPr>
              <w:jc w:val="right"/>
              <w:ind w:right="68"/>
              <w:spacing w:after="0"/>
              <w:rPr>
                <w:sz w:val="20"/>
                <w:szCs w:val="20"/>
                <w:color w:val="auto"/>
              </w:rPr>
            </w:pPr>
            <w:r>
              <w:rPr>
                <w:rFonts w:ascii="Arial" w:cs="Arial" w:eastAsia="Arial" w:hAnsi="Arial"/>
                <w:sz w:val="16"/>
                <w:szCs w:val="16"/>
                <w:color w:val="auto"/>
              </w:rPr>
              <w:t>100,000</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32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b w:val="1"/>
                <w:bCs w:val="1"/>
                <w:color w:val="auto"/>
              </w:rPr>
              <w:t>Total Common Stock</w:t>
            </w: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50"/>
        </w:trPr>
        <w:tc>
          <w:tcPr>
            <w:tcW w:w="20" w:type="dxa"/>
            <w:vAlign w:val="bottom"/>
            <w:tcBorders>
              <w:top w:val="single" w:sz="8" w:color="CCEEFF"/>
            </w:tcBorders>
          </w:tcPr>
          <w:p>
            <w:pPr>
              <w:spacing w:after="0"/>
              <w:rPr>
                <w:sz w:val="21"/>
                <w:szCs w:val="21"/>
                <w:color w:val="auto"/>
              </w:rPr>
            </w:pPr>
          </w:p>
        </w:tc>
        <w:tc>
          <w:tcPr>
            <w:tcW w:w="3220" w:type="dxa"/>
            <w:vAlign w:val="bottom"/>
            <w:tcBorders>
              <w:top w:val="single" w:sz="8" w:color="CCEEFF"/>
            </w:tcBorders>
            <w:gridSpan w:val="4"/>
          </w:tcPr>
          <w:p>
            <w:pPr>
              <w:spacing w:after="0"/>
              <w:rPr>
                <w:sz w:val="20"/>
                <w:szCs w:val="20"/>
                <w:color w:val="auto"/>
              </w:rPr>
            </w:pPr>
            <w:r>
              <w:rPr>
                <w:rFonts w:ascii="Arial" w:cs="Arial" w:eastAsia="Arial" w:hAnsi="Arial"/>
                <w:sz w:val="16"/>
                <w:szCs w:val="16"/>
                <w:b w:val="1"/>
                <w:bCs w:val="1"/>
                <w:color w:val="auto"/>
              </w:rPr>
              <w:t>TOTAL CONTROLLED INVESTMENTS*</w:t>
            </w:r>
            <w:r>
              <w:rPr>
                <w:rFonts w:ascii="Arial" w:cs="Arial" w:eastAsia="Arial" w:hAnsi="Arial"/>
                <w:sz w:val="21"/>
                <w:szCs w:val="21"/>
                <w:b w:val="1"/>
                <w:bCs w:val="1"/>
                <w:color w:val="auto"/>
                <w:vertAlign w:val="superscript"/>
              </w:rPr>
              <w:t>(2)</w:t>
            </w:r>
          </w:p>
        </w:tc>
        <w:tc>
          <w:tcPr>
            <w:tcW w:w="8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200,000</w:t>
            </w: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775,198</w:t>
            </w: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6"/>
                <w:szCs w:val="16"/>
                <w:b w:val="1"/>
                <w:bCs w:val="1"/>
                <w:color w:val="auto"/>
              </w:rPr>
              <w:t>—</w:t>
            </w:r>
          </w:p>
        </w:tc>
        <w:tc>
          <w:tcPr>
            <w:tcW w:w="80" w:type="dxa"/>
            <w:vAlign w:val="bottom"/>
            <w:tcBorders>
              <w:top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78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6"/>
                <w:szCs w:val="16"/>
                <w:b w:val="1"/>
                <w:bCs w:val="1"/>
                <w:color w:val="auto"/>
              </w:rPr>
              <w:t>—</w:t>
            </w:r>
          </w:p>
        </w:tc>
        <w:tc>
          <w:tcPr>
            <w:tcW w:w="80" w:type="dxa"/>
            <w:vAlign w:val="bottom"/>
            <w:tcBorders>
              <w:top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85,000</w:t>
            </w: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7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w w:val="96"/>
              </w:rPr>
              <w:t>860,198</w:t>
            </w:r>
          </w:p>
        </w:tc>
        <w:tc>
          <w:tcPr>
            <w:tcW w:w="80" w:type="dxa"/>
            <w:vAlign w:val="bottom"/>
          </w:tcPr>
          <w:p>
            <w:pPr>
              <w:spacing w:after="0"/>
              <w:rPr>
                <w:sz w:val="21"/>
                <w:szCs w:val="21"/>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0.45 %</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3220" w:type="dxa"/>
            <w:vAlign w:val="bottom"/>
            <w:gridSpan w:val="4"/>
            <w:shd w:val="clear" w:color="auto" w:fill="CCEEFF"/>
          </w:tcPr>
          <w:p>
            <w:pPr>
              <w:spacing w:after="0" w:line="142" w:lineRule="exact"/>
              <w:rPr>
                <w:sz w:val="20"/>
                <w:szCs w:val="20"/>
                <w:color w:val="auto"/>
              </w:rPr>
            </w:pPr>
            <w:r>
              <w:rPr>
                <w:rFonts w:ascii="Arial" w:cs="Arial" w:eastAsia="Arial" w:hAnsi="Arial"/>
                <w:sz w:val="16"/>
                <w:szCs w:val="16"/>
                <w:b w:val="1"/>
                <w:bCs w:val="1"/>
                <w:color w:val="auto"/>
              </w:rPr>
              <w:t>NON-CONTROLLED/AFFILIATE</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2480" w:type="dxa"/>
            <w:vAlign w:val="bottom"/>
            <w:tcBorders>
              <w:top w:val="single" w:sz="8" w:color="auto"/>
            </w:tcBorders>
            <w:gridSpan w:val="3"/>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INVESTMENTS*</w:t>
            </w:r>
            <w:r>
              <w:rPr>
                <w:rFonts w:ascii="Arial" w:cs="Arial" w:eastAsia="Arial" w:hAnsi="Arial"/>
                <w:sz w:val="16"/>
                <w:szCs w:val="16"/>
                <w:b w:val="1"/>
                <w:bCs w:val="1"/>
                <w:color w:val="auto"/>
                <w:vertAlign w:val="superscript"/>
              </w:rPr>
              <w:t>(1)</w:t>
            </w:r>
          </w:p>
        </w:tc>
        <w:tc>
          <w:tcPr>
            <w:tcW w:w="7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gridSpan w:val="4"/>
          </w:tcPr>
          <w:p>
            <w:pPr>
              <w:spacing w:after="0"/>
              <w:rPr>
                <w:sz w:val="20"/>
                <w:szCs w:val="20"/>
                <w:color w:val="auto"/>
              </w:rPr>
            </w:pPr>
            <w:r>
              <w:rPr>
                <w:rFonts w:ascii="Arial" w:cs="Arial" w:eastAsia="Arial" w:hAnsi="Arial"/>
                <w:sz w:val="16"/>
                <w:szCs w:val="16"/>
                <w:b w:val="1"/>
                <w:bCs w:val="1"/>
                <w:color w:val="auto"/>
              </w:rPr>
              <w:t>Debt Investments</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220" w:type="dxa"/>
            <w:vAlign w:val="bottom"/>
            <w:tcBorders>
              <w:bottom w:val="single" w:sz="8" w:color="CCEEFF"/>
            </w:tcBorders>
            <w:gridSpan w:val="4"/>
            <w:shd w:val="clear" w:color="auto" w:fill="CCEEFF"/>
          </w:tcPr>
          <w:p>
            <w:pPr>
              <w:ind w:left="100"/>
              <w:spacing w:after="0"/>
              <w:rPr>
                <w:sz w:val="20"/>
                <w:szCs w:val="20"/>
                <w:color w:val="auto"/>
              </w:rPr>
            </w:pPr>
            <w:r>
              <w:rPr>
                <w:rFonts w:ascii="Arial" w:cs="Arial" w:eastAsia="Arial" w:hAnsi="Arial"/>
                <w:sz w:val="16"/>
                <w:szCs w:val="16"/>
                <w:i w:val="1"/>
                <w:iCs w:val="1"/>
                <w:color w:val="auto"/>
              </w:rPr>
              <w:t>Corporate Education</w:t>
            </w: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220" w:type="dxa"/>
            <w:vAlign w:val="bottom"/>
            <w:gridSpan w:val="4"/>
          </w:tcPr>
          <w:p>
            <w:pPr>
              <w:ind w:left="200"/>
              <w:spacing w:after="0" w:line="166" w:lineRule="exact"/>
              <w:rPr>
                <w:sz w:val="20"/>
                <w:szCs w:val="20"/>
                <w:color w:val="auto"/>
              </w:rPr>
            </w:pPr>
            <w:r>
              <w:rPr>
                <w:rFonts w:ascii="Arial" w:cs="Arial" w:eastAsia="Arial" w:hAnsi="Arial"/>
                <w:sz w:val="16"/>
                <w:szCs w:val="16"/>
                <w:color w:val="auto"/>
              </w:rPr>
              <w:t>CUX, Inc. (d/b/a CorpU)–Senior</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20" w:type="dxa"/>
            <w:vAlign w:val="bottom"/>
            <w:gridSpan w:val="4"/>
          </w:tcPr>
          <w:p>
            <w:pPr>
              <w:ind w:left="200"/>
              <w:spacing w:after="0" w:line="162" w:lineRule="exact"/>
              <w:rPr>
                <w:sz w:val="20"/>
                <w:szCs w:val="20"/>
                <w:color w:val="auto"/>
              </w:rPr>
            </w:pPr>
            <w:r>
              <w:rPr>
                <w:rFonts w:ascii="Arial" w:cs="Arial" w:eastAsia="Arial" w:hAnsi="Arial"/>
                <w:sz w:val="16"/>
                <w:szCs w:val="16"/>
                <w:color w:val="auto"/>
                <w:w w:val="98"/>
              </w:rPr>
              <w:t>Subordinated Convertible Promissory Note</w:t>
            </w:r>
          </w:p>
        </w:tc>
        <w:tc>
          <w:tcPr>
            <w:tcW w:w="1000" w:type="dxa"/>
            <w:vAlign w:val="bottom"/>
            <w:gridSpan w:val="2"/>
            <w:vMerge w:val="restart"/>
          </w:tcPr>
          <w:p>
            <w:pPr>
              <w:jc w:val="right"/>
              <w:ind w:right="68"/>
              <w:spacing w:after="0"/>
              <w:rPr>
                <w:sz w:val="20"/>
                <w:szCs w:val="20"/>
                <w:color w:val="auto"/>
              </w:rPr>
            </w:pPr>
            <w:r>
              <w:rPr>
                <w:rFonts w:ascii="Arial" w:cs="Arial" w:eastAsia="Arial" w:hAnsi="Arial"/>
                <w:sz w:val="16"/>
                <w:szCs w:val="16"/>
                <w:color w:val="auto"/>
                <w:w w:val="99"/>
              </w:rPr>
              <w:t>$ 1,251,158</w:t>
            </w:r>
          </w:p>
        </w:tc>
        <w:tc>
          <w:tcPr>
            <w:tcW w:w="8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ind w:right="80"/>
              <w:spacing w:after="0"/>
              <w:rPr>
                <w:sz w:val="20"/>
                <w:szCs w:val="20"/>
                <w:color w:val="auto"/>
              </w:rPr>
            </w:pPr>
            <w:r>
              <w:rPr>
                <w:rFonts w:ascii="Arial" w:cs="Arial" w:eastAsia="Arial" w:hAnsi="Arial"/>
                <w:sz w:val="16"/>
                <w:szCs w:val="16"/>
                <w:color w:val="auto"/>
              </w:rPr>
              <w:t>312,789</w:t>
            </w:r>
          </w:p>
        </w:tc>
        <w:tc>
          <w:tcPr>
            <w:tcW w:w="8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vMerge w:val="restart"/>
          </w:tcPr>
          <w:p>
            <w:pPr>
              <w:ind w:left="560"/>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860" w:type="dxa"/>
            <w:vAlign w:val="bottom"/>
            <w:gridSpan w:val="2"/>
            <w:vMerge w:val="restart"/>
          </w:tcPr>
          <w:p>
            <w:pPr>
              <w:ind w:left="46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w w:val="89"/>
              </w:rPr>
              <w:t>$</w:t>
            </w: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ind w:right="60"/>
              <w:spacing w:after="0"/>
              <w:rPr>
                <w:sz w:val="20"/>
                <w:szCs w:val="20"/>
                <w:color w:val="auto"/>
              </w:rPr>
            </w:pPr>
            <w:r>
              <w:rPr>
                <w:rFonts w:ascii="Arial" w:cs="Arial" w:eastAsia="Arial" w:hAnsi="Arial"/>
                <w:sz w:val="16"/>
                <w:szCs w:val="16"/>
                <w:color w:val="auto"/>
                <w:w w:val="96"/>
              </w:rPr>
              <w:t>312,789</w:t>
            </w:r>
          </w:p>
        </w:tc>
        <w:tc>
          <w:tcPr>
            <w:tcW w:w="880" w:type="dxa"/>
            <w:vAlign w:val="bottom"/>
            <w:gridSpan w:val="3"/>
            <w:vMerge w:val="restart"/>
          </w:tcPr>
          <w:p>
            <w:pPr>
              <w:jc w:val="right"/>
              <w:spacing w:after="0"/>
              <w:rPr>
                <w:sz w:val="20"/>
                <w:szCs w:val="20"/>
                <w:color w:val="auto"/>
              </w:rPr>
            </w:pPr>
            <w:r>
              <w:rPr>
                <w:rFonts w:ascii="Arial" w:cs="Arial" w:eastAsia="Arial" w:hAnsi="Arial"/>
                <w:sz w:val="16"/>
                <w:szCs w:val="16"/>
                <w:color w:val="auto"/>
              </w:rPr>
              <w:t>0.16 %</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220" w:type="dxa"/>
            <w:vAlign w:val="bottom"/>
            <w:gridSpan w:val="4"/>
          </w:tcPr>
          <w:p>
            <w:pPr>
              <w:ind w:left="200"/>
              <w:spacing w:after="0" w:line="213" w:lineRule="exact"/>
              <w:rPr>
                <w:sz w:val="20"/>
                <w:szCs w:val="20"/>
                <w:color w:val="auto"/>
              </w:rPr>
            </w:pPr>
            <w:r>
              <w:rPr>
                <w:rFonts w:ascii="Arial" w:cs="Arial" w:eastAsia="Arial" w:hAnsi="Arial"/>
                <w:sz w:val="16"/>
                <w:szCs w:val="16"/>
                <w:color w:val="auto"/>
              </w:rPr>
              <w:t>4% Due 2/14/2023</w:t>
            </w:r>
            <w:r>
              <w:rPr>
                <w:rFonts w:ascii="Arial" w:cs="Arial" w:eastAsia="Arial" w:hAnsi="Arial"/>
                <w:sz w:val="21"/>
                <w:szCs w:val="21"/>
                <w:color w:val="auto"/>
                <w:vertAlign w:val="superscript"/>
              </w:rPr>
              <w:t>(3)</w:t>
            </w: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8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3220" w:type="dxa"/>
            <w:vAlign w:val="bottom"/>
            <w:tcBorders>
              <w:bottom w:val="single" w:sz="8" w:color="CCEEFF"/>
            </w:tcBorders>
            <w:gridSpan w:val="4"/>
            <w:shd w:val="clear" w:color="auto" w:fill="CCEEFF"/>
          </w:tcPr>
          <w:p>
            <w:pPr>
              <w:ind w:left="100"/>
              <w:spacing w:after="0"/>
              <w:rPr>
                <w:sz w:val="20"/>
                <w:szCs w:val="20"/>
                <w:color w:val="auto"/>
              </w:rPr>
            </w:pPr>
            <w:r>
              <w:rPr>
                <w:rFonts w:ascii="Arial" w:cs="Arial" w:eastAsia="Arial" w:hAnsi="Arial"/>
                <w:sz w:val="16"/>
                <w:szCs w:val="16"/>
                <w:i w:val="1"/>
                <w:iCs w:val="1"/>
                <w:color w:val="auto"/>
              </w:rPr>
              <w:t>Global Innovation Platform</w:t>
            </w: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220" w:type="dxa"/>
            <w:vAlign w:val="bottom"/>
            <w:gridSpan w:val="4"/>
          </w:tcPr>
          <w:p>
            <w:pPr>
              <w:ind w:left="200"/>
              <w:spacing w:after="0" w:line="166" w:lineRule="exact"/>
              <w:rPr>
                <w:sz w:val="20"/>
                <w:szCs w:val="20"/>
                <w:color w:val="auto"/>
              </w:rPr>
            </w:pPr>
            <w:r>
              <w:rPr>
                <w:rFonts w:ascii="Arial" w:cs="Arial" w:eastAsia="Arial" w:hAnsi="Arial"/>
                <w:sz w:val="16"/>
                <w:szCs w:val="16"/>
                <w:color w:val="auto"/>
              </w:rPr>
              <w:t>NestGSV, Inc. (d/b/a GSV Labs, Inc.) –</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20" w:type="dxa"/>
            <w:vAlign w:val="bottom"/>
            <w:gridSpan w:val="4"/>
          </w:tcPr>
          <w:p>
            <w:pPr>
              <w:ind w:left="200"/>
              <w:spacing w:after="0" w:line="162" w:lineRule="exact"/>
              <w:rPr>
                <w:sz w:val="20"/>
                <w:szCs w:val="20"/>
                <w:color w:val="auto"/>
              </w:rPr>
            </w:pPr>
            <w:r>
              <w:rPr>
                <w:rFonts w:ascii="Arial" w:cs="Arial" w:eastAsia="Arial" w:hAnsi="Arial"/>
                <w:sz w:val="16"/>
                <w:szCs w:val="16"/>
                <w:color w:val="auto"/>
              </w:rPr>
              <w:t>Convertible Promissory Note 8% Due</w:t>
            </w:r>
          </w:p>
        </w:tc>
        <w:tc>
          <w:tcPr>
            <w:tcW w:w="1000" w:type="dxa"/>
            <w:vAlign w:val="bottom"/>
            <w:gridSpan w:val="2"/>
            <w:vMerge w:val="restart"/>
          </w:tcPr>
          <w:p>
            <w:pPr>
              <w:jc w:val="right"/>
              <w:ind w:right="68"/>
              <w:spacing w:after="0"/>
              <w:rPr>
                <w:sz w:val="20"/>
                <w:szCs w:val="20"/>
                <w:color w:val="auto"/>
              </w:rPr>
            </w:pPr>
            <w:r>
              <w:rPr>
                <w:rFonts w:ascii="Arial" w:cs="Arial" w:eastAsia="Arial" w:hAnsi="Arial"/>
                <w:sz w:val="16"/>
                <w:szCs w:val="16"/>
                <w:color w:val="auto"/>
                <w:w w:val="99"/>
              </w:rPr>
              <w:t>$ 1,010,198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ind w:right="21"/>
              <w:spacing w:after="0"/>
              <w:rPr>
                <w:sz w:val="20"/>
                <w:szCs w:val="20"/>
                <w:color w:val="auto"/>
              </w:rPr>
            </w:pPr>
            <w:r>
              <w:rPr>
                <w:rFonts w:ascii="Arial" w:cs="Arial" w:eastAsia="Arial" w:hAnsi="Arial"/>
                <w:sz w:val="16"/>
                <w:szCs w:val="16"/>
                <w:color w:val="auto"/>
              </w:rPr>
              <w:t>(29,184)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ind w:right="80"/>
              <w:spacing w:after="0"/>
              <w:rPr>
                <w:sz w:val="20"/>
                <w:szCs w:val="20"/>
                <w:color w:val="auto"/>
              </w:rPr>
            </w:pPr>
            <w:r>
              <w:rPr>
                <w:rFonts w:ascii="Arial" w:cs="Arial" w:eastAsia="Arial" w:hAnsi="Arial"/>
                <w:sz w:val="16"/>
                <w:szCs w:val="16"/>
                <w:color w:val="auto"/>
                <w:w w:val="89"/>
              </w:rPr>
              <w:t>1,010,198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ind w:left="4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ind w:right="40"/>
              <w:spacing w:after="0"/>
              <w:rPr>
                <w:sz w:val="20"/>
                <w:szCs w:val="20"/>
                <w:color w:val="auto"/>
              </w:rPr>
            </w:pPr>
            <w:r>
              <w:rPr>
                <w:rFonts w:ascii="Arial" w:cs="Arial" w:eastAsia="Arial" w:hAnsi="Arial"/>
                <w:sz w:val="16"/>
                <w:szCs w:val="16"/>
                <w:color w:val="auto"/>
                <w:w w:val="96"/>
              </w:rPr>
              <w:t>(505,099)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ind w:right="60"/>
              <w:spacing w:after="0"/>
              <w:rPr>
                <w:sz w:val="20"/>
                <w:szCs w:val="20"/>
                <w:color w:val="auto"/>
              </w:rPr>
            </w:pPr>
            <w:r>
              <w:rPr>
                <w:rFonts w:ascii="Arial" w:cs="Arial" w:eastAsia="Arial" w:hAnsi="Arial"/>
                <w:sz w:val="16"/>
                <w:szCs w:val="16"/>
                <w:color w:val="auto"/>
                <w:w w:val="96"/>
              </w:rPr>
              <w:t>505,099</w:t>
            </w:r>
          </w:p>
        </w:tc>
        <w:tc>
          <w:tcPr>
            <w:tcW w:w="700" w:type="dxa"/>
            <w:vAlign w:val="bottom"/>
            <w:gridSpan w:val="2"/>
            <w:vMerge w:val="restart"/>
          </w:tcPr>
          <w:p>
            <w:pPr>
              <w:jc w:val="right"/>
              <w:spacing w:after="0"/>
              <w:rPr>
                <w:sz w:val="20"/>
                <w:szCs w:val="20"/>
                <w:color w:val="auto"/>
              </w:rPr>
            </w:pPr>
            <w:r>
              <w:rPr>
                <w:rFonts w:ascii="Arial" w:cs="Arial" w:eastAsia="Arial" w:hAnsi="Arial"/>
                <w:sz w:val="16"/>
                <w:szCs w:val="16"/>
                <w:color w:val="auto"/>
              </w:rPr>
              <w:t>0.26</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12"/>
        </w:trPr>
        <w:tc>
          <w:tcPr>
            <w:tcW w:w="1200" w:type="dxa"/>
            <w:vAlign w:val="bottom"/>
            <w:gridSpan w:val="2"/>
          </w:tcPr>
          <w:p>
            <w:pPr>
              <w:ind w:left="220"/>
              <w:spacing w:after="0" w:line="213" w:lineRule="exact"/>
              <w:rPr>
                <w:sz w:val="20"/>
                <w:szCs w:val="20"/>
                <w:color w:val="auto"/>
              </w:rPr>
            </w:pPr>
            <w:r>
              <w:rPr>
                <w:rFonts w:ascii="Arial" w:cs="Arial" w:eastAsia="Arial" w:hAnsi="Arial"/>
                <w:sz w:val="16"/>
                <w:szCs w:val="16"/>
                <w:color w:val="auto"/>
                <w:w w:val="91"/>
              </w:rPr>
              <w:t>8/23/2024</w:t>
            </w:r>
            <w:r>
              <w:rPr>
                <w:rFonts w:ascii="Arial" w:cs="Arial" w:eastAsia="Arial" w:hAnsi="Arial"/>
                <w:sz w:val="21"/>
                <w:szCs w:val="21"/>
                <w:color w:val="auto"/>
                <w:w w:val="91"/>
                <w:vertAlign w:val="superscript"/>
              </w:rPr>
              <w:t>(3)(6)</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2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b w:val="1"/>
                <w:bCs w:val="1"/>
                <w:color w:val="auto"/>
              </w:rPr>
              <w:t>Total Debt Investments</w:t>
            </w: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(29,184)</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1,322,987</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6"/>
              </w:rPr>
              <w:t>(505,099)</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96"/>
              </w:rPr>
              <w:t>817,888</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0.42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gridSpan w:val="4"/>
          </w:tcPr>
          <w:p>
            <w:pPr>
              <w:ind w:left="100"/>
              <w:spacing w:after="0"/>
              <w:rPr>
                <w:sz w:val="20"/>
                <w:szCs w:val="20"/>
                <w:color w:val="auto"/>
              </w:rPr>
            </w:pPr>
            <w:r>
              <w:rPr>
                <w:rFonts w:ascii="Arial" w:cs="Arial" w:eastAsia="Arial" w:hAnsi="Arial"/>
                <w:sz w:val="16"/>
                <w:szCs w:val="16"/>
                <w:b w:val="1"/>
                <w:bCs w:val="1"/>
                <w:color w:val="auto"/>
              </w:rPr>
              <w:t>Preferred Stock</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220" w:type="dxa"/>
            <w:vAlign w:val="bottom"/>
            <w:tcBorders>
              <w:bottom w:val="single" w:sz="8" w:color="CCEEFF"/>
            </w:tcBorders>
            <w:gridSpan w:val="4"/>
            <w:shd w:val="clear" w:color="auto" w:fill="CCEEFF"/>
          </w:tcPr>
          <w:p>
            <w:pPr>
              <w:ind w:left="100"/>
              <w:spacing w:after="0"/>
              <w:rPr>
                <w:sz w:val="20"/>
                <w:szCs w:val="20"/>
                <w:color w:val="auto"/>
              </w:rPr>
            </w:pPr>
            <w:r>
              <w:rPr>
                <w:rFonts w:ascii="Arial" w:cs="Arial" w:eastAsia="Arial" w:hAnsi="Arial"/>
                <w:sz w:val="16"/>
                <w:szCs w:val="16"/>
                <w:i w:val="1"/>
                <w:iCs w:val="1"/>
                <w:color w:val="auto"/>
              </w:rPr>
              <w:t>Corporate Education</w:t>
            </w: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220" w:type="dxa"/>
            <w:vAlign w:val="bottom"/>
            <w:gridSpan w:val="4"/>
          </w:tcPr>
          <w:p>
            <w:pPr>
              <w:ind w:left="200"/>
              <w:spacing w:after="0"/>
              <w:rPr>
                <w:sz w:val="20"/>
                <w:szCs w:val="20"/>
                <w:color w:val="auto"/>
              </w:rPr>
            </w:pPr>
            <w:r>
              <w:rPr>
                <w:rFonts w:ascii="Arial" w:cs="Arial" w:eastAsia="Arial" w:hAnsi="Arial"/>
                <w:sz w:val="16"/>
                <w:szCs w:val="16"/>
                <w:color w:val="auto"/>
              </w:rPr>
              <w:t>CUX, Inc. (d/b/a CorpU)–Convertible</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220" w:type="dxa"/>
            <w:vAlign w:val="bottom"/>
            <w:gridSpan w:val="4"/>
          </w:tcPr>
          <w:p>
            <w:pPr>
              <w:ind w:left="200"/>
              <w:spacing w:after="0"/>
              <w:rPr>
                <w:sz w:val="20"/>
                <w:szCs w:val="20"/>
                <w:color w:val="auto"/>
              </w:rPr>
            </w:pPr>
            <w:r>
              <w:rPr>
                <w:rFonts w:ascii="Arial" w:cs="Arial" w:eastAsia="Arial" w:hAnsi="Arial"/>
                <w:sz w:val="16"/>
                <w:szCs w:val="16"/>
                <w:color w:val="auto"/>
              </w:rPr>
              <w:t>preferred shares, Series D 6%</w:t>
            </w:r>
          </w:p>
        </w:tc>
        <w:tc>
          <w:tcPr>
            <w:tcW w:w="1000" w:type="dxa"/>
            <w:vAlign w:val="bottom"/>
            <w:gridSpan w:val="2"/>
          </w:tcPr>
          <w:p>
            <w:pPr>
              <w:jc w:val="right"/>
              <w:ind w:right="68"/>
              <w:spacing w:after="0"/>
              <w:rPr>
                <w:sz w:val="20"/>
                <w:szCs w:val="20"/>
                <w:color w:val="auto"/>
              </w:rPr>
            </w:pPr>
            <w:r>
              <w:rPr>
                <w:rFonts w:ascii="Arial" w:cs="Arial" w:eastAsia="Arial" w:hAnsi="Arial"/>
                <w:sz w:val="16"/>
                <w:szCs w:val="16"/>
                <w:color w:val="auto"/>
              </w:rPr>
              <w:t>169,033</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34,980</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80"/>
              <w:spacing w:after="0"/>
              <w:rPr>
                <w:sz w:val="20"/>
                <w:szCs w:val="20"/>
                <w:color w:val="auto"/>
              </w:rPr>
            </w:pPr>
            <w:r>
              <w:rPr>
                <w:rFonts w:ascii="Arial" w:cs="Arial" w:eastAsia="Arial" w:hAnsi="Arial"/>
                <w:sz w:val="16"/>
                <w:szCs w:val="16"/>
                <w:color w:val="auto"/>
              </w:rPr>
              <w:t>57,694</w:t>
            </w:r>
          </w:p>
        </w:tc>
        <w:tc>
          <w:tcPr>
            <w:tcW w:w="8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60"/>
              <w:spacing w:after="0"/>
              <w:rPr>
                <w:sz w:val="20"/>
                <w:szCs w:val="20"/>
                <w:color w:val="auto"/>
              </w:rPr>
            </w:pPr>
            <w:r>
              <w:rPr>
                <w:rFonts w:ascii="Arial" w:cs="Arial" w:eastAsia="Arial" w:hAnsi="Arial"/>
                <w:sz w:val="16"/>
                <w:szCs w:val="16"/>
                <w:color w:val="auto"/>
              </w:rPr>
              <w:t>92,674</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0.05</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3220" w:type="dxa"/>
            <w:vAlign w:val="bottom"/>
            <w:gridSpan w:val="4"/>
            <w:shd w:val="clear" w:color="auto" w:fill="CCEEFF"/>
          </w:tcPr>
          <w:p>
            <w:pPr>
              <w:ind w:left="200"/>
              <w:spacing w:after="0"/>
              <w:rPr>
                <w:sz w:val="20"/>
                <w:szCs w:val="20"/>
                <w:color w:val="auto"/>
              </w:rPr>
            </w:pPr>
            <w:r>
              <w:rPr>
                <w:rFonts w:ascii="Arial" w:cs="Arial" w:eastAsia="Arial" w:hAnsi="Arial"/>
                <w:sz w:val="16"/>
                <w:szCs w:val="16"/>
                <w:color w:val="auto"/>
              </w:rPr>
              <w:t>CUX, Inc. (d/b/a CorpU) -Convertible</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Borders>
              <w:bottom w:val="single" w:sz="8" w:color="CCEEFF"/>
            </w:tcBorders>
            <w:shd w:val="clear" w:color="auto" w:fill="CCEEFF"/>
          </w:tcPr>
          <w:p>
            <w:pPr>
              <w:spacing w:after="0"/>
              <w:rPr>
                <w:sz w:val="20"/>
                <w:szCs w:val="20"/>
                <w:color w:val="auto"/>
              </w:rPr>
            </w:pPr>
          </w:p>
        </w:tc>
        <w:tc>
          <w:tcPr>
            <w:tcW w:w="3220" w:type="dxa"/>
            <w:vAlign w:val="bottom"/>
            <w:tcBorders>
              <w:bottom w:val="single" w:sz="8" w:color="CCEEFF"/>
            </w:tcBorders>
            <w:gridSpan w:val="4"/>
            <w:shd w:val="clear" w:color="auto" w:fill="CCEEFF"/>
          </w:tcPr>
          <w:p>
            <w:pPr>
              <w:ind w:left="200"/>
              <w:spacing w:after="0"/>
              <w:rPr>
                <w:sz w:val="20"/>
                <w:szCs w:val="20"/>
                <w:color w:val="auto"/>
              </w:rPr>
            </w:pPr>
            <w:r>
              <w:rPr>
                <w:rFonts w:ascii="Arial" w:cs="Arial" w:eastAsia="Arial" w:hAnsi="Arial"/>
                <w:sz w:val="16"/>
                <w:szCs w:val="16"/>
                <w:color w:val="auto"/>
              </w:rPr>
              <w:t>preferred shares, Series C 8%</w:t>
            </w:r>
          </w:p>
        </w:tc>
        <w:tc>
          <w:tcPr>
            <w:tcW w:w="100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6"/>
                <w:szCs w:val="16"/>
                <w:color w:val="auto"/>
              </w:rPr>
              <w:t>615,763</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w w:val="89"/>
              </w:rPr>
              <w:t>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7"/>
        </w:trPr>
        <w:tc>
          <w:tcPr>
            <w:tcW w:w="20" w:type="dxa"/>
            <w:vAlign w:val="bottom"/>
            <w:tcBorders>
              <w:top w:val="single" w:sz="8" w:color="CCEEFF"/>
            </w:tcBorders>
          </w:tcPr>
          <w:p>
            <w:pPr>
              <w:spacing w:after="0"/>
              <w:rPr>
                <w:sz w:val="18"/>
                <w:szCs w:val="18"/>
                <w:color w:val="auto"/>
              </w:rPr>
            </w:pPr>
          </w:p>
        </w:tc>
        <w:tc>
          <w:tcPr>
            <w:tcW w:w="3220" w:type="dxa"/>
            <w:vAlign w:val="bottom"/>
            <w:tcBorders>
              <w:top w:val="single" w:sz="8" w:color="CCEEFF"/>
            </w:tcBorders>
            <w:gridSpan w:val="4"/>
          </w:tcPr>
          <w:p>
            <w:pPr>
              <w:ind w:left="100"/>
              <w:spacing w:after="0"/>
              <w:rPr>
                <w:sz w:val="20"/>
                <w:szCs w:val="20"/>
                <w:color w:val="auto"/>
              </w:rPr>
            </w:pPr>
            <w:r>
              <w:rPr>
                <w:rFonts w:ascii="Arial" w:cs="Arial" w:eastAsia="Arial" w:hAnsi="Arial"/>
                <w:sz w:val="16"/>
                <w:szCs w:val="16"/>
                <w:i w:val="1"/>
                <w:iCs w:val="1"/>
                <w:color w:val="auto"/>
              </w:rPr>
              <w:t>Total Corporate Education</w:t>
            </w:r>
          </w:p>
        </w:tc>
        <w:tc>
          <w:tcPr>
            <w:tcW w:w="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34,980</w:t>
            </w: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ind w:left="5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ind w:left="4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57,694</w:t>
            </w: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92,674</w:t>
            </w:r>
          </w:p>
        </w:tc>
        <w:tc>
          <w:tcPr>
            <w:tcW w:w="80" w:type="dxa"/>
            <w:vAlign w:val="bottom"/>
            <w:tcBorders>
              <w:top w:val="single" w:sz="8" w:color="CCEEFF"/>
            </w:tcBorders>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0.05 %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-4538980</wp:posOffset>
            </wp:positionV>
            <wp:extent cx="514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320" w:top="121" w:right="37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2020</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Interest, Fees,</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Purchases,</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or</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Fair Value at</w:t>
            </w:r>
          </w:p>
        </w:tc>
        <w:tc>
          <w:tcPr>
            <w:tcW w:w="1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Capitalized</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82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Dividends</w:t>
            </w: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Fees,</w:t>
            </w:r>
          </w:p>
        </w:tc>
        <w:tc>
          <w:tcPr>
            <w:tcW w:w="160" w:type="dxa"/>
            <w:vAlign w:val="bottom"/>
          </w:tcPr>
          <w:p>
            <w:pPr>
              <w:spacing w:after="0"/>
              <w:rPr>
                <w:sz w:val="12"/>
                <w:szCs w:val="12"/>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Realized</w:t>
            </w:r>
          </w:p>
        </w:tc>
        <w:tc>
          <w:tcPr>
            <w:tcW w:w="10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Unrealized</w:t>
            </w:r>
          </w:p>
        </w:tc>
        <w:tc>
          <w:tcPr>
            <w:tcW w:w="10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 at</w:t>
            </w: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Type/Industry/Portfolio Company/Investment</w:t>
            </w: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Credited</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Interest and</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780" w:type="dxa"/>
            <w:vAlign w:val="bottom"/>
          </w:tcPr>
          <w:p>
            <w:pPr>
              <w:jc w:val="right"/>
              <w:ind w:right="120"/>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92"/>
        </w:trPr>
        <w:tc>
          <w:tcPr>
            <w:tcW w:w="3160" w:type="dxa"/>
            <w:vAlign w:val="bottom"/>
            <w:vMerge w:val="continue"/>
          </w:tcPr>
          <w:p>
            <w:pPr>
              <w:spacing w:after="0"/>
              <w:rPr>
                <w:sz w:val="16"/>
                <w:szCs w:val="16"/>
                <w:color w:val="auto"/>
              </w:rPr>
            </w:pPr>
          </w:p>
        </w:tc>
        <w:tc>
          <w:tcPr>
            <w:tcW w:w="820" w:type="dxa"/>
            <w:vAlign w:val="bottom"/>
          </w:tcPr>
          <w:p>
            <w:pPr>
              <w:jc w:val="right"/>
              <w:ind w:right="60"/>
              <w:spacing w:after="0"/>
              <w:rPr>
                <w:sz w:val="20"/>
                <w:szCs w:val="20"/>
                <w:color w:val="auto"/>
              </w:rPr>
            </w:pPr>
            <w:r>
              <w:rPr>
                <w:rFonts w:ascii="Arial" w:cs="Arial" w:eastAsia="Arial" w:hAnsi="Arial"/>
                <w:sz w:val="14"/>
                <w:szCs w:val="14"/>
                <w:b w:val="1"/>
                <w:bCs w:val="1"/>
                <w:color w:val="auto"/>
              </w:rPr>
              <w:t>Quantity</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 Income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6"/>
                <w:szCs w:val="16"/>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Amortization</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Gains/(Losses)</w:t>
            </w: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Gains/(Losses)</w:t>
            </w: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2020</w:t>
            </w:r>
          </w:p>
        </w:tc>
        <w:tc>
          <w:tcPr>
            <w:tcW w:w="780" w:type="dxa"/>
            <w:vAlign w:val="bottom"/>
          </w:tcPr>
          <w:p>
            <w:pPr>
              <w:jc w:val="right"/>
              <w:ind w:right="12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43"/>
        </w:trPr>
        <w:tc>
          <w:tcPr>
            <w:tcW w:w="3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i w:val="1"/>
                <w:iCs w:val="1"/>
                <w:color w:val="auto"/>
              </w:rPr>
              <w:t>Knowledge Networks</w:t>
            </w: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160" w:type="dxa"/>
            <w:vAlign w:val="bottom"/>
          </w:tcPr>
          <w:p>
            <w:pPr>
              <w:ind w:left="220"/>
              <w:spacing w:after="0"/>
              <w:rPr>
                <w:sz w:val="20"/>
                <w:szCs w:val="20"/>
                <w:color w:val="auto"/>
              </w:rPr>
            </w:pPr>
            <w:r>
              <w:rPr>
                <w:rFonts w:ascii="Arial" w:cs="Arial" w:eastAsia="Arial" w:hAnsi="Arial"/>
                <w:sz w:val="16"/>
                <w:szCs w:val="16"/>
                <w:color w:val="auto"/>
              </w:rPr>
              <w:t>Maven Research, Inc.–Preferred shares,</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160" w:type="dxa"/>
            <w:vAlign w:val="bottom"/>
          </w:tcPr>
          <w:p>
            <w:pPr>
              <w:ind w:left="220"/>
              <w:spacing w:after="0"/>
              <w:rPr>
                <w:sz w:val="20"/>
                <w:szCs w:val="20"/>
                <w:color w:val="auto"/>
              </w:rPr>
            </w:pPr>
            <w:r>
              <w:rPr>
                <w:rFonts w:ascii="Arial" w:cs="Arial" w:eastAsia="Arial" w:hAnsi="Arial"/>
                <w:sz w:val="16"/>
                <w:szCs w:val="16"/>
                <w:color w:val="auto"/>
              </w:rPr>
              <w:t>Series C</w:t>
            </w: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318,979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ind w:left="720"/>
              <w:spacing w:after="0"/>
              <w:rPr>
                <w:sz w:val="20"/>
                <w:szCs w:val="20"/>
                <w:color w:val="auto"/>
              </w:rPr>
            </w:pPr>
            <w:r>
              <w:rPr>
                <w:rFonts w:ascii="Arial" w:cs="Arial" w:eastAsia="Arial" w:hAnsi="Arial"/>
                <w:sz w:val="16"/>
                <w:szCs w:val="16"/>
                <w:color w:val="auto"/>
                <w:w w:val="89"/>
              </w:rPr>
              <w:t>0</w:t>
            </w:r>
          </w:p>
        </w:tc>
        <w:tc>
          <w:tcPr>
            <w:tcW w:w="8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60" w:type="dxa"/>
            <w:vAlign w:val="bottom"/>
          </w:tcPr>
          <w:p>
            <w:pPr>
              <w:ind w:left="760"/>
              <w:spacing w:after="0"/>
              <w:rPr>
                <w:sz w:val="20"/>
                <w:szCs w:val="20"/>
                <w:color w:val="auto"/>
              </w:rPr>
            </w:pPr>
            <w:r>
              <w:rPr>
                <w:rFonts w:ascii="Arial" w:cs="Arial" w:eastAsia="Arial" w:hAnsi="Arial"/>
                <w:sz w:val="16"/>
                <w:szCs w:val="16"/>
                <w:color w:val="auto"/>
                <w:w w:val="89"/>
              </w:rPr>
              <w:t>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ind w:left="680"/>
              <w:spacing w:after="0"/>
              <w:rPr>
                <w:sz w:val="20"/>
                <w:szCs w:val="20"/>
                <w:color w:val="auto"/>
              </w:rPr>
            </w:pPr>
            <w:r>
              <w:rPr>
                <w:rFonts w:ascii="Arial" w:cs="Arial" w:eastAsia="Arial" w:hAnsi="Arial"/>
                <w:sz w:val="16"/>
                <w:szCs w:val="16"/>
                <w:color w:val="auto"/>
                <w:w w:val="89"/>
              </w:rPr>
              <w:t>0</w:t>
            </w:r>
          </w:p>
        </w:tc>
        <w:tc>
          <w:tcPr>
            <w:tcW w:w="80" w:type="dxa"/>
            <w:vAlign w:val="bottom"/>
          </w:tcPr>
          <w:p>
            <w:pPr>
              <w:spacing w:after="0"/>
              <w:rPr>
                <w:sz w:val="17"/>
                <w:szCs w:val="17"/>
                <w:color w:val="auto"/>
              </w:rPr>
            </w:pPr>
          </w:p>
        </w:tc>
        <w:tc>
          <w:tcPr>
            <w:tcW w:w="108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Maven Research, Inc.–Preferred shares,</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Series B</w:t>
            </w:r>
          </w:p>
        </w:tc>
        <w:tc>
          <w:tcPr>
            <w:tcW w:w="8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49,505</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w w:val="89"/>
              </w:rPr>
              <w:t>0</w:t>
            </w: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w w:val="89"/>
              </w:rPr>
              <w:t>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w w:val="89"/>
              </w:rPr>
              <w:t>0</w:t>
            </w:r>
          </w:p>
        </w:tc>
        <w:tc>
          <w:tcPr>
            <w:tcW w:w="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7"/>
        </w:trPr>
        <w:tc>
          <w:tcPr>
            <w:tcW w:w="3160" w:type="dxa"/>
            <w:vAlign w:val="bottom"/>
          </w:tcPr>
          <w:p>
            <w:pPr>
              <w:ind w:left="120"/>
              <w:spacing w:after="0"/>
              <w:rPr>
                <w:sz w:val="20"/>
                <w:szCs w:val="20"/>
                <w:color w:val="auto"/>
              </w:rPr>
            </w:pPr>
            <w:r>
              <w:rPr>
                <w:rFonts w:ascii="Arial" w:cs="Arial" w:eastAsia="Arial" w:hAnsi="Arial"/>
                <w:sz w:val="16"/>
                <w:szCs w:val="16"/>
                <w:i w:val="1"/>
                <w:iCs w:val="1"/>
                <w:color w:val="auto"/>
              </w:rPr>
              <w:t>Total Knowledge Networks</w:t>
            </w:r>
          </w:p>
        </w:tc>
        <w:tc>
          <w:tcPr>
            <w:tcW w:w="8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ind w:left="5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ind w:left="46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ind w:left="6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i w:val="1"/>
                <w:iCs w:val="1"/>
                <w:color w:val="auto"/>
              </w:rPr>
              <w:t>Digital Media Platform</w:t>
            </w:r>
          </w:p>
        </w:tc>
        <w:tc>
          <w:tcPr>
            <w:tcW w:w="8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160" w:type="dxa"/>
            <w:vAlign w:val="bottom"/>
          </w:tcPr>
          <w:p>
            <w:pPr>
              <w:ind w:left="220"/>
              <w:spacing w:after="0"/>
              <w:rPr>
                <w:sz w:val="20"/>
                <w:szCs w:val="20"/>
                <w:color w:val="auto"/>
              </w:rPr>
            </w:pPr>
            <w:r>
              <w:rPr>
                <w:rFonts w:ascii="Arial" w:cs="Arial" w:eastAsia="Arial" w:hAnsi="Arial"/>
                <w:sz w:val="16"/>
                <w:szCs w:val="16"/>
                <w:color w:val="auto"/>
                <w:w w:val="94"/>
              </w:rPr>
              <w:t>OzyMedia, Inc.–Preferred shares, Series C-</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160" w:type="dxa"/>
            <w:vAlign w:val="bottom"/>
          </w:tcPr>
          <w:p>
            <w:pPr>
              <w:ind w:left="220"/>
              <w:spacing w:after="0"/>
              <w:rPr>
                <w:sz w:val="20"/>
                <w:szCs w:val="20"/>
                <w:color w:val="auto"/>
              </w:rPr>
            </w:pPr>
            <w:r>
              <w:rPr>
                <w:rFonts w:ascii="Arial" w:cs="Arial" w:eastAsia="Arial" w:hAnsi="Arial"/>
                <w:sz w:val="16"/>
                <w:szCs w:val="16"/>
                <w:color w:val="auto"/>
              </w:rPr>
              <w:t>2 6%</w:t>
            </w: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683,482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2,970,252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(855,661)</w:t>
            </w:r>
          </w:p>
        </w:tc>
        <w:tc>
          <w:tcPr>
            <w:tcW w:w="80" w:type="dxa"/>
            <w:vAlign w:val="bottom"/>
          </w:tcPr>
          <w:p>
            <w:pPr>
              <w:spacing w:after="0"/>
              <w:rPr>
                <w:sz w:val="17"/>
                <w:szCs w:val="17"/>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2,114,591</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1.10 %</w:t>
            </w: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16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6"/>
              </w:rPr>
              <w:t>OzyMedia, Inc.–Preferred shares, Series B</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6%</w:t>
            </w:r>
          </w:p>
        </w:tc>
        <w:tc>
          <w:tcPr>
            <w:tcW w:w="8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922,509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5,001,420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(1,650,468)</w:t>
            </w:r>
          </w:p>
        </w:tc>
        <w:tc>
          <w:tcPr>
            <w:tcW w:w="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3,350,952</w:t>
            </w: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1.74 %</w:t>
            </w:r>
          </w:p>
        </w:tc>
        <w:tc>
          <w:tcPr>
            <w:tcW w:w="0" w:type="dxa"/>
            <w:vAlign w:val="bottom"/>
          </w:tcPr>
          <w:p>
            <w:pPr>
              <w:spacing w:after="0"/>
              <w:rPr>
                <w:sz w:val="1"/>
                <w:szCs w:val="1"/>
                <w:color w:val="auto"/>
              </w:rPr>
            </w:pPr>
          </w:p>
        </w:tc>
      </w:tr>
      <w:tr>
        <w:trPr>
          <w:trHeight w:val="220"/>
        </w:trPr>
        <w:tc>
          <w:tcPr>
            <w:tcW w:w="3160" w:type="dxa"/>
            <w:vAlign w:val="bottom"/>
          </w:tcPr>
          <w:p>
            <w:pPr>
              <w:ind w:left="220"/>
              <w:spacing w:after="0"/>
              <w:rPr>
                <w:sz w:val="20"/>
                <w:szCs w:val="20"/>
                <w:color w:val="auto"/>
              </w:rPr>
            </w:pPr>
            <w:r>
              <w:rPr>
                <w:rFonts w:ascii="Arial" w:cs="Arial" w:eastAsia="Arial" w:hAnsi="Arial"/>
                <w:sz w:val="16"/>
                <w:szCs w:val="16"/>
                <w:color w:val="auto"/>
                <w:w w:val="96"/>
              </w:rPr>
              <w:t>OzyMedia, Inc.–Preferred shares, Series A</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160" w:type="dxa"/>
            <w:vAlign w:val="bottom"/>
          </w:tcPr>
          <w:p>
            <w:pPr>
              <w:ind w:left="220"/>
              <w:spacing w:after="0"/>
              <w:rPr>
                <w:sz w:val="20"/>
                <w:szCs w:val="20"/>
                <w:color w:val="auto"/>
              </w:rPr>
            </w:pPr>
            <w:r>
              <w:rPr>
                <w:rFonts w:ascii="Arial" w:cs="Arial" w:eastAsia="Arial" w:hAnsi="Arial"/>
                <w:sz w:val="16"/>
                <w:szCs w:val="16"/>
                <w:color w:val="auto"/>
              </w:rPr>
              <w:t>6%</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w w:val="92"/>
              </w:rPr>
              <w:t>1,090,909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ind w:left="720"/>
              <w:spacing w:after="0"/>
              <w:rPr>
                <w:sz w:val="20"/>
                <w:szCs w:val="20"/>
                <w:color w:val="auto"/>
              </w:rPr>
            </w:pPr>
            <w:r>
              <w:rPr>
                <w:rFonts w:ascii="Arial" w:cs="Arial" w:eastAsia="Arial" w:hAnsi="Arial"/>
                <w:sz w:val="16"/>
                <w:szCs w:val="16"/>
                <w:color w:val="auto"/>
                <w:w w:val="89"/>
              </w:rPr>
              <w:t>0</w:t>
            </w:r>
          </w:p>
        </w:tc>
        <w:tc>
          <w:tcPr>
            <w:tcW w:w="80" w:type="dxa"/>
            <w:vAlign w:val="bottom"/>
          </w:tcPr>
          <w:p>
            <w:pPr>
              <w:spacing w:after="0"/>
              <w:rPr>
                <w:sz w:val="17"/>
                <w:szCs w:val="17"/>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4,528,107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ind w:left="760"/>
              <w:spacing w:after="0"/>
              <w:rPr>
                <w:sz w:val="20"/>
                <w:szCs w:val="20"/>
                <w:color w:val="auto"/>
              </w:rPr>
            </w:pPr>
            <w:r>
              <w:rPr>
                <w:rFonts w:ascii="Arial" w:cs="Arial" w:eastAsia="Arial" w:hAnsi="Arial"/>
                <w:sz w:val="16"/>
                <w:szCs w:val="16"/>
                <w:color w:val="auto"/>
                <w:w w:val="89"/>
              </w:rPr>
              <w:t>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ind w:left="680"/>
              <w:spacing w:after="0"/>
              <w:rPr>
                <w:sz w:val="20"/>
                <w:szCs w:val="20"/>
                <w:color w:val="auto"/>
              </w:rPr>
            </w:pPr>
            <w:r>
              <w:rPr>
                <w:rFonts w:ascii="Arial" w:cs="Arial" w:eastAsia="Arial" w:hAnsi="Arial"/>
                <w:sz w:val="16"/>
                <w:szCs w:val="16"/>
                <w:color w:val="auto"/>
                <w:w w:val="89"/>
              </w:rPr>
              <w:t>0</w:t>
            </w:r>
          </w:p>
        </w:tc>
        <w:tc>
          <w:tcPr>
            <w:tcW w:w="80" w:type="dxa"/>
            <w:vAlign w:val="bottom"/>
          </w:tcPr>
          <w:p>
            <w:pPr>
              <w:spacing w:after="0"/>
              <w:rPr>
                <w:sz w:val="17"/>
                <w:szCs w:val="17"/>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(1,152,998)</w:t>
            </w:r>
          </w:p>
        </w:tc>
        <w:tc>
          <w:tcPr>
            <w:tcW w:w="80" w:type="dxa"/>
            <w:vAlign w:val="bottom"/>
          </w:tcPr>
          <w:p>
            <w:pPr>
              <w:spacing w:after="0"/>
              <w:rPr>
                <w:sz w:val="17"/>
                <w:szCs w:val="17"/>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3,375,109</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1.75 %</w:t>
            </w: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OzyMedia, Inc.–Preferred shares,</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Series Seed 6%</w:t>
            </w:r>
          </w:p>
        </w:tc>
        <w:tc>
          <w:tcPr>
            <w:tcW w:w="8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500,000</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w w:val="89"/>
              </w:rPr>
              <w:t>0</w:t>
            </w: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2,002,143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w w:val="89"/>
              </w:rPr>
              <w:t>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w w:val="89"/>
              </w:rPr>
              <w:t>0</w:t>
            </w: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(455,218)</w:t>
            </w: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1,546,925</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0.80 %</w:t>
            </w:r>
          </w:p>
        </w:tc>
        <w:tc>
          <w:tcPr>
            <w:tcW w:w="0" w:type="dxa"/>
            <w:vAlign w:val="bottom"/>
          </w:tcPr>
          <w:p>
            <w:pPr>
              <w:spacing w:after="0"/>
              <w:rPr>
                <w:sz w:val="1"/>
                <w:szCs w:val="1"/>
                <w:color w:val="auto"/>
              </w:rPr>
            </w:pPr>
          </w:p>
        </w:tc>
      </w:tr>
      <w:tr>
        <w:trPr>
          <w:trHeight w:val="217"/>
        </w:trPr>
        <w:tc>
          <w:tcPr>
            <w:tcW w:w="3160" w:type="dxa"/>
            <w:vAlign w:val="bottom"/>
          </w:tcPr>
          <w:p>
            <w:pPr>
              <w:ind w:left="120"/>
              <w:spacing w:after="0"/>
              <w:rPr>
                <w:sz w:val="20"/>
                <w:szCs w:val="20"/>
                <w:color w:val="auto"/>
              </w:rPr>
            </w:pPr>
            <w:r>
              <w:rPr>
                <w:rFonts w:ascii="Arial" w:cs="Arial" w:eastAsia="Arial" w:hAnsi="Arial"/>
                <w:sz w:val="16"/>
                <w:szCs w:val="16"/>
                <w:i w:val="1"/>
                <w:iCs w:val="1"/>
                <w:color w:val="auto"/>
              </w:rPr>
              <w:t>Total Digital Media Platform</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14,501,922</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ind w:left="5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ind w:left="4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(4,114,345)</w:t>
            </w:r>
          </w:p>
        </w:tc>
        <w:tc>
          <w:tcPr>
            <w:tcW w:w="80" w:type="dxa"/>
            <w:vAlign w:val="bottom"/>
          </w:tcPr>
          <w:p>
            <w:pPr>
              <w:spacing w:after="0"/>
              <w:rPr>
                <w:sz w:val="18"/>
                <w:szCs w:val="18"/>
                <w:color w:val="auto"/>
              </w:rPr>
            </w:pPr>
          </w:p>
        </w:tc>
        <w:tc>
          <w:tcPr>
            <w:tcW w:w="10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10,387,577</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5.39 %</w:t>
            </w: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i w:val="1"/>
                <w:iCs w:val="1"/>
                <w:color w:val="auto"/>
              </w:rPr>
              <w:t>Interactive Learning</w:t>
            </w:r>
          </w:p>
        </w:tc>
        <w:tc>
          <w:tcPr>
            <w:tcW w:w="8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3160" w:type="dxa"/>
            <w:vAlign w:val="bottom"/>
          </w:tcPr>
          <w:p>
            <w:pPr>
              <w:ind w:left="220"/>
              <w:spacing w:after="0" w:line="166" w:lineRule="exact"/>
              <w:rPr>
                <w:sz w:val="20"/>
                <w:szCs w:val="20"/>
                <w:color w:val="auto"/>
              </w:rPr>
            </w:pPr>
            <w:r>
              <w:rPr>
                <w:rFonts w:ascii="Arial" w:cs="Arial" w:eastAsia="Arial" w:hAnsi="Arial"/>
                <w:sz w:val="16"/>
                <w:szCs w:val="16"/>
                <w:color w:val="auto"/>
              </w:rPr>
              <w:t>StormWind, LLC–Preferred shares,</w:t>
            </w:r>
          </w:p>
        </w:tc>
        <w:tc>
          <w:tcPr>
            <w:tcW w:w="820" w:type="dxa"/>
            <w:vAlign w:val="bottom"/>
            <w:vMerge w:val="restart"/>
          </w:tcPr>
          <w:p>
            <w:pPr>
              <w:jc w:val="right"/>
              <w:ind w:right="80"/>
              <w:spacing w:after="0"/>
              <w:rPr>
                <w:sz w:val="20"/>
                <w:szCs w:val="20"/>
                <w:color w:val="auto"/>
              </w:rPr>
            </w:pPr>
            <w:r>
              <w:rPr>
                <w:rFonts w:ascii="Arial" w:cs="Arial" w:eastAsia="Arial" w:hAnsi="Arial"/>
                <w:sz w:val="16"/>
                <w:szCs w:val="16"/>
                <w:color w:val="auto"/>
              </w:rPr>
              <w:t>329,337</w:t>
            </w:r>
          </w:p>
        </w:tc>
        <w:tc>
          <w:tcPr>
            <w:tcW w:w="2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tcPr>
          <w:p>
            <w:pPr>
              <w:ind w:left="500"/>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ind w:right="60"/>
              <w:spacing w:after="0"/>
              <w:rPr>
                <w:sz w:val="20"/>
                <w:szCs w:val="20"/>
                <w:color w:val="auto"/>
              </w:rPr>
            </w:pPr>
            <w:r>
              <w:rPr>
                <w:rFonts w:ascii="Arial" w:cs="Arial" w:eastAsia="Arial" w:hAnsi="Arial"/>
                <w:sz w:val="16"/>
                <w:szCs w:val="16"/>
                <w:color w:val="auto"/>
              </w:rPr>
              <w:t>503,120</w:t>
            </w:r>
          </w:p>
        </w:tc>
        <w:tc>
          <w:tcPr>
            <w:tcW w:w="10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vMerge w:val="restart"/>
          </w:tcPr>
          <w:p>
            <w:pPr>
              <w:ind w:left="560"/>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860" w:type="dxa"/>
            <w:vAlign w:val="bottom"/>
            <w:gridSpan w:val="2"/>
            <w:vMerge w:val="restart"/>
          </w:tcPr>
          <w:p>
            <w:pPr>
              <w:ind w:left="460"/>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ind w:right="40"/>
              <w:spacing w:after="0"/>
              <w:rPr>
                <w:sz w:val="20"/>
                <w:szCs w:val="20"/>
                <w:color w:val="auto"/>
              </w:rPr>
            </w:pPr>
            <w:r>
              <w:rPr>
                <w:rFonts w:ascii="Arial" w:cs="Arial" w:eastAsia="Arial" w:hAnsi="Arial"/>
                <w:sz w:val="16"/>
                <w:szCs w:val="16"/>
                <w:color w:val="auto"/>
              </w:rPr>
              <w:t>(46,765)</w:t>
            </w:r>
          </w:p>
        </w:tc>
        <w:tc>
          <w:tcPr>
            <w:tcW w:w="80" w:type="dxa"/>
            <w:vAlign w:val="bottom"/>
          </w:tcPr>
          <w:p>
            <w:pPr>
              <w:spacing w:after="0"/>
              <w:rPr>
                <w:sz w:val="14"/>
                <w:szCs w:val="14"/>
                <w:color w:val="auto"/>
              </w:rPr>
            </w:pPr>
          </w:p>
        </w:tc>
        <w:tc>
          <w:tcPr>
            <w:tcW w:w="1000" w:type="dxa"/>
            <w:vAlign w:val="bottom"/>
            <w:vMerge w:val="restart"/>
          </w:tcPr>
          <w:p>
            <w:pPr>
              <w:jc w:val="right"/>
              <w:ind w:right="60"/>
              <w:spacing w:after="0"/>
              <w:rPr>
                <w:sz w:val="20"/>
                <w:szCs w:val="20"/>
                <w:color w:val="auto"/>
              </w:rPr>
            </w:pPr>
            <w:r>
              <w:rPr>
                <w:rFonts w:ascii="Arial" w:cs="Arial" w:eastAsia="Arial" w:hAnsi="Arial"/>
                <w:sz w:val="16"/>
                <w:szCs w:val="16"/>
                <w:color w:val="auto"/>
              </w:rPr>
              <w:t>456,355</w:t>
            </w:r>
          </w:p>
        </w:tc>
        <w:tc>
          <w:tcPr>
            <w:tcW w:w="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0.24 %</w:t>
            </w:r>
          </w:p>
        </w:tc>
        <w:tc>
          <w:tcPr>
            <w:tcW w:w="0" w:type="dxa"/>
            <w:vAlign w:val="bottom"/>
          </w:tcPr>
          <w:p>
            <w:pPr>
              <w:spacing w:after="0"/>
              <w:rPr>
                <w:sz w:val="1"/>
                <w:szCs w:val="1"/>
                <w:color w:val="auto"/>
              </w:rPr>
            </w:pPr>
          </w:p>
        </w:tc>
      </w:tr>
      <w:tr>
        <w:trPr>
          <w:trHeight w:val="212"/>
        </w:trPr>
        <w:tc>
          <w:tcPr>
            <w:tcW w:w="3160" w:type="dxa"/>
            <w:vAlign w:val="bottom"/>
          </w:tcPr>
          <w:p>
            <w:pPr>
              <w:ind w:left="220"/>
              <w:spacing w:after="0" w:line="213" w:lineRule="exact"/>
              <w:rPr>
                <w:sz w:val="20"/>
                <w:szCs w:val="20"/>
                <w:color w:val="auto"/>
              </w:rPr>
            </w:pPr>
            <w:r>
              <w:rPr>
                <w:rFonts w:ascii="Arial" w:cs="Arial" w:eastAsia="Arial" w:hAnsi="Arial"/>
                <w:sz w:val="16"/>
                <w:szCs w:val="16"/>
                <w:color w:val="auto"/>
              </w:rPr>
              <w:t>Series D 8%</w:t>
            </w:r>
            <w:r>
              <w:rPr>
                <w:rFonts w:ascii="Arial" w:cs="Arial" w:eastAsia="Arial" w:hAnsi="Arial"/>
                <w:sz w:val="21"/>
                <w:szCs w:val="21"/>
                <w:color w:val="auto"/>
                <w:vertAlign w:val="superscript"/>
              </w:rPr>
              <w:t>(5)</w:t>
            </w:r>
          </w:p>
        </w:tc>
        <w:tc>
          <w:tcPr>
            <w:tcW w:w="820" w:type="dxa"/>
            <w:vAlign w:val="bottom"/>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160" w:type="dxa"/>
            <w:vAlign w:val="bottom"/>
            <w:shd w:val="clear" w:color="auto" w:fill="CCEEFF"/>
          </w:tcPr>
          <w:p>
            <w:pPr>
              <w:ind w:left="220"/>
              <w:spacing w:after="0" w:line="166" w:lineRule="exact"/>
              <w:rPr>
                <w:sz w:val="20"/>
                <w:szCs w:val="20"/>
                <w:color w:val="auto"/>
              </w:rPr>
            </w:pPr>
            <w:r>
              <w:rPr>
                <w:rFonts w:ascii="Arial" w:cs="Arial" w:eastAsia="Arial" w:hAnsi="Arial"/>
                <w:sz w:val="16"/>
                <w:szCs w:val="16"/>
                <w:color w:val="auto"/>
              </w:rPr>
              <w:t>StormWind, LLC–Preferred shares,</w:t>
            </w:r>
          </w:p>
        </w:tc>
        <w:tc>
          <w:tcPr>
            <w:tcW w:w="82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w w:val="92"/>
              </w:rPr>
              <w:t>2,779,134</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5,391,000</w:t>
            </w:r>
          </w:p>
        </w:tc>
        <w:tc>
          <w:tcPr>
            <w:tcW w:w="10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vMerge w:val="restart"/>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gridSpan w:val="2"/>
            <w:vMerge w:val="restart"/>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00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(438,320)</w:t>
            </w:r>
          </w:p>
        </w:tc>
        <w:tc>
          <w:tcPr>
            <w:tcW w:w="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4,952,680</w:t>
            </w:r>
          </w:p>
        </w:tc>
        <w:tc>
          <w:tcPr>
            <w:tcW w:w="8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2.57 %</w:t>
            </w:r>
          </w:p>
        </w:tc>
        <w:tc>
          <w:tcPr>
            <w:tcW w:w="0" w:type="dxa"/>
            <w:vAlign w:val="bottom"/>
          </w:tcPr>
          <w:p>
            <w:pPr>
              <w:spacing w:after="0"/>
              <w:rPr>
                <w:sz w:val="1"/>
                <w:szCs w:val="1"/>
                <w:color w:val="auto"/>
              </w:rPr>
            </w:pPr>
          </w:p>
        </w:tc>
      </w:tr>
      <w:tr>
        <w:trPr>
          <w:trHeight w:val="212"/>
        </w:trPr>
        <w:tc>
          <w:tcPr>
            <w:tcW w:w="3160" w:type="dxa"/>
            <w:vAlign w:val="bottom"/>
            <w:shd w:val="clear" w:color="auto" w:fill="CCEEFF"/>
          </w:tcPr>
          <w:p>
            <w:pPr>
              <w:ind w:left="220"/>
              <w:spacing w:after="0" w:line="213" w:lineRule="exact"/>
              <w:rPr>
                <w:sz w:val="20"/>
                <w:szCs w:val="20"/>
                <w:color w:val="auto"/>
              </w:rPr>
            </w:pPr>
            <w:r>
              <w:rPr>
                <w:rFonts w:ascii="Arial" w:cs="Arial" w:eastAsia="Arial" w:hAnsi="Arial"/>
                <w:sz w:val="16"/>
                <w:szCs w:val="16"/>
                <w:color w:val="auto"/>
              </w:rPr>
              <w:t>Series C 8%</w:t>
            </w:r>
            <w:r>
              <w:rPr>
                <w:rFonts w:ascii="Arial" w:cs="Arial" w:eastAsia="Arial" w:hAnsi="Arial"/>
                <w:sz w:val="21"/>
                <w:szCs w:val="21"/>
                <w:color w:val="auto"/>
                <w:vertAlign w:val="superscript"/>
              </w:rPr>
              <w:t>(5)</w:t>
            </w:r>
          </w:p>
        </w:tc>
        <w:tc>
          <w:tcPr>
            <w:tcW w:w="820" w:type="dxa"/>
            <w:vAlign w:val="bottom"/>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160" w:type="dxa"/>
            <w:vAlign w:val="bottom"/>
          </w:tcPr>
          <w:p>
            <w:pPr>
              <w:ind w:left="220"/>
              <w:spacing w:after="0" w:line="166" w:lineRule="exact"/>
              <w:rPr>
                <w:sz w:val="20"/>
                <w:szCs w:val="20"/>
                <w:color w:val="auto"/>
              </w:rPr>
            </w:pPr>
            <w:r>
              <w:rPr>
                <w:rFonts w:ascii="Arial" w:cs="Arial" w:eastAsia="Arial" w:hAnsi="Arial"/>
                <w:sz w:val="16"/>
                <w:szCs w:val="16"/>
                <w:color w:val="auto"/>
              </w:rPr>
              <w:t>StormWind, LLC–Preferred shares,</w:t>
            </w:r>
          </w:p>
        </w:tc>
        <w:tc>
          <w:tcPr>
            <w:tcW w:w="820" w:type="dxa"/>
            <w:vAlign w:val="bottom"/>
            <w:vMerge w:val="restart"/>
          </w:tcPr>
          <w:p>
            <w:pPr>
              <w:jc w:val="right"/>
              <w:ind w:right="60"/>
              <w:spacing w:after="0"/>
              <w:rPr>
                <w:sz w:val="20"/>
                <w:szCs w:val="20"/>
                <w:color w:val="auto"/>
              </w:rPr>
            </w:pPr>
            <w:r>
              <w:rPr>
                <w:rFonts w:ascii="Arial" w:cs="Arial" w:eastAsia="Arial" w:hAnsi="Arial"/>
                <w:sz w:val="16"/>
                <w:szCs w:val="16"/>
                <w:color w:val="auto"/>
                <w:w w:val="92"/>
              </w:rPr>
              <w:t>3,279,629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ind w:left="720"/>
              <w:spacing w:after="0"/>
              <w:rPr>
                <w:sz w:val="20"/>
                <w:szCs w:val="20"/>
                <w:color w:val="auto"/>
              </w:rPr>
            </w:pPr>
            <w:r>
              <w:rPr>
                <w:rFonts w:ascii="Arial" w:cs="Arial" w:eastAsia="Arial" w:hAnsi="Arial"/>
                <w:sz w:val="16"/>
                <w:szCs w:val="16"/>
                <w:color w:val="auto"/>
                <w:w w:val="89"/>
              </w:rPr>
              <w:t>0</w:t>
            </w:r>
          </w:p>
        </w:tc>
        <w:tc>
          <w:tcPr>
            <w:tcW w:w="80" w:type="dxa"/>
            <w:vAlign w:val="bottom"/>
          </w:tcPr>
          <w:p>
            <w:pPr>
              <w:spacing w:after="0"/>
              <w:rPr>
                <w:sz w:val="14"/>
                <w:szCs w:val="14"/>
                <w:color w:val="auto"/>
              </w:rPr>
            </w:pPr>
          </w:p>
        </w:tc>
        <w:tc>
          <w:tcPr>
            <w:tcW w:w="1000" w:type="dxa"/>
            <w:vAlign w:val="bottom"/>
            <w:vMerge w:val="restart"/>
          </w:tcPr>
          <w:p>
            <w:pPr>
              <w:jc w:val="right"/>
              <w:ind w:right="60"/>
              <w:spacing w:after="0"/>
              <w:rPr>
                <w:sz w:val="20"/>
                <w:szCs w:val="20"/>
                <w:color w:val="auto"/>
              </w:rPr>
            </w:pPr>
            <w:r>
              <w:rPr>
                <w:rFonts w:ascii="Arial" w:cs="Arial" w:eastAsia="Arial" w:hAnsi="Arial"/>
                <w:sz w:val="16"/>
                <w:szCs w:val="16"/>
                <w:color w:val="auto"/>
              </w:rPr>
              <w:t>3,248,804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restart"/>
          </w:tcPr>
          <w:p>
            <w:pPr>
              <w:ind w:left="760"/>
              <w:spacing w:after="0"/>
              <w:rPr>
                <w:sz w:val="20"/>
                <w:szCs w:val="20"/>
                <w:color w:val="auto"/>
              </w:rPr>
            </w:pPr>
            <w:r>
              <w:rPr>
                <w:rFonts w:ascii="Arial" w:cs="Arial" w:eastAsia="Arial" w:hAnsi="Arial"/>
                <w:sz w:val="16"/>
                <w:szCs w:val="16"/>
                <w:color w:val="auto"/>
                <w:w w:val="89"/>
              </w:rPr>
              <w:t>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ind w:left="680"/>
              <w:spacing w:after="0"/>
              <w:rPr>
                <w:sz w:val="20"/>
                <w:szCs w:val="20"/>
                <w:color w:val="auto"/>
              </w:rPr>
            </w:pPr>
            <w:r>
              <w:rPr>
                <w:rFonts w:ascii="Arial" w:cs="Arial" w:eastAsia="Arial" w:hAnsi="Arial"/>
                <w:sz w:val="16"/>
                <w:szCs w:val="16"/>
                <w:color w:val="auto"/>
                <w:w w:val="89"/>
              </w:rPr>
              <w:t>0</w:t>
            </w:r>
          </w:p>
        </w:tc>
        <w:tc>
          <w:tcPr>
            <w:tcW w:w="80" w:type="dxa"/>
            <w:vAlign w:val="bottom"/>
          </w:tcPr>
          <w:p>
            <w:pPr>
              <w:spacing w:after="0"/>
              <w:rPr>
                <w:sz w:val="14"/>
                <w:szCs w:val="14"/>
                <w:color w:val="auto"/>
              </w:rPr>
            </w:pPr>
          </w:p>
        </w:tc>
        <w:tc>
          <w:tcPr>
            <w:tcW w:w="1000" w:type="dxa"/>
            <w:vAlign w:val="bottom"/>
            <w:vMerge w:val="restart"/>
          </w:tcPr>
          <w:p>
            <w:pPr>
              <w:jc w:val="right"/>
              <w:ind w:right="40"/>
              <w:spacing w:after="0"/>
              <w:rPr>
                <w:sz w:val="20"/>
                <w:szCs w:val="20"/>
                <w:color w:val="auto"/>
              </w:rPr>
            </w:pPr>
            <w:r>
              <w:rPr>
                <w:rFonts w:ascii="Arial" w:cs="Arial" w:eastAsia="Arial" w:hAnsi="Arial"/>
                <w:sz w:val="16"/>
                <w:szCs w:val="16"/>
                <w:color w:val="auto"/>
              </w:rPr>
              <w:t>(465,703)</w:t>
            </w:r>
          </w:p>
        </w:tc>
        <w:tc>
          <w:tcPr>
            <w:tcW w:w="80" w:type="dxa"/>
            <w:vAlign w:val="bottom"/>
          </w:tcPr>
          <w:p>
            <w:pPr>
              <w:spacing w:after="0"/>
              <w:rPr>
                <w:sz w:val="14"/>
                <w:szCs w:val="14"/>
                <w:color w:val="auto"/>
              </w:rPr>
            </w:pPr>
          </w:p>
        </w:tc>
        <w:tc>
          <w:tcPr>
            <w:tcW w:w="1000" w:type="dxa"/>
            <w:vAlign w:val="bottom"/>
            <w:vMerge w:val="restart"/>
          </w:tcPr>
          <w:p>
            <w:pPr>
              <w:jc w:val="right"/>
              <w:ind w:right="60"/>
              <w:spacing w:after="0"/>
              <w:rPr>
                <w:sz w:val="20"/>
                <w:szCs w:val="20"/>
                <w:color w:val="auto"/>
              </w:rPr>
            </w:pPr>
            <w:r>
              <w:rPr>
                <w:rFonts w:ascii="Arial" w:cs="Arial" w:eastAsia="Arial" w:hAnsi="Arial"/>
                <w:sz w:val="16"/>
                <w:szCs w:val="16"/>
                <w:color w:val="auto"/>
              </w:rPr>
              <w:t>2,783,101</w:t>
            </w:r>
          </w:p>
        </w:tc>
        <w:tc>
          <w:tcPr>
            <w:tcW w:w="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1.44 %</w:t>
            </w:r>
          </w:p>
        </w:tc>
        <w:tc>
          <w:tcPr>
            <w:tcW w:w="0" w:type="dxa"/>
            <w:vAlign w:val="bottom"/>
          </w:tcPr>
          <w:p>
            <w:pPr>
              <w:spacing w:after="0"/>
              <w:rPr>
                <w:sz w:val="1"/>
                <w:szCs w:val="1"/>
                <w:color w:val="auto"/>
              </w:rPr>
            </w:pPr>
          </w:p>
        </w:tc>
      </w:tr>
      <w:tr>
        <w:trPr>
          <w:trHeight w:val="212"/>
        </w:trPr>
        <w:tc>
          <w:tcPr>
            <w:tcW w:w="3160" w:type="dxa"/>
            <w:vAlign w:val="bottom"/>
          </w:tcPr>
          <w:p>
            <w:pPr>
              <w:ind w:left="220"/>
              <w:spacing w:after="0" w:line="213" w:lineRule="exact"/>
              <w:rPr>
                <w:sz w:val="20"/>
                <w:szCs w:val="20"/>
                <w:color w:val="auto"/>
              </w:rPr>
            </w:pPr>
            <w:r>
              <w:rPr>
                <w:rFonts w:ascii="Arial" w:cs="Arial" w:eastAsia="Arial" w:hAnsi="Arial"/>
                <w:sz w:val="16"/>
                <w:szCs w:val="16"/>
                <w:color w:val="auto"/>
              </w:rPr>
              <w:t>Series B 8%</w:t>
            </w:r>
            <w:r>
              <w:rPr>
                <w:rFonts w:ascii="Arial" w:cs="Arial" w:eastAsia="Arial" w:hAnsi="Arial"/>
                <w:sz w:val="21"/>
                <w:szCs w:val="21"/>
                <w:color w:val="auto"/>
                <w:vertAlign w:val="superscript"/>
              </w:rPr>
              <w:t>(5)</w:t>
            </w: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160" w:type="dxa"/>
            <w:vAlign w:val="bottom"/>
            <w:shd w:val="clear" w:color="auto" w:fill="CCEEFF"/>
          </w:tcPr>
          <w:p>
            <w:pPr>
              <w:ind w:left="220"/>
              <w:spacing w:after="0" w:line="166" w:lineRule="exact"/>
              <w:rPr>
                <w:sz w:val="20"/>
                <w:szCs w:val="20"/>
                <w:color w:val="auto"/>
              </w:rPr>
            </w:pPr>
            <w:r>
              <w:rPr>
                <w:rFonts w:ascii="Arial" w:cs="Arial" w:eastAsia="Arial" w:hAnsi="Arial"/>
                <w:sz w:val="16"/>
                <w:szCs w:val="16"/>
                <w:color w:val="auto"/>
              </w:rPr>
              <w:t>StormWind, LLC–Preferred shares,</w:t>
            </w:r>
          </w:p>
        </w:tc>
        <w:tc>
          <w:tcPr>
            <w:tcW w:w="82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366,666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ind w:left="720"/>
              <w:spacing w:after="0"/>
              <w:rPr>
                <w:sz w:val="20"/>
                <w:szCs w:val="20"/>
                <w:color w:val="auto"/>
              </w:rPr>
            </w:pPr>
            <w:r>
              <w:rPr>
                <w:rFonts w:ascii="Arial" w:cs="Arial" w:eastAsia="Arial" w:hAnsi="Arial"/>
                <w:sz w:val="16"/>
                <w:szCs w:val="16"/>
                <w:color w:val="auto"/>
                <w:w w:val="89"/>
              </w:rPr>
              <w:t>0</w:t>
            </w:r>
          </w:p>
        </w:tc>
        <w:tc>
          <w:tcPr>
            <w:tcW w:w="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157,949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ind w:left="760"/>
              <w:spacing w:after="0"/>
              <w:rPr>
                <w:sz w:val="20"/>
                <w:szCs w:val="20"/>
                <w:color w:val="auto"/>
              </w:rPr>
            </w:pPr>
            <w:r>
              <w:rPr>
                <w:rFonts w:ascii="Arial" w:cs="Arial" w:eastAsia="Arial" w:hAnsi="Arial"/>
                <w:sz w:val="16"/>
                <w:szCs w:val="16"/>
                <w:color w:val="auto"/>
                <w:w w:val="89"/>
              </w:rPr>
              <w:t>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ind w:left="680"/>
              <w:spacing w:after="0"/>
              <w:rPr>
                <w:sz w:val="20"/>
                <w:szCs w:val="20"/>
                <w:color w:val="auto"/>
              </w:rPr>
            </w:pPr>
            <w:r>
              <w:rPr>
                <w:rFonts w:ascii="Arial" w:cs="Arial" w:eastAsia="Arial" w:hAnsi="Arial"/>
                <w:sz w:val="16"/>
                <w:szCs w:val="16"/>
                <w:color w:val="auto"/>
                <w:w w:val="89"/>
              </w:rPr>
              <w:t>0</w:t>
            </w:r>
          </w:p>
        </w:tc>
        <w:tc>
          <w:tcPr>
            <w:tcW w:w="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(52,066)</w:t>
            </w:r>
          </w:p>
        </w:tc>
        <w:tc>
          <w:tcPr>
            <w:tcW w:w="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105,883</w:t>
            </w:r>
          </w:p>
        </w:tc>
        <w:tc>
          <w:tcPr>
            <w:tcW w:w="8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0.05 %</w:t>
            </w:r>
          </w:p>
        </w:tc>
        <w:tc>
          <w:tcPr>
            <w:tcW w:w="0" w:type="dxa"/>
            <w:vAlign w:val="bottom"/>
          </w:tcPr>
          <w:p>
            <w:pPr>
              <w:spacing w:after="0"/>
              <w:rPr>
                <w:sz w:val="1"/>
                <w:szCs w:val="1"/>
                <w:color w:val="auto"/>
              </w:rPr>
            </w:pPr>
          </w:p>
        </w:tc>
      </w:tr>
      <w:tr>
        <w:trPr>
          <w:trHeight w:val="212"/>
        </w:trPr>
        <w:tc>
          <w:tcPr>
            <w:tcW w:w="3160" w:type="dxa"/>
            <w:vAlign w:val="bottom"/>
            <w:shd w:val="clear" w:color="auto" w:fill="CCEEFF"/>
          </w:tcPr>
          <w:p>
            <w:pPr>
              <w:ind w:left="220"/>
              <w:spacing w:after="0" w:line="213" w:lineRule="exact"/>
              <w:rPr>
                <w:sz w:val="20"/>
                <w:szCs w:val="20"/>
                <w:color w:val="auto"/>
              </w:rPr>
            </w:pPr>
            <w:r>
              <w:rPr>
                <w:rFonts w:ascii="Arial" w:cs="Arial" w:eastAsia="Arial" w:hAnsi="Arial"/>
                <w:sz w:val="16"/>
                <w:szCs w:val="16"/>
                <w:color w:val="auto"/>
              </w:rPr>
              <w:t>Series A 8%</w:t>
            </w:r>
            <w:r>
              <w:rPr>
                <w:rFonts w:ascii="Arial" w:cs="Arial" w:eastAsia="Arial" w:hAnsi="Arial"/>
                <w:sz w:val="21"/>
                <w:szCs w:val="21"/>
                <w:color w:val="auto"/>
                <w:vertAlign w:val="superscript"/>
              </w:rPr>
              <w:t>(5)</w:t>
            </w: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160" w:type="dxa"/>
            <w:vAlign w:val="bottom"/>
          </w:tcPr>
          <w:p>
            <w:pPr>
              <w:ind w:left="120"/>
              <w:spacing w:after="0"/>
              <w:rPr>
                <w:sz w:val="20"/>
                <w:szCs w:val="20"/>
                <w:color w:val="auto"/>
              </w:rPr>
            </w:pPr>
            <w:r>
              <w:rPr>
                <w:rFonts w:ascii="Arial" w:cs="Arial" w:eastAsia="Arial" w:hAnsi="Arial"/>
                <w:sz w:val="16"/>
                <w:szCs w:val="16"/>
                <w:i w:val="1"/>
                <w:iCs w:val="1"/>
                <w:color w:val="auto"/>
              </w:rPr>
              <w:t>Total Interactive Learning</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9,300,873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(1,002,854)</w:t>
            </w:r>
          </w:p>
        </w:tc>
        <w:tc>
          <w:tcPr>
            <w:tcW w:w="80" w:type="dxa"/>
            <w:vAlign w:val="bottom"/>
          </w:tcPr>
          <w:p>
            <w:pPr>
              <w:spacing w:after="0"/>
              <w:rPr>
                <w:sz w:val="18"/>
                <w:szCs w:val="18"/>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8,298,019</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4.31 %</w:t>
            </w: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Preferred Stock</w:t>
            </w:r>
          </w:p>
        </w:tc>
        <w:tc>
          <w:tcPr>
            <w:tcW w:w="8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$ 23,837,775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0"/>
              </w:rPr>
              <w:t>$ (5,059,505)</w:t>
            </w: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$ 18,778,270</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9.75 %</w:t>
            </w:r>
          </w:p>
        </w:tc>
        <w:tc>
          <w:tcPr>
            <w:tcW w:w="0" w:type="dxa"/>
            <w:vAlign w:val="bottom"/>
          </w:tcPr>
          <w:p>
            <w:pPr>
              <w:spacing w:after="0"/>
              <w:rPr>
                <w:sz w:val="1"/>
                <w:szCs w:val="1"/>
                <w:color w:val="auto"/>
              </w:rPr>
            </w:pPr>
          </w:p>
        </w:tc>
      </w:tr>
      <w:tr>
        <w:trPr>
          <w:trHeight w:val="223"/>
        </w:trPr>
        <w:tc>
          <w:tcPr>
            <w:tcW w:w="3160" w:type="dxa"/>
            <w:vAlign w:val="bottom"/>
          </w:tcPr>
          <w:p>
            <w:pPr>
              <w:ind w:left="20"/>
              <w:spacing w:after="0"/>
              <w:rPr>
                <w:sz w:val="20"/>
                <w:szCs w:val="20"/>
                <w:color w:val="auto"/>
              </w:rPr>
            </w:pPr>
            <w:r>
              <w:rPr>
                <w:rFonts w:ascii="Arial" w:cs="Arial" w:eastAsia="Arial" w:hAnsi="Arial"/>
                <w:sz w:val="16"/>
                <w:szCs w:val="16"/>
                <w:b w:val="1"/>
                <w:bCs w:val="1"/>
                <w:color w:val="auto"/>
              </w:rPr>
              <w:t>Options</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i w:val="1"/>
                <w:iCs w:val="1"/>
                <w:color w:val="auto"/>
              </w:rPr>
              <w:t>Digital Media Platform</w:t>
            </w:r>
          </w:p>
        </w:tc>
        <w:tc>
          <w:tcPr>
            <w:tcW w:w="8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3160" w:type="dxa"/>
            <w:vAlign w:val="bottom"/>
          </w:tcPr>
          <w:p>
            <w:pPr>
              <w:ind w:left="220"/>
              <w:spacing w:after="0"/>
              <w:rPr>
                <w:sz w:val="20"/>
                <w:szCs w:val="20"/>
                <w:color w:val="auto"/>
              </w:rPr>
            </w:pPr>
            <w:r>
              <w:rPr>
                <w:rFonts w:ascii="Arial" w:cs="Arial" w:eastAsia="Arial" w:hAnsi="Arial"/>
                <w:sz w:val="16"/>
                <w:szCs w:val="16"/>
                <w:color w:val="auto"/>
                <w:w w:val="97"/>
              </w:rPr>
              <w:t>OzyMedia, Inc.–Common Warrants, Strike</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160" w:type="dxa"/>
            <w:vAlign w:val="bottom"/>
          </w:tcPr>
          <w:p>
            <w:pPr>
              <w:ind w:left="220"/>
              <w:spacing w:after="0"/>
              <w:rPr>
                <w:sz w:val="20"/>
                <w:szCs w:val="20"/>
                <w:color w:val="auto"/>
              </w:rPr>
            </w:pPr>
            <w:r>
              <w:rPr>
                <w:rFonts w:ascii="Arial" w:cs="Arial" w:eastAsia="Arial" w:hAnsi="Arial"/>
                <w:sz w:val="16"/>
                <w:szCs w:val="16"/>
                <w:color w:val="auto"/>
              </w:rPr>
              <w:t>Price $0.01, Expiration Date 4/9/2028</w:t>
            </w: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295,565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1,182,260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(268,964)</w:t>
            </w:r>
          </w:p>
        </w:tc>
        <w:tc>
          <w:tcPr>
            <w:tcW w:w="80" w:type="dxa"/>
            <w:vAlign w:val="bottom"/>
          </w:tcPr>
          <w:p>
            <w:pPr>
              <w:spacing w:after="0"/>
              <w:rPr>
                <w:sz w:val="17"/>
                <w:szCs w:val="17"/>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913,296</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0.47 %</w:t>
            </w: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i w:val="1"/>
                <w:iCs w:val="1"/>
                <w:color w:val="auto"/>
              </w:rPr>
              <w:t>Global Innovation Platform</w:t>
            </w:r>
          </w:p>
        </w:tc>
        <w:tc>
          <w:tcPr>
            <w:tcW w:w="8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3160" w:type="dxa"/>
            <w:vAlign w:val="bottom"/>
          </w:tcPr>
          <w:p>
            <w:pPr>
              <w:ind w:left="220"/>
              <w:spacing w:after="0"/>
              <w:rPr>
                <w:sz w:val="20"/>
                <w:szCs w:val="20"/>
                <w:color w:val="auto"/>
              </w:rPr>
            </w:pPr>
            <w:r>
              <w:rPr>
                <w:rFonts w:ascii="Arial" w:cs="Arial" w:eastAsia="Arial" w:hAnsi="Arial"/>
                <w:sz w:val="16"/>
                <w:szCs w:val="16"/>
                <w:color w:val="auto"/>
              </w:rPr>
              <w:t>NestGSV, Inc. (d/b/a GSV Labs, Inc.)–</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220"/>
              <w:spacing w:after="0"/>
              <w:rPr>
                <w:sz w:val="20"/>
                <w:szCs w:val="20"/>
                <w:color w:val="auto"/>
              </w:rPr>
            </w:pPr>
            <w:r>
              <w:rPr>
                <w:rFonts w:ascii="Arial" w:cs="Arial" w:eastAsia="Arial" w:hAnsi="Arial"/>
                <w:sz w:val="16"/>
                <w:szCs w:val="16"/>
                <w:color w:val="auto"/>
                <w:w w:val="98"/>
              </w:rPr>
              <w:t>Preferred Warrant Series A-3, Strike Price</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160" w:type="dxa"/>
            <w:vAlign w:val="bottom"/>
          </w:tcPr>
          <w:p>
            <w:pPr>
              <w:ind w:left="220"/>
              <w:spacing w:after="0"/>
              <w:rPr>
                <w:sz w:val="20"/>
                <w:szCs w:val="20"/>
                <w:color w:val="auto"/>
              </w:rPr>
            </w:pPr>
            <w:r>
              <w:rPr>
                <w:rFonts w:ascii="Arial" w:cs="Arial" w:eastAsia="Arial" w:hAnsi="Arial"/>
                <w:sz w:val="16"/>
                <w:szCs w:val="16"/>
                <w:color w:val="auto"/>
              </w:rPr>
              <w:t>$1.33, Expiration Date 4/4/2021</w:t>
            </w: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187,500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20,625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(8,437)</w:t>
            </w:r>
          </w:p>
        </w:tc>
        <w:tc>
          <w:tcPr>
            <w:tcW w:w="80" w:type="dxa"/>
            <w:vAlign w:val="bottom"/>
          </w:tcPr>
          <w:p>
            <w:pPr>
              <w:spacing w:after="0"/>
              <w:rPr>
                <w:sz w:val="17"/>
                <w:szCs w:val="17"/>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12,188</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0.01 %</w:t>
            </w: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NestGSV, Inc. (d/b/a GSV Labs, Inc.)–</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16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8"/>
              </w:rPr>
              <w:t>Preferred Warrant Series A-4, Strike Price</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$1.33, Expiration Date 10/6/2021</w:t>
            </w:r>
          </w:p>
        </w:tc>
        <w:tc>
          <w:tcPr>
            <w:tcW w:w="8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500,000</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135,000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(65,000)</w:t>
            </w: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70,000</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0.04 %</w:t>
            </w:r>
          </w:p>
        </w:tc>
        <w:tc>
          <w:tcPr>
            <w:tcW w:w="0" w:type="dxa"/>
            <w:vAlign w:val="bottom"/>
          </w:tcPr>
          <w:p>
            <w:pPr>
              <w:spacing w:after="0"/>
              <w:rPr>
                <w:sz w:val="1"/>
                <w:szCs w:val="1"/>
                <w:color w:val="auto"/>
              </w:rPr>
            </w:pPr>
          </w:p>
        </w:tc>
      </w:tr>
      <w:tr>
        <w:trPr>
          <w:trHeight w:val="200"/>
        </w:trPr>
        <w:tc>
          <w:tcPr>
            <w:tcW w:w="3160" w:type="dxa"/>
            <w:vAlign w:val="bottom"/>
          </w:tcPr>
          <w:p>
            <w:pPr>
              <w:ind w:left="220"/>
              <w:spacing w:after="0"/>
              <w:rPr>
                <w:sz w:val="20"/>
                <w:szCs w:val="20"/>
                <w:color w:val="auto"/>
              </w:rPr>
            </w:pPr>
            <w:r>
              <w:rPr>
                <w:rFonts w:ascii="Arial" w:cs="Arial" w:eastAsia="Arial" w:hAnsi="Arial"/>
                <w:sz w:val="16"/>
                <w:szCs w:val="16"/>
                <w:color w:val="auto"/>
              </w:rPr>
              <w:t>NestGSV, Inc. (d/b/a GSV Labs, Inc.)–</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220"/>
              <w:spacing w:after="0"/>
              <w:rPr>
                <w:sz w:val="20"/>
                <w:szCs w:val="20"/>
                <w:color w:val="auto"/>
              </w:rPr>
            </w:pPr>
            <w:r>
              <w:rPr>
                <w:rFonts w:ascii="Arial" w:cs="Arial" w:eastAsia="Arial" w:hAnsi="Arial"/>
                <w:sz w:val="16"/>
                <w:szCs w:val="16"/>
                <w:color w:val="auto"/>
                <w:w w:val="98"/>
              </w:rPr>
              <w:t>Preferred Warrant Series A-4, Strike Price</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160" w:type="dxa"/>
            <w:vAlign w:val="bottom"/>
          </w:tcPr>
          <w:p>
            <w:pPr>
              <w:ind w:left="220"/>
              <w:spacing w:after="0"/>
              <w:rPr>
                <w:sz w:val="20"/>
                <w:szCs w:val="20"/>
                <w:color w:val="auto"/>
              </w:rPr>
            </w:pPr>
            <w:r>
              <w:rPr>
                <w:rFonts w:ascii="Arial" w:cs="Arial" w:eastAsia="Arial" w:hAnsi="Arial"/>
                <w:sz w:val="16"/>
                <w:szCs w:val="16"/>
                <w:color w:val="auto"/>
              </w:rPr>
              <w:t>$1.33, Expiration Date 7/18/2021</w:t>
            </w: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250,000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62,500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(25,000)</w:t>
            </w:r>
          </w:p>
        </w:tc>
        <w:tc>
          <w:tcPr>
            <w:tcW w:w="80" w:type="dxa"/>
            <w:vAlign w:val="bottom"/>
          </w:tcPr>
          <w:p>
            <w:pPr>
              <w:spacing w:after="0"/>
              <w:rPr>
                <w:sz w:val="17"/>
                <w:szCs w:val="17"/>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37,500</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0.02 %</w:t>
            </w: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NestGSV, Inc. (d/b/a GSV Labs, Inc.)–</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Preferred Warrant Series B, Strike Price</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$2.31, Expiration Date 11/29/2021</w:t>
            </w:r>
          </w:p>
        </w:tc>
        <w:tc>
          <w:tcPr>
            <w:tcW w:w="8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100,000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33"/>
        </w:trPr>
        <w:tc>
          <w:tcPr>
            <w:tcW w:w="3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-2150745</wp:posOffset>
            </wp:positionV>
            <wp:extent cx="1954530" cy="3086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954530" cy="3086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200"/>
          </w:cols>
          <w:pgMar w:left="320" w:top="121" w:right="379" w:bottom="1440" w:gutter="0" w:footer="0" w:header="0"/>
          <w:type w:val="continuous"/>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Interest, Fees,</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Purchases,</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9"/>
              </w:rPr>
              <w:t>or</w:t>
            </w:r>
          </w:p>
        </w:tc>
        <w:tc>
          <w:tcPr>
            <w:tcW w:w="100" w:type="dxa"/>
            <w:vAlign w:val="bottom"/>
          </w:tcPr>
          <w:p>
            <w:pPr>
              <w:spacing w:after="0"/>
              <w:rPr>
                <w:sz w:val="12"/>
                <w:szCs w:val="12"/>
                <w:color w:val="auto"/>
              </w:rPr>
            </w:pPr>
          </w:p>
        </w:tc>
        <w:tc>
          <w:tcPr>
            <w:tcW w:w="10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8"/>
              </w:rPr>
              <w:t>Fair Value at</w:t>
            </w:r>
          </w:p>
        </w:tc>
        <w:tc>
          <w:tcPr>
            <w:tcW w:w="10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4"/>
              </w:rPr>
              <w:t>Capitalized</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Principal/</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Dividends</w:t>
            </w: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Fees,</w:t>
            </w:r>
          </w:p>
        </w:tc>
        <w:tc>
          <w:tcPr>
            <w:tcW w:w="140" w:type="dxa"/>
            <w:vAlign w:val="bottom"/>
          </w:tcPr>
          <w:p>
            <w:pPr>
              <w:spacing w:after="0"/>
              <w:rPr>
                <w:sz w:val="12"/>
                <w:szCs w:val="12"/>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Realized</w:t>
            </w:r>
          </w:p>
        </w:tc>
        <w:tc>
          <w:tcPr>
            <w:tcW w:w="120" w:type="dxa"/>
            <w:vAlign w:val="bottom"/>
          </w:tcPr>
          <w:p>
            <w:pPr>
              <w:spacing w:after="0"/>
              <w:rPr>
                <w:sz w:val="12"/>
                <w:szCs w:val="12"/>
                <w:color w:val="auto"/>
              </w:rPr>
            </w:pPr>
          </w:p>
        </w:tc>
        <w:tc>
          <w:tcPr>
            <w:tcW w:w="9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 at</w:t>
            </w: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Type/Industry/Portfolio Company/Investment</w:t>
            </w: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Credited</w:t>
            </w:r>
          </w:p>
        </w:tc>
        <w:tc>
          <w:tcPr>
            <w:tcW w:w="11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Interest and</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of Net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180" w:type="dxa"/>
            <w:vAlign w:val="bottom"/>
            <w:gridSpan w:val="2"/>
            <w:vMerge w:val="continue"/>
          </w:tcPr>
          <w:p>
            <w:pPr>
              <w:spacing w:after="0"/>
              <w:rPr>
                <w:sz w:val="16"/>
                <w:szCs w:val="16"/>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Quantity</w:t>
            </w:r>
          </w:p>
        </w:tc>
        <w:tc>
          <w:tcPr>
            <w:tcW w:w="12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in Income</w:t>
            </w:r>
          </w:p>
        </w:tc>
        <w:tc>
          <w:tcPr>
            <w:tcW w:w="100" w:type="dxa"/>
            <w:vAlign w:val="bottom"/>
          </w:tcPr>
          <w:p>
            <w:pPr>
              <w:spacing w:after="0"/>
              <w:rPr>
                <w:sz w:val="16"/>
                <w:szCs w:val="16"/>
                <w:color w:val="auto"/>
              </w:rPr>
            </w:pPr>
          </w:p>
        </w:tc>
        <w:tc>
          <w:tcPr>
            <w:tcW w:w="920" w:type="dxa"/>
            <w:vAlign w:val="bottom"/>
          </w:tcPr>
          <w:p>
            <w:pPr>
              <w:jc w:val="center"/>
              <w:ind w:right="21"/>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6"/>
                <w:szCs w:val="16"/>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Amortization</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Gains/(Losses)</w:t>
            </w:r>
          </w:p>
        </w:tc>
        <w:tc>
          <w:tcPr>
            <w:tcW w:w="10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9"/>
              </w:rPr>
              <w:t>Gains/(Losses)</w:t>
            </w:r>
          </w:p>
        </w:tc>
        <w:tc>
          <w:tcPr>
            <w:tcW w:w="1100" w:type="dxa"/>
            <w:vAlign w:val="bottom"/>
            <w:gridSpan w:val="3"/>
          </w:tcPr>
          <w:p>
            <w:pPr>
              <w:ind w:left="100"/>
              <w:spacing w:after="0"/>
              <w:rPr>
                <w:sz w:val="20"/>
                <w:szCs w:val="20"/>
                <w:color w:val="auto"/>
              </w:rPr>
            </w:pPr>
            <w:r>
              <w:rPr>
                <w:rFonts w:ascii="Arial" w:cs="Arial" w:eastAsia="Arial" w:hAnsi="Arial"/>
                <w:sz w:val="14"/>
                <w:szCs w:val="14"/>
                <w:b w:val="1"/>
                <w:bCs w:val="1"/>
                <w:color w:val="auto"/>
              </w:rPr>
              <w:t>June 30, 2020</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Assets</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180" w:type="dxa"/>
            <w:vAlign w:val="bottom"/>
            <w:gridSpan w:val="2"/>
          </w:tcPr>
          <w:p>
            <w:pPr>
              <w:ind w:left="220"/>
              <w:spacing w:after="0"/>
              <w:rPr>
                <w:sz w:val="20"/>
                <w:szCs w:val="20"/>
                <w:color w:val="auto"/>
              </w:rPr>
            </w:pPr>
            <w:r>
              <w:rPr>
                <w:rFonts w:ascii="Arial" w:cs="Arial" w:eastAsia="Arial" w:hAnsi="Arial"/>
                <w:sz w:val="16"/>
                <w:szCs w:val="16"/>
                <w:color w:val="auto"/>
              </w:rPr>
              <w:t>NestGSV, Inc. (d/b/a GSV Labs, Inc.)–</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180" w:type="dxa"/>
            <w:vAlign w:val="bottom"/>
            <w:gridSpan w:val="2"/>
          </w:tcPr>
          <w:p>
            <w:pPr>
              <w:ind w:left="220"/>
              <w:spacing w:after="0"/>
              <w:rPr>
                <w:sz w:val="20"/>
                <w:szCs w:val="20"/>
                <w:color w:val="auto"/>
              </w:rPr>
            </w:pPr>
            <w:r>
              <w:rPr>
                <w:rFonts w:ascii="Arial" w:cs="Arial" w:eastAsia="Arial" w:hAnsi="Arial"/>
                <w:sz w:val="16"/>
                <w:szCs w:val="16"/>
                <w:color w:val="auto"/>
              </w:rPr>
              <w:t>Preferred Warrant Series B, Strike Price</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180" w:type="dxa"/>
            <w:vAlign w:val="bottom"/>
            <w:gridSpan w:val="2"/>
          </w:tcPr>
          <w:p>
            <w:pPr>
              <w:ind w:left="220"/>
              <w:spacing w:after="0"/>
              <w:rPr>
                <w:sz w:val="20"/>
                <w:szCs w:val="20"/>
                <w:color w:val="auto"/>
              </w:rPr>
            </w:pPr>
            <w:r>
              <w:rPr>
                <w:rFonts w:ascii="Arial" w:cs="Arial" w:eastAsia="Arial" w:hAnsi="Arial"/>
                <w:sz w:val="16"/>
                <w:szCs w:val="16"/>
                <w:color w:val="auto"/>
              </w:rPr>
              <w:t>$2.31, Expiration Date 5/29/2022</w:t>
            </w:r>
          </w:p>
        </w:tc>
        <w:tc>
          <w:tcPr>
            <w:tcW w:w="820" w:type="dxa"/>
            <w:vAlign w:val="bottom"/>
          </w:tcPr>
          <w:p>
            <w:pPr>
              <w:jc w:val="right"/>
              <w:ind w:right="82"/>
              <w:spacing w:after="0"/>
              <w:rPr>
                <w:sz w:val="20"/>
                <w:szCs w:val="20"/>
                <w:color w:val="auto"/>
              </w:rPr>
            </w:pPr>
            <w:r>
              <w:rPr>
                <w:rFonts w:ascii="Arial" w:cs="Arial" w:eastAsia="Arial" w:hAnsi="Arial"/>
                <w:sz w:val="16"/>
                <w:szCs w:val="16"/>
                <w:color w:val="auto"/>
              </w:rPr>
              <w:t>125,000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1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NestGSV, Inc. (d/b/a GSV Labs, Inc.)–</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1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Preferred Warrant Series B, Strike Price</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1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$2.31, Expiration Date 12/31/2023</w:t>
            </w:r>
          </w:p>
        </w:tc>
        <w:tc>
          <w:tcPr>
            <w:tcW w:w="8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250,000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2,500</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3,625</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6,125</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6"/>
        </w:trPr>
        <w:tc>
          <w:tcPr>
            <w:tcW w:w="3180" w:type="dxa"/>
            <w:vAlign w:val="bottom"/>
            <w:gridSpan w:val="2"/>
          </w:tcPr>
          <w:p>
            <w:pPr>
              <w:ind w:left="220"/>
              <w:spacing w:after="0" w:line="146" w:lineRule="exact"/>
              <w:rPr>
                <w:sz w:val="20"/>
                <w:szCs w:val="20"/>
                <w:color w:val="auto"/>
              </w:rPr>
            </w:pPr>
            <w:r>
              <w:rPr>
                <w:rFonts w:ascii="Arial" w:cs="Arial" w:eastAsia="Arial" w:hAnsi="Arial"/>
                <w:sz w:val="16"/>
                <w:szCs w:val="16"/>
                <w:color w:val="auto"/>
              </w:rPr>
              <w:t>Derivative Security, Expiration Date</w:t>
            </w:r>
          </w:p>
        </w:tc>
        <w:tc>
          <w:tcPr>
            <w:tcW w:w="820" w:type="dxa"/>
            <w:vAlign w:val="bottom"/>
            <w:vMerge w:val="restart"/>
          </w:tcPr>
          <w:p>
            <w:pPr>
              <w:jc w:val="right"/>
              <w:ind w:right="82"/>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62"/>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right"/>
              <w:ind w:right="81"/>
              <w:spacing w:after="0"/>
              <w:rPr>
                <w:sz w:val="20"/>
                <w:szCs w:val="20"/>
                <w:color w:val="auto"/>
              </w:rPr>
            </w:pPr>
            <w:r>
              <w:rPr>
                <w:rFonts w:ascii="Arial" w:cs="Arial" w:eastAsia="Arial" w:hAnsi="Arial"/>
                <w:sz w:val="16"/>
                <w:szCs w:val="16"/>
                <w:color w:val="auto"/>
              </w:rPr>
              <w:t>3,880,621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restart"/>
          </w:tcPr>
          <w:p>
            <w:pPr>
              <w:jc w:val="right"/>
              <w:ind w:right="82"/>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ind w:left="480"/>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right"/>
              <w:ind w:right="20"/>
              <w:spacing w:after="0"/>
              <w:rPr>
                <w:sz w:val="20"/>
                <w:szCs w:val="20"/>
                <w:color w:val="auto"/>
              </w:rPr>
            </w:pPr>
            <w:r>
              <w:rPr>
                <w:rFonts w:ascii="Arial" w:cs="Arial" w:eastAsia="Arial" w:hAnsi="Arial"/>
                <w:sz w:val="16"/>
                <w:szCs w:val="16"/>
                <w:color w:val="auto"/>
                <w:w w:val="92"/>
              </w:rPr>
              <w:t>(1,827,190)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60"/>
              <w:spacing w:after="0"/>
              <w:rPr>
                <w:sz w:val="20"/>
                <w:szCs w:val="20"/>
                <w:color w:val="auto"/>
              </w:rPr>
            </w:pPr>
            <w:r>
              <w:rPr>
                <w:rFonts w:ascii="Arial" w:cs="Arial" w:eastAsia="Arial" w:hAnsi="Arial"/>
                <w:sz w:val="16"/>
                <w:szCs w:val="16"/>
                <w:color w:val="auto"/>
              </w:rPr>
              <w:t>2,053,431</w:t>
            </w:r>
          </w:p>
        </w:tc>
        <w:tc>
          <w:tcPr>
            <w:tcW w:w="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1.07</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3100" w:type="dxa"/>
            <w:vAlign w:val="bottom"/>
            <w:tcBorders>
              <w:bottom w:val="single" w:sz="8" w:color="CCEEFF"/>
            </w:tcBorders>
          </w:tcPr>
          <w:p>
            <w:pPr>
              <w:ind w:left="220"/>
              <w:spacing w:after="0" w:line="213" w:lineRule="exact"/>
              <w:rPr>
                <w:sz w:val="20"/>
                <w:szCs w:val="20"/>
                <w:color w:val="auto"/>
              </w:rPr>
            </w:pPr>
            <w:r>
              <w:rPr>
                <w:rFonts w:ascii="Arial" w:cs="Arial" w:eastAsia="Arial" w:hAnsi="Arial"/>
                <w:sz w:val="16"/>
                <w:szCs w:val="16"/>
                <w:color w:val="auto"/>
              </w:rPr>
              <w:t>8/23/2024</w:t>
            </w:r>
            <w:r>
              <w:rPr>
                <w:rFonts w:ascii="Arial" w:cs="Arial" w:eastAsia="Arial" w:hAnsi="Arial"/>
                <w:sz w:val="21"/>
                <w:szCs w:val="21"/>
                <w:color w:val="auto"/>
                <w:vertAlign w:val="superscript"/>
              </w:rPr>
              <w:t>(6)</w:t>
            </w: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i w:val="1"/>
                <w:iCs w:val="1"/>
                <w:color w:val="auto"/>
              </w:rPr>
              <w:t>Total Global Innovation Platform</w:t>
            </w:r>
          </w:p>
        </w:tc>
        <w:tc>
          <w:tcPr>
            <w:tcW w:w="8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4,101,246</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(1,922,002)</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2,179,244</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318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Options</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81"/>
              <w:spacing w:after="0"/>
              <w:rPr>
                <w:sz w:val="20"/>
                <w:szCs w:val="20"/>
                <w:color w:val="auto"/>
              </w:rPr>
            </w:pPr>
            <w:r>
              <w:rPr>
                <w:rFonts w:ascii="Arial" w:cs="Arial" w:eastAsia="Arial" w:hAnsi="Arial"/>
                <w:sz w:val="16"/>
                <w:szCs w:val="16"/>
                <w:color w:val="auto"/>
              </w:rPr>
              <w:t>5,283,506</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w w:val="92"/>
              </w:rPr>
              <w:t>(2,190,966)</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3,092,540</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1.60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Common Stock</w:t>
            </w:r>
          </w:p>
        </w:tc>
        <w:tc>
          <w:tcPr>
            <w:tcW w:w="8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3180" w:type="dxa"/>
            <w:vAlign w:val="bottom"/>
            <w:gridSpan w:val="2"/>
          </w:tcPr>
          <w:p>
            <w:pPr>
              <w:ind w:left="120"/>
              <w:spacing w:after="0"/>
              <w:rPr>
                <w:sz w:val="20"/>
                <w:szCs w:val="20"/>
                <w:color w:val="auto"/>
              </w:rPr>
            </w:pPr>
            <w:r>
              <w:rPr>
                <w:rFonts w:ascii="Arial" w:cs="Arial" w:eastAsia="Arial" w:hAnsi="Arial"/>
                <w:sz w:val="16"/>
                <w:szCs w:val="16"/>
                <w:i w:val="1"/>
                <w:iCs w:val="1"/>
                <w:color w:val="auto"/>
              </w:rPr>
              <w:t>Online Education</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31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Curious.com, Inc.–Common shares</w:t>
            </w:r>
          </w:p>
        </w:tc>
        <w:tc>
          <w:tcPr>
            <w:tcW w:w="8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1,135,944</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4"/>
        </w:trPr>
        <w:tc>
          <w:tcPr>
            <w:tcW w:w="3180" w:type="dxa"/>
            <w:vAlign w:val="bottom"/>
            <w:gridSpan w:val="2"/>
          </w:tcPr>
          <w:p>
            <w:pPr>
              <w:ind w:left="120"/>
              <w:spacing w:after="0"/>
              <w:rPr>
                <w:sz w:val="20"/>
                <w:szCs w:val="20"/>
                <w:color w:val="auto"/>
              </w:rPr>
            </w:pPr>
            <w:r>
              <w:rPr>
                <w:rFonts w:ascii="Arial" w:cs="Arial" w:eastAsia="Arial" w:hAnsi="Arial"/>
                <w:sz w:val="16"/>
                <w:szCs w:val="16"/>
                <w:i w:val="1"/>
                <w:iCs w:val="1"/>
                <w:color w:val="auto"/>
              </w:rPr>
              <w:t>Cannabis REIT</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180" w:type="dxa"/>
            <w:vAlign w:val="bottom"/>
            <w:gridSpan w:val="2"/>
            <w:shd w:val="clear" w:color="auto" w:fill="CCEEFF"/>
          </w:tcPr>
          <w:p>
            <w:pPr>
              <w:ind w:left="220"/>
              <w:spacing w:after="0" w:line="166" w:lineRule="exact"/>
              <w:rPr>
                <w:sz w:val="20"/>
                <w:szCs w:val="20"/>
                <w:color w:val="auto"/>
              </w:rPr>
            </w:pPr>
            <w:r>
              <w:rPr>
                <w:rFonts w:ascii="Arial" w:cs="Arial" w:eastAsia="Arial" w:hAnsi="Arial"/>
                <w:sz w:val="16"/>
                <w:szCs w:val="16"/>
                <w:color w:val="auto"/>
                <w:w w:val="94"/>
              </w:rPr>
              <w:t>GreenAcreage Real Estate Corp. -Common</w:t>
            </w:r>
          </w:p>
        </w:tc>
        <w:tc>
          <w:tcPr>
            <w:tcW w:w="820" w:type="dxa"/>
            <w:vAlign w:val="bottom"/>
            <w:vMerge w:val="restart"/>
            <w:shd w:val="clear" w:color="auto" w:fill="CCEEFF"/>
          </w:tcPr>
          <w:p>
            <w:pPr>
              <w:jc w:val="right"/>
              <w:ind w:right="82"/>
              <w:spacing w:after="0"/>
              <w:rPr>
                <w:sz w:val="20"/>
                <w:szCs w:val="20"/>
                <w:color w:val="auto"/>
              </w:rPr>
            </w:pPr>
            <w:r>
              <w:rPr>
                <w:rFonts w:ascii="Arial" w:cs="Arial" w:eastAsia="Arial" w:hAnsi="Arial"/>
                <w:sz w:val="16"/>
                <w:szCs w:val="16"/>
                <w:color w:val="auto"/>
              </w:rPr>
              <w:t>375,000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62"/>
              <w:spacing w:after="0"/>
              <w:rPr>
                <w:sz w:val="20"/>
                <w:szCs w:val="20"/>
                <w:color w:val="auto"/>
              </w:rPr>
            </w:pPr>
            <w:r>
              <w:rPr>
                <w:rFonts w:ascii="Arial" w:cs="Arial" w:eastAsia="Arial" w:hAnsi="Arial"/>
                <w:sz w:val="16"/>
                <w:szCs w:val="16"/>
                <w:color w:val="auto"/>
              </w:rPr>
              <w:t>56,250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rPr>
              <w:t>7,500,000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(750,000)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6,750,000</w:t>
            </w:r>
          </w:p>
        </w:tc>
        <w:tc>
          <w:tcPr>
            <w:tcW w:w="8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180" w:type="dxa"/>
            <w:vAlign w:val="bottom"/>
            <w:gridSpan w:val="2"/>
            <w:shd w:val="clear" w:color="auto" w:fill="CCEEFF"/>
          </w:tcPr>
          <w:p>
            <w:pPr>
              <w:ind w:left="220"/>
              <w:spacing w:after="0" w:line="213" w:lineRule="exact"/>
              <w:rPr>
                <w:sz w:val="20"/>
                <w:szCs w:val="20"/>
                <w:color w:val="auto"/>
              </w:rPr>
            </w:pPr>
            <w:r>
              <w:rPr>
                <w:rFonts w:ascii="Arial" w:cs="Arial" w:eastAsia="Arial" w:hAnsi="Arial"/>
                <w:sz w:val="16"/>
                <w:szCs w:val="16"/>
                <w:color w:val="auto"/>
              </w:rPr>
              <w:t>shares***</w:t>
            </w:r>
            <w:r>
              <w:rPr>
                <w:rFonts w:ascii="Arial" w:cs="Arial" w:eastAsia="Arial" w:hAnsi="Arial"/>
                <w:sz w:val="21"/>
                <w:szCs w:val="21"/>
                <w:color w:val="auto"/>
                <w:vertAlign w:val="superscript"/>
              </w:rPr>
              <w:t>(7)</w:t>
            </w:r>
          </w:p>
        </w:tc>
        <w:tc>
          <w:tcPr>
            <w:tcW w:w="82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18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Common Stock</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62"/>
              <w:spacing w:after="0"/>
              <w:rPr>
                <w:sz w:val="20"/>
                <w:szCs w:val="20"/>
                <w:color w:val="auto"/>
              </w:rPr>
            </w:pPr>
            <w:r>
              <w:rPr>
                <w:rFonts w:ascii="Arial" w:cs="Arial" w:eastAsia="Arial" w:hAnsi="Arial"/>
                <w:sz w:val="16"/>
                <w:szCs w:val="16"/>
                <w:color w:val="auto"/>
              </w:rPr>
              <w:t>56,250</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81"/>
              <w:spacing w:after="0"/>
              <w:rPr>
                <w:sz w:val="20"/>
                <w:szCs w:val="20"/>
                <w:color w:val="auto"/>
              </w:rPr>
            </w:pPr>
            <w:r>
              <w:rPr>
                <w:rFonts w:ascii="Arial" w:cs="Arial" w:eastAsia="Arial" w:hAnsi="Arial"/>
                <w:sz w:val="16"/>
                <w:szCs w:val="16"/>
                <w:color w:val="auto"/>
              </w:rPr>
              <w:t>7,500,000</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(750,000)</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6,750,000</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3.50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310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TOTAL NON-</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0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CONTROLLED/AFFILIATE</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800" w:type="dxa"/>
            <w:vAlign w:val="bottom"/>
            <w:vMerge w:val="restart"/>
            <w:shd w:val="clear" w:color="auto" w:fill="CCEEFF"/>
          </w:tcPr>
          <w:p>
            <w:pPr>
              <w:jc w:val="right"/>
              <w:ind w:right="62"/>
              <w:spacing w:after="0"/>
              <w:rPr>
                <w:sz w:val="20"/>
                <w:szCs w:val="20"/>
                <w:color w:val="auto"/>
              </w:rPr>
            </w:pPr>
            <w:r>
              <w:rPr>
                <w:rFonts w:ascii="Arial" w:cs="Arial" w:eastAsia="Arial" w:hAnsi="Arial"/>
                <w:sz w:val="16"/>
                <w:szCs w:val="16"/>
                <w:b w:val="1"/>
                <w:bCs w:val="1"/>
                <w:color w:val="auto"/>
              </w:rPr>
              <w:t>27,066</w:t>
            </w:r>
          </w:p>
        </w:tc>
        <w:tc>
          <w:tcPr>
            <w:tcW w:w="8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92"/>
              </w:rPr>
              <w:t>37,944,268</w:t>
            </w:r>
          </w:p>
        </w:tc>
        <w:tc>
          <w:tcPr>
            <w:tcW w:w="8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vMerge w:val="restart"/>
            <w:shd w:val="clear" w:color="auto" w:fill="CCEEFF"/>
          </w:tcPr>
          <w:p>
            <w:pPr>
              <w:jc w:val="right"/>
              <w:ind w:right="82"/>
              <w:spacing w:after="0"/>
              <w:rPr>
                <w:sz w:val="20"/>
                <w:szCs w:val="20"/>
                <w:color w:val="auto"/>
              </w:rPr>
            </w:pPr>
            <w:r>
              <w:rPr>
                <w:rFonts w:ascii="Arial" w:cs="Arial" w:eastAsia="Arial" w:hAnsi="Arial"/>
                <w:sz w:val="16"/>
                <w:szCs w:val="16"/>
                <w:b w:val="1"/>
                <w:bCs w:val="1"/>
                <w:color w:val="auto"/>
              </w:rPr>
              <w:t>—</w:t>
            </w:r>
          </w:p>
        </w:tc>
        <w:tc>
          <w:tcPr>
            <w:tcW w:w="80" w:type="dxa"/>
            <w:vAlign w:val="bottom"/>
            <w:vMerge w:val="restart"/>
            <w:shd w:val="clear" w:color="auto" w:fill="CCEEFF"/>
          </w:tcPr>
          <w:p>
            <w:pPr>
              <w:spacing w:after="0"/>
              <w:rPr>
                <w:sz w:val="14"/>
                <w:szCs w:val="14"/>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780" w:type="dxa"/>
            <w:vAlign w:val="bottom"/>
            <w:vMerge w:val="restart"/>
            <w:shd w:val="clear" w:color="auto" w:fill="CCEEFF"/>
          </w:tcPr>
          <w:p>
            <w:pPr>
              <w:ind w:left="480"/>
              <w:spacing w:after="0"/>
              <w:rPr>
                <w:sz w:val="20"/>
                <w:szCs w:val="20"/>
                <w:color w:val="auto"/>
              </w:rPr>
            </w:pPr>
            <w:r>
              <w:rPr>
                <w:rFonts w:ascii="Arial" w:cs="Arial" w:eastAsia="Arial" w:hAnsi="Arial"/>
                <w:sz w:val="16"/>
                <w:szCs w:val="16"/>
                <w:b w:val="1"/>
                <w:bCs w:val="1"/>
                <w:color w:val="auto"/>
              </w:rPr>
              <w:t>—</w:t>
            </w:r>
          </w:p>
        </w:tc>
        <w:tc>
          <w:tcPr>
            <w:tcW w:w="80" w:type="dxa"/>
            <w:vAlign w:val="bottom"/>
            <w:vMerge w:val="restart"/>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92"/>
              </w:rPr>
              <w:t>(8,505,570)</w:t>
            </w:r>
          </w:p>
        </w:tc>
        <w:tc>
          <w:tcPr>
            <w:tcW w:w="8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92"/>
              </w:rPr>
              <w:t>29,438,698</w:t>
            </w:r>
          </w:p>
        </w:tc>
        <w:tc>
          <w:tcPr>
            <w:tcW w:w="8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15.28</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49"/>
        </w:trPr>
        <w:tc>
          <w:tcPr>
            <w:tcW w:w="31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6"/>
                <w:szCs w:val="16"/>
                <w:b w:val="1"/>
                <w:bCs w:val="1"/>
                <w:color w:val="auto"/>
              </w:rPr>
              <w:t>INVESTMENTS*</w:t>
            </w:r>
            <w:r>
              <w:rPr>
                <w:rFonts w:ascii="Arial" w:cs="Arial" w:eastAsia="Arial" w:hAnsi="Arial"/>
                <w:sz w:val="21"/>
                <w:szCs w:val="21"/>
                <w:b w:val="1"/>
                <w:bCs w:val="1"/>
                <w:color w:val="auto"/>
                <w:vertAlign w:val="superscript"/>
              </w:rPr>
              <w:t>(1)</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vMerge w:val="continue"/>
            <w:shd w:val="clear" w:color="auto" w:fill="CCEEFF"/>
          </w:tcPr>
          <w:p>
            <w:pPr>
              <w:spacing w:after="0"/>
              <w:rPr>
                <w:sz w:val="21"/>
                <w:szCs w:val="21"/>
                <w:color w:val="auto"/>
              </w:rPr>
            </w:pPr>
          </w:p>
        </w:tc>
        <w:tc>
          <w:tcPr>
            <w:tcW w:w="80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vMerge w:val="continue"/>
            <w:shd w:val="clear" w:color="auto" w:fill="CCEEFF"/>
          </w:tcPr>
          <w:p>
            <w:pPr>
              <w:spacing w:after="0"/>
              <w:rPr>
                <w:sz w:val="21"/>
                <w:szCs w:val="21"/>
                <w:color w:val="auto"/>
              </w:rPr>
            </w:pPr>
          </w:p>
        </w:tc>
        <w:tc>
          <w:tcPr>
            <w:tcW w:w="92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vMerge w:val="continue"/>
            <w:shd w:val="clear" w:color="auto" w:fill="CCEEFF"/>
          </w:tcPr>
          <w:p>
            <w:pPr>
              <w:spacing w:after="0"/>
              <w:rPr>
                <w:sz w:val="21"/>
                <w:szCs w:val="21"/>
                <w:color w:val="auto"/>
              </w:rPr>
            </w:pPr>
          </w:p>
        </w:tc>
        <w:tc>
          <w:tcPr>
            <w:tcW w:w="86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vMerge w:val="continue"/>
            <w:shd w:val="clear" w:color="auto" w:fill="CCEEFF"/>
          </w:tcPr>
          <w:p>
            <w:pPr>
              <w:spacing w:after="0"/>
              <w:rPr>
                <w:sz w:val="21"/>
                <w:szCs w:val="21"/>
                <w:color w:val="auto"/>
              </w:rPr>
            </w:pPr>
          </w:p>
        </w:tc>
        <w:tc>
          <w:tcPr>
            <w:tcW w:w="140" w:type="dxa"/>
            <w:vAlign w:val="bottom"/>
            <w:tcBorders>
              <w:bottom w:val="single" w:sz="8" w:color="auto"/>
            </w:tcBorders>
            <w:vMerge w:val="continue"/>
            <w:shd w:val="clear" w:color="auto" w:fill="CCEEFF"/>
          </w:tcPr>
          <w:p>
            <w:pPr>
              <w:spacing w:after="0"/>
              <w:rPr>
                <w:sz w:val="21"/>
                <w:szCs w:val="21"/>
                <w:color w:val="auto"/>
              </w:rPr>
            </w:pPr>
          </w:p>
        </w:tc>
        <w:tc>
          <w:tcPr>
            <w:tcW w:w="78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vMerge w:val="continue"/>
            <w:shd w:val="clear" w:color="auto" w:fill="CCEEFF"/>
          </w:tcPr>
          <w:p>
            <w:pPr>
              <w:spacing w:after="0"/>
              <w:rPr>
                <w:sz w:val="21"/>
                <w:szCs w:val="21"/>
                <w:color w:val="auto"/>
              </w:rPr>
            </w:pPr>
          </w:p>
        </w:tc>
        <w:tc>
          <w:tcPr>
            <w:tcW w:w="120" w:type="dxa"/>
            <w:vAlign w:val="bottom"/>
            <w:tcBorders>
              <w:bottom w:val="single" w:sz="8" w:color="auto"/>
            </w:tcBorders>
            <w:vMerge w:val="continue"/>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vMerge w:val="continue"/>
            <w:shd w:val="clear" w:color="auto" w:fill="CCEEFF"/>
          </w:tcPr>
          <w:p>
            <w:pPr>
              <w:spacing w:after="0"/>
              <w:rPr>
                <w:sz w:val="21"/>
                <w:szCs w:val="21"/>
                <w:color w:val="auto"/>
              </w:rPr>
            </w:pPr>
          </w:p>
        </w:tc>
        <w:tc>
          <w:tcPr>
            <w:tcW w:w="90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vMerge w:val="continue"/>
            <w:shd w:val="clear" w:color="auto" w:fill="CCEEFF"/>
          </w:tcPr>
          <w:p>
            <w:pPr>
              <w:spacing w:after="0"/>
              <w:rPr>
                <w:sz w:val="21"/>
                <w:szCs w:val="21"/>
                <w:color w:val="auto"/>
              </w:rPr>
            </w:pPr>
          </w:p>
        </w:tc>
        <w:tc>
          <w:tcPr>
            <w:tcW w:w="2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6554470</wp:posOffset>
            </wp:positionH>
            <wp:positionV relativeFrom="paragraph">
              <wp:posOffset>-1773555</wp:posOffset>
            </wp:positionV>
            <wp:extent cx="514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-1773555</wp:posOffset>
            </wp:positionV>
            <wp:extent cx="514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2019300</wp:posOffset>
            </wp:positionH>
            <wp:positionV relativeFrom="paragraph">
              <wp:posOffset>-1773555</wp:posOffset>
            </wp:positionV>
            <wp:extent cx="56578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w:t>
      </w:r>
    </w:p>
    <w:p>
      <w:pPr>
        <w:spacing w:after="0" w:line="45" w:lineRule="exact"/>
        <w:rPr>
          <w:sz w:val="20"/>
          <w:szCs w:val="20"/>
          <w:color w:val="auto"/>
        </w:rPr>
      </w:pPr>
    </w:p>
    <w:p>
      <w:pPr>
        <w:ind w:left="340" w:hanging="332"/>
        <w:spacing w:after="0" w:line="268" w:lineRule="auto"/>
        <w:tabs>
          <w:tab w:leader="none" w:pos="151" w:val="left"/>
        </w:tabs>
        <w:numPr>
          <w:ilvl w:val="0"/>
          <w:numId w:val="21"/>
        </w:numPr>
        <w:rPr>
          <w:rFonts w:ascii="Arial" w:cs="Arial" w:eastAsia="Arial" w:hAnsi="Arial"/>
          <w:sz w:val="17"/>
          <w:szCs w:val="17"/>
          <w:color w:val="auto"/>
        </w:rPr>
      </w:pPr>
      <w:r>
        <w:rPr>
          <w:rFonts w:ascii="Arial" w:cs="Arial" w:eastAsia="Arial" w:hAnsi="Arial"/>
          <w:sz w:val="15"/>
          <w:szCs w:val="15"/>
          <w:color w:val="auto"/>
        </w:rPr>
        <w:t>All portfolio investments are non-income-producing, unless otherwise identified. Equity investments are subject to lock-up restrictions upon their IPO. Preferred dividends are generally only payable when declared and paid by the portfolio company's board of directors. Unless otherwise noted, all investments were pledged as collateral under the Credit Facility.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portfolio investments are considered Level 3 and valued using unobservable inputs, unless otherwise noted. All of the Company's portfolio investments are restricted as to resale, unless otherwise noted, and were valued at fair value as determined in good faith by the Company’s Board of Directors. (Refer to "Note 2—Significant Accounting Policies—Investments at Fair Value").</w:t>
      </w:r>
    </w:p>
    <w:p>
      <w:pPr>
        <w:spacing w:after="0" w:line="206" w:lineRule="exact"/>
        <w:rPr>
          <w:sz w:val="20"/>
          <w:szCs w:val="20"/>
          <w:color w:val="auto"/>
        </w:rPr>
      </w:pPr>
    </w:p>
    <w:p>
      <w:pPr>
        <w:ind w:left="340" w:hanging="332"/>
        <w:spacing w:after="0" w:line="275" w:lineRule="auto"/>
        <w:tabs>
          <w:tab w:leader="none" w:pos="232"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Indicates assets that SuRo Capital Corp. believes do not represent “qualifying assets” under Section 55(a) of the Investment Company Act of 1940, as amended (the “1940 Act”). Of the Company’s total investments as of June 30, 2020, 2.31% of its total investments are non-qualifying assets.</w:t>
      </w:r>
    </w:p>
    <w:p>
      <w:pPr>
        <w:spacing w:after="0" w:line="199" w:lineRule="exact"/>
        <w:rPr>
          <w:rFonts w:ascii="Arial" w:cs="Arial" w:eastAsia="Arial" w:hAnsi="Arial"/>
          <w:sz w:val="16"/>
          <w:szCs w:val="16"/>
          <w:color w:val="auto"/>
        </w:rPr>
      </w:pPr>
    </w:p>
    <w:p>
      <w:pPr>
        <w:ind w:left="300" w:hanging="292"/>
        <w:spacing w:after="0"/>
        <w:tabs>
          <w:tab w:leader="none" w:pos="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Investment is income-producing.</w:t>
      </w:r>
    </w:p>
    <w:p>
      <w:pPr>
        <w:spacing w:after="0" w:line="248" w:lineRule="exact"/>
        <w:rPr>
          <w:sz w:val="20"/>
          <w:szCs w:val="20"/>
          <w:color w:val="auto"/>
        </w:rPr>
      </w:pPr>
    </w:p>
    <w:p>
      <w:pPr>
        <w:ind w:left="500" w:hanging="492"/>
        <w:spacing w:after="0" w:line="261" w:lineRule="auto"/>
        <w:tabs>
          <w:tab w:leader="none" w:pos="248" w:val="left"/>
        </w:tabs>
        <w:numPr>
          <w:ilvl w:val="0"/>
          <w:numId w:val="24"/>
        </w:numPr>
        <w:rPr>
          <w:rFonts w:ascii="Arial" w:cs="Arial" w:eastAsia="Arial" w:hAnsi="Arial"/>
          <w:sz w:val="16"/>
          <w:szCs w:val="16"/>
          <w:color w:val="auto"/>
        </w:rPr>
      </w:pPr>
      <w:r>
        <w:rPr>
          <w:rFonts w:ascii="Arial" w:cs="Arial" w:eastAsia="Arial" w:hAnsi="Arial"/>
          <w:sz w:val="16"/>
          <w:szCs w:val="16"/>
          <w:color w:val="auto"/>
        </w:rPr>
        <w:t>“Affiliate Investments” are investments in those companies that are “Affiliated Companies” of SuRo Capital Corp., as defined in the 1940 Act. In general, a company is deemed to be an “Affiliate” of SuRo Capital Corp. if SuRo Capital Corp. owns 5% or more of the voting securities (</w:t>
      </w:r>
      <w:r>
        <w:rPr>
          <w:rFonts w:ascii="Arial" w:cs="Arial" w:eastAsia="Arial" w:hAnsi="Arial"/>
          <w:sz w:val="16"/>
          <w:szCs w:val="16"/>
          <w:i w:val="1"/>
          <w:iCs w:val="1"/>
          <w:color w:val="auto"/>
        </w:rPr>
        <w:t>i.e.</w:t>
      </w:r>
      <w:r>
        <w:rPr>
          <w:rFonts w:ascii="Arial" w:cs="Arial" w:eastAsia="Arial" w:hAnsi="Arial"/>
          <w:sz w:val="16"/>
          <w:szCs w:val="16"/>
          <w:color w:val="auto"/>
        </w:rPr>
        <w:t>, securities with the right to elect directors) of such company.</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242" w:lineRule="exact"/>
        <w:rPr>
          <w:sz w:val="20"/>
          <w:szCs w:val="20"/>
          <w:color w:val="auto"/>
        </w:rPr>
      </w:pPr>
    </w:p>
    <w:p>
      <w:pPr>
        <w:ind w:left="500" w:hanging="492"/>
        <w:spacing w:after="0" w:line="261" w:lineRule="auto"/>
        <w:tabs>
          <w:tab w:leader="none" w:pos="257"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“Control Investments” are investments in those companies that are “Controlled Companies” of SuRo Capital Corp., as defined in the 1940 Act. In general, under the 1940 Act, the Company would “Control” a portfolio company if the Company owned more than 25% of its outstanding voting securities (i.e., securities with the right to elect directors) and/or had the power to exercise control over the management or policies of such portfolio company.</w:t>
      </w:r>
    </w:p>
    <w:p>
      <w:pPr>
        <w:spacing w:after="0" w:line="209" w:lineRule="exact"/>
        <w:rPr>
          <w:rFonts w:ascii="Arial" w:cs="Arial" w:eastAsia="Arial" w:hAnsi="Arial"/>
          <w:sz w:val="16"/>
          <w:szCs w:val="16"/>
          <w:color w:val="auto"/>
        </w:rPr>
      </w:pPr>
    </w:p>
    <w:p>
      <w:pPr>
        <w:ind w:left="220" w:hanging="212"/>
        <w:spacing w:after="0"/>
        <w:tabs>
          <w:tab w:leader="none" w:pos="2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As of June 30, 2020, the investments noted had been placed on non-accrual status.</w:t>
      </w:r>
    </w:p>
    <w:p>
      <w:pPr>
        <w:spacing w:after="0" w:line="248" w:lineRule="exact"/>
        <w:rPr>
          <w:rFonts w:ascii="Arial" w:cs="Arial" w:eastAsia="Arial" w:hAnsi="Arial"/>
          <w:sz w:val="16"/>
          <w:szCs w:val="16"/>
          <w:color w:val="auto"/>
        </w:rPr>
      </w:pPr>
    </w:p>
    <w:p>
      <w:pPr>
        <w:ind w:left="500" w:hanging="492"/>
        <w:spacing w:after="0" w:line="256" w:lineRule="auto"/>
        <w:tabs>
          <w:tab w:leader="none" w:pos="248"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SPBRX, INC. (f/k/a GSV Sustainability Partners, Inc.) preferred shares held by SuRo Capital Corp. do not entitle SuRo Capital Corp. to a preferred dividend rate. During the six months ended June 30, 2020, SPBRX, INC. (f/k/a GSV Sustainability Partners, Inc.) declared, and SuRo Capital Corp. received, an aggregate of $200,000 in dividend distributions. SuRo Capital Corp. does not anticipate that SPBRX, INC. will pay distributions on a quarterly or regular basis or become a predictable distributor of distributions.</w:t>
      </w:r>
    </w:p>
    <w:p>
      <w:pPr>
        <w:spacing w:after="0" w:line="213" w:lineRule="exact"/>
        <w:rPr>
          <w:rFonts w:ascii="Arial" w:cs="Arial" w:eastAsia="Arial" w:hAnsi="Arial"/>
          <w:sz w:val="16"/>
          <w:szCs w:val="16"/>
          <w:color w:val="auto"/>
        </w:rPr>
      </w:pPr>
    </w:p>
    <w:p>
      <w:pPr>
        <w:ind w:left="240" w:hanging="232"/>
        <w:spacing w:after="0"/>
        <w:tabs>
          <w:tab w:leader="none" w:pos="2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SuRo Capital Corp.’s investments in StormWind, LLC are held through SuRo Capital Corp.'s wholly owned subsidiary, GSVC SW Holdings, Inc.</w:t>
      </w:r>
    </w:p>
    <w:p>
      <w:pPr>
        <w:spacing w:after="0" w:line="248" w:lineRule="exact"/>
        <w:rPr>
          <w:rFonts w:ascii="Arial" w:cs="Arial" w:eastAsia="Arial" w:hAnsi="Arial"/>
          <w:sz w:val="16"/>
          <w:szCs w:val="16"/>
          <w:color w:val="auto"/>
        </w:rPr>
      </w:pPr>
    </w:p>
    <w:p>
      <w:pPr>
        <w:ind w:left="500" w:hanging="492"/>
        <w:spacing w:after="0" w:line="315" w:lineRule="auto"/>
        <w:tabs>
          <w:tab w:leader="none" w:pos="2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On August 23, 2019, SuRo Capital Corp. amended the structure of its investment in NestGSV, Inc. (d/b/a GSV Labs, Inc.). As part of the agreement, SuRo Capital Corp.’s equity holdings (warrants notwithstanding) were restructured into a derivative security. NestGSV, Inc. (d/b/a GSV Labs,Inc.) has the right to call the position at any time over a five year period, while SuRo Capital Corp. can put the shares to NestGSV, Inc. (d/b/a GSV Labs, Inc.) at the end of the five year period.</w:t>
      </w:r>
    </w:p>
    <w:p>
      <w:pPr>
        <w:spacing w:after="0" w:line="176" w:lineRule="exact"/>
        <w:rPr>
          <w:rFonts w:ascii="Arial" w:cs="Arial" w:eastAsia="Arial" w:hAnsi="Arial"/>
          <w:sz w:val="14"/>
          <w:szCs w:val="14"/>
          <w:color w:val="auto"/>
        </w:rPr>
      </w:pPr>
    </w:p>
    <w:p>
      <w:pPr>
        <w:ind w:left="500" w:hanging="492"/>
        <w:spacing w:after="0" w:line="275" w:lineRule="auto"/>
        <w:tabs>
          <w:tab w:leader="none" w:pos="261" w:val="left"/>
        </w:tabs>
        <w:numPr>
          <w:ilvl w:val="0"/>
          <w:numId w:val="25"/>
        </w:numPr>
        <w:rPr>
          <w:rFonts w:ascii="Arial" w:cs="Arial" w:eastAsia="Arial" w:hAnsi="Arial"/>
          <w:sz w:val="16"/>
          <w:szCs w:val="16"/>
          <w:color w:val="auto"/>
        </w:rPr>
      </w:pPr>
      <w:r>
        <w:rPr>
          <w:rFonts w:ascii="Arial" w:cs="Arial" w:eastAsia="Arial" w:hAnsi="Arial"/>
          <w:sz w:val="16"/>
          <w:szCs w:val="16"/>
          <w:color w:val="auto"/>
        </w:rPr>
        <w:t>During the six months ended June 30, 2020, GreenAcreage Real Estate Corp. declared a $26,250 dividend distribution. SuRo Capital Corp. does not anticipate that Green Acreage Real Estate Corp. will pay distributions on a recurring or regular basis or become a predictable distributor of distributions.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2020</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of Investments In, and Advances to, Affiliates</w:t>
      </w:r>
    </w:p>
    <w:p>
      <w:pPr>
        <w:spacing w:after="0" w:line="256" w:lineRule="exact"/>
        <w:rPr>
          <w:sz w:val="20"/>
          <w:szCs w:val="20"/>
          <w:color w:val="auto"/>
        </w:rPr>
      </w:pPr>
    </w:p>
    <w:p>
      <w:pPr>
        <w:ind w:firstLine="364"/>
        <w:spacing w:after="0" w:line="258" w:lineRule="auto"/>
        <w:rPr>
          <w:sz w:val="20"/>
          <w:szCs w:val="20"/>
          <w:color w:val="auto"/>
        </w:rPr>
      </w:pPr>
      <w:r>
        <w:rPr>
          <w:rFonts w:ascii="Arial" w:cs="Arial" w:eastAsia="Arial" w:hAnsi="Arial"/>
          <w:sz w:val="18"/>
          <w:szCs w:val="18"/>
          <w:color w:val="auto"/>
        </w:rPr>
        <w:t>Transactions during the year ended December 31, 2019 involving the Company’s controlled investments and non-controlled/affiliate investments were as follows: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Schedule of Investments In, and Advances to, Affiliate</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20" w:right="680"/>
        <w:spacing w:after="0" w:line="288" w:lineRule="auto"/>
        <w:rPr>
          <w:sz w:val="20"/>
          <w:szCs w:val="20"/>
          <w:color w:val="auto"/>
        </w:rPr>
      </w:pPr>
      <w:r>
        <w:rPr>
          <w:rFonts w:ascii="Arial" w:cs="Arial" w:eastAsia="Arial" w:hAnsi="Arial"/>
          <w:sz w:val="13"/>
          <w:szCs w:val="13"/>
          <w:b w:val="1"/>
          <w:bCs w:val="1"/>
          <w:color w:val="auto"/>
        </w:rPr>
        <w:t>Type/Industry/Portfolio Company/Investment</w:t>
      </w:r>
    </w:p>
    <w:p>
      <w:pPr>
        <w:spacing w:after="0" w:line="1" w:lineRule="exact"/>
        <w:rPr>
          <w:sz w:val="20"/>
          <w:szCs w:val="20"/>
          <w:color w:val="auto"/>
        </w:rPr>
      </w:pPr>
    </w:p>
    <w:p>
      <w:pPr>
        <w:ind w:left="20" w:right="760"/>
        <w:spacing w:after="0" w:line="230" w:lineRule="auto"/>
        <w:rPr>
          <w:sz w:val="20"/>
          <w:szCs w:val="20"/>
          <w:color w:val="auto"/>
        </w:rPr>
      </w:pPr>
      <w:r>
        <w:rPr>
          <w:rFonts w:ascii="Arial" w:cs="Arial" w:eastAsia="Arial" w:hAnsi="Arial"/>
          <w:sz w:val="16"/>
          <w:szCs w:val="16"/>
          <w:b w:val="1"/>
          <w:bCs w:val="1"/>
          <w:u w:val="single" w:color="auto"/>
          <w:color w:val="auto"/>
        </w:rPr>
        <w:t>CONTROLLED INVESTMENTS</w:t>
      </w:r>
      <w:r>
        <w:rPr>
          <w:rFonts w:ascii="Arial" w:cs="Arial" w:eastAsia="Arial" w:hAnsi="Arial"/>
          <w:sz w:val="16"/>
          <w:szCs w:val="16"/>
          <w:b w:val="1"/>
          <w:bCs w:val="1"/>
          <w:color w:val="auto"/>
        </w:rPr>
        <w:t>*</w:t>
      </w:r>
      <w:r>
        <w:rPr>
          <w:rFonts w:ascii="Arial" w:cs="Arial" w:eastAsia="Arial" w:hAnsi="Arial"/>
          <w:sz w:val="21"/>
          <w:szCs w:val="21"/>
          <w:b w:val="1"/>
          <w:bCs w:val="1"/>
          <w:color w:val="auto"/>
          <w:vertAlign w:val="superscript"/>
        </w:rPr>
        <w:t>(2)</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Preferred Stock</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Clean Technology</w:t>
      </w:r>
    </w:p>
    <w:p>
      <w:pPr>
        <w:spacing w:after="0" w:line="59" w:lineRule="exact"/>
        <w:rPr>
          <w:sz w:val="20"/>
          <w:szCs w:val="20"/>
          <w:color w:val="auto"/>
        </w:rPr>
      </w:pPr>
    </w:p>
    <w:p>
      <w:pPr>
        <w:ind w:left="220"/>
        <w:spacing w:after="0" w:line="246" w:lineRule="auto"/>
        <w:rPr>
          <w:sz w:val="20"/>
          <w:szCs w:val="20"/>
          <w:color w:val="auto"/>
        </w:rPr>
      </w:pPr>
      <w:r>
        <w:rPr>
          <w:rFonts w:ascii="Arial" w:cs="Arial" w:eastAsia="Arial" w:hAnsi="Arial"/>
          <w:sz w:val="14"/>
          <w:szCs w:val="14"/>
          <w:color w:val="auto"/>
        </w:rPr>
        <w:t>SPBRX, INC. (f/k/a GSV Sustainability Partners, Inc.)– Preferred shares, Class A***</w:t>
      </w:r>
    </w:p>
    <w:p>
      <w:pPr>
        <w:ind w:left="220"/>
        <w:spacing w:after="0" w:line="237" w:lineRule="auto"/>
        <w:rPr>
          <w:sz w:val="20"/>
          <w:szCs w:val="20"/>
          <w:color w:val="auto"/>
        </w:rPr>
      </w:pPr>
      <w:r>
        <w:rPr>
          <w:rFonts w:ascii="Arial" w:cs="Arial" w:eastAsia="Arial" w:hAnsi="Arial"/>
          <w:sz w:val="11"/>
          <w:szCs w:val="11"/>
          <w:color w:val="auto"/>
        </w:rPr>
        <w:t>(3)</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Global Innovation Platform</w:t>
      </w:r>
    </w:p>
    <w:p>
      <w:pPr>
        <w:spacing w:after="0" w:line="32" w:lineRule="exact"/>
        <w:rPr>
          <w:sz w:val="20"/>
          <w:szCs w:val="20"/>
          <w:color w:val="auto"/>
        </w:rPr>
      </w:pPr>
    </w:p>
    <w:p>
      <w:pPr>
        <w:jc w:val="both"/>
        <w:ind w:left="220" w:right="160"/>
        <w:spacing w:after="0" w:line="231" w:lineRule="auto"/>
        <w:rPr>
          <w:sz w:val="20"/>
          <w:szCs w:val="20"/>
          <w:color w:val="auto"/>
        </w:rPr>
      </w:pPr>
      <w:r>
        <w:rPr>
          <w:rFonts w:ascii="Arial" w:cs="Arial" w:eastAsia="Arial" w:hAnsi="Arial"/>
          <w:sz w:val="15"/>
          <w:szCs w:val="15"/>
          <w:color w:val="auto"/>
        </w:rPr>
        <w:t xml:space="preserve">NestGSV, Inc. (d/b/a GSV Labs, Inc.)–Preferred stock Series A-4 </w:t>
      </w:r>
      <w:r>
        <w:rPr>
          <w:rFonts w:ascii="Arial" w:cs="Arial" w:eastAsia="Arial" w:hAnsi="Arial"/>
          <w:sz w:val="20"/>
          <w:szCs w:val="20"/>
          <w:color w:val="auto"/>
          <w:vertAlign w:val="superscript"/>
        </w:rPr>
        <w:t>(7)</w:t>
      </w:r>
    </w:p>
    <w:p>
      <w:pPr>
        <w:spacing w:after="0" w:line="1" w:lineRule="exact"/>
        <w:rPr>
          <w:sz w:val="20"/>
          <w:szCs w:val="20"/>
          <w:color w:val="auto"/>
        </w:rPr>
      </w:pPr>
    </w:p>
    <w:p>
      <w:pPr>
        <w:jc w:val="both"/>
        <w:ind w:left="220" w:right="160"/>
        <w:spacing w:after="0" w:line="225" w:lineRule="auto"/>
        <w:rPr>
          <w:sz w:val="20"/>
          <w:szCs w:val="20"/>
          <w:color w:val="auto"/>
        </w:rPr>
      </w:pPr>
      <w:r>
        <w:rPr>
          <w:rFonts w:ascii="Arial" w:cs="Arial" w:eastAsia="Arial" w:hAnsi="Arial"/>
          <w:sz w:val="15"/>
          <w:szCs w:val="15"/>
          <w:color w:val="auto"/>
        </w:rPr>
        <w:t xml:space="preserve">NestGSV, Inc. (d/b/a GSV Labs, Inc.)–Preferred stock Series A-3 </w:t>
      </w:r>
      <w:r>
        <w:rPr>
          <w:rFonts w:ascii="Arial" w:cs="Arial" w:eastAsia="Arial" w:hAnsi="Arial"/>
          <w:sz w:val="20"/>
          <w:szCs w:val="20"/>
          <w:color w:val="auto"/>
          <w:vertAlign w:val="superscript"/>
        </w:rPr>
        <w:t>(7)</w:t>
      </w:r>
    </w:p>
    <w:p>
      <w:pPr>
        <w:spacing w:after="0" w:line="1" w:lineRule="exact"/>
        <w:rPr>
          <w:sz w:val="20"/>
          <w:szCs w:val="20"/>
          <w:color w:val="auto"/>
        </w:rPr>
      </w:pPr>
    </w:p>
    <w:p>
      <w:pPr>
        <w:jc w:val="both"/>
        <w:ind w:left="220" w:right="160"/>
        <w:spacing w:after="0" w:line="225" w:lineRule="auto"/>
        <w:rPr>
          <w:sz w:val="20"/>
          <w:szCs w:val="20"/>
          <w:color w:val="auto"/>
        </w:rPr>
      </w:pPr>
      <w:r>
        <w:rPr>
          <w:rFonts w:ascii="Arial" w:cs="Arial" w:eastAsia="Arial" w:hAnsi="Arial"/>
          <w:sz w:val="15"/>
          <w:szCs w:val="15"/>
          <w:color w:val="auto"/>
        </w:rPr>
        <w:t xml:space="preserve">NestGSV, Inc. (d/b/a GSV Labs, Inc.)–Preferred stock Series A-2 </w:t>
      </w:r>
      <w:r>
        <w:rPr>
          <w:rFonts w:ascii="Arial" w:cs="Arial" w:eastAsia="Arial" w:hAnsi="Arial"/>
          <w:sz w:val="20"/>
          <w:szCs w:val="20"/>
          <w:color w:val="auto"/>
          <w:vertAlign w:val="superscript"/>
        </w:rPr>
        <w:t>(7)</w:t>
      </w:r>
    </w:p>
    <w:p>
      <w:pPr>
        <w:spacing w:after="0" w:line="1" w:lineRule="exact"/>
        <w:rPr>
          <w:sz w:val="20"/>
          <w:szCs w:val="20"/>
          <w:color w:val="auto"/>
        </w:rPr>
      </w:pPr>
    </w:p>
    <w:p>
      <w:pPr>
        <w:jc w:val="both"/>
        <w:ind w:left="220" w:right="160"/>
        <w:spacing w:after="0" w:line="231" w:lineRule="auto"/>
        <w:rPr>
          <w:sz w:val="20"/>
          <w:szCs w:val="20"/>
          <w:color w:val="auto"/>
        </w:rPr>
      </w:pPr>
      <w:r>
        <w:rPr>
          <w:rFonts w:ascii="Arial" w:cs="Arial" w:eastAsia="Arial" w:hAnsi="Arial"/>
          <w:sz w:val="15"/>
          <w:szCs w:val="15"/>
          <w:color w:val="auto"/>
        </w:rPr>
        <w:t xml:space="preserve">NestGSV, Inc. (d/b/a GSV Labs, Inc.)–Preferred stock Series A-1 </w:t>
      </w:r>
      <w:r>
        <w:rPr>
          <w:rFonts w:ascii="Arial" w:cs="Arial" w:eastAsia="Arial" w:hAnsi="Arial"/>
          <w:sz w:val="20"/>
          <w:szCs w:val="20"/>
          <w:color w:val="auto"/>
          <w:vertAlign w:val="superscript"/>
        </w:rPr>
        <w:t>(7)</w:t>
      </w:r>
    </w:p>
    <w:p>
      <w:pPr>
        <w:ind w:left="120" w:right="480"/>
        <w:spacing w:after="0" w:line="275" w:lineRule="auto"/>
        <w:rPr>
          <w:sz w:val="20"/>
          <w:szCs w:val="20"/>
          <w:color w:val="auto"/>
        </w:rPr>
      </w:pPr>
      <w:r>
        <w:rPr>
          <w:rFonts w:ascii="Arial" w:cs="Arial" w:eastAsia="Arial" w:hAnsi="Arial"/>
          <w:sz w:val="16"/>
          <w:szCs w:val="16"/>
          <w:i w:val="1"/>
          <w:iCs w:val="1"/>
          <w:color w:val="auto"/>
        </w:rPr>
        <w:t>Total Global Innovation Platform</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Preferred Stock</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Common Stock</w:t>
      </w:r>
    </w:p>
    <w:p>
      <w:pPr>
        <w:spacing w:after="0" w:line="77"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Clean Technology</w:t>
      </w:r>
    </w:p>
    <w:p>
      <w:pPr>
        <w:spacing w:after="0" w:line="73" w:lineRule="exact"/>
        <w:rPr>
          <w:sz w:val="20"/>
          <w:szCs w:val="20"/>
          <w:color w:val="auto"/>
        </w:rPr>
      </w:pPr>
    </w:p>
    <w:p>
      <w:pPr>
        <w:ind w:left="220" w:right="20"/>
        <w:spacing w:after="0" w:line="278" w:lineRule="auto"/>
        <w:rPr>
          <w:sz w:val="20"/>
          <w:szCs w:val="20"/>
          <w:color w:val="auto"/>
        </w:rPr>
      </w:pPr>
      <w:r>
        <w:rPr>
          <w:rFonts w:ascii="Arial" w:cs="Arial" w:eastAsia="Arial" w:hAnsi="Arial"/>
          <w:sz w:val="16"/>
          <w:szCs w:val="16"/>
          <w:color w:val="auto"/>
        </w:rPr>
        <w:t>SPBRX, INC. (f/k/a GSV Sustainability Partners, Inc.)– Common shares</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Global Innovation Platform</w:t>
      </w:r>
    </w:p>
    <w:p>
      <w:pPr>
        <w:spacing w:after="0" w:line="59" w:lineRule="exact"/>
        <w:rPr>
          <w:sz w:val="20"/>
          <w:szCs w:val="20"/>
          <w:color w:val="auto"/>
        </w:rPr>
      </w:pPr>
    </w:p>
    <w:p>
      <w:pPr>
        <w:ind w:left="220" w:right="100"/>
        <w:spacing w:after="0" w:line="249" w:lineRule="auto"/>
        <w:rPr>
          <w:sz w:val="20"/>
          <w:szCs w:val="20"/>
          <w:color w:val="auto"/>
        </w:rPr>
      </w:pPr>
      <w:r>
        <w:rPr>
          <w:rFonts w:ascii="Arial" w:cs="Arial" w:eastAsia="Arial" w:hAnsi="Arial"/>
          <w:sz w:val="14"/>
          <w:szCs w:val="14"/>
          <w:color w:val="auto"/>
        </w:rPr>
        <w:t>NestGSV, Inc. (d/b/a GSV Labs, Inc.)–Common shares</w:t>
      </w:r>
    </w:p>
    <w:p>
      <w:pPr>
        <w:ind w:left="220"/>
        <w:spacing w:after="0" w:line="235" w:lineRule="auto"/>
        <w:rPr>
          <w:sz w:val="20"/>
          <w:szCs w:val="20"/>
          <w:color w:val="auto"/>
        </w:rPr>
      </w:pPr>
      <w:r>
        <w:rPr>
          <w:rFonts w:ascii="Arial" w:cs="Arial" w:eastAsia="Arial" w:hAnsi="Arial"/>
          <w:sz w:val="11"/>
          <w:szCs w:val="11"/>
          <w:color w:val="auto"/>
        </w:rPr>
        <w:t>(7)</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Common Stock</w:t>
      </w:r>
    </w:p>
    <w:p>
      <w:pPr>
        <w:spacing w:after="0" w:line="73" w:lineRule="exact"/>
        <w:rPr>
          <w:sz w:val="20"/>
          <w:szCs w:val="20"/>
          <w:color w:val="auto"/>
        </w:rPr>
      </w:pPr>
    </w:p>
    <w:p>
      <w:pPr>
        <w:ind w:left="20" w:right="380"/>
        <w:spacing w:after="0" w:line="255" w:lineRule="auto"/>
        <w:rPr>
          <w:sz w:val="20"/>
          <w:szCs w:val="20"/>
          <w:color w:val="auto"/>
        </w:rPr>
      </w:pPr>
      <w:r>
        <w:rPr>
          <w:rFonts w:ascii="Arial" w:cs="Arial" w:eastAsia="Arial" w:hAnsi="Arial"/>
          <w:sz w:val="16"/>
          <w:szCs w:val="16"/>
          <w:b w:val="1"/>
          <w:bCs w:val="1"/>
          <w:color w:val="auto"/>
        </w:rPr>
        <w:t>TOTAL CONTROLLED INVESTMENTS*</w:t>
      </w:r>
      <w:r>
        <w:rPr>
          <w:rFonts w:ascii="Arial" w:cs="Arial" w:eastAsia="Arial" w:hAnsi="Arial"/>
          <w:sz w:val="21"/>
          <w:szCs w:val="21"/>
          <w:b w:val="1"/>
          <w:bCs w:val="1"/>
          <w:color w:val="auto"/>
          <w:vertAlign w:val="superscript"/>
        </w:rPr>
        <w:t>(2)</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line="1" w:lineRule="exact"/>
        <w:rPr>
          <w:sz w:val="1"/>
          <w:szCs w:val="1"/>
          <w:color w:val="auto"/>
        </w:rPr>
      </w:pPr>
    </w:p>
    <w:tbl>
      <w:tblPr>
        <w:tblLayout w:type="fixed"/>
        <w:tblInd w:w="8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Interest, Fees,</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Purchases,</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or</w:t>
            </w: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Fair Value at</w:t>
            </w: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Capitalized</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8"/>
              </w:rPr>
              <w:t>Fair Value at</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8"/>
        </w:trPr>
        <w:tc>
          <w:tcPr>
            <w:tcW w:w="9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5"/>
              </w:rPr>
              <w:t>Principal/</w:t>
            </w:r>
          </w:p>
        </w:tc>
        <w:tc>
          <w:tcPr>
            <w:tcW w:w="10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Dividends</w:t>
            </w:r>
          </w:p>
        </w:tc>
        <w:tc>
          <w:tcPr>
            <w:tcW w:w="1020" w:type="dxa"/>
            <w:vAlign w:val="bottom"/>
            <w:gridSpan w:val="2"/>
            <w:vMerge w:val="continue"/>
          </w:tcPr>
          <w:p>
            <w:pPr>
              <w:spacing w:after="0"/>
              <w:rPr>
                <w:sz w:val="12"/>
                <w:szCs w:val="12"/>
                <w:color w:val="auto"/>
              </w:rPr>
            </w:pPr>
          </w:p>
        </w:tc>
        <w:tc>
          <w:tcPr>
            <w:tcW w:w="10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Corporate</w:t>
            </w: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Fees,</w:t>
            </w: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Realized</w:t>
            </w:r>
          </w:p>
        </w:tc>
        <w:tc>
          <w:tcPr>
            <w:tcW w:w="10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Unrealized</w:t>
            </w:r>
          </w:p>
        </w:tc>
        <w:tc>
          <w:tcPr>
            <w:tcW w:w="94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80" w:type="dxa"/>
            <w:vAlign w:val="bottom"/>
            <w:gridSpan w:val="2"/>
            <w:vMerge w:val="continue"/>
          </w:tcPr>
          <w:p>
            <w:pPr>
              <w:spacing w:after="0"/>
              <w:rPr>
                <w:sz w:val="12"/>
                <w:szCs w:val="12"/>
                <w:color w:val="auto"/>
              </w:rPr>
            </w:pPr>
          </w:p>
        </w:tc>
        <w:tc>
          <w:tcPr>
            <w:tcW w:w="10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Credited</w:t>
            </w: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80" w:type="dxa"/>
            <w:vAlign w:val="bottom"/>
            <w:gridSpan w:val="2"/>
            <w:vMerge w:val="continue"/>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Interest and</w:t>
            </w:r>
          </w:p>
        </w:tc>
        <w:tc>
          <w:tcPr>
            <w:tcW w:w="100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December</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Net</w:t>
            </w:r>
          </w:p>
        </w:tc>
        <w:tc>
          <w:tcPr>
            <w:tcW w:w="0" w:type="dxa"/>
            <w:vAlign w:val="bottom"/>
          </w:tcPr>
          <w:p>
            <w:pPr>
              <w:spacing w:after="0"/>
              <w:rPr>
                <w:sz w:val="1"/>
                <w:szCs w:val="1"/>
                <w:color w:val="auto"/>
              </w:rPr>
            </w:pPr>
          </w:p>
        </w:tc>
      </w:tr>
      <w:tr>
        <w:trPr>
          <w:trHeight w:val="192"/>
        </w:trPr>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Quantity</w:t>
            </w:r>
          </w:p>
        </w:tc>
        <w:tc>
          <w:tcPr>
            <w:tcW w:w="8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Income</w:t>
            </w:r>
          </w:p>
        </w:tc>
        <w:tc>
          <w:tcPr>
            <w:tcW w:w="8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Action</w:t>
            </w:r>
          </w:p>
        </w:tc>
        <w:tc>
          <w:tcPr>
            <w:tcW w:w="8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8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Gains/(Losses)</w:t>
            </w:r>
          </w:p>
        </w:tc>
        <w:tc>
          <w:tcPr>
            <w:tcW w:w="8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Gains/(Losses)</w:t>
            </w:r>
          </w:p>
        </w:tc>
        <w:tc>
          <w:tcPr>
            <w:tcW w:w="8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31, 2019</w:t>
            </w:r>
          </w:p>
        </w:tc>
        <w:tc>
          <w:tcPr>
            <w:tcW w:w="8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-1391285</wp:posOffset>
            </wp:positionH>
            <wp:positionV relativeFrom="paragraph">
              <wp:posOffset>402590</wp:posOffset>
            </wp:positionV>
            <wp:extent cx="7106285" cy="1631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06285" cy="163195"/>
                    </a:xfrm>
                    <a:prstGeom prst="rect">
                      <a:avLst/>
                    </a:prstGeom>
                    <a:noFill/>
                  </pic:spPr>
                </pic:pic>
              </a:graphicData>
            </a:graphic>
          </wp:anchor>
        </w:drawing>
        <w:drawing>
          <wp:anchor simplePos="0" relativeHeight="251657728" behindDoc="1" locked="0" layoutInCell="0" allowOverlap="1">
            <wp:simplePos x="0" y="0"/>
            <wp:positionH relativeFrom="column">
              <wp:posOffset>-1391285</wp:posOffset>
            </wp:positionH>
            <wp:positionV relativeFrom="paragraph">
              <wp:posOffset>-7620</wp:posOffset>
            </wp:positionV>
            <wp:extent cx="7106285" cy="2489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0628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00" w:type="dxa"/>
        <w:tblCellMar>
          <w:top w:w="0" w:type="dxa"/>
          <w:left w:w="0" w:type="dxa"/>
          <w:bottom w:w="0" w:type="dxa"/>
          <w:right w:w="0" w:type="dxa"/>
        </w:tblCellMar>
      </w:tblPr>
      <w:tr>
        <w:trPr>
          <w:trHeight w:val="206"/>
        </w:trPr>
        <w:tc>
          <w:tcPr>
            <w:tcW w:w="960" w:type="dxa"/>
            <w:vAlign w:val="bottom"/>
          </w:tcPr>
          <w:p>
            <w:pPr>
              <w:jc w:val="right"/>
              <w:ind w:right="139"/>
              <w:spacing w:after="0"/>
              <w:rPr>
                <w:sz w:val="20"/>
                <w:szCs w:val="20"/>
                <w:color w:val="auto"/>
              </w:rPr>
            </w:pPr>
            <w:r>
              <w:rPr>
                <w:rFonts w:ascii="Arial" w:cs="Arial" w:eastAsia="Arial" w:hAnsi="Arial"/>
                <w:sz w:val="16"/>
                <w:szCs w:val="16"/>
                <w:color w:val="auto"/>
                <w:w w:val="89"/>
              </w:rPr>
              <w:t>14,300,000</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400,000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750,198</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64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25,000</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w w:val="96"/>
              </w:rPr>
              <w:t>775,198</w:t>
            </w:r>
          </w:p>
        </w:tc>
        <w:tc>
          <w:tcPr>
            <w:tcW w:w="860" w:type="dxa"/>
            <w:vAlign w:val="bottom"/>
          </w:tcPr>
          <w:p>
            <w:pPr>
              <w:jc w:val="right"/>
              <w:spacing w:after="0"/>
              <w:rPr>
                <w:sz w:val="20"/>
                <w:szCs w:val="20"/>
                <w:color w:val="auto"/>
              </w:rPr>
            </w:pPr>
            <w:r>
              <w:rPr>
                <w:rFonts w:ascii="Arial" w:cs="Arial" w:eastAsia="Arial" w:hAnsi="Arial"/>
                <w:sz w:val="16"/>
                <w:szCs w:val="16"/>
                <w:color w:val="auto"/>
              </w:rPr>
              <w:t>0.39 %</w:t>
            </w:r>
          </w:p>
        </w:tc>
      </w:tr>
      <w:tr>
        <w:trPr>
          <w:trHeight w:val="756"/>
        </w:trPr>
        <w:tc>
          <w:tcPr>
            <w:tcW w:w="9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84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w w:val="89"/>
              </w:rPr>
              <w:t>4,960,553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w w:val="90"/>
              </w:rPr>
              <w:t>(4,904,498)</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4"/>
                <w:szCs w:val="24"/>
                <w:color w:val="auto"/>
              </w:rPr>
            </w:pPr>
          </w:p>
        </w:tc>
        <w:tc>
          <w:tcPr>
            <w:tcW w:w="64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(56,055)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540"/>
        </w:trPr>
        <w:tc>
          <w:tcPr>
            <w:tcW w:w="9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84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w w:val="89"/>
              </w:rPr>
              <w:t>1,735,134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w w:val="90"/>
              </w:rPr>
              <w:t>(2,005,730)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4"/>
                <w:szCs w:val="24"/>
                <w:color w:val="auto"/>
              </w:rPr>
            </w:pPr>
          </w:p>
        </w:tc>
        <w:tc>
          <w:tcPr>
            <w:tcW w:w="64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270,596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540"/>
        </w:trPr>
        <w:tc>
          <w:tcPr>
            <w:tcW w:w="9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84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300,000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(605,500)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4"/>
                <w:szCs w:val="24"/>
                <w:color w:val="auto"/>
              </w:rPr>
            </w:pPr>
          </w:p>
        </w:tc>
        <w:tc>
          <w:tcPr>
            <w:tcW w:w="64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305,500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540"/>
        </w:trPr>
        <w:tc>
          <w:tcPr>
            <w:tcW w:w="9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84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499,999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w w:val="90"/>
              </w:rPr>
              <w:t>(1,021,778)</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4"/>
                <w:szCs w:val="24"/>
                <w:color w:val="auto"/>
              </w:rPr>
            </w:pPr>
          </w:p>
        </w:tc>
        <w:tc>
          <w:tcPr>
            <w:tcW w:w="64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521,779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33"/>
        </w:trPr>
        <w:tc>
          <w:tcPr>
            <w:tcW w:w="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60" w:type="dxa"/>
            <w:vAlign w:val="bottom"/>
          </w:tcPr>
          <w:p>
            <w:pPr>
              <w:spacing w:after="0"/>
              <w:rPr>
                <w:sz w:val="2"/>
                <w:szCs w:val="2"/>
                <w:color w:val="auto"/>
              </w:rPr>
            </w:pPr>
          </w:p>
        </w:tc>
      </w:tr>
      <w:tr>
        <w:trPr>
          <w:trHeight w:val="406"/>
        </w:trPr>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w w:val="89"/>
              </w:rPr>
              <w:t>7,495,686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w w:val="90"/>
              </w:rPr>
              <w:t>(8,537,506)</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4"/>
                <w:szCs w:val="24"/>
                <w:color w:val="auto"/>
              </w:rPr>
            </w:pPr>
          </w:p>
        </w:tc>
        <w:tc>
          <w:tcPr>
            <w:tcW w:w="64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w w:val="89"/>
              </w:rPr>
              <w:t>1,041,820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57"/>
        </w:trPr>
        <w:tc>
          <w:tcPr>
            <w:tcW w:w="96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400,000</w:t>
            </w: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w w:val="89"/>
              </w:rPr>
              <w:t>8,245,884</w:t>
            </w: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w w:val="90"/>
              </w:rPr>
              <w:t>(8,537,506)</w:t>
            </w:r>
          </w:p>
        </w:tc>
        <w:tc>
          <w:tcPr>
            <w:tcW w:w="80" w:type="dxa"/>
            <w:vAlign w:val="bottom"/>
          </w:tcPr>
          <w:p>
            <w:pPr>
              <w:spacing w:after="0"/>
              <w:rPr>
                <w:sz w:val="22"/>
                <w:szCs w:val="22"/>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64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w w:val="89"/>
              </w:rPr>
              <w:t>1,066,820</w:t>
            </w: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w w:val="96"/>
              </w:rPr>
              <w:t>775,198</w:t>
            </w:r>
          </w:p>
        </w:tc>
        <w:tc>
          <w:tcPr>
            <w:tcW w:w="860" w:type="dxa"/>
            <w:vAlign w:val="bottom"/>
          </w:tcPr>
          <w:p>
            <w:pPr>
              <w:jc w:val="right"/>
              <w:spacing w:after="0"/>
              <w:rPr>
                <w:sz w:val="20"/>
                <w:szCs w:val="20"/>
                <w:color w:val="auto"/>
              </w:rPr>
            </w:pPr>
            <w:r>
              <w:rPr>
                <w:rFonts w:ascii="Arial" w:cs="Arial" w:eastAsia="Arial" w:hAnsi="Arial"/>
                <w:sz w:val="16"/>
                <w:szCs w:val="16"/>
                <w:color w:val="auto"/>
              </w:rPr>
              <w:t>0.39 %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-1391285</wp:posOffset>
            </wp:positionH>
            <wp:positionV relativeFrom="paragraph">
              <wp:posOffset>-1941195</wp:posOffset>
            </wp:positionV>
            <wp:extent cx="7106285"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-1391285</wp:posOffset>
            </wp:positionH>
            <wp:positionV relativeFrom="paragraph">
              <wp:posOffset>-1461135</wp:posOffset>
            </wp:positionV>
            <wp:extent cx="7106285" cy="3429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06285" cy="342900"/>
                    </a:xfrm>
                    <a:prstGeom prst="rect">
                      <a:avLst/>
                    </a:prstGeom>
                    <a:noFill/>
                  </pic:spPr>
                </pic:pic>
              </a:graphicData>
            </a:graphic>
          </wp:anchor>
        </w:drawing>
        <w:drawing>
          <wp:anchor simplePos="0" relativeHeight="251657728" behindDoc="1" locked="0" layoutInCell="0" allowOverlap="1">
            <wp:simplePos x="0" y="0"/>
            <wp:positionH relativeFrom="column">
              <wp:posOffset>-1391285</wp:posOffset>
            </wp:positionH>
            <wp:positionV relativeFrom="paragraph">
              <wp:posOffset>-775970</wp:posOffset>
            </wp:positionV>
            <wp:extent cx="7106285" cy="3429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06285" cy="342900"/>
                    </a:xfrm>
                    <a:prstGeom prst="rect">
                      <a:avLst/>
                    </a:prstGeom>
                    <a:noFill/>
                  </pic:spPr>
                </pic:pic>
              </a:graphicData>
            </a:graphic>
          </wp:anchor>
        </w:drawing>
        <w:drawing>
          <wp:anchor simplePos="0" relativeHeight="251657728" behindDoc="1" locked="0" layoutInCell="0" allowOverlap="1">
            <wp:simplePos x="0" y="0"/>
            <wp:positionH relativeFrom="column">
              <wp:posOffset>-1391285</wp:posOffset>
            </wp:positionH>
            <wp:positionV relativeFrom="paragraph">
              <wp:posOffset>-140970</wp:posOffset>
            </wp:positionV>
            <wp:extent cx="7106285" cy="1625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06285" cy="162560"/>
                    </a:xfrm>
                    <a:prstGeom prst="rect">
                      <a:avLst/>
                    </a:prstGeom>
                    <a:noFill/>
                  </pic:spPr>
                </pic:pic>
              </a:graphicData>
            </a:graphic>
          </wp:anchor>
        </w:drawing>
        <w:drawing>
          <wp:anchor simplePos="0" relativeHeight="251657728" behindDoc="1" locked="0" layoutInCell="0" allowOverlap="1">
            <wp:simplePos x="0" y="0"/>
            <wp:positionH relativeFrom="column">
              <wp:posOffset>-1391285</wp:posOffset>
            </wp:positionH>
            <wp:positionV relativeFrom="paragraph">
              <wp:posOffset>184150</wp:posOffset>
            </wp:positionV>
            <wp:extent cx="7106285" cy="1625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06285"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80" w:type="dxa"/>
            <w:vAlign w:val="bottom"/>
          </w:tcPr>
          <w:p>
            <w:pPr>
              <w:jc w:val="right"/>
              <w:ind w:right="59"/>
              <w:spacing w:after="0"/>
              <w:rPr>
                <w:sz w:val="20"/>
                <w:szCs w:val="20"/>
                <w:color w:val="auto"/>
              </w:rPr>
            </w:pPr>
            <w:r>
              <w:rPr>
                <w:rFonts w:ascii="Arial" w:cs="Arial" w:eastAsia="Arial" w:hAnsi="Arial"/>
                <w:sz w:val="16"/>
                <w:szCs w:val="16"/>
                <w:color w:val="auto"/>
              </w:rPr>
              <w:t>100,000</w:t>
            </w:r>
          </w:p>
        </w:tc>
        <w:tc>
          <w:tcPr>
            <w:tcW w:w="8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64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729"/>
        </w:trPr>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84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90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(1,000)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4"/>
                <w:szCs w:val="24"/>
                <w:color w:val="auto"/>
              </w:rPr>
            </w:pPr>
          </w:p>
        </w:tc>
        <w:tc>
          <w:tcPr>
            <w:tcW w:w="64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1,000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56"/>
        </w:trPr>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(1,000)</w:t>
            </w:r>
          </w:p>
        </w:tc>
        <w:tc>
          <w:tcPr>
            <w:tcW w:w="80" w:type="dxa"/>
            <w:vAlign w:val="bottom"/>
          </w:tcPr>
          <w:p>
            <w:pPr>
              <w:spacing w:after="0"/>
              <w:rPr>
                <w:sz w:val="22"/>
                <w:szCs w:val="22"/>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64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1,000</w:t>
            </w: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33"/>
        </w:trPr>
        <w:tc>
          <w:tcPr>
            <w:tcW w:w="980" w:type="dxa"/>
            <w:vAlign w:val="bottom"/>
            <w:tcBorders>
              <w:bottom w:val="single" w:sz="8" w:color="CCEEFF"/>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311"/>
        </w:trPr>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Pr>
          <w:p>
            <w:pPr>
              <w:jc w:val="right"/>
              <w:ind w:right="59"/>
              <w:spacing w:after="0"/>
              <w:rPr>
                <w:sz w:val="20"/>
                <w:szCs w:val="20"/>
                <w:color w:val="auto"/>
              </w:rPr>
            </w:pPr>
            <w:r>
              <w:rPr>
                <w:rFonts w:ascii="Arial" w:cs="Arial" w:eastAsia="Arial" w:hAnsi="Arial"/>
                <w:sz w:val="16"/>
                <w:szCs w:val="16"/>
                <w:b w:val="1"/>
                <w:bCs w:val="1"/>
                <w:color w:val="auto"/>
              </w:rPr>
              <w:t>400,000</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8,245,884</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w w:val="90"/>
              </w:rPr>
              <w:t>(8,538,506)</w:t>
            </w:r>
          </w:p>
        </w:tc>
        <w:tc>
          <w:tcPr>
            <w:tcW w:w="80" w:type="dxa"/>
            <w:vAlign w:val="bottom"/>
          </w:tcPr>
          <w:p>
            <w:pPr>
              <w:spacing w:after="0"/>
              <w:rPr>
                <w:sz w:val="24"/>
                <w:szCs w:val="24"/>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680" w:type="dxa"/>
            <w:vAlign w:val="bottom"/>
            <w:gridSpan w:val="2"/>
          </w:tcPr>
          <w:p>
            <w:pPr>
              <w:ind w:left="28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640" w:type="dxa"/>
            <w:vAlign w:val="bottom"/>
            <w:gridSpan w:val="2"/>
          </w:tcPr>
          <w:p>
            <w:pPr>
              <w:ind w:left="26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1,067,820</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Pr>
          <w:p>
            <w:pPr>
              <w:jc w:val="right"/>
              <w:ind w:right="59"/>
              <w:spacing w:after="0"/>
              <w:rPr>
                <w:sz w:val="20"/>
                <w:szCs w:val="20"/>
                <w:color w:val="auto"/>
              </w:rPr>
            </w:pPr>
            <w:r>
              <w:rPr>
                <w:rFonts w:ascii="Arial" w:cs="Arial" w:eastAsia="Arial" w:hAnsi="Arial"/>
                <w:sz w:val="16"/>
                <w:szCs w:val="16"/>
                <w:b w:val="1"/>
                <w:bCs w:val="1"/>
                <w:color w:val="auto"/>
                <w:w w:val="96"/>
              </w:rPr>
              <w:t>775,198</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0.39 %</w:t>
            </w:r>
          </w:p>
        </w:tc>
      </w:tr>
      <w:tr>
        <w:trPr>
          <w:trHeight w:val="33"/>
        </w:trPr>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-1391285</wp:posOffset>
            </wp:positionH>
            <wp:positionV relativeFrom="paragraph">
              <wp:posOffset>-890905</wp:posOffset>
            </wp:positionV>
            <wp:extent cx="7106285" cy="1625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06285" cy="162560"/>
                    </a:xfrm>
                    <a:prstGeom prst="rect">
                      <a:avLst/>
                    </a:prstGeom>
                    <a:noFill/>
                  </pic:spPr>
                </pic:pic>
              </a:graphicData>
            </a:graphic>
          </wp:anchor>
        </w:drawing>
        <w:drawing>
          <wp:anchor simplePos="0" relativeHeight="251657728" behindDoc="1" locked="0" layoutInCell="0" allowOverlap="1">
            <wp:simplePos x="0" y="0"/>
            <wp:positionH relativeFrom="column">
              <wp:posOffset>-1391285</wp:posOffset>
            </wp:positionH>
            <wp:positionV relativeFrom="paragraph">
              <wp:posOffset>-427990</wp:posOffset>
            </wp:positionV>
            <wp:extent cx="7106285"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246" w:lineRule="exact"/>
        <w:rPr>
          <w:sz w:val="20"/>
          <w:szCs w:val="20"/>
          <w:color w:val="auto"/>
        </w:rPr>
      </w:pPr>
    </w:p>
    <w:p>
      <w:pPr>
        <w:sectPr>
          <w:pgSz w:w="11900" w:h="16838" w:orient="portrait"/>
          <w:cols w:equalWidth="0" w:num="2">
            <w:col w:w="2160" w:space="40"/>
            <w:col w:w="9020"/>
          </w:cols>
          <w:pgMar w:left="320" w:top="122" w:right="359"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220"/>
          </w:cols>
          <w:pgMar w:left="320" w:top="122" w:right="359" w:bottom="1440" w:gutter="0" w:footer="0" w:header="0"/>
          <w:type w:val="continuous"/>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2020</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Interest,</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Purchases,</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Fees, or</w:t>
            </w:r>
          </w:p>
        </w:tc>
        <w:tc>
          <w:tcPr>
            <w:tcW w:w="10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6"/>
              </w:rPr>
              <w:t>Fair Value at</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Capitalized</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8"/>
              </w:rPr>
              <w:t>Fair Value at</w:t>
            </w:r>
          </w:p>
        </w:tc>
        <w:tc>
          <w:tcPr>
            <w:tcW w:w="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Dividends</w:t>
            </w:r>
          </w:p>
        </w:tc>
        <w:tc>
          <w:tcPr>
            <w:tcW w:w="10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Fees,</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gridSpan w:val="4"/>
          </w:tcPr>
          <w:p>
            <w:pPr>
              <w:spacing w:after="0"/>
              <w:rPr>
                <w:sz w:val="20"/>
                <w:szCs w:val="20"/>
                <w:color w:val="auto"/>
              </w:rPr>
            </w:pPr>
            <w:r>
              <w:rPr>
                <w:rFonts w:ascii="Arial" w:cs="Arial" w:eastAsia="Arial" w:hAnsi="Arial"/>
                <w:sz w:val="14"/>
                <w:szCs w:val="14"/>
                <w:b w:val="1"/>
                <w:bCs w:val="1"/>
                <w:color w:val="auto"/>
              </w:rPr>
              <w:t>Type/Industry/Portfolio</w:t>
            </w:r>
          </w:p>
        </w:tc>
        <w:tc>
          <w:tcPr>
            <w:tcW w:w="20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Principal/</w:t>
            </w:r>
          </w:p>
        </w:tc>
        <w:tc>
          <w:tcPr>
            <w:tcW w:w="12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Credited</w:t>
            </w:r>
          </w:p>
        </w:tc>
        <w:tc>
          <w:tcPr>
            <w:tcW w:w="10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Corporate</w:t>
            </w:r>
          </w:p>
        </w:tc>
        <w:tc>
          <w:tcPr>
            <w:tcW w:w="10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Interest and</w:t>
            </w:r>
          </w:p>
        </w:tc>
        <w:tc>
          <w:tcPr>
            <w:tcW w:w="120" w:type="dxa"/>
            <w:vAlign w:val="bottom"/>
          </w:tcPr>
          <w:p>
            <w:pPr>
              <w:spacing w:after="0"/>
              <w:rPr>
                <w:sz w:val="14"/>
                <w:szCs w:val="14"/>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Realized</w:t>
            </w: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Unrealized</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80" w:type="dxa"/>
            <w:vAlign w:val="bottom"/>
          </w:tcPr>
          <w:p>
            <w:pPr>
              <w:spacing w:after="0"/>
              <w:rPr>
                <w:sz w:val="14"/>
                <w:szCs w:val="14"/>
                <w:color w:val="auto"/>
              </w:rPr>
            </w:pPr>
          </w:p>
        </w:tc>
        <w:tc>
          <w:tcPr>
            <w:tcW w:w="780" w:type="dxa"/>
            <w:vAlign w:val="bottom"/>
          </w:tcPr>
          <w:p>
            <w:pPr>
              <w:jc w:val="right"/>
              <w:ind w:right="122"/>
              <w:spacing w:after="0"/>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20" w:type="dxa"/>
            <w:vAlign w:val="bottom"/>
            <w:gridSpan w:val="4"/>
          </w:tcPr>
          <w:p>
            <w:pPr>
              <w:spacing w:after="0"/>
              <w:rPr>
                <w:sz w:val="20"/>
                <w:szCs w:val="20"/>
                <w:color w:val="auto"/>
              </w:rPr>
            </w:pPr>
            <w:r>
              <w:rPr>
                <w:rFonts w:ascii="Arial" w:cs="Arial" w:eastAsia="Arial" w:hAnsi="Arial"/>
                <w:sz w:val="14"/>
                <w:szCs w:val="14"/>
                <w:b w:val="1"/>
                <w:bCs w:val="1"/>
                <w:color w:val="auto"/>
              </w:rPr>
              <w:t>Company/Investment</w:t>
            </w:r>
          </w:p>
        </w:tc>
        <w:tc>
          <w:tcPr>
            <w:tcW w:w="200" w:type="dxa"/>
            <w:vAlign w:val="bottom"/>
          </w:tcPr>
          <w:p>
            <w:pPr>
              <w:spacing w:after="0"/>
              <w:rPr>
                <w:sz w:val="15"/>
                <w:szCs w:val="15"/>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Quantity</w:t>
            </w:r>
          </w:p>
        </w:tc>
        <w:tc>
          <w:tcPr>
            <w:tcW w:w="120" w:type="dxa"/>
            <w:vAlign w:val="bottom"/>
          </w:tcPr>
          <w:p>
            <w:pPr>
              <w:spacing w:after="0"/>
              <w:rPr>
                <w:sz w:val="15"/>
                <w:szCs w:val="15"/>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in Income</w:t>
            </w:r>
          </w:p>
        </w:tc>
        <w:tc>
          <w:tcPr>
            <w:tcW w:w="120" w:type="dxa"/>
            <w:vAlign w:val="bottom"/>
          </w:tcPr>
          <w:p>
            <w:pPr>
              <w:spacing w:after="0"/>
              <w:rPr>
                <w:sz w:val="15"/>
                <w:szCs w:val="15"/>
                <w:color w:val="auto"/>
              </w:rPr>
            </w:pPr>
          </w:p>
        </w:tc>
        <w:tc>
          <w:tcPr>
            <w:tcW w:w="800" w:type="dxa"/>
            <w:vAlign w:val="bottom"/>
          </w:tcPr>
          <w:p>
            <w:pPr>
              <w:jc w:val="center"/>
              <w:ind w:right="20"/>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Action</w:t>
            </w:r>
          </w:p>
        </w:tc>
        <w:tc>
          <w:tcPr>
            <w:tcW w:w="10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8"/>
              </w:rPr>
              <w:t>Amortization</w:t>
            </w:r>
          </w:p>
        </w:tc>
        <w:tc>
          <w:tcPr>
            <w:tcW w:w="1080" w:type="dxa"/>
            <w:vAlign w:val="bottom"/>
            <w:gridSpan w:val="3"/>
          </w:tcPr>
          <w:p>
            <w:pPr>
              <w:ind w:left="60"/>
              <w:spacing w:after="0"/>
              <w:rPr>
                <w:sz w:val="20"/>
                <w:szCs w:val="20"/>
                <w:color w:val="auto"/>
              </w:rPr>
            </w:pPr>
            <w:r>
              <w:rPr>
                <w:rFonts w:ascii="Arial" w:cs="Arial" w:eastAsia="Arial" w:hAnsi="Arial"/>
                <w:sz w:val="14"/>
                <w:szCs w:val="14"/>
                <w:b w:val="1"/>
                <w:bCs w:val="1"/>
                <w:color w:val="auto"/>
                <w:w w:val="99"/>
              </w:rPr>
              <w:t>Gains/(Losses)</w:t>
            </w: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Gains/(Losses)</w:t>
            </w:r>
          </w:p>
        </w:tc>
        <w:tc>
          <w:tcPr>
            <w:tcW w:w="100" w:type="dxa"/>
            <w:vAlign w:val="bottom"/>
          </w:tcPr>
          <w:p>
            <w:pPr>
              <w:spacing w:after="0"/>
              <w:rPr>
                <w:sz w:val="15"/>
                <w:szCs w:val="15"/>
                <w:color w:val="auto"/>
              </w:rPr>
            </w:pPr>
          </w:p>
        </w:tc>
        <w:tc>
          <w:tcPr>
            <w:tcW w:w="800" w:type="dxa"/>
            <w:vAlign w:val="bottom"/>
          </w:tcPr>
          <w:p>
            <w:pPr>
              <w:jc w:val="center"/>
              <w:ind w:right="20"/>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5"/>
                <w:szCs w:val="15"/>
                <w:color w:val="auto"/>
              </w:rPr>
            </w:pPr>
          </w:p>
        </w:tc>
        <w:tc>
          <w:tcPr>
            <w:tcW w:w="780" w:type="dxa"/>
            <w:vAlign w:val="bottom"/>
          </w:tcPr>
          <w:p>
            <w:pPr>
              <w:jc w:val="right"/>
              <w:ind w:right="122"/>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2220" w:type="dxa"/>
            <w:vAlign w:val="bottom"/>
            <w:gridSpan w:val="4"/>
            <w:shd w:val="clear" w:color="auto" w:fill="CCEEFF"/>
          </w:tcPr>
          <w:p>
            <w:pPr>
              <w:spacing w:after="0" w:line="142" w:lineRule="exact"/>
              <w:rPr>
                <w:sz w:val="20"/>
                <w:szCs w:val="20"/>
                <w:color w:val="auto"/>
              </w:rPr>
            </w:pPr>
            <w:r>
              <w:rPr>
                <w:rFonts w:ascii="Arial" w:cs="Arial" w:eastAsia="Arial" w:hAnsi="Arial"/>
                <w:sz w:val="16"/>
                <w:szCs w:val="16"/>
                <w:b w:val="1"/>
                <w:bCs w:val="1"/>
                <w:color w:val="auto"/>
              </w:rPr>
              <w:t>NON-</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800" w:type="dxa"/>
            <w:vAlign w:val="bottom"/>
            <w:tcBorders>
              <w:top w:val="single" w:sz="8" w:color="CCEEFF"/>
            </w:tcBorders>
            <w:gridSpan w:val="3"/>
            <w:shd w:val="clear" w:color="auto" w:fill="CCEEFF"/>
          </w:tcPr>
          <w:p>
            <w:pPr>
              <w:spacing w:after="0" w:line="142" w:lineRule="exact"/>
              <w:rPr>
                <w:sz w:val="20"/>
                <w:szCs w:val="20"/>
                <w:color w:val="auto"/>
              </w:rPr>
            </w:pPr>
            <w:r>
              <w:rPr>
                <w:rFonts w:ascii="Arial" w:cs="Arial" w:eastAsia="Arial" w:hAnsi="Arial"/>
                <w:sz w:val="16"/>
                <w:szCs w:val="16"/>
                <w:b w:val="1"/>
                <w:bCs w:val="1"/>
                <w:color w:val="auto"/>
                <w:w w:val="90"/>
              </w:rPr>
              <w:t>CONTROLLED/AFFILIATE</w:t>
            </w:r>
          </w:p>
        </w:tc>
        <w:tc>
          <w:tcPr>
            <w:tcW w:w="2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2080" w:type="dxa"/>
            <w:vAlign w:val="bottom"/>
            <w:tcBorders>
              <w:top w:val="single" w:sz="8" w:color="auto"/>
            </w:tcBorders>
            <w:gridSpan w:val="3"/>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INVESTMENTS*</w:t>
            </w:r>
            <w:r>
              <w:rPr>
                <w:rFonts w:ascii="Arial" w:cs="Arial" w:eastAsia="Arial" w:hAnsi="Arial"/>
                <w:sz w:val="16"/>
                <w:szCs w:val="16"/>
                <w:b w:val="1"/>
                <w:bCs w:val="1"/>
                <w:color w:val="auto"/>
                <w:vertAlign w:val="superscript"/>
              </w:rPr>
              <w:t>(1)</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2220" w:type="dxa"/>
            <w:vAlign w:val="bottom"/>
            <w:gridSpan w:val="4"/>
          </w:tcPr>
          <w:p>
            <w:pPr>
              <w:spacing w:after="0"/>
              <w:rPr>
                <w:sz w:val="20"/>
                <w:szCs w:val="20"/>
                <w:color w:val="auto"/>
              </w:rPr>
            </w:pPr>
            <w:r>
              <w:rPr>
                <w:rFonts w:ascii="Arial" w:cs="Arial" w:eastAsia="Arial" w:hAnsi="Arial"/>
                <w:sz w:val="16"/>
                <w:szCs w:val="16"/>
                <w:b w:val="1"/>
                <w:bCs w:val="1"/>
                <w:color w:val="auto"/>
              </w:rPr>
              <w:t>Debt Investments</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2220" w:type="dxa"/>
            <w:vAlign w:val="bottom"/>
            <w:tcBorders>
              <w:bottom w:val="single" w:sz="8" w:color="CCEEFF"/>
            </w:tcBorders>
            <w:gridSpan w:val="4"/>
            <w:shd w:val="clear" w:color="auto" w:fill="CCEEFF"/>
          </w:tcPr>
          <w:p>
            <w:pPr>
              <w:ind w:left="100"/>
              <w:spacing w:after="0"/>
              <w:rPr>
                <w:sz w:val="20"/>
                <w:szCs w:val="20"/>
                <w:color w:val="auto"/>
              </w:rPr>
            </w:pPr>
            <w:r>
              <w:rPr>
                <w:rFonts w:ascii="Arial" w:cs="Arial" w:eastAsia="Arial" w:hAnsi="Arial"/>
                <w:sz w:val="16"/>
                <w:szCs w:val="16"/>
                <w:i w:val="1"/>
                <w:iCs w:val="1"/>
                <w:color w:val="auto"/>
              </w:rPr>
              <w:t>Corporate Education</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220" w:type="dxa"/>
            <w:vAlign w:val="bottom"/>
            <w:gridSpan w:val="4"/>
          </w:tcPr>
          <w:p>
            <w:pPr>
              <w:ind w:left="200"/>
              <w:spacing w:after="0" w:line="166" w:lineRule="exact"/>
              <w:rPr>
                <w:sz w:val="20"/>
                <w:szCs w:val="20"/>
                <w:color w:val="auto"/>
              </w:rPr>
            </w:pPr>
            <w:r>
              <w:rPr>
                <w:rFonts w:ascii="Arial" w:cs="Arial" w:eastAsia="Arial" w:hAnsi="Arial"/>
                <w:sz w:val="16"/>
                <w:szCs w:val="16"/>
                <w:color w:val="auto"/>
              </w:rPr>
              <w:t>CUX, Inc. (d/b/a CorpU)–</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20" w:type="dxa"/>
            <w:vAlign w:val="bottom"/>
            <w:gridSpan w:val="4"/>
          </w:tcPr>
          <w:p>
            <w:pPr>
              <w:ind w:left="200"/>
              <w:spacing w:after="0" w:line="162" w:lineRule="exact"/>
              <w:rPr>
                <w:sz w:val="20"/>
                <w:szCs w:val="20"/>
                <w:color w:val="auto"/>
              </w:rPr>
            </w:pPr>
            <w:r>
              <w:rPr>
                <w:rFonts w:ascii="Arial" w:cs="Arial" w:eastAsia="Arial" w:hAnsi="Arial"/>
                <w:sz w:val="16"/>
                <w:szCs w:val="16"/>
                <w:color w:val="auto"/>
              </w:rPr>
              <w:t>Senior Subordinated</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20" w:type="dxa"/>
            <w:vAlign w:val="bottom"/>
            <w:gridSpan w:val="4"/>
          </w:tcPr>
          <w:p>
            <w:pPr>
              <w:ind w:left="200"/>
              <w:spacing w:after="0" w:line="162" w:lineRule="exact"/>
              <w:rPr>
                <w:sz w:val="20"/>
                <w:szCs w:val="20"/>
                <w:color w:val="auto"/>
              </w:rPr>
            </w:pPr>
            <w:r>
              <w:rPr>
                <w:rFonts w:ascii="Arial" w:cs="Arial" w:eastAsia="Arial" w:hAnsi="Arial"/>
                <w:sz w:val="16"/>
                <w:szCs w:val="16"/>
                <w:color w:val="auto"/>
                <w:w w:val="98"/>
              </w:rPr>
              <w:t>Convertible Promissory Note</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ind w:right="41"/>
              <w:spacing w:after="0"/>
              <w:rPr>
                <w:sz w:val="20"/>
                <w:szCs w:val="20"/>
                <w:color w:val="auto"/>
              </w:rPr>
            </w:pPr>
            <w:r>
              <w:rPr>
                <w:rFonts w:ascii="Arial" w:cs="Arial" w:eastAsia="Arial" w:hAnsi="Arial"/>
                <w:sz w:val="16"/>
                <w:szCs w:val="16"/>
                <w:color w:val="auto"/>
                <w:w w:val="92"/>
              </w:rPr>
              <w:t>1,251,158</w:t>
            </w:r>
          </w:p>
        </w:tc>
        <w:tc>
          <w:tcPr>
            <w:tcW w:w="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vMerge w:val="restart"/>
          </w:tcPr>
          <w:p>
            <w:pPr>
              <w:jc w:val="right"/>
              <w:ind w:right="2"/>
              <w:spacing w:after="0"/>
              <w:rPr>
                <w:sz w:val="20"/>
                <w:szCs w:val="20"/>
                <w:color w:val="auto"/>
              </w:rPr>
            </w:pPr>
            <w:r>
              <w:rPr>
                <w:rFonts w:ascii="Arial" w:cs="Arial" w:eastAsia="Arial" w:hAnsi="Arial"/>
                <w:sz w:val="16"/>
                <w:szCs w:val="16"/>
                <w:color w:val="auto"/>
              </w:rPr>
              <w:t>(13,142)</w:t>
            </w:r>
          </w:p>
        </w:tc>
        <w:tc>
          <w:tcPr>
            <w:tcW w:w="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tcPr>
          <w:p>
            <w:pPr>
              <w:jc w:val="right"/>
              <w:ind w:right="40"/>
              <w:spacing w:after="0"/>
              <w:rPr>
                <w:sz w:val="20"/>
                <w:szCs w:val="20"/>
                <w:color w:val="auto"/>
              </w:rPr>
            </w:pPr>
            <w:r>
              <w:rPr>
                <w:rFonts w:ascii="Arial" w:cs="Arial" w:eastAsia="Arial" w:hAnsi="Arial"/>
                <w:sz w:val="16"/>
                <w:szCs w:val="16"/>
                <w:color w:val="auto"/>
                <w:w w:val="92"/>
              </w:rPr>
              <w:t>1,360,489</w:t>
            </w:r>
          </w:p>
        </w:tc>
        <w:tc>
          <w:tcPr>
            <w:tcW w:w="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vMerge w:val="restart"/>
          </w:tcPr>
          <w:p>
            <w:pPr>
              <w:ind w:left="58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ind w:right="61"/>
              <w:spacing w:after="0"/>
              <w:rPr>
                <w:sz w:val="20"/>
                <w:szCs w:val="20"/>
                <w:color w:val="auto"/>
              </w:rPr>
            </w:pPr>
            <w:r>
              <w:rPr>
                <w:rFonts w:ascii="Arial" w:cs="Arial" w:eastAsia="Arial" w:hAnsi="Arial"/>
                <w:sz w:val="16"/>
                <w:szCs w:val="16"/>
                <w:color w:val="auto"/>
              </w:rPr>
              <w:t>3,553</w:t>
            </w:r>
          </w:p>
        </w:tc>
        <w:tc>
          <w:tcPr>
            <w:tcW w:w="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tcPr>
          <w:p>
            <w:pPr>
              <w:jc w:val="right"/>
              <w:ind w:right="20"/>
              <w:spacing w:after="0"/>
              <w:rPr>
                <w:sz w:val="20"/>
                <w:szCs w:val="20"/>
                <w:color w:val="auto"/>
              </w:rPr>
            </w:pPr>
            <w:r>
              <w:rPr>
                <w:rFonts w:ascii="Arial" w:cs="Arial" w:eastAsia="Arial" w:hAnsi="Arial"/>
                <w:sz w:val="16"/>
                <w:szCs w:val="16"/>
                <w:color w:val="auto"/>
              </w:rPr>
              <w:t>(109,331)</w:t>
            </w:r>
          </w:p>
        </w:tc>
        <w:tc>
          <w:tcPr>
            <w:tcW w:w="80" w:type="dxa"/>
            <w:vAlign w:val="bottom"/>
          </w:tcPr>
          <w:p>
            <w:pPr>
              <w:spacing w:after="0"/>
              <w:rPr>
                <w:sz w:val="14"/>
                <w:szCs w:val="14"/>
                <w:color w:val="auto"/>
              </w:rPr>
            </w:pPr>
          </w:p>
        </w:tc>
        <w:tc>
          <w:tcPr>
            <w:tcW w:w="900" w:type="dxa"/>
            <w:vAlign w:val="bottom"/>
            <w:vMerge w:val="restart"/>
          </w:tcPr>
          <w:p>
            <w:pPr>
              <w:jc w:val="right"/>
              <w:ind w:right="20"/>
              <w:spacing w:after="0"/>
              <w:rPr>
                <w:sz w:val="20"/>
                <w:szCs w:val="20"/>
                <w:color w:val="auto"/>
              </w:rPr>
            </w:pPr>
            <w:r>
              <w:rPr>
                <w:rFonts w:ascii="Arial" w:cs="Arial" w:eastAsia="Arial" w:hAnsi="Arial"/>
                <w:sz w:val="16"/>
                <w:szCs w:val="16"/>
                <w:color w:val="auto"/>
                <w:w w:val="95"/>
              </w:rPr>
              <w:t>$ (941,922)</w:t>
            </w:r>
          </w:p>
        </w:tc>
        <w:tc>
          <w:tcPr>
            <w:tcW w:w="10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tcPr>
          <w:p>
            <w:pPr>
              <w:jc w:val="right"/>
              <w:ind w:right="40"/>
              <w:spacing w:after="0"/>
              <w:rPr>
                <w:sz w:val="20"/>
                <w:szCs w:val="20"/>
                <w:color w:val="auto"/>
              </w:rPr>
            </w:pPr>
            <w:r>
              <w:rPr>
                <w:rFonts w:ascii="Arial" w:cs="Arial" w:eastAsia="Arial" w:hAnsi="Arial"/>
                <w:sz w:val="16"/>
                <w:szCs w:val="16"/>
                <w:color w:val="auto"/>
              </w:rPr>
              <w:t>312,789</w:t>
            </w:r>
          </w:p>
        </w:tc>
        <w:tc>
          <w:tcPr>
            <w:tcW w:w="860" w:type="dxa"/>
            <w:vAlign w:val="bottom"/>
            <w:gridSpan w:val="2"/>
            <w:vMerge w:val="restart"/>
          </w:tcPr>
          <w:p>
            <w:pPr>
              <w:jc w:val="right"/>
              <w:spacing w:after="0"/>
              <w:rPr>
                <w:sz w:val="20"/>
                <w:szCs w:val="20"/>
                <w:color w:val="auto"/>
              </w:rPr>
            </w:pPr>
            <w:r>
              <w:rPr>
                <w:rFonts w:ascii="Arial" w:cs="Arial" w:eastAsia="Arial" w:hAnsi="Arial"/>
                <w:sz w:val="16"/>
                <w:szCs w:val="16"/>
                <w:color w:val="auto"/>
              </w:rPr>
              <w:t>0.16 %</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20" w:type="dxa"/>
            <w:vAlign w:val="bottom"/>
            <w:gridSpan w:val="4"/>
          </w:tcPr>
          <w:p>
            <w:pPr>
              <w:ind w:left="200"/>
              <w:spacing w:after="0" w:line="213" w:lineRule="exact"/>
              <w:rPr>
                <w:sz w:val="20"/>
                <w:szCs w:val="20"/>
                <w:color w:val="auto"/>
              </w:rPr>
            </w:pPr>
            <w:r>
              <w:rPr>
                <w:rFonts w:ascii="Arial" w:cs="Arial" w:eastAsia="Arial" w:hAnsi="Arial"/>
                <w:sz w:val="16"/>
                <w:szCs w:val="16"/>
                <w:color w:val="auto"/>
              </w:rPr>
              <w:t>4% Due 2/14/2023</w:t>
            </w:r>
            <w:r>
              <w:rPr>
                <w:rFonts w:ascii="Arial" w:cs="Arial" w:eastAsia="Arial" w:hAnsi="Arial"/>
                <w:sz w:val="21"/>
                <w:szCs w:val="21"/>
                <w:color w:val="auto"/>
                <w:vertAlign w:val="superscript"/>
              </w:rPr>
              <w:t>(5)</w:t>
            </w:r>
          </w:p>
        </w:tc>
        <w:tc>
          <w:tcPr>
            <w:tcW w:w="20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2220" w:type="dxa"/>
            <w:vAlign w:val="bottom"/>
            <w:tcBorders>
              <w:bottom w:val="single" w:sz="8" w:color="CCEEFF"/>
            </w:tcBorders>
            <w:gridSpan w:val="4"/>
            <w:shd w:val="clear" w:color="auto" w:fill="CCEEFF"/>
          </w:tcPr>
          <w:p>
            <w:pPr>
              <w:ind w:left="100"/>
              <w:spacing w:after="0"/>
              <w:rPr>
                <w:sz w:val="20"/>
                <w:szCs w:val="20"/>
                <w:color w:val="auto"/>
              </w:rPr>
            </w:pPr>
            <w:r>
              <w:rPr>
                <w:rFonts w:ascii="Arial" w:cs="Arial" w:eastAsia="Arial" w:hAnsi="Arial"/>
                <w:sz w:val="16"/>
                <w:szCs w:val="16"/>
                <w:i w:val="1"/>
                <w:iCs w:val="1"/>
                <w:color w:val="auto"/>
              </w:rPr>
              <w:t>Digital Media Platform</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220" w:type="dxa"/>
            <w:vAlign w:val="bottom"/>
            <w:gridSpan w:val="4"/>
          </w:tcPr>
          <w:p>
            <w:pPr>
              <w:ind w:left="200"/>
              <w:spacing w:after="0" w:line="166" w:lineRule="exact"/>
              <w:rPr>
                <w:sz w:val="20"/>
                <w:szCs w:val="20"/>
                <w:color w:val="auto"/>
              </w:rPr>
            </w:pPr>
            <w:r>
              <w:rPr>
                <w:rFonts w:ascii="Arial" w:cs="Arial" w:eastAsia="Arial" w:hAnsi="Arial"/>
                <w:sz w:val="16"/>
                <w:szCs w:val="16"/>
                <w:color w:val="auto"/>
                <w:w w:val="99"/>
              </w:rPr>
              <w:t>Ozy Media, Inc.–Convertible</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20" w:type="dxa"/>
            <w:vAlign w:val="bottom"/>
            <w:gridSpan w:val="4"/>
          </w:tcPr>
          <w:p>
            <w:pPr>
              <w:ind w:left="200"/>
              <w:spacing w:after="0" w:line="162" w:lineRule="exact"/>
              <w:rPr>
                <w:sz w:val="20"/>
                <w:szCs w:val="20"/>
                <w:color w:val="auto"/>
              </w:rPr>
            </w:pPr>
            <w:r>
              <w:rPr>
                <w:rFonts w:ascii="Arial" w:cs="Arial" w:eastAsia="Arial" w:hAnsi="Arial"/>
                <w:sz w:val="16"/>
                <w:szCs w:val="16"/>
                <w:color w:val="auto"/>
              </w:rPr>
              <w:t>Promissory Note 5% Due</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60" w:type="dxa"/>
            <w:vAlign w:val="bottom"/>
            <w:vMerge w:val="restart"/>
          </w:tcPr>
          <w:p>
            <w:pPr>
              <w:jc w:val="right"/>
              <w:ind w:right="42"/>
              <w:spacing w:after="0"/>
              <w:rPr>
                <w:sz w:val="20"/>
                <w:szCs w:val="20"/>
                <w:color w:val="auto"/>
              </w:rPr>
            </w:pPr>
            <w:r>
              <w:rPr>
                <w:rFonts w:ascii="Arial" w:cs="Arial" w:eastAsia="Arial" w:hAnsi="Arial"/>
                <w:sz w:val="16"/>
                <w:szCs w:val="16"/>
                <w:color w:val="auto"/>
              </w:rPr>
              <w:t>72,864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ind w:right="40"/>
              <w:spacing w:after="0"/>
              <w:rPr>
                <w:sz w:val="20"/>
                <w:szCs w:val="20"/>
                <w:color w:val="auto"/>
              </w:rPr>
            </w:pPr>
            <w:r>
              <w:rPr>
                <w:rFonts w:ascii="Arial" w:cs="Arial" w:eastAsia="Arial" w:hAnsi="Arial"/>
                <w:sz w:val="16"/>
                <w:szCs w:val="16"/>
                <w:color w:val="auto"/>
                <w:w w:val="92"/>
              </w:rPr>
              <w:t>3,153,575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92"/>
              </w:rPr>
              <w:t>(2,102,384)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60" w:type="dxa"/>
            <w:vAlign w:val="bottom"/>
            <w:gridSpan w:val="2"/>
            <w:vMerge w:val="restart"/>
          </w:tcPr>
          <w:p>
            <w:pPr>
              <w:ind w:left="700"/>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ind w:right="20"/>
              <w:spacing w:after="0"/>
              <w:rPr>
                <w:sz w:val="20"/>
                <w:szCs w:val="20"/>
                <w:color w:val="auto"/>
              </w:rPr>
            </w:pPr>
            <w:r>
              <w:rPr>
                <w:rFonts w:ascii="Arial" w:cs="Arial" w:eastAsia="Arial" w:hAnsi="Arial"/>
                <w:sz w:val="16"/>
                <w:szCs w:val="16"/>
                <w:color w:val="auto"/>
                <w:w w:val="95"/>
              </w:rPr>
              <w:t>(1,051,191)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2"/>
        </w:trPr>
        <w:tc>
          <w:tcPr>
            <w:tcW w:w="2100" w:type="dxa"/>
            <w:vAlign w:val="bottom"/>
            <w:gridSpan w:val="4"/>
          </w:tcPr>
          <w:p>
            <w:pPr>
              <w:ind w:left="220"/>
              <w:spacing w:after="0" w:line="213" w:lineRule="exact"/>
              <w:rPr>
                <w:sz w:val="20"/>
                <w:szCs w:val="20"/>
                <w:color w:val="auto"/>
              </w:rPr>
            </w:pPr>
            <w:r>
              <w:rPr>
                <w:rFonts w:ascii="Arial" w:cs="Arial" w:eastAsia="Arial" w:hAnsi="Arial"/>
                <w:sz w:val="16"/>
                <w:szCs w:val="16"/>
                <w:color w:val="auto"/>
              </w:rPr>
              <w:t>12/31/2018***</w:t>
            </w:r>
            <w:r>
              <w:rPr>
                <w:rFonts w:ascii="Arial" w:cs="Arial" w:eastAsia="Arial" w:hAnsi="Arial"/>
                <w:sz w:val="21"/>
                <w:szCs w:val="21"/>
                <w:color w:val="auto"/>
                <w:vertAlign w:val="superscript"/>
              </w:rPr>
              <w:t>(6)</w:t>
            </w:r>
          </w:p>
        </w:tc>
        <w:tc>
          <w:tcPr>
            <w:tcW w:w="14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2220" w:type="dxa"/>
            <w:vAlign w:val="bottom"/>
            <w:tcBorders>
              <w:bottom w:val="single" w:sz="8" w:color="CCEEFF"/>
            </w:tcBorders>
            <w:gridSpan w:val="4"/>
            <w:shd w:val="clear" w:color="auto" w:fill="CCEEFF"/>
          </w:tcPr>
          <w:p>
            <w:pPr>
              <w:ind w:left="100"/>
              <w:spacing w:after="0"/>
              <w:rPr>
                <w:sz w:val="20"/>
                <w:szCs w:val="20"/>
                <w:color w:val="auto"/>
              </w:rPr>
            </w:pPr>
            <w:r>
              <w:rPr>
                <w:rFonts w:ascii="Arial" w:cs="Arial" w:eastAsia="Arial" w:hAnsi="Arial"/>
                <w:sz w:val="16"/>
                <w:szCs w:val="16"/>
                <w:i w:val="1"/>
                <w:iCs w:val="1"/>
                <w:color w:val="auto"/>
              </w:rPr>
              <w:t>Social Cognitive Learning</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220" w:type="dxa"/>
            <w:vAlign w:val="bottom"/>
            <w:gridSpan w:val="4"/>
          </w:tcPr>
          <w:p>
            <w:pPr>
              <w:ind w:left="200"/>
              <w:spacing w:after="0"/>
              <w:rPr>
                <w:sz w:val="20"/>
                <w:szCs w:val="20"/>
                <w:color w:val="auto"/>
              </w:rPr>
            </w:pPr>
            <w:r>
              <w:rPr>
                <w:rFonts w:ascii="Arial" w:cs="Arial" w:eastAsia="Arial" w:hAnsi="Arial"/>
                <w:sz w:val="16"/>
                <w:szCs w:val="16"/>
                <w:color w:val="auto"/>
              </w:rPr>
              <w:t>Declara, Inc.–Convertible</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gridSpan w:val="4"/>
          </w:tcPr>
          <w:p>
            <w:pPr>
              <w:ind w:left="200"/>
              <w:spacing w:after="0"/>
              <w:rPr>
                <w:sz w:val="20"/>
                <w:szCs w:val="20"/>
                <w:color w:val="auto"/>
              </w:rPr>
            </w:pPr>
            <w:r>
              <w:rPr>
                <w:rFonts w:ascii="Arial" w:cs="Arial" w:eastAsia="Arial" w:hAnsi="Arial"/>
                <w:sz w:val="16"/>
                <w:szCs w:val="16"/>
                <w:color w:val="auto"/>
              </w:rPr>
              <w:t>Promissory Note 12% Due</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00" w:type="dxa"/>
            <w:vAlign w:val="bottom"/>
            <w:gridSpan w:val="3"/>
          </w:tcPr>
          <w:p>
            <w:pPr>
              <w:ind w:left="220"/>
              <w:spacing w:after="0"/>
              <w:rPr>
                <w:sz w:val="20"/>
                <w:szCs w:val="20"/>
                <w:color w:val="auto"/>
              </w:rPr>
            </w:pPr>
            <w:r>
              <w:rPr>
                <w:rFonts w:ascii="Arial" w:cs="Arial" w:eastAsia="Arial" w:hAnsi="Arial"/>
                <w:sz w:val="16"/>
                <w:szCs w:val="16"/>
                <w:color w:val="auto"/>
              </w:rPr>
              <w:t>4/30/2018</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6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680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w w:val="92"/>
              </w:rPr>
              <w:t>(2,334,832)</w:t>
            </w:r>
          </w:p>
        </w:tc>
        <w:tc>
          <w:tcPr>
            <w:tcW w:w="80" w:type="dxa"/>
            <w:vAlign w:val="bottom"/>
          </w:tcPr>
          <w:p>
            <w:pPr>
              <w:spacing w:after="0"/>
              <w:rPr>
                <w:sz w:val="17"/>
                <w:szCs w:val="17"/>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2,334,152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2220" w:type="dxa"/>
            <w:vAlign w:val="bottom"/>
            <w:tcBorders>
              <w:bottom w:val="single" w:sz="8" w:color="CCEEFF"/>
            </w:tcBorders>
            <w:gridSpan w:val="4"/>
            <w:shd w:val="clear" w:color="auto" w:fill="CCEEFF"/>
          </w:tcPr>
          <w:p>
            <w:pPr>
              <w:ind w:left="100"/>
              <w:spacing w:after="0"/>
              <w:rPr>
                <w:sz w:val="20"/>
                <w:szCs w:val="20"/>
                <w:color w:val="auto"/>
              </w:rPr>
            </w:pPr>
            <w:r>
              <w:rPr>
                <w:rFonts w:ascii="Arial" w:cs="Arial" w:eastAsia="Arial" w:hAnsi="Arial"/>
                <w:sz w:val="16"/>
                <w:szCs w:val="16"/>
                <w:i w:val="1"/>
                <w:iCs w:val="1"/>
                <w:color w:val="auto"/>
              </w:rPr>
              <w:t>Global Innovation Platform</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220" w:type="dxa"/>
            <w:vAlign w:val="bottom"/>
            <w:gridSpan w:val="4"/>
          </w:tcPr>
          <w:p>
            <w:pPr>
              <w:ind w:left="240"/>
              <w:spacing w:after="0" w:line="166" w:lineRule="exact"/>
              <w:rPr>
                <w:sz w:val="20"/>
                <w:szCs w:val="20"/>
                <w:color w:val="auto"/>
              </w:rPr>
            </w:pPr>
            <w:r>
              <w:rPr>
                <w:rFonts w:ascii="Arial" w:cs="Arial" w:eastAsia="Arial" w:hAnsi="Arial"/>
                <w:sz w:val="16"/>
                <w:szCs w:val="16"/>
                <w:color w:val="auto"/>
              </w:rPr>
              <w:t>NestGSV, Inc. (d/b/a GSV</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20" w:type="dxa"/>
            <w:vAlign w:val="bottom"/>
            <w:gridSpan w:val="4"/>
          </w:tcPr>
          <w:p>
            <w:pPr>
              <w:ind w:left="200"/>
              <w:spacing w:after="0" w:line="162" w:lineRule="exact"/>
              <w:rPr>
                <w:sz w:val="20"/>
                <w:szCs w:val="20"/>
                <w:color w:val="auto"/>
              </w:rPr>
            </w:pPr>
            <w:r>
              <w:rPr>
                <w:rFonts w:ascii="Arial" w:cs="Arial" w:eastAsia="Arial" w:hAnsi="Arial"/>
                <w:sz w:val="16"/>
                <w:szCs w:val="16"/>
                <w:color w:val="auto"/>
              </w:rPr>
              <w:t>Labs, Inc.) –Convertible</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20" w:type="dxa"/>
            <w:vAlign w:val="bottom"/>
            <w:gridSpan w:val="4"/>
          </w:tcPr>
          <w:p>
            <w:pPr>
              <w:ind w:left="200"/>
              <w:spacing w:after="0" w:line="162" w:lineRule="exact"/>
              <w:rPr>
                <w:sz w:val="20"/>
                <w:szCs w:val="20"/>
                <w:color w:val="auto"/>
              </w:rPr>
            </w:pPr>
            <w:r>
              <w:rPr>
                <w:rFonts w:ascii="Arial" w:cs="Arial" w:eastAsia="Arial" w:hAnsi="Arial"/>
                <w:sz w:val="16"/>
                <w:szCs w:val="16"/>
                <w:color w:val="auto"/>
              </w:rPr>
              <w:t>Promissory Note 8% Due</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ind w:right="41"/>
              <w:spacing w:after="0"/>
              <w:rPr>
                <w:sz w:val="20"/>
                <w:szCs w:val="20"/>
                <w:color w:val="auto"/>
              </w:rPr>
            </w:pPr>
            <w:r>
              <w:rPr>
                <w:rFonts w:ascii="Arial" w:cs="Arial" w:eastAsia="Arial" w:hAnsi="Arial"/>
                <w:sz w:val="16"/>
                <w:szCs w:val="16"/>
                <w:color w:val="auto"/>
                <w:w w:val="92"/>
              </w:rPr>
              <w:t>1,010,198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jc w:val="right"/>
              <w:ind w:right="42"/>
              <w:spacing w:after="0"/>
              <w:rPr>
                <w:sz w:val="20"/>
                <w:szCs w:val="20"/>
                <w:color w:val="auto"/>
              </w:rPr>
            </w:pPr>
            <w:r>
              <w:rPr>
                <w:rFonts w:ascii="Arial" w:cs="Arial" w:eastAsia="Arial" w:hAnsi="Arial"/>
                <w:sz w:val="16"/>
                <w:szCs w:val="16"/>
                <w:color w:val="auto"/>
              </w:rPr>
              <w:t>107,611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ind w:right="40"/>
              <w:spacing w:after="0"/>
              <w:rPr>
                <w:sz w:val="20"/>
                <w:szCs w:val="20"/>
                <w:color w:val="auto"/>
              </w:rPr>
            </w:pPr>
            <w:r>
              <w:rPr>
                <w:rFonts w:ascii="Arial" w:cs="Arial" w:eastAsia="Arial" w:hAnsi="Arial"/>
                <w:sz w:val="16"/>
                <w:szCs w:val="16"/>
                <w:color w:val="auto"/>
              </w:rPr>
              <w:t>936,525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restart"/>
          </w:tcPr>
          <w:p>
            <w:pPr>
              <w:ind w:left="5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20" w:type="dxa"/>
            <w:vAlign w:val="bottom"/>
            <w:vMerge w:val="restart"/>
          </w:tcPr>
          <w:p>
            <w:pPr>
              <w:jc w:val="right"/>
              <w:ind w:right="61"/>
              <w:spacing w:after="0"/>
              <w:rPr>
                <w:sz w:val="20"/>
                <w:szCs w:val="20"/>
                <w:color w:val="auto"/>
              </w:rPr>
            </w:pPr>
            <w:r>
              <w:rPr>
                <w:rFonts w:ascii="Arial" w:cs="Arial" w:eastAsia="Arial" w:hAnsi="Arial"/>
                <w:sz w:val="16"/>
                <w:szCs w:val="16"/>
                <w:color w:val="auto"/>
              </w:rPr>
              <w:t>78,739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restart"/>
          </w:tcPr>
          <w:p>
            <w:pPr>
              <w:ind w:left="580"/>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ind w:right="20"/>
              <w:spacing w:after="0"/>
              <w:rPr>
                <w:sz w:val="20"/>
                <w:szCs w:val="20"/>
                <w:color w:val="auto"/>
              </w:rPr>
            </w:pPr>
            <w:r>
              <w:rPr>
                <w:rFonts w:ascii="Arial" w:cs="Arial" w:eastAsia="Arial" w:hAnsi="Arial"/>
                <w:sz w:val="16"/>
                <w:szCs w:val="16"/>
                <w:color w:val="auto"/>
              </w:rPr>
              <w:t>(5,066)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right"/>
              <w:ind w:right="40"/>
              <w:spacing w:after="0"/>
              <w:rPr>
                <w:sz w:val="20"/>
                <w:szCs w:val="20"/>
                <w:color w:val="auto"/>
              </w:rPr>
            </w:pPr>
            <w:r>
              <w:rPr>
                <w:rFonts w:ascii="Arial" w:cs="Arial" w:eastAsia="Arial" w:hAnsi="Arial"/>
                <w:sz w:val="16"/>
                <w:szCs w:val="16"/>
                <w:color w:val="auto"/>
                <w:w w:val="92"/>
              </w:rPr>
              <w:t>1,010,198</w:t>
            </w:r>
          </w:p>
        </w:tc>
        <w:tc>
          <w:tcPr>
            <w:tcW w:w="860" w:type="dxa"/>
            <w:vAlign w:val="bottom"/>
            <w:gridSpan w:val="2"/>
            <w:vMerge w:val="restart"/>
          </w:tcPr>
          <w:p>
            <w:pPr>
              <w:jc w:val="right"/>
              <w:spacing w:after="0"/>
              <w:rPr>
                <w:sz w:val="20"/>
                <w:szCs w:val="20"/>
                <w:color w:val="auto"/>
              </w:rPr>
            </w:pPr>
            <w:r>
              <w:rPr>
                <w:rFonts w:ascii="Arial" w:cs="Arial" w:eastAsia="Arial" w:hAnsi="Arial"/>
                <w:sz w:val="16"/>
                <w:szCs w:val="16"/>
                <w:color w:val="auto"/>
              </w:rPr>
              <w:t>0.50 %</w:t>
            </w:r>
          </w:p>
        </w:tc>
        <w:tc>
          <w:tcPr>
            <w:tcW w:w="0" w:type="dxa"/>
            <w:vAlign w:val="bottom"/>
          </w:tcPr>
          <w:p>
            <w:pPr>
              <w:spacing w:after="0"/>
              <w:rPr>
                <w:sz w:val="1"/>
                <w:szCs w:val="1"/>
                <w:color w:val="auto"/>
              </w:rPr>
            </w:pPr>
          </w:p>
        </w:tc>
      </w:tr>
      <w:tr>
        <w:trPr>
          <w:trHeight w:val="212"/>
        </w:trPr>
        <w:tc>
          <w:tcPr>
            <w:tcW w:w="2100" w:type="dxa"/>
            <w:vAlign w:val="bottom"/>
            <w:gridSpan w:val="4"/>
          </w:tcPr>
          <w:p>
            <w:pPr>
              <w:ind w:left="220"/>
              <w:spacing w:after="0" w:line="213" w:lineRule="exact"/>
              <w:rPr>
                <w:sz w:val="20"/>
                <w:szCs w:val="20"/>
                <w:color w:val="auto"/>
              </w:rPr>
            </w:pPr>
            <w:r>
              <w:rPr>
                <w:rFonts w:ascii="Arial" w:cs="Arial" w:eastAsia="Arial" w:hAnsi="Arial"/>
                <w:sz w:val="16"/>
                <w:szCs w:val="16"/>
                <w:color w:val="auto"/>
              </w:rPr>
              <w:t>8/23/2024***</w:t>
            </w:r>
            <w:r>
              <w:rPr>
                <w:rFonts w:ascii="Arial" w:cs="Arial" w:eastAsia="Arial" w:hAnsi="Arial"/>
                <w:sz w:val="21"/>
                <w:szCs w:val="21"/>
                <w:color w:val="auto"/>
                <w:vertAlign w:val="superscript"/>
              </w:rPr>
              <w:t>(7)</w:t>
            </w:r>
          </w:p>
        </w:tc>
        <w:tc>
          <w:tcPr>
            <w:tcW w:w="14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Borders>
              <w:top w:val="single" w:sz="8" w:color="CCEEFF"/>
            </w:tcBorders>
            <w:shd w:val="clear" w:color="auto" w:fill="CCEEFF"/>
          </w:tcPr>
          <w:p>
            <w:pPr>
              <w:spacing w:after="0"/>
              <w:rPr>
                <w:sz w:val="17"/>
                <w:szCs w:val="17"/>
                <w:color w:val="auto"/>
              </w:rPr>
            </w:pPr>
          </w:p>
        </w:tc>
        <w:tc>
          <w:tcPr>
            <w:tcW w:w="2220" w:type="dxa"/>
            <w:vAlign w:val="bottom"/>
            <w:tcBorders>
              <w:top w:val="single" w:sz="8" w:color="CCEEFF"/>
            </w:tcBorders>
            <w:gridSpan w:val="4"/>
            <w:shd w:val="clear" w:color="auto" w:fill="CCEEFF"/>
          </w:tcPr>
          <w:p>
            <w:pPr>
              <w:ind w:left="100"/>
              <w:spacing w:after="0"/>
              <w:rPr>
                <w:sz w:val="20"/>
                <w:szCs w:val="20"/>
                <w:color w:val="auto"/>
              </w:rPr>
            </w:pPr>
            <w:r>
              <w:rPr>
                <w:rFonts w:ascii="Arial" w:cs="Arial" w:eastAsia="Arial" w:hAnsi="Arial"/>
                <w:sz w:val="16"/>
                <w:szCs w:val="16"/>
                <w:i w:val="1"/>
                <w:iCs w:val="1"/>
                <w:color w:val="auto"/>
              </w:rPr>
              <w:t>Total Global Innovation</w:t>
            </w:r>
          </w:p>
        </w:tc>
        <w:tc>
          <w:tcPr>
            <w:tcW w:w="2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shd w:val="clear" w:color="auto" w:fill="CCEEFF"/>
          </w:tcPr>
          <w:p>
            <w:pPr>
              <w:spacing w:after="0"/>
              <w:rPr>
                <w:sz w:val="19"/>
                <w:szCs w:val="19"/>
                <w:color w:val="auto"/>
              </w:rPr>
            </w:pPr>
          </w:p>
        </w:tc>
        <w:tc>
          <w:tcPr>
            <w:tcW w:w="2220" w:type="dxa"/>
            <w:vAlign w:val="bottom"/>
            <w:tcBorders>
              <w:bottom w:val="single" w:sz="8" w:color="CCEEFF"/>
            </w:tcBorders>
            <w:gridSpan w:val="4"/>
            <w:shd w:val="clear" w:color="auto" w:fill="CCEEFF"/>
          </w:tcPr>
          <w:p>
            <w:pPr>
              <w:ind w:left="100"/>
              <w:spacing w:after="0"/>
              <w:rPr>
                <w:sz w:val="20"/>
                <w:szCs w:val="20"/>
                <w:color w:val="auto"/>
              </w:rPr>
            </w:pPr>
            <w:r>
              <w:rPr>
                <w:rFonts w:ascii="Arial" w:cs="Arial" w:eastAsia="Arial" w:hAnsi="Arial"/>
                <w:sz w:val="16"/>
                <w:szCs w:val="16"/>
                <w:i w:val="1"/>
                <w:iCs w:val="1"/>
                <w:color w:val="auto"/>
              </w:rPr>
              <w:t>Platform</w:t>
            </w: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107,611</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936,525</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78,739</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(5,066)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2"/>
              </w:rPr>
              <w:t>1,010,198</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0.50 %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20" w:type="dxa"/>
            <w:vAlign w:val="bottom"/>
            <w:gridSpan w:val="4"/>
          </w:tcPr>
          <w:p>
            <w:pPr>
              <w:spacing w:after="0"/>
              <w:rPr>
                <w:sz w:val="20"/>
                <w:szCs w:val="20"/>
                <w:color w:val="auto"/>
              </w:rPr>
            </w:pPr>
            <w:r>
              <w:rPr>
                <w:rFonts w:ascii="Arial" w:cs="Arial" w:eastAsia="Arial" w:hAnsi="Arial"/>
                <w:sz w:val="16"/>
                <w:szCs w:val="16"/>
                <w:b w:val="1"/>
                <w:bCs w:val="1"/>
                <w:color w:val="auto"/>
              </w:rPr>
              <w:t>Total Debt Investments</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42"/>
              <w:spacing w:after="0"/>
              <w:rPr>
                <w:sz w:val="20"/>
                <w:szCs w:val="20"/>
                <w:color w:val="auto"/>
              </w:rPr>
            </w:pPr>
            <w:r>
              <w:rPr>
                <w:rFonts w:ascii="Arial" w:cs="Arial" w:eastAsia="Arial" w:hAnsi="Arial"/>
                <w:sz w:val="16"/>
                <w:szCs w:val="16"/>
                <w:color w:val="auto"/>
              </w:rPr>
              <w:t>167,333</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w w:val="92"/>
              </w:rPr>
              <w:t>5,450,589</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center"/>
              <w:spacing w:after="0"/>
              <w:rPr>
                <w:sz w:val="20"/>
                <w:szCs w:val="20"/>
                <w:color w:val="auto"/>
              </w:rPr>
            </w:pPr>
            <w:r>
              <w:rPr>
                <w:rFonts w:ascii="Arial" w:cs="Arial" w:eastAsia="Arial" w:hAnsi="Arial"/>
                <w:sz w:val="16"/>
                <w:szCs w:val="16"/>
                <w:color w:val="auto"/>
                <w:w w:val="92"/>
              </w:rPr>
              <w:t>(2,102,384)</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82,972</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w w:val="92"/>
              </w:rPr>
              <w:t>(2,444,163)</w:t>
            </w:r>
          </w:p>
        </w:tc>
        <w:tc>
          <w:tcPr>
            <w:tcW w:w="80" w:type="dxa"/>
            <w:vAlign w:val="bottom"/>
          </w:tcPr>
          <w:p>
            <w:pPr>
              <w:spacing w:after="0"/>
              <w:rPr>
                <w:sz w:val="19"/>
                <w:szCs w:val="19"/>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w w:val="97"/>
              </w:rPr>
              <w:t>$  335,973</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w w:val="92"/>
              </w:rPr>
              <w:t>1,322,987</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0.66 %</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2220" w:type="dxa"/>
            <w:vAlign w:val="bottom"/>
            <w:tcBorders>
              <w:bottom w:val="single" w:sz="8" w:color="CCEEFF"/>
            </w:tcBorders>
            <w:gridSpan w:val="4"/>
            <w:shd w:val="clear" w:color="auto" w:fill="CCEEFF"/>
          </w:tcPr>
          <w:p>
            <w:pPr>
              <w:ind w:left="100"/>
              <w:spacing w:after="0"/>
              <w:rPr>
                <w:sz w:val="20"/>
                <w:szCs w:val="20"/>
                <w:color w:val="auto"/>
              </w:rPr>
            </w:pPr>
            <w:r>
              <w:rPr>
                <w:rFonts w:ascii="Arial" w:cs="Arial" w:eastAsia="Arial" w:hAnsi="Arial"/>
                <w:sz w:val="16"/>
                <w:szCs w:val="16"/>
                <w:b w:val="1"/>
                <w:bCs w:val="1"/>
                <w:color w:val="auto"/>
              </w:rPr>
              <w:t>Preferred Stock</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20" w:type="dxa"/>
            <w:vAlign w:val="bottom"/>
            <w:gridSpan w:val="4"/>
          </w:tcPr>
          <w:p>
            <w:pPr>
              <w:ind w:left="100"/>
              <w:spacing w:after="0"/>
              <w:rPr>
                <w:sz w:val="20"/>
                <w:szCs w:val="20"/>
                <w:color w:val="auto"/>
              </w:rPr>
            </w:pPr>
            <w:r>
              <w:rPr>
                <w:rFonts w:ascii="Arial" w:cs="Arial" w:eastAsia="Arial" w:hAnsi="Arial"/>
                <w:sz w:val="16"/>
                <w:szCs w:val="16"/>
                <w:i w:val="1"/>
                <w:iCs w:val="1"/>
                <w:color w:val="auto"/>
              </w:rPr>
              <w:t>Corporate Education</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2220" w:type="dxa"/>
            <w:vAlign w:val="bottom"/>
            <w:gridSpan w:val="4"/>
            <w:shd w:val="clear" w:color="auto" w:fill="CCEEFF"/>
          </w:tcPr>
          <w:p>
            <w:pPr>
              <w:ind w:left="200"/>
              <w:spacing w:after="0"/>
              <w:rPr>
                <w:sz w:val="20"/>
                <w:szCs w:val="20"/>
                <w:color w:val="auto"/>
              </w:rPr>
            </w:pPr>
            <w:r>
              <w:rPr>
                <w:rFonts w:ascii="Arial" w:cs="Arial" w:eastAsia="Arial" w:hAnsi="Arial"/>
                <w:sz w:val="16"/>
                <w:szCs w:val="16"/>
                <w:color w:val="auto"/>
              </w:rPr>
              <w:t>CUX, Inc. (d/b/a CorpU)–</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220" w:type="dxa"/>
            <w:vAlign w:val="bottom"/>
            <w:gridSpan w:val="4"/>
            <w:shd w:val="clear" w:color="auto" w:fill="CCEEFF"/>
          </w:tcPr>
          <w:p>
            <w:pPr>
              <w:ind w:left="200"/>
              <w:spacing w:after="0"/>
              <w:rPr>
                <w:sz w:val="20"/>
                <w:szCs w:val="20"/>
                <w:color w:val="auto"/>
              </w:rPr>
            </w:pPr>
            <w:r>
              <w:rPr>
                <w:rFonts w:ascii="Arial" w:cs="Arial" w:eastAsia="Arial" w:hAnsi="Arial"/>
                <w:sz w:val="16"/>
                <w:szCs w:val="16"/>
                <w:color w:val="auto"/>
                <w:w w:val="96"/>
              </w:rPr>
              <w:t>Convertible preferred shares,</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shd w:val="clear" w:color="auto" w:fill="CCEEFF"/>
          </w:tcPr>
          <w:p>
            <w:pPr>
              <w:spacing w:after="0"/>
              <w:rPr>
                <w:sz w:val="19"/>
                <w:szCs w:val="19"/>
                <w:color w:val="auto"/>
              </w:rPr>
            </w:pPr>
          </w:p>
        </w:tc>
        <w:tc>
          <w:tcPr>
            <w:tcW w:w="2220" w:type="dxa"/>
            <w:vAlign w:val="bottom"/>
            <w:tcBorders>
              <w:bottom w:val="single" w:sz="8" w:color="CCEEFF"/>
            </w:tcBorders>
            <w:gridSpan w:val="4"/>
            <w:shd w:val="clear" w:color="auto" w:fill="CCEEFF"/>
          </w:tcPr>
          <w:p>
            <w:pPr>
              <w:ind w:left="200"/>
              <w:spacing w:after="0"/>
              <w:rPr>
                <w:sz w:val="20"/>
                <w:szCs w:val="20"/>
                <w:color w:val="auto"/>
              </w:rPr>
            </w:pPr>
            <w:r>
              <w:rPr>
                <w:rFonts w:ascii="Arial" w:cs="Arial" w:eastAsia="Arial" w:hAnsi="Arial"/>
                <w:sz w:val="16"/>
                <w:szCs w:val="16"/>
                <w:color w:val="auto"/>
              </w:rPr>
              <w:t>Series D 6%</w:t>
            </w: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169,033</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878,005</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5"/>
              </w:rPr>
              <w:t>$ (843,025)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34,980</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0.02 %</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220" w:type="dxa"/>
            <w:vAlign w:val="bottom"/>
            <w:gridSpan w:val="4"/>
          </w:tcPr>
          <w:p>
            <w:pPr>
              <w:ind w:left="200"/>
              <w:spacing w:after="0"/>
              <w:rPr>
                <w:sz w:val="20"/>
                <w:szCs w:val="20"/>
                <w:color w:val="auto"/>
              </w:rPr>
            </w:pPr>
            <w:r>
              <w:rPr>
                <w:rFonts w:ascii="Arial" w:cs="Arial" w:eastAsia="Arial" w:hAnsi="Arial"/>
                <w:sz w:val="16"/>
                <w:szCs w:val="16"/>
                <w:color w:val="auto"/>
              </w:rPr>
              <w:t>CUX, Inc. (d/b/a CorpU) -</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gridSpan w:val="4"/>
          </w:tcPr>
          <w:p>
            <w:pPr>
              <w:ind w:left="200"/>
              <w:spacing w:after="0"/>
              <w:rPr>
                <w:sz w:val="20"/>
                <w:szCs w:val="20"/>
                <w:color w:val="auto"/>
              </w:rPr>
            </w:pPr>
            <w:r>
              <w:rPr>
                <w:rFonts w:ascii="Arial" w:cs="Arial" w:eastAsia="Arial" w:hAnsi="Arial"/>
                <w:sz w:val="16"/>
                <w:szCs w:val="16"/>
                <w:color w:val="auto"/>
                <w:w w:val="96"/>
              </w:rPr>
              <w:t>Convertible preferred shares,</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20" w:type="dxa"/>
            <w:vAlign w:val="bottom"/>
            <w:gridSpan w:val="4"/>
          </w:tcPr>
          <w:p>
            <w:pPr>
              <w:ind w:left="200"/>
              <w:spacing w:after="0"/>
              <w:rPr>
                <w:sz w:val="20"/>
                <w:szCs w:val="20"/>
                <w:color w:val="auto"/>
              </w:rPr>
            </w:pPr>
            <w:r>
              <w:rPr>
                <w:rFonts w:ascii="Arial" w:cs="Arial" w:eastAsia="Arial" w:hAnsi="Arial"/>
                <w:sz w:val="16"/>
                <w:szCs w:val="16"/>
                <w:color w:val="auto"/>
              </w:rPr>
              <w:t>Series C 8%</w:t>
            </w:r>
          </w:p>
        </w:tc>
        <w:tc>
          <w:tcPr>
            <w:tcW w:w="200" w:type="dxa"/>
            <w:vAlign w:val="bottom"/>
          </w:tcPr>
          <w:p>
            <w:pPr>
              <w:spacing w:after="0"/>
              <w:rPr>
                <w:sz w:val="17"/>
                <w:szCs w:val="17"/>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615,763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6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6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2220" w:type="dxa"/>
            <w:vAlign w:val="bottom"/>
            <w:tcBorders>
              <w:bottom w:val="single" w:sz="8" w:color="CCEEFF"/>
            </w:tcBorders>
            <w:gridSpan w:val="4"/>
            <w:shd w:val="clear" w:color="auto" w:fill="CCEEFF"/>
          </w:tcPr>
          <w:p>
            <w:pPr>
              <w:ind w:left="100"/>
              <w:spacing w:after="0"/>
              <w:rPr>
                <w:sz w:val="20"/>
                <w:szCs w:val="20"/>
                <w:color w:val="auto"/>
              </w:rPr>
            </w:pPr>
            <w:r>
              <w:rPr>
                <w:rFonts w:ascii="Arial" w:cs="Arial" w:eastAsia="Arial" w:hAnsi="Arial"/>
                <w:sz w:val="16"/>
                <w:szCs w:val="16"/>
                <w:i w:val="1"/>
                <w:iCs w:val="1"/>
                <w:color w:val="auto"/>
              </w:rPr>
              <w:t>Total Corporate Education</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878,005</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(843,025)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34,980</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0.02 %</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220" w:type="dxa"/>
            <w:vAlign w:val="bottom"/>
            <w:gridSpan w:val="4"/>
          </w:tcPr>
          <w:p>
            <w:pPr>
              <w:ind w:left="100"/>
              <w:spacing w:after="0"/>
              <w:rPr>
                <w:sz w:val="20"/>
                <w:szCs w:val="20"/>
                <w:color w:val="auto"/>
              </w:rPr>
            </w:pPr>
            <w:r>
              <w:rPr>
                <w:rFonts w:ascii="Arial" w:cs="Arial" w:eastAsia="Arial" w:hAnsi="Arial"/>
                <w:sz w:val="16"/>
                <w:szCs w:val="16"/>
                <w:i w:val="1"/>
                <w:iCs w:val="1"/>
                <w:color w:val="auto"/>
              </w:rPr>
              <w:t>Social Cognitive Learning</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2220" w:type="dxa"/>
            <w:vAlign w:val="bottom"/>
            <w:gridSpan w:val="4"/>
            <w:shd w:val="clear" w:color="auto" w:fill="CCEEFF"/>
          </w:tcPr>
          <w:p>
            <w:pPr>
              <w:ind w:left="200"/>
              <w:spacing w:after="0"/>
              <w:rPr>
                <w:sz w:val="20"/>
                <w:szCs w:val="20"/>
                <w:color w:val="auto"/>
              </w:rPr>
            </w:pPr>
            <w:r>
              <w:rPr>
                <w:rFonts w:ascii="Arial" w:cs="Arial" w:eastAsia="Arial" w:hAnsi="Arial"/>
                <w:sz w:val="16"/>
                <w:szCs w:val="16"/>
                <w:color w:val="auto"/>
                <w:w w:val="89"/>
              </w:rPr>
              <w:t>Declara, Inc.–Preferred shares,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shd w:val="clear" w:color="auto" w:fill="CCEEFF"/>
          </w:tcPr>
          <w:p>
            <w:pPr>
              <w:spacing w:after="0"/>
              <w:rPr>
                <w:sz w:val="19"/>
                <w:szCs w:val="19"/>
                <w:color w:val="auto"/>
              </w:rPr>
            </w:pPr>
          </w:p>
        </w:tc>
        <w:tc>
          <w:tcPr>
            <w:tcW w:w="2220" w:type="dxa"/>
            <w:vAlign w:val="bottom"/>
            <w:tcBorders>
              <w:bottom w:val="single" w:sz="8" w:color="CCEEFF"/>
            </w:tcBorders>
            <w:gridSpan w:val="4"/>
            <w:shd w:val="clear" w:color="auto" w:fill="CCEEFF"/>
          </w:tcPr>
          <w:p>
            <w:pPr>
              <w:ind w:left="200"/>
              <w:spacing w:after="0"/>
              <w:rPr>
                <w:sz w:val="20"/>
                <w:szCs w:val="20"/>
                <w:color w:val="auto"/>
              </w:rPr>
            </w:pPr>
            <w:r>
              <w:rPr>
                <w:rFonts w:ascii="Arial" w:cs="Arial" w:eastAsia="Arial" w:hAnsi="Arial"/>
                <w:sz w:val="16"/>
                <w:szCs w:val="16"/>
                <w:color w:val="auto"/>
              </w:rPr>
              <w:t>Series A 8%</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(9,999,999)</w:t>
            </w: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9,999,999</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20" w:type="dxa"/>
            <w:vAlign w:val="bottom"/>
            <w:gridSpan w:val="4"/>
          </w:tcPr>
          <w:p>
            <w:pPr>
              <w:ind w:left="100"/>
              <w:spacing w:after="0"/>
              <w:rPr>
                <w:sz w:val="20"/>
                <w:szCs w:val="20"/>
                <w:color w:val="auto"/>
              </w:rPr>
            </w:pPr>
            <w:r>
              <w:rPr>
                <w:rFonts w:ascii="Arial" w:cs="Arial" w:eastAsia="Arial" w:hAnsi="Arial"/>
                <w:sz w:val="16"/>
                <w:szCs w:val="16"/>
                <w:i w:val="1"/>
                <w:iCs w:val="1"/>
                <w:color w:val="auto"/>
              </w:rPr>
              <w:t>Education Media Platform</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2220" w:type="dxa"/>
            <w:vAlign w:val="bottom"/>
            <w:gridSpan w:val="4"/>
            <w:shd w:val="clear" w:color="auto" w:fill="CCEEFF"/>
          </w:tcPr>
          <w:p>
            <w:pPr>
              <w:ind w:left="200"/>
              <w:spacing w:after="0"/>
              <w:rPr>
                <w:sz w:val="20"/>
                <w:szCs w:val="20"/>
                <w:color w:val="auto"/>
              </w:rPr>
            </w:pPr>
            <w:r>
              <w:rPr>
                <w:rFonts w:ascii="Arial" w:cs="Arial" w:eastAsia="Arial" w:hAnsi="Arial"/>
                <w:sz w:val="16"/>
                <w:szCs w:val="16"/>
                <w:color w:val="auto"/>
              </w:rPr>
              <w:t>EdSurge, Inc.–Preferred</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220" w:type="dxa"/>
            <w:vAlign w:val="bottom"/>
            <w:gridSpan w:val="4"/>
            <w:shd w:val="clear" w:color="auto" w:fill="CCEEFF"/>
          </w:tcPr>
          <w:p>
            <w:pPr>
              <w:ind w:left="200"/>
              <w:spacing w:after="0"/>
              <w:rPr>
                <w:sz w:val="20"/>
                <w:szCs w:val="20"/>
                <w:color w:val="auto"/>
              </w:rPr>
            </w:pPr>
            <w:r>
              <w:rPr>
                <w:rFonts w:ascii="Arial" w:cs="Arial" w:eastAsia="Arial" w:hAnsi="Arial"/>
                <w:sz w:val="16"/>
                <w:szCs w:val="16"/>
                <w:color w:val="auto"/>
              </w:rPr>
              <w:t>shares, Series A-1</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250,000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(501,360)</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251,360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33"/>
        </w:trPr>
        <w:tc>
          <w:tcPr>
            <w:tcW w:w="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00"/>
          </w:cols>
          <w:pgMar w:left="320" w:top="122" w:right="37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June 30, 2020</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1"/>
              </w:rPr>
              <w:t>Interest, Fees,</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Fair Value at</w:t>
            </w:r>
          </w:p>
        </w:tc>
        <w:tc>
          <w:tcPr>
            <w:tcW w:w="9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8"/>
              </w:rPr>
              <w:t>Purchases,</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or</w:t>
            </w:r>
          </w:p>
        </w:tc>
        <w:tc>
          <w:tcPr>
            <w:tcW w:w="102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Capitalized</w:t>
            </w: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Fair Value at</w:t>
            </w:r>
          </w:p>
        </w:tc>
        <w:tc>
          <w:tcPr>
            <w:tcW w:w="76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8"/>
        </w:trPr>
        <w:tc>
          <w:tcPr>
            <w:tcW w:w="2020" w:type="dxa"/>
            <w:vAlign w:val="bottom"/>
            <w:vMerge w:val="restart"/>
          </w:tcPr>
          <w:p>
            <w:pPr>
              <w:spacing w:after="0"/>
              <w:rPr>
                <w:sz w:val="20"/>
                <w:szCs w:val="20"/>
                <w:color w:val="auto"/>
              </w:rPr>
            </w:pPr>
            <w:r>
              <w:rPr>
                <w:rFonts w:ascii="Arial" w:cs="Arial" w:eastAsia="Arial" w:hAnsi="Arial"/>
                <w:sz w:val="14"/>
                <w:szCs w:val="14"/>
                <w:b w:val="1"/>
                <w:bCs w:val="1"/>
                <w:color w:val="auto"/>
              </w:rPr>
              <w:t>Type/Industry/Portfolio</w:t>
            </w:r>
          </w:p>
        </w:tc>
        <w:tc>
          <w:tcPr>
            <w:tcW w:w="1280" w:type="dxa"/>
            <w:vAlign w:val="bottom"/>
            <w:vMerge w:val="restart"/>
          </w:tcPr>
          <w:p>
            <w:pPr>
              <w:jc w:val="center"/>
              <w:ind w:left="368"/>
              <w:spacing w:after="0"/>
              <w:rPr>
                <w:sz w:val="20"/>
                <w:szCs w:val="20"/>
                <w:color w:val="auto"/>
              </w:rPr>
            </w:pPr>
            <w:r>
              <w:rPr>
                <w:rFonts w:ascii="Arial" w:cs="Arial" w:eastAsia="Arial" w:hAnsi="Arial"/>
                <w:sz w:val="14"/>
                <w:szCs w:val="14"/>
                <w:b w:val="1"/>
                <w:bCs w:val="1"/>
                <w:color w:val="auto"/>
                <w:w w:val="95"/>
              </w:rPr>
              <w:t>Principal/</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Dividends</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December</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Corporate</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Fees,</w:t>
            </w: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Realized</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Unrealized</w:t>
            </w:r>
          </w:p>
        </w:tc>
        <w:tc>
          <w:tcPr>
            <w:tcW w:w="9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2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Credited</w:t>
            </w:r>
          </w:p>
        </w:tc>
        <w:tc>
          <w:tcPr>
            <w:tcW w:w="1020" w:type="dxa"/>
            <w:vAlign w:val="bottom"/>
          </w:tcPr>
          <w:p>
            <w:pPr>
              <w:jc w:val="right"/>
              <w:ind w:right="368"/>
              <w:spacing w:after="0" w:line="149" w:lineRule="exact"/>
              <w:rPr>
                <w:sz w:val="20"/>
                <w:szCs w:val="20"/>
                <w:color w:val="auto"/>
              </w:rPr>
            </w:pPr>
            <w:r>
              <w:rPr>
                <w:rFonts w:ascii="Arial" w:cs="Arial" w:eastAsia="Arial" w:hAnsi="Arial"/>
                <w:sz w:val="14"/>
                <w:szCs w:val="14"/>
                <w:b w:val="1"/>
                <w:bCs w:val="1"/>
                <w:color w:val="auto"/>
              </w:rPr>
              <w:t>31,</w:t>
            </w:r>
          </w:p>
        </w:tc>
        <w:tc>
          <w:tcPr>
            <w:tcW w:w="920" w:type="dxa"/>
            <w:vAlign w:val="bottom"/>
            <w:vMerge w:val="continue"/>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Interest and</w:t>
            </w:r>
          </w:p>
        </w:tc>
        <w:tc>
          <w:tcPr>
            <w:tcW w:w="104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of Net</w:t>
            </w:r>
          </w:p>
        </w:tc>
        <w:tc>
          <w:tcPr>
            <w:tcW w:w="0" w:type="dxa"/>
            <w:vAlign w:val="bottom"/>
          </w:tcPr>
          <w:p>
            <w:pPr>
              <w:spacing w:after="0"/>
              <w:rPr>
                <w:sz w:val="1"/>
                <w:szCs w:val="1"/>
                <w:color w:val="auto"/>
              </w:rPr>
            </w:pPr>
          </w:p>
        </w:tc>
      </w:tr>
      <w:tr>
        <w:trPr>
          <w:trHeight w:val="186"/>
        </w:trPr>
        <w:tc>
          <w:tcPr>
            <w:tcW w:w="2020" w:type="dxa"/>
            <w:vAlign w:val="bottom"/>
          </w:tcPr>
          <w:p>
            <w:pPr>
              <w:spacing w:after="0"/>
              <w:rPr>
                <w:sz w:val="20"/>
                <w:szCs w:val="20"/>
                <w:color w:val="auto"/>
              </w:rPr>
            </w:pPr>
            <w:r>
              <w:rPr>
                <w:rFonts w:ascii="Arial" w:cs="Arial" w:eastAsia="Arial" w:hAnsi="Arial"/>
                <w:sz w:val="14"/>
                <w:szCs w:val="14"/>
                <w:b w:val="1"/>
                <w:bCs w:val="1"/>
                <w:color w:val="auto"/>
              </w:rPr>
              <w:t>Company/Investment</w:t>
            </w:r>
          </w:p>
        </w:tc>
        <w:tc>
          <w:tcPr>
            <w:tcW w:w="1280" w:type="dxa"/>
            <w:vAlign w:val="bottom"/>
          </w:tcPr>
          <w:p>
            <w:pPr>
              <w:jc w:val="center"/>
              <w:ind w:left="368"/>
              <w:spacing w:after="0"/>
              <w:rPr>
                <w:sz w:val="20"/>
                <w:szCs w:val="20"/>
                <w:color w:val="auto"/>
              </w:rPr>
            </w:pPr>
            <w:r>
              <w:rPr>
                <w:rFonts w:ascii="Arial" w:cs="Arial" w:eastAsia="Arial" w:hAnsi="Arial"/>
                <w:sz w:val="14"/>
                <w:szCs w:val="14"/>
                <w:b w:val="1"/>
                <w:bCs w:val="1"/>
                <w:color w:val="auto"/>
                <w:w w:val="98"/>
              </w:rPr>
              <w:t>Quantity</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1"/>
              </w:rPr>
              <w:t>in Income</w:t>
            </w:r>
          </w:p>
        </w:tc>
        <w:tc>
          <w:tcPr>
            <w:tcW w:w="1020" w:type="dxa"/>
            <w:vAlign w:val="bottom"/>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Action</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Gains/(Losses)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7"/>
              </w:rPr>
              <w:t>Gains/(Losses)</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bl>
    <w:p>
      <w:pPr>
        <w:spacing w:after="0" w:line="29" w:lineRule="exact"/>
        <w:rPr>
          <w:sz w:val="20"/>
          <w:szCs w:val="20"/>
          <w:color w:val="auto"/>
        </w:rPr>
      </w:pPr>
    </w:p>
    <w:p>
      <w:pPr>
        <w:sectPr>
          <w:pgSz w:w="11900" w:h="16838" w:orient="portrait"/>
          <w:cols w:equalWidth="0" w:num="1">
            <w:col w:w="11180"/>
          </w:cols>
          <w:pgMar w:left="320" w:top="122" w:right="399" w:bottom="1440" w:gutter="0" w:footer="0" w:header="0"/>
        </w:sectPr>
      </w:pPr>
    </w:p>
    <w:p>
      <w:pPr>
        <w:ind w:left="220" w:right="140"/>
        <w:spacing w:after="0" w:line="293" w:lineRule="auto"/>
        <w:rPr>
          <w:sz w:val="20"/>
          <w:szCs w:val="20"/>
          <w:color w:val="auto"/>
        </w:rPr>
      </w:pPr>
      <w:r>
        <w:rPr>
          <w:rFonts w:ascii="Arial" w:cs="Arial" w:eastAsia="Arial" w:hAnsi="Arial"/>
          <w:sz w:val="16"/>
          <w:szCs w:val="16"/>
          <w:color w:val="auto"/>
        </w:rPr>
        <w:t>EdSurge, Inc.–Preferred shares, Series A</w:t>
      </w:r>
    </w:p>
    <w:p>
      <w:pPr>
        <w:spacing w:after="0" w:line="23" w:lineRule="exact"/>
        <w:rPr>
          <w:sz w:val="20"/>
          <w:szCs w:val="20"/>
          <w:color w:val="auto"/>
        </w:rPr>
      </w:pPr>
    </w:p>
    <w:p>
      <w:pPr>
        <w:ind w:left="120" w:right="160"/>
        <w:spacing w:after="0" w:line="356" w:lineRule="auto"/>
        <w:rPr>
          <w:sz w:val="20"/>
          <w:szCs w:val="20"/>
          <w:color w:val="auto"/>
        </w:rPr>
      </w:pPr>
      <w:r>
        <w:rPr>
          <w:rFonts w:ascii="Arial" w:cs="Arial" w:eastAsia="Arial" w:hAnsi="Arial"/>
          <w:sz w:val="15"/>
          <w:szCs w:val="15"/>
          <w:i w:val="1"/>
          <w:iCs w:val="1"/>
          <w:color w:val="auto"/>
        </w:rPr>
        <w:t>Total Education Media Platform Knowledge Networks</w:t>
      </w:r>
    </w:p>
    <w:p>
      <w:pPr>
        <w:spacing w:after="0" w:line="1" w:lineRule="exact"/>
        <w:rPr>
          <w:sz w:val="20"/>
          <w:szCs w:val="20"/>
          <w:color w:val="auto"/>
        </w:rPr>
      </w:pPr>
    </w:p>
    <w:p>
      <w:pPr>
        <w:ind w:left="220" w:right="100"/>
        <w:spacing w:after="0" w:line="293" w:lineRule="auto"/>
        <w:rPr>
          <w:sz w:val="20"/>
          <w:szCs w:val="20"/>
          <w:color w:val="auto"/>
        </w:rPr>
      </w:pPr>
      <w:r>
        <w:rPr>
          <w:rFonts w:ascii="Arial" w:cs="Arial" w:eastAsia="Arial" w:hAnsi="Arial"/>
          <w:sz w:val="16"/>
          <w:szCs w:val="16"/>
          <w:color w:val="auto"/>
        </w:rPr>
        <w:t>Maven Research, Inc.–Preferred shares, Series C</w:t>
      </w:r>
    </w:p>
    <w:p>
      <w:pPr>
        <w:spacing w:after="0" w:line="10" w:lineRule="exact"/>
        <w:rPr>
          <w:sz w:val="20"/>
          <w:szCs w:val="20"/>
          <w:color w:val="auto"/>
        </w:rPr>
      </w:pPr>
    </w:p>
    <w:p>
      <w:pPr>
        <w:ind w:left="220" w:right="100"/>
        <w:spacing w:after="0" w:line="293" w:lineRule="auto"/>
        <w:rPr>
          <w:sz w:val="20"/>
          <w:szCs w:val="20"/>
          <w:color w:val="auto"/>
        </w:rPr>
      </w:pPr>
      <w:r>
        <w:rPr>
          <w:rFonts w:ascii="Arial" w:cs="Arial" w:eastAsia="Arial" w:hAnsi="Arial"/>
          <w:sz w:val="16"/>
          <w:szCs w:val="16"/>
          <w:color w:val="auto"/>
        </w:rPr>
        <w:t>Maven Research, Inc.–Preferred shares, Series B</w:t>
      </w:r>
    </w:p>
    <w:p>
      <w:pPr>
        <w:spacing w:after="0" w:line="23" w:lineRule="exact"/>
        <w:rPr>
          <w:sz w:val="20"/>
          <w:szCs w:val="20"/>
          <w:color w:val="auto"/>
        </w:rPr>
      </w:pPr>
    </w:p>
    <w:p>
      <w:pPr>
        <w:ind w:left="120" w:right="520"/>
        <w:spacing w:after="0" w:line="372" w:lineRule="auto"/>
        <w:rPr>
          <w:sz w:val="20"/>
          <w:szCs w:val="20"/>
          <w:color w:val="auto"/>
        </w:rPr>
      </w:pPr>
      <w:r>
        <w:rPr>
          <w:rFonts w:ascii="Arial" w:cs="Arial" w:eastAsia="Arial" w:hAnsi="Arial"/>
          <w:sz w:val="14"/>
          <w:szCs w:val="14"/>
          <w:i w:val="1"/>
          <w:iCs w:val="1"/>
          <w:color w:val="auto"/>
        </w:rPr>
        <w:t>Total Knowledge Networks Digital Media Platform</w:t>
      </w:r>
    </w:p>
    <w:p>
      <w:pPr>
        <w:ind w:left="220" w:right="480"/>
        <w:spacing w:after="0" w:line="264" w:lineRule="auto"/>
        <w:rPr>
          <w:sz w:val="20"/>
          <w:szCs w:val="20"/>
          <w:color w:val="auto"/>
        </w:rPr>
      </w:pPr>
      <w:r>
        <w:rPr>
          <w:rFonts w:ascii="Arial" w:cs="Arial" w:eastAsia="Arial" w:hAnsi="Arial"/>
          <w:sz w:val="14"/>
          <w:szCs w:val="14"/>
          <w:color w:val="auto"/>
        </w:rPr>
        <w:t xml:space="preserve">OzyMedia, Inc.–Preferred shares, Series C-2 6% </w:t>
      </w:r>
      <w:r>
        <w:rPr>
          <w:rFonts w:ascii="Arial" w:cs="Arial" w:eastAsia="Arial" w:hAnsi="Arial"/>
          <w:sz w:val="18"/>
          <w:szCs w:val="18"/>
          <w:color w:val="auto"/>
          <w:vertAlign w:val="superscript"/>
        </w:rPr>
        <w:t>(6)</w:t>
      </w:r>
    </w:p>
    <w:p>
      <w:pPr>
        <w:spacing w:after="0" w:line="1" w:lineRule="exact"/>
        <w:rPr>
          <w:sz w:val="20"/>
          <w:szCs w:val="20"/>
          <w:color w:val="auto"/>
        </w:rPr>
      </w:pPr>
    </w:p>
    <w:p>
      <w:pPr>
        <w:ind w:left="220"/>
        <w:spacing w:after="0" w:line="275" w:lineRule="auto"/>
        <w:rPr>
          <w:sz w:val="20"/>
          <w:szCs w:val="20"/>
          <w:color w:val="auto"/>
        </w:rPr>
      </w:pPr>
      <w:r>
        <w:rPr>
          <w:rFonts w:ascii="Arial" w:cs="Arial" w:eastAsia="Arial" w:hAnsi="Arial"/>
          <w:sz w:val="16"/>
          <w:szCs w:val="16"/>
          <w:color w:val="auto"/>
        </w:rPr>
        <w:t>OzyMedia, Inc.–Preferred shares, Series B 6%</w:t>
      </w:r>
    </w:p>
    <w:p>
      <w:pPr>
        <w:spacing w:after="0" w:line="23" w:lineRule="exact"/>
        <w:rPr>
          <w:sz w:val="20"/>
          <w:szCs w:val="20"/>
          <w:color w:val="auto"/>
        </w:rPr>
      </w:pPr>
    </w:p>
    <w:p>
      <w:pPr>
        <w:ind w:left="220"/>
        <w:spacing w:after="0" w:line="293" w:lineRule="auto"/>
        <w:rPr>
          <w:sz w:val="20"/>
          <w:szCs w:val="20"/>
          <w:color w:val="auto"/>
        </w:rPr>
      </w:pPr>
      <w:r>
        <w:rPr>
          <w:rFonts w:ascii="Arial" w:cs="Arial" w:eastAsia="Arial" w:hAnsi="Arial"/>
          <w:sz w:val="16"/>
          <w:szCs w:val="16"/>
          <w:color w:val="auto"/>
        </w:rPr>
        <w:t>OzyMedia, Inc.–Preferred shares, Series A 6%</w:t>
      </w:r>
    </w:p>
    <w:p>
      <w:pPr>
        <w:spacing w:after="0" w:line="10" w:lineRule="exact"/>
        <w:rPr>
          <w:sz w:val="20"/>
          <w:szCs w:val="20"/>
          <w:color w:val="auto"/>
        </w:rPr>
      </w:pPr>
    </w:p>
    <w:p>
      <w:pPr>
        <w:ind w:left="220"/>
        <w:spacing w:after="0" w:line="293" w:lineRule="auto"/>
        <w:rPr>
          <w:sz w:val="20"/>
          <w:szCs w:val="20"/>
          <w:color w:val="auto"/>
        </w:rPr>
      </w:pPr>
      <w:r>
        <w:rPr>
          <w:rFonts w:ascii="Arial" w:cs="Arial" w:eastAsia="Arial" w:hAnsi="Arial"/>
          <w:sz w:val="16"/>
          <w:szCs w:val="16"/>
          <w:color w:val="auto"/>
        </w:rPr>
        <w:t>OzyMedia, Inc.–Preferred shares, Series Seed 6%</w:t>
      </w:r>
    </w:p>
    <w:p>
      <w:pPr>
        <w:spacing w:after="0" w:line="23" w:lineRule="exact"/>
        <w:rPr>
          <w:sz w:val="20"/>
          <w:szCs w:val="20"/>
          <w:color w:val="auto"/>
        </w:rPr>
      </w:pPr>
    </w:p>
    <w:p>
      <w:pPr>
        <w:ind w:left="120" w:right="380"/>
        <w:spacing w:after="0" w:line="347" w:lineRule="auto"/>
        <w:rPr>
          <w:sz w:val="20"/>
          <w:szCs w:val="20"/>
          <w:color w:val="auto"/>
        </w:rPr>
      </w:pPr>
      <w:r>
        <w:rPr>
          <w:rFonts w:ascii="Arial" w:cs="Arial" w:eastAsia="Arial" w:hAnsi="Arial"/>
          <w:sz w:val="15"/>
          <w:szCs w:val="15"/>
          <w:i w:val="1"/>
          <w:iCs w:val="1"/>
          <w:color w:val="auto"/>
        </w:rPr>
        <w:t>Total Digital Media Platform Global Innovation Platform</w:t>
      </w:r>
    </w:p>
    <w:p>
      <w:pPr>
        <w:spacing w:after="0" w:line="1" w:lineRule="exact"/>
        <w:rPr>
          <w:sz w:val="20"/>
          <w:szCs w:val="20"/>
          <w:color w:val="auto"/>
        </w:rPr>
      </w:pPr>
    </w:p>
    <w:p>
      <w:pPr>
        <w:ind w:left="220" w:right="60"/>
        <w:spacing w:after="0" w:line="249" w:lineRule="auto"/>
        <w:rPr>
          <w:sz w:val="20"/>
          <w:szCs w:val="20"/>
          <w:color w:val="auto"/>
        </w:rPr>
      </w:pPr>
      <w:r>
        <w:rPr>
          <w:rFonts w:ascii="Arial" w:cs="Arial" w:eastAsia="Arial" w:hAnsi="Arial"/>
          <w:sz w:val="14"/>
          <w:szCs w:val="14"/>
          <w:color w:val="auto"/>
        </w:rPr>
        <w:t>NestGSV, Inc. (d/b/a GSV Labs, Inc.)–Preferred stock Series A-4</w:t>
      </w:r>
    </w:p>
    <w:p>
      <w:pPr>
        <w:ind w:left="220"/>
        <w:spacing w:after="0" w:line="235" w:lineRule="auto"/>
        <w:rPr>
          <w:sz w:val="20"/>
          <w:szCs w:val="20"/>
          <w:color w:val="auto"/>
        </w:rPr>
      </w:pPr>
      <w:r>
        <w:rPr>
          <w:rFonts w:ascii="Arial" w:cs="Arial" w:eastAsia="Arial" w:hAnsi="Arial"/>
          <w:sz w:val="11"/>
          <w:szCs w:val="11"/>
          <w:color w:val="auto"/>
        </w:rPr>
        <w:t>(7)</w:t>
      </w:r>
    </w:p>
    <w:p>
      <w:pPr>
        <w:spacing w:after="0" w:line="15" w:lineRule="exact"/>
        <w:rPr>
          <w:sz w:val="20"/>
          <w:szCs w:val="20"/>
          <w:color w:val="auto"/>
        </w:rPr>
      </w:pPr>
    </w:p>
    <w:p>
      <w:pPr>
        <w:ind w:left="220" w:right="60"/>
        <w:spacing w:after="0" w:line="249" w:lineRule="auto"/>
        <w:rPr>
          <w:sz w:val="20"/>
          <w:szCs w:val="20"/>
          <w:color w:val="auto"/>
        </w:rPr>
      </w:pPr>
      <w:r>
        <w:rPr>
          <w:rFonts w:ascii="Arial" w:cs="Arial" w:eastAsia="Arial" w:hAnsi="Arial"/>
          <w:sz w:val="14"/>
          <w:szCs w:val="14"/>
          <w:color w:val="auto"/>
        </w:rPr>
        <w:t>NestGSV, Inc. (d/b/a GSV Labs, Inc.)–Preferred stock Series A-3</w:t>
      </w:r>
    </w:p>
    <w:p>
      <w:pPr>
        <w:ind w:left="220"/>
        <w:spacing w:after="0" w:line="235" w:lineRule="auto"/>
        <w:rPr>
          <w:sz w:val="20"/>
          <w:szCs w:val="20"/>
          <w:color w:val="auto"/>
        </w:rPr>
      </w:pPr>
      <w:r>
        <w:rPr>
          <w:rFonts w:ascii="Arial" w:cs="Arial" w:eastAsia="Arial" w:hAnsi="Arial"/>
          <w:sz w:val="11"/>
          <w:szCs w:val="11"/>
          <w:color w:val="auto"/>
        </w:rPr>
        <w:t>(7)</w:t>
      </w:r>
    </w:p>
    <w:p>
      <w:pPr>
        <w:spacing w:after="0" w:line="15" w:lineRule="exact"/>
        <w:rPr>
          <w:sz w:val="20"/>
          <w:szCs w:val="20"/>
          <w:color w:val="auto"/>
        </w:rPr>
      </w:pPr>
    </w:p>
    <w:p>
      <w:pPr>
        <w:ind w:left="220" w:right="60"/>
        <w:spacing w:after="0" w:line="249" w:lineRule="auto"/>
        <w:rPr>
          <w:sz w:val="20"/>
          <w:szCs w:val="20"/>
          <w:color w:val="auto"/>
        </w:rPr>
      </w:pPr>
      <w:r>
        <w:rPr>
          <w:rFonts w:ascii="Arial" w:cs="Arial" w:eastAsia="Arial" w:hAnsi="Arial"/>
          <w:sz w:val="14"/>
          <w:szCs w:val="14"/>
          <w:color w:val="auto"/>
        </w:rPr>
        <w:t>NestGSV, Inc. (d/b/a GSV Labs, Inc.)–Preferred stock Series A-2</w:t>
      </w:r>
    </w:p>
    <w:p>
      <w:pPr>
        <w:ind w:left="220"/>
        <w:spacing w:after="0" w:line="235" w:lineRule="auto"/>
        <w:rPr>
          <w:sz w:val="20"/>
          <w:szCs w:val="20"/>
          <w:color w:val="auto"/>
        </w:rPr>
      </w:pPr>
      <w:r>
        <w:rPr>
          <w:rFonts w:ascii="Arial" w:cs="Arial" w:eastAsia="Arial" w:hAnsi="Arial"/>
          <w:sz w:val="11"/>
          <w:szCs w:val="11"/>
          <w:color w:val="auto"/>
        </w:rPr>
        <w:t>(7)</w:t>
      </w:r>
    </w:p>
    <w:p>
      <w:pPr>
        <w:spacing w:after="0" w:line="15" w:lineRule="exact"/>
        <w:rPr>
          <w:sz w:val="20"/>
          <w:szCs w:val="20"/>
          <w:color w:val="auto"/>
        </w:rPr>
      </w:pPr>
    </w:p>
    <w:p>
      <w:pPr>
        <w:ind w:left="220" w:right="60"/>
        <w:spacing w:after="0" w:line="249" w:lineRule="auto"/>
        <w:rPr>
          <w:sz w:val="20"/>
          <w:szCs w:val="20"/>
          <w:color w:val="auto"/>
        </w:rPr>
      </w:pPr>
      <w:r>
        <w:rPr>
          <w:rFonts w:ascii="Arial" w:cs="Arial" w:eastAsia="Arial" w:hAnsi="Arial"/>
          <w:sz w:val="14"/>
          <w:szCs w:val="14"/>
          <w:color w:val="auto"/>
        </w:rPr>
        <w:t>NestGSV, Inc. (d/b/a GSV Labs, Inc.)–Preferred stock Series A-1</w:t>
      </w:r>
    </w:p>
    <w:p>
      <w:pPr>
        <w:ind w:left="220"/>
        <w:spacing w:after="0" w:line="235" w:lineRule="auto"/>
        <w:rPr>
          <w:sz w:val="20"/>
          <w:szCs w:val="20"/>
          <w:color w:val="auto"/>
        </w:rPr>
      </w:pPr>
      <w:r>
        <w:rPr>
          <w:rFonts w:ascii="Arial" w:cs="Arial" w:eastAsia="Arial" w:hAnsi="Arial"/>
          <w:sz w:val="11"/>
          <w:szCs w:val="11"/>
          <w:color w:val="auto"/>
        </w:rPr>
        <w:t>(7)</w:t>
      </w:r>
    </w:p>
    <w:p>
      <w:pPr>
        <w:spacing w:after="0" w:line="42" w:lineRule="exact"/>
        <w:rPr>
          <w:sz w:val="20"/>
          <w:szCs w:val="20"/>
          <w:color w:val="auto"/>
        </w:rPr>
      </w:pPr>
    </w:p>
    <w:p>
      <w:pPr>
        <w:ind w:left="120" w:right="100"/>
        <w:spacing w:after="0" w:line="325" w:lineRule="auto"/>
        <w:rPr>
          <w:sz w:val="20"/>
          <w:szCs w:val="20"/>
          <w:color w:val="auto"/>
        </w:rPr>
      </w:pPr>
      <w:r>
        <w:rPr>
          <w:rFonts w:ascii="Arial" w:cs="Arial" w:eastAsia="Arial" w:hAnsi="Arial"/>
          <w:sz w:val="16"/>
          <w:szCs w:val="16"/>
          <w:i w:val="1"/>
          <w:iCs w:val="1"/>
          <w:color w:val="auto"/>
        </w:rPr>
        <w:t>Total Global Innovation Platform Interactive Learning</w:t>
      </w:r>
    </w:p>
    <w:p>
      <w:pPr>
        <w:spacing w:after="0" w:line="1" w:lineRule="exact"/>
        <w:rPr>
          <w:sz w:val="20"/>
          <w:szCs w:val="20"/>
          <w:color w:val="auto"/>
        </w:rPr>
      </w:pPr>
    </w:p>
    <w:p>
      <w:pPr>
        <w:ind w:left="220" w:right="360"/>
        <w:spacing w:after="0" w:line="233" w:lineRule="auto"/>
        <w:rPr>
          <w:sz w:val="20"/>
          <w:szCs w:val="20"/>
          <w:color w:val="auto"/>
        </w:rPr>
      </w:pPr>
      <w:r>
        <w:rPr>
          <w:rFonts w:ascii="Arial" w:cs="Arial" w:eastAsia="Arial" w:hAnsi="Arial"/>
          <w:sz w:val="15"/>
          <w:szCs w:val="15"/>
          <w:color w:val="auto"/>
        </w:rPr>
        <w:t>StormWind, LLC–Preferred shares, Series D 8%</w:t>
      </w:r>
      <w:r>
        <w:rPr>
          <w:rFonts w:ascii="Arial" w:cs="Arial" w:eastAsia="Arial" w:hAnsi="Arial"/>
          <w:sz w:val="20"/>
          <w:szCs w:val="20"/>
          <w:color w:val="auto"/>
          <w:vertAlign w:val="superscript"/>
        </w:rPr>
        <w:t>(4)(8)</w:t>
      </w:r>
    </w:p>
    <w:p>
      <w:pPr>
        <w:spacing w:after="0" w:line="1" w:lineRule="exact"/>
        <w:rPr>
          <w:sz w:val="20"/>
          <w:szCs w:val="20"/>
          <w:color w:val="auto"/>
        </w:rPr>
      </w:pPr>
    </w:p>
    <w:p>
      <w:pPr>
        <w:ind w:left="220" w:right="360"/>
        <w:spacing w:after="0" w:line="225" w:lineRule="auto"/>
        <w:rPr>
          <w:sz w:val="20"/>
          <w:szCs w:val="20"/>
          <w:color w:val="auto"/>
        </w:rPr>
      </w:pPr>
      <w:r>
        <w:rPr>
          <w:rFonts w:ascii="Arial" w:cs="Arial" w:eastAsia="Arial" w:hAnsi="Arial"/>
          <w:sz w:val="15"/>
          <w:szCs w:val="15"/>
          <w:color w:val="auto"/>
        </w:rPr>
        <w:t>StormWind, LLC–Preferred shares, Series C 8%</w:t>
      </w:r>
      <w:r>
        <w:rPr>
          <w:rFonts w:ascii="Arial" w:cs="Arial" w:eastAsia="Arial" w:hAnsi="Arial"/>
          <w:sz w:val="20"/>
          <w:szCs w:val="20"/>
          <w:color w:val="auto"/>
          <w:vertAlign w:val="superscript"/>
        </w:rPr>
        <w:t>(4)</w:t>
      </w:r>
    </w:p>
    <w:p>
      <w:pPr>
        <w:spacing w:after="0" w:line="1" w:lineRule="exact"/>
        <w:rPr>
          <w:sz w:val="20"/>
          <w:szCs w:val="20"/>
          <w:color w:val="auto"/>
        </w:rPr>
      </w:pPr>
    </w:p>
    <w:p>
      <w:pPr>
        <w:ind w:left="220" w:right="360"/>
        <w:spacing w:after="0" w:line="261" w:lineRule="auto"/>
        <w:rPr>
          <w:sz w:val="20"/>
          <w:szCs w:val="20"/>
          <w:color w:val="auto"/>
        </w:rPr>
      </w:pPr>
      <w:r>
        <w:rPr>
          <w:rFonts w:ascii="Arial" w:cs="Arial" w:eastAsia="Arial" w:hAnsi="Arial"/>
          <w:sz w:val="15"/>
          <w:szCs w:val="15"/>
          <w:color w:val="auto"/>
        </w:rPr>
        <w:t>StormWind, LLC–Preferred shares, Series B 8%</w:t>
      </w:r>
      <w:r>
        <w:rPr>
          <w:rFonts w:ascii="Arial" w:cs="Arial" w:eastAsia="Arial" w:hAnsi="Arial"/>
          <w:sz w:val="20"/>
          <w:szCs w:val="20"/>
          <w:color w:val="auto"/>
          <w:vertAlign w:val="superscript"/>
        </w:rPr>
        <w:t>(4)</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8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66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269,848</w:t>
            </w:r>
          </w:p>
        </w:tc>
        <w:tc>
          <w:tcPr>
            <w:tcW w:w="8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w w:val="96"/>
              </w:rPr>
              <w:t>(500,801)</w:t>
            </w:r>
          </w:p>
        </w:tc>
        <w:tc>
          <w:tcPr>
            <w:tcW w:w="80" w:type="dxa"/>
            <w:vAlign w:val="bottom"/>
          </w:tcPr>
          <w:p>
            <w:pPr>
              <w:spacing w:after="0"/>
              <w:rPr>
                <w:sz w:val="17"/>
                <w:szCs w:val="17"/>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230,953</w:t>
            </w:r>
          </w:p>
        </w:tc>
        <w:tc>
          <w:tcPr>
            <w:tcW w:w="8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 %</w:t>
            </w:r>
          </w:p>
        </w:tc>
      </w:tr>
      <w:tr>
        <w:trPr>
          <w:trHeight w:val="33"/>
        </w:trPr>
        <w:tc>
          <w:tcPr>
            <w:tcW w:w="8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gridSpan w:val="2"/>
          </w:tcPr>
          <w:p>
            <w:pPr>
              <w:spacing w:after="0"/>
              <w:rPr>
                <w:sz w:val="2"/>
                <w:szCs w:val="2"/>
                <w:color w:val="auto"/>
              </w:rPr>
            </w:pPr>
          </w:p>
        </w:tc>
      </w:tr>
      <w:tr>
        <w:trPr>
          <w:trHeight w:val="217"/>
        </w:trPr>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519,848</w:t>
            </w:r>
          </w:p>
        </w:tc>
        <w:tc>
          <w:tcPr>
            <w:tcW w:w="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39"/>
              <w:spacing w:after="0"/>
              <w:rPr>
                <w:sz w:val="20"/>
                <w:szCs w:val="20"/>
                <w:color w:val="auto"/>
              </w:rPr>
            </w:pPr>
            <w:r>
              <w:rPr>
                <w:rFonts w:ascii="Arial" w:cs="Arial" w:eastAsia="Arial" w:hAnsi="Arial"/>
                <w:sz w:val="16"/>
                <w:szCs w:val="16"/>
                <w:color w:val="auto"/>
                <w:w w:val="97"/>
              </w:rPr>
              <w:t>(1,002,161)</w:t>
            </w:r>
          </w:p>
        </w:tc>
        <w:tc>
          <w:tcPr>
            <w:tcW w:w="8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482,313</w:t>
            </w:r>
          </w:p>
        </w:tc>
        <w:tc>
          <w:tcPr>
            <w:tcW w:w="8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 %</w:t>
            </w:r>
          </w:p>
        </w:tc>
      </w:tr>
      <w:tr>
        <w:trPr>
          <w:trHeight w:val="715"/>
        </w:trPr>
        <w:tc>
          <w:tcPr>
            <w:tcW w:w="880" w:type="dxa"/>
            <w:vAlign w:val="bottom"/>
          </w:tcPr>
          <w:p>
            <w:pPr>
              <w:jc w:val="right"/>
              <w:ind w:right="139"/>
              <w:spacing w:after="0"/>
              <w:rPr>
                <w:sz w:val="20"/>
                <w:szCs w:val="20"/>
                <w:color w:val="auto"/>
              </w:rPr>
            </w:pPr>
            <w:r>
              <w:rPr>
                <w:rFonts w:ascii="Arial" w:cs="Arial" w:eastAsia="Arial" w:hAnsi="Arial"/>
                <w:sz w:val="16"/>
                <w:szCs w:val="16"/>
                <w:color w:val="auto"/>
              </w:rPr>
              <w:t>318,979</w:t>
            </w:r>
          </w:p>
        </w:tc>
        <w:tc>
          <w:tcPr>
            <w:tcW w:w="400" w:type="dxa"/>
            <w:vAlign w:val="bottom"/>
          </w:tcPr>
          <w:p>
            <w:pPr>
              <w:spacing w:after="0"/>
              <w:rPr>
                <w:sz w:val="24"/>
                <w:szCs w:val="24"/>
                <w:color w:val="auto"/>
              </w:rPr>
            </w:pPr>
          </w:p>
        </w:tc>
        <w:tc>
          <w:tcPr>
            <w:tcW w:w="66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8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 %</w:t>
            </w:r>
          </w:p>
        </w:tc>
      </w:tr>
      <w:tr>
        <w:trPr>
          <w:trHeight w:val="459"/>
        </w:trPr>
        <w:tc>
          <w:tcPr>
            <w:tcW w:w="880" w:type="dxa"/>
            <w:vAlign w:val="bottom"/>
          </w:tcPr>
          <w:p>
            <w:pPr>
              <w:jc w:val="right"/>
              <w:ind w:right="139"/>
              <w:spacing w:after="0"/>
              <w:rPr>
                <w:sz w:val="20"/>
                <w:szCs w:val="20"/>
                <w:color w:val="auto"/>
              </w:rPr>
            </w:pPr>
            <w:r>
              <w:rPr>
                <w:rFonts w:ascii="Arial" w:cs="Arial" w:eastAsia="Arial" w:hAnsi="Arial"/>
                <w:sz w:val="16"/>
                <w:szCs w:val="16"/>
                <w:color w:val="auto"/>
              </w:rPr>
              <w:t>49,505</w:t>
            </w:r>
          </w:p>
        </w:tc>
        <w:tc>
          <w:tcPr>
            <w:tcW w:w="400" w:type="dxa"/>
            <w:vAlign w:val="bottom"/>
          </w:tcPr>
          <w:p>
            <w:pPr>
              <w:spacing w:after="0"/>
              <w:rPr>
                <w:sz w:val="24"/>
                <w:szCs w:val="24"/>
                <w:color w:val="auto"/>
              </w:rPr>
            </w:pPr>
          </w:p>
        </w:tc>
        <w:tc>
          <w:tcPr>
            <w:tcW w:w="66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8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 %</w:t>
            </w:r>
          </w:p>
        </w:tc>
      </w:tr>
      <w:tr>
        <w:trPr>
          <w:trHeight w:val="33"/>
        </w:trPr>
        <w:tc>
          <w:tcPr>
            <w:tcW w:w="8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gridSpan w:val="2"/>
          </w:tcPr>
          <w:p>
            <w:pPr>
              <w:spacing w:after="0"/>
              <w:rPr>
                <w:sz w:val="2"/>
                <w:szCs w:val="2"/>
                <w:color w:val="auto"/>
              </w:rPr>
            </w:pPr>
          </w:p>
        </w:tc>
      </w:tr>
      <w:tr>
        <w:trPr>
          <w:trHeight w:val="217"/>
        </w:trPr>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 %</w:t>
            </w:r>
          </w:p>
        </w:tc>
      </w:tr>
      <w:tr>
        <w:trPr>
          <w:trHeight w:val="634"/>
        </w:trPr>
        <w:tc>
          <w:tcPr>
            <w:tcW w:w="880" w:type="dxa"/>
            <w:vAlign w:val="bottom"/>
          </w:tcPr>
          <w:p>
            <w:pPr>
              <w:jc w:val="right"/>
              <w:ind w:right="139"/>
              <w:spacing w:after="0"/>
              <w:rPr>
                <w:sz w:val="20"/>
                <w:szCs w:val="20"/>
                <w:color w:val="auto"/>
              </w:rPr>
            </w:pPr>
            <w:r>
              <w:rPr>
                <w:rFonts w:ascii="Arial" w:cs="Arial" w:eastAsia="Arial" w:hAnsi="Arial"/>
                <w:sz w:val="16"/>
                <w:szCs w:val="16"/>
                <w:color w:val="auto"/>
              </w:rPr>
              <w:t>683,482</w:t>
            </w:r>
          </w:p>
        </w:tc>
        <w:tc>
          <w:tcPr>
            <w:tcW w:w="400" w:type="dxa"/>
            <w:vAlign w:val="bottom"/>
          </w:tcPr>
          <w:p>
            <w:pPr>
              <w:spacing w:after="0"/>
              <w:rPr>
                <w:sz w:val="24"/>
                <w:szCs w:val="24"/>
                <w:color w:val="auto"/>
              </w:rPr>
            </w:pPr>
          </w:p>
        </w:tc>
        <w:tc>
          <w:tcPr>
            <w:tcW w:w="66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2,102,384</w:t>
            </w:r>
          </w:p>
        </w:tc>
        <w:tc>
          <w:tcPr>
            <w:tcW w:w="80" w:type="dxa"/>
            <w:vAlign w:val="bottom"/>
          </w:tcPr>
          <w:p>
            <w:pPr>
              <w:spacing w:after="0"/>
              <w:rPr>
                <w:sz w:val="24"/>
                <w:szCs w:val="24"/>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311,794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556,074</w:t>
            </w:r>
          </w:p>
        </w:tc>
        <w:tc>
          <w:tcPr>
            <w:tcW w:w="80" w:type="dxa"/>
            <w:vAlign w:val="bottom"/>
          </w:tcPr>
          <w:p>
            <w:pPr>
              <w:spacing w:after="0"/>
              <w:rPr>
                <w:sz w:val="24"/>
                <w:szCs w:val="24"/>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2,970,252</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1.49</w:t>
            </w:r>
          </w:p>
        </w:tc>
        <w:tc>
          <w:tcPr>
            <w:tcW w:w="16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459"/>
        </w:trPr>
        <w:tc>
          <w:tcPr>
            <w:tcW w:w="880" w:type="dxa"/>
            <w:vAlign w:val="bottom"/>
          </w:tcPr>
          <w:p>
            <w:pPr>
              <w:jc w:val="right"/>
              <w:ind w:right="139"/>
              <w:spacing w:after="0"/>
              <w:rPr>
                <w:sz w:val="20"/>
                <w:szCs w:val="20"/>
                <w:color w:val="auto"/>
              </w:rPr>
            </w:pPr>
            <w:r>
              <w:rPr>
                <w:rFonts w:ascii="Arial" w:cs="Arial" w:eastAsia="Arial" w:hAnsi="Arial"/>
                <w:sz w:val="16"/>
                <w:szCs w:val="16"/>
                <w:color w:val="auto"/>
              </w:rPr>
              <w:t>922,509</w:t>
            </w:r>
          </w:p>
        </w:tc>
        <w:tc>
          <w:tcPr>
            <w:tcW w:w="400" w:type="dxa"/>
            <w:vAlign w:val="bottom"/>
          </w:tcPr>
          <w:p>
            <w:pPr>
              <w:spacing w:after="0"/>
              <w:rPr>
                <w:sz w:val="24"/>
                <w:szCs w:val="24"/>
                <w:color w:val="auto"/>
              </w:rPr>
            </w:pPr>
          </w:p>
        </w:tc>
        <w:tc>
          <w:tcPr>
            <w:tcW w:w="66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8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5,001,420</w:t>
            </w:r>
          </w:p>
        </w:tc>
        <w:tc>
          <w:tcPr>
            <w:tcW w:w="80" w:type="dxa"/>
            <w:vAlign w:val="bottom"/>
          </w:tcPr>
          <w:p>
            <w:pPr>
              <w:spacing w:after="0"/>
              <w:rPr>
                <w:sz w:val="24"/>
                <w:szCs w:val="24"/>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5,001,420</w:t>
            </w:r>
          </w:p>
        </w:tc>
        <w:tc>
          <w:tcPr>
            <w:tcW w:w="840" w:type="dxa"/>
            <w:vAlign w:val="bottom"/>
            <w:gridSpan w:val="3"/>
          </w:tcPr>
          <w:p>
            <w:pPr>
              <w:jc w:val="right"/>
              <w:spacing w:after="0"/>
              <w:rPr>
                <w:sz w:val="20"/>
                <w:szCs w:val="20"/>
                <w:color w:val="auto"/>
              </w:rPr>
            </w:pPr>
            <w:r>
              <w:rPr>
                <w:rFonts w:ascii="Arial" w:cs="Arial" w:eastAsia="Arial" w:hAnsi="Arial"/>
                <w:sz w:val="16"/>
                <w:szCs w:val="16"/>
                <w:color w:val="auto"/>
              </w:rPr>
              <w:t>2.50 %</w:t>
            </w:r>
          </w:p>
        </w:tc>
      </w:tr>
      <w:tr>
        <w:trPr>
          <w:trHeight w:val="459"/>
        </w:trPr>
        <w:tc>
          <w:tcPr>
            <w:tcW w:w="880" w:type="dxa"/>
            <w:vAlign w:val="bottom"/>
          </w:tcPr>
          <w:p>
            <w:pPr>
              <w:jc w:val="right"/>
              <w:ind w:right="139"/>
              <w:spacing w:after="0"/>
              <w:rPr>
                <w:sz w:val="20"/>
                <w:szCs w:val="20"/>
                <w:color w:val="auto"/>
              </w:rPr>
            </w:pPr>
            <w:r>
              <w:rPr>
                <w:rFonts w:ascii="Arial" w:cs="Arial" w:eastAsia="Arial" w:hAnsi="Arial"/>
                <w:sz w:val="16"/>
                <w:szCs w:val="16"/>
                <w:color w:val="auto"/>
                <w:w w:val="89"/>
              </w:rPr>
              <w:t>1,090,909</w:t>
            </w:r>
          </w:p>
        </w:tc>
        <w:tc>
          <w:tcPr>
            <w:tcW w:w="400" w:type="dxa"/>
            <w:vAlign w:val="bottom"/>
          </w:tcPr>
          <w:p>
            <w:pPr>
              <w:spacing w:after="0"/>
              <w:rPr>
                <w:sz w:val="24"/>
                <w:szCs w:val="24"/>
                <w:color w:val="auto"/>
              </w:rPr>
            </w:pPr>
          </w:p>
        </w:tc>
        <w:tc>
          <w:tcPr>
            <w:tcW w:w="66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8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4,528,107</w:t>
            </w:r>
          </w:p>
        </w:tc>
        <w:tc>
          <w:tcPr>
            <w:tcW w:w="80" w:type="dxa"/>
            <w:vAlign w:val="bottom"/>
          </w:tcPr>
          <w:p>
            <w:pPr>
              <w:spacing w:after="0"/>
              <w:rPr>
                <w:sz w:val="24"/>
                <w:szCs w:val="24"/>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4,528,107</w:t>
            </w:r>
          </w:p>
        </w:tc>
        <w:tc>
          <w:tcPr>
            <w:tcW w:w="840" w:type="dxa"/>
            <w:vAlign w:val="bottom"/>
            <w:gridSpan w:val="3"/>
          </w:tcPr>
          <w:p>
            <w:pPr>
              <w:jc w:val="right"/>
              <w:spacing w:after="0"/>
              <w:rPr>
                <w:sz w:val="20"/>
                <w:szCs w:val="20"/>
                <w:color w:val="auto"/>
              </w:rPr>
            </w:pPr>
            <w:r>
              <w:rPr>
                <w:rFonts w:ascii="Arial" w:cs="Arial" w:eastAsia="Arial" w:hAnsi="Arial"/>
                <w:sz w:val="16"/>
                <w:szCs w:val="16"/>
                <w:color w:val="auto"/>
              </w:rPr>
              <w:t>2.26 %</w:t>
            </w:r>
          </w:p>
        </w:tc>
      </w:tr>
      <w:tr>
        <w:trPr>
          <w:trHeight w:val="459"/>
        </w:trPr>
        <w:tc>
          <w:tcPr>
            <w:tcW w:w="880" w:type="dxa"/>
            <w:vAlign w:val="bottom"/>
          </w:tcPr>
          <w:p>
            <w:pPr>
              <w:jc w:val="right"/>
              <w:ind w:right="139"/>
              <w:spacing w:after="0"/>
              <w:rPr>
                <w:sz w:val="20"/>
                <w:szCs w:val="20"/>
                <w:color w:val="auto"/>
              </w:rPr>
            </w:pPr>
            <w:r>
              <w:rPr>
                <w:rFonts w:ascii="Arial" w:cs="Arial" w:eastAsia="Arial" w:hAnsi="Arial"/>
                <w:sz w:val="16"/>
                <w:szCs w:val="16"/>
                <w:color w:val="auto"/>
              </w:rPr>
              <w:t>500,000</w:t>
            </w:r>
          </w:p>
        </w:tc>
        <w:tc>
          <w:tcPr>
            <w:tcW w:w="400" w:type="dxa"/>
            <w:vAlign w:val="bottom"/>
          </w:tcPr>
          <w:p>
            <w:pPr>
              <w:spacing w:after="0"/>
              <w:rPr>
                <w:sz w:val="24"/>
                <w:szCs w:val="24"/>
                <w:color w:val="auto"/>
              </w:rPr>
            </w:pPr>
          </w:p>
        </w:tc>
        <w:tc>
          <w:tcPr>
            <w:tcW w:w="66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8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2,002,143</w:t>
            </w:r>
          </w:p>
        </w:tc>
        <w:tc>
          <w:tcPr>
            <w:tcW w:w="80" w:type="dxa"/>
            <w:vAlign w:val="bottom"/>
          </w:tcPr>
          <w:p>
            <w:pPr>
              <w:spacing w:after="0"/>
              <w:rPr>
                <w:sz w:val="24"/>
                <w:szCs w:val="24"/>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2,002,143</w:t>
            </w:r>
          </w:p>
        </w:tc>
        <w:tc>
          <w:tcPr>
            <w:tcW w:w="840" w:type="dxa"/>
            <w:vAlign w:val="bottom"/>
            <w:gridSpan w:val="3"/>
          </w:tcPr>
          <w:p>
            <w:pPr>
              <w:jc w:val="right"/>
              <w:spacing w:after="0"/>
              <w:rPr>
                <w:sz w:val="20"/>
                <w:szCs w:val="20"/>
                <w:color w:val="auto"/>
              </w:rPr>
            </w:pPr>
            <w:r>
              <w:rPr>
                <w:rFonts w:ascii="Arial" w:cs="Arial" w:eastAsia="Arial" w:hAnsi="Arial"/>
                <w:sz w:val="16"/>
                <w:szCs w:val="16"/>
                <w:color w:val="auto"/>
              </w:rPr>
              <w:t>1.00 %</w:t>
            </w:r>
          </w:p>
        </w:tc>
      </w:tr>
      <w:tr>
        <w:trPr>
          <w:trHeight w:val="33"/>
        </w:trPr>
        <w:tc>
          <w:tcPr>
            <w:tcW w:w="8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17"/>
        </w:trPr>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2,102,384</w:t>
            </w:r>
          </w:p>
        </w:tc>
        <w:tc>
          <w:tcPr>
            <w:tcW w:w="8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311,794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w w:val="89"/>
              </w:rPr>
              <w:t>12,087,744</w:t>
            </w:r>
          </w:p>
        </w:tc>
        <w:tc>
          <w:tcPr>
            <w:tcW w:w="8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w w:val="89"/>
              </w:rPr>
              <w:t>14,501,922</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7.25</w:t>
            </w:r>
          </w:p>
        </w:tc>
        <w:tc>
          <w:tcPr>
            <w:tcW w:w="16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729"/>
        </w:trPr>
        <w:tc>
          <w:tcPr>
            <w:tcW w:w="8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66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8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 %</w:t>
            </w:r>
          </w:p>
        </w:tc>
      </w:tr>
      <w:tr>
        <w:trPr>
          <w:trHeight w:val="472"/>
        </w:trPr>
        <w:tc>
          <w:tcPr>
            <w:tcW w:w="8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66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8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 %</w:t>
            </w:r>
          </w:p>
        </w:tc>
      </w:tr>
      <w:tr>
        <w:trPr>
          <w:trHeight w:val="473"/>
        </w:trPr>
        <w:tc>
          <w:tcPr>
            <w:tcW w:w="8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66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8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 %</w:t>
            </w:r>
          </w:p>
        </w:tc>
      </w:tr>
      <w:tr>
        <w:trPr>
          <w:trHeight w:val="473"/>
        </w:trPr>
        <w:tc>
          <w:tcPr>
            <w:tcW w:w="8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66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8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 %</w:t>
            </w:r>
          </w:p>
        </w:tc>
      </w:tr>
      <w:tr>
        <w:trPr>
          <w:trHeight w:val="33"/>
        </w:trPr>
        <w:tc>
          <w:tcPr>
            <w:tcW w:w="8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r>
      <w:tr>
        <w:trPr>
          <w:trHeight w:val="217"/>
        </w:trPr>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 %</w:t>
            </w:r>
          </w:p>
        </w:tc>
      </w:tr>
      <w:tr>
        <w:trPr>
          <w:trHeight w:val="635"/>
        </w:trPr>
        <w:tc>
          <w:tcPr>
            <w:tcW w:w="880" w:type="dxa"/>
            <w:vAlign w:val="bottom"/>
          </w:tcPr>
          <w:p>
            <w:pPr>
              <w:jc w:val="right"/>
              <w:ind w:right="139"/>
              <w:spacing w:after="0"/>
              <w:rPr>
                <w:sz w:val="20"/>
                <w:szCs w:val="20"/>
                <w:color w:val="auto"/>
              </w:rPr>
            </w:pPr>
            <w:r>
              <w:rPr>
                <w:rFonts w:ascii="Arial" w:cs="Arial" w:eastAsia="Arial" w:hAnsi="Arial"/>
                <w:sz w:val="16"/>
                <w:szCs w:val="16"/>
                <w:color w:val="auto"/>
              </w:rPr>
              <w:t>329,337</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66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   257,267</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245,853</w:t>
            </w:r>
          </w:p>
        </w:tc>
        <w:tc>
          <w:tcPr>
            <w:tcW w:w="80" w:type="dxa"/>
            <w:vAlign w:val="bottom"/>
          </w:tcPr>
          <w:p>
            <w:pPr>
              <w:spacing w:after="0"/>
              <w:rPr>
                <w:sz w:val="24"/>
                <w:szCs w:val="24"/>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503,120</w:t>
            </w:r>
          </w:p>
        </w:tc>
        <w:tc>
          <w:tcPr>
            <w:tcW w:w="840" w:type="dxa"/>
            <w:vAlign w:val="bottom"/>
            <w:gridSpan w:val="3"/>
          </w:tcPr>
          <w:p>
            <w:pPr>
              <w:jc w:val="right"/>
              <w:spacing w:after="0"/>
              <w:rPr>
                <w:sz w:val="20"/>
                <w:szCs w:val="20"/>
                <w:color w:val="auto"/>
              </w:rPr>
            </w:pPr>
            <w:r>
              <w:rPr>
                <w:rFonts w:ascii="Arial" w:cs="Arial" w:eastAsia="Arial" w:hAnsi="Arial"/>
                <w:sz w:val="16"/>
                <w:szCs w:val="16"/>
                <w:color w:val="auto"/>
              </w:rPr>
              <w:t>0.25 %</w:t>
            </w:r>
          </w:p>
        </w:tc>
      </w:tr>
      <w:tr>
        <w:trPr>
          <w:trHeight w:val="378"/>
        </w:trPr>
        <w:tc>
          <w:tcPr>
            <w:tcW w:w="880" w:type="dxa"/>
            <w:vAlign w:val="bottom"/>
          </w:tcPr>
          <w:p>
            <w:pPr>
              <w:jc w:val="right"/>
              <w:ind w:right="139"/>
              <w:spacing w:after="0"/>
              <w:rPr>
                <w:sz w:val="20"/>
                <w:szCs w:val="20"/>
                <w:color w:val="auto"/>
              </w:rPr>
            </w:pPr>
            <w:r>
              <w:rPr>
                <w:rFonts w:ascii="Arial" w:cs="Arial" w:eastAsia="Arial" w:hAnsi="Arial"/>
                <w:sz w:val="16"/>
                <w:szCs w:val="16"/>
                <w:color w:val="auto"/>
                <w:w w:val="89"/>
              </w:rPr>
              <w:t>2,779,134</w:t>
            </w:r>
          </w:p>
        </w:tc>
        <w:tc>
          <w:tcPr>
            <w:tcW w:w="400" w:type="dxa"/>
            <w:vAlign w:val="bottom"/>
          </w:tcPr>
          <w:p>
            <w:pPr>
              <w:spacing w:after="0"/>
              <w:rPr>
                <w:sz w:val="24"/>
                <w:szCs w:val="24"/>
                <w:color w:val="auto"/>
              </w:rPr>
            </w:pPr>
          </w:p>
        </w:tc>
        <w:tc>
          <w:tcPr>
            <w:tcW w:w="66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w w:val="98"/>
              </w:rPr>
              <w:t>7,194,971</w:t>
            </w:r>
          </w:p>
        </w:tc>
        <w:tc>
          <w:tcPr>
            <w:tcW w:w="8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8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w w:val="92"/>
              </w:rPr>
              <w:t>(1,803,971)</w:t>
            </w:r>
          </w:p>
        </w:tc>
        <w:tc>
          <w:tcPr>
            <w:tcW w:w="80" w:type="dxa"/>
            <w:vAlign w:val="bottom"/>
          </w:tcPr>
          <w:p>
            <w:pPr>
              <w:spacing w:after="0"/>
              <w:rPr>
                <w:sz w:val="24"/>
                <w:szCs w:val="24"/>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5,391,000</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2.70</w:t>
            </w:r>
          </w:p>
        </w:tc>
        <w:tc>
          <w:tcPr>
            <w:tcW w:w="16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378"/>
        </w:trPr>
        <w:tc>
          <w:tcPr>
            <w:tcW w:w="880" w:type="dxa"/>
            <w:vAlign w:val="bottom"/>
          </w:tcPr>
          <w:p>
            <w:pPr>
              <w:jc w:val="right"/>
              <w:ind w:right="139"/>
              <w:spacing w:after="0"/>
              <w:rPr>
                <w:sz w:val="20"/>
                <w:szCs w:val="20"/>
                <w:color w:val="auto"/>
              </w:rPr>
            </w:pPr>
            <w:r>
              <w:rPr>
                <w:rFonts w:ascii="Arial" w:cs="Arial" w:eastAsia="Arial" w:hAnsi="Arial"/>
                <w:sz w:val="16"/>
                <w:szCs w:val="16"/>
                <w:color w:val="auto"/>
                <w:w w:val="89"/>
              </w:rPr>
              <w:t>3,279,629</w:t>
            </w:r>
          </w:p>
        </w:tc>
        <w:tc>
          <w:tcPr>
            <w:tcW w:w="400" w:type="dxa"/>
            <w:vAlign w:val="bottom"/>
          </w:tcPr>
          <w:p>
            <w:pPr>
              <w:spacing w:after="0"/>
              <w:rPr>
                <w:sz w:val="24"/>
                <w:szCs w:val="24"/>
                <w:color w:val="auto"/>
              </w:rPr>
            </w:pPr>
          </w:p>
        </w:tc>
        <w:tc>
          <w:tcPr>
            <w:tcW w:w="66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w w:val="98"/>
              </w:rPr>
              <w:t>5,770,328</w:t>
            </w:r>
          </w:p>
        </w:tc>
        <w:tc>
          <w:tcPr>
            <w:tcW w:w="8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8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w w:val="92"/>
              </w:rPr>
              <w:t>(2,521,524)</w:t>
            </w:r>
          </w:p>
        </w:tc>
        <w:tc>
          <w:tcPr>
            <w:tcW w:w="80" w:type="dxa"/>
            <w:vAlign w:val="bottom"/>
          </w:tcPr>
          <w:p>
            <w:pPr>
              <w:spacing w:after="0"/>
              <w:rPr>
                <w:sz w:val="24"/>
                <w:szCs w:val="24"/>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3,248,804</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1.62</w:t>
            </w:r>
          </w:p>
        </w:tc>
        <w:tc>
          <w:tcPr>
            <w:tcW w:w="160" w:type="dxa"/>
            <w:vAlign w:val="bottom"/>
          </w:tcPr>
          <w:p>
            <w:pPr>
              <w:jc w:val="right"/>
              <w:spacing w:after="0"/>
              <w:rPr>
                <w:sz w:val="20"/>
                <w:szCs w:val="20"/>
                <w:color w:val="auto"/>
              </w:rPr>
            </w:pPr>
            <w:r>
              <w:rPr>
                <w:rFonts w:ascii="Arial" w:cs="Arial" w:eastAsia="Arial" w:hAnsi="Arial"/>
                <w:sz w:val="16"/>
                <w:szCs w:val="16"/>
                <w:color w:val="auto"/>
                <w:w w:val="98"/>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-1581785</wp:posOffset>
            </wp:positionH>
            <wp:positionV relativeFrom="paragraph">
              <wp:posOffset>-4933315</wp:posOffset>
            </wp:positionV>
            <wp:extent cx="7106285"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-4598670</wp:posOffset>
            </wp:positionV>
            <wp:extent cx="7106285" cy="2914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06285" cy="29146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-4015740</wp:posOffset>
            </wp:positionV>
            <wp:extent cx="7106285"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-3681730</wp:posOffset>
            </wp:positionV>
            <wp:extent cx="7106285" cy="2400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06285" cy="240030"/>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-3150235</wp:posOffset>
            </wp:positionV>
            <wp:extent cx="7106285" cy="291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06285" cy="29146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-2232660</wp:posOffset>
            </wp:positionV>
            <wp:extent cx="7106285" cy="3003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06285" cy="30035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-1632585</wp:posOffset>
            </wp:positionV>
            <wp:extent cx="7106285" cy="3003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06285" cy="30035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-698500</wp:posOffset>
            </wp:positionV>
            <wp:extent cx="7106285" cy="2400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06285" cy="240030"/>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-218440</wp:posOffset>
            </wp:positionV>
            <wp:extent cx="7106285" cy="2400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06285" cy="240030"/>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-1032510</wp:posOffset>
            </wp:positionV>
            <wp:extent cx="7106285"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-2567305</wp:posOffset>
            </wp:positionV>
            <wp:extent cx="7106285"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310" w:lineRule="exact"/>
        <w:rPr>
          <w:sz w:val="20"/>
          <w:szCs w:val="20"/>
          <w:color w:val="auto"/>
        </w:rPr>
      </w:pPr>
    </w:p>
    <w:p>
      <w:pPr>
        <w:sectPr>
          <w:pgSz w:w="11900" w:h="16838" w:orient="portrait"/>
          <w:cols w:equalWidth="0" w:num="2">
            <w:col w:w="2400" w:space="100"/>
            <w:col w:w="8680"/>
          </w:cols>
          <w:pgMar w:left="320" w:top="122" w:right="399" w:bottom="1440" w:gutter="0" w:footer="0" w:header="0"/>
          <w:type w:val="continuous"/>
        </w:sectPr>
      </w:pP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180"/>
          </w:cols>
          <w:pgMar w:left="320" w:top="122" w:right="399" w:bottom="1440" w:gutter="0" w:footer="0" w:header="0"/>
          <w:type w:val="continuous"/>
        </w:sectPr>
      </w:pPr>
    </w:p>
    <w:bookmarkStart w:id="42" w:name="page43"/>
    <w:bookmarkEnd w:id="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2020</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Interest, Fees,</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Purchases,</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9"/>
              </w:rPr>
              <w:t>or</w:t>
            </w:r>
          </w:p>
        </w:tc>
        <w:tc>
          <w:tcPr>
            <w:tcW w:w="100" w:type="dxa"/>
            <w:vAlign w:val="bottom"/>
          </w:tcPr>
          <w:p>
            <w:pPr>
              <w:spacing w:after="0"/>
              <w:rPr>
                <w:sz w:val="12"/>
                <w:szCs w:val="12"/>
                <w:color w:val="auto"/>
              </w:rPr>
            </w:pPr>
          </w:p>
        </w:tc>
        <w:tc>
          <w:tcPr>
            <w:tcW w:w="10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8"/>
              </w:rPr>
              <w:t>Fair Value at</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Capitalized</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center"/>
              <w:ind w:right="20"/>
              <w:spacing w:after="0"/>
              <w:rPr>
                <w:sz w:val="20"/>
                <w:szCs w:val="20"/>
                <w:color w:val="auto"/>
              </w:rPr>
            </w:pPr>
            <w:r>
              <w:rPr>
                <w:rFonts w:ascii="Arial" w:cs="Arial" w:eastAsia="Arial" w:hAnsi="Arial"/>
                <w:sz w:val="14"/>
                <w:szCs w:val="14"/>
                <w:b w:val="1"/>
                <w:bCs w:val="1"/>
                <w:color w:val="auto"/>
                <w:w w:val="96"/>
              </w:rPr>
              <w:t>Fair Value at</w:t>
            </w:r>
          </w:p>
        </w:tc>
        <w:tc>
          <w:tcPr>
            <w:tcW w:w="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8"/>
        </w:trPr>
        <w:tc>
          <w:tcPr>
            <w:tcW w:w="2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Type/Industry/Portfolio</w:t>
            </w:r>
          </w:p>
        </w:tc>
        <w:tc>
          <w:tcPr>
            <w:tcW w:w="740" w:type="dxa"/>
            <w:vAlign w:val="bottom"/>
            <w:vMerge w:val="restart"/>
          </w:tcPr>
          <w:p>
            <w:pPr>
              <w:jc w:val="right"/>
              <w:ind w:right="1"/>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2"/>
              </w:rPr>
              <w:t>Dividends</w:t>
            </w: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Corporate</w:t>
            </w: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Fees,</w:t>
            </w:r>
          </w:p>
        </w:tc>
        <w:tc>
          <w:tcPr>
            <w:tcW w:w="120" w:type="dxa"/>
            <w:vAlign w:val="bottom"/>
          </w:tcPr>
          <w:p>
            <w:pPr>
              <w:spacing w:after="0"/>
              <w:rPr>
                <w:sz w:val="12"/>
                <w:szCs w:val="12"/>
                <w:color w:val="auto"/>
              </w:rPr>
            </w:pP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Realized</w:t>
            </w:r>
          </w:p>
        </w:tc>
        <w:tc>
          <w:tcPr>
            <w:tcW w:w="120" w:type="dxa"/>
            <w:vAlign w:val="bottom"/>
          </w:tcPr>
          <w:p>
            <w:pPr>
              <w:spacing w:after="0"/>
              <w:rPr>
                <w:sz w:val="12"/>
                <w:szCs w:val="12"/>
                <w:color w:val="auto"/>
              </w:rPr>
            </w:pP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Credited</w:t>
            </w:r>
          </w:p>
        </w:tc>
        <w:tc>
          <w:tcPr>
            <w:tcW w:w="11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Interest and</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2"/>
                <w:szCs w:val="12"/>
                <w:color w:val="auto"/>
              </w:rPr>
            </w:pPr>
          </w:p>
        </w:tc>
        <w:tc>
          <w:tcPr>
            <w:tcW w:w="780" w:type="dxa"/>
            <w:vAlign w:val="bottom"/>
          </w:tcPr>
          <w:p>
            <w:pPr>
              <w:jc w:val="right"/>
              <w:ind w:right="124"/>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86"/>
        </w:trPr>
        <w:tc>
          <w:tcPr>
            <w:tcW w:w="2120" w:type="dxa"/>
            <w:vAlign w:val="bottom"/>
          </w:tcPr>
          <w:p>
            <w:pPr>
              <w:ind w:left="20"/>
              <w:spacing w:after="0"/>
              <w:rPr>
                <w:sz w:val="20"/>
                <w:szCs w:val="20"/>
                <w:color w:val="auto"/>
              </w:rPr>
            </w:pPr>
            <w:r>
              <w:rPr>
                <w:rFonts w:ascii="Arial" w:cs="Arial" w:eastAsia="Arial" w:hAnsi="Arial"/>
                <w:sz w:val="14"/>
                <w:szCs w:val="14"/>
                <w:b w:val="1"/>
                <w:bCs w:val="1"/>
                <w:color w:val="auto"/>
              </w:rPr>
              <w:t>Company/Investment</w:t>
            </w:r>
          </w:p>
        </w:tc>
        <w:tc>
          <w:tcPr>
            <w:tcW w:w="740" w:type="dxa"/>
            <w:vAlign w:val="bottom"/>
          </w:tcPr>
          <w:p>
            <w:pPr>
              <w:jc w:val="right"/>
              <w:ind w:right="21"/>
              <w:spacing w:after="0"/>
              <w:rPr>
                <w:sz w:val="20"/>
                <w:szCs w:val="20"/>
                <w:color w:val="auto"/>
              </w:rPr>
            </w:pPr>
            <w:r>
              <w:rPr>
                <w:rFonts w:ascii="Arial" w:cs="Arial" w:eastAsia="Arial" w:hAnsi="Arial"/>
                <w:sz w:val="14"/>
                <w:szCs w:val="14"/>
                <w:b w:val="1"/>
                <w:bCs w:val="1"/>
                <w:color w:val="auto"/>
              </w:rPr>
              <w:t>Quantity</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in Income</w:t>
            </w:r>
          </w:p>
        </w:tc>
        <w:tc>
          <w:tcPr>
            <w:tcW w:w="100" w:type="dxa"/>
            <w:vAlign w:val="bottom"/>
          </w:tcPr>
          <w:p>
            <w:pPr>
              <w:spacing w:after="0"/>
              <w:rPr>
                <w:sz w:val="16"/>
                <w:szCs w:val="16"/>
                <w:color w:val="auto"/>
              </w:rPr>
            </w:pPr>
          </w:p>
        </w:tc>
        <w:tc>
          <w:tcPr>
            <w:tcW w:w="920" w:type="dxa"/>
            <w:vAlign w:val="bottom"/>
          </w:tcPr>
          <w:p>
            <w:pPr>
              <w:jc w:val="center"/>
              <w:ind w:right="20"/>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Action</w:t>
            </w:r>
          </w:p>
        </w:tc>
        <w:tc>
          <w:tcPr>
            <w:tcW w:w="10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Amortization</w:t>
            </w:r>
          </w:p>
        </w:tc>
        <w:tc>
          <w:tcPr>
            <w:tcW w:w="11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7"/>
              </w:rPr>
              <w:t>Gains/(Losses)</w:t>
            </w:r>
          </w:p>
        </w:tc>
        <w:tc>
          <w:tcPr>
            <w:tcW w:w="11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Gains/(Losses)</w:t>
            </w:r>
          </w:p>
        </w:tc>
        <w:tc>
          <w:tcPr>
            <w:tcW w:w="100" w:type="dxa"/>
            <w:vAlign w:val="bottom"/>
          </w:tcPr>
          <w:p>
            <w:pPr>
              <w:spacing w:after="0"/>
              <w:rPr>
                <w:sz w:val="16"/>
                <w:szCs w:val="16"/>
                <w:color w:val="auto"/>
              </w:rPr>
            </w:pPr>
          </w:p>
        </w:tc>
        <w:tc>
          <w:tcPr>
            <w:tcW w:w="900" w:type="dxa"/>
            <w:vAlign w:val="bottom"/>
          </w:tcPr>
          <w:p>
            <w:pPr>
              <w:jc w:val="center"/>
              <w:ind w:right="20"/>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6"/>
                <w:szCs w:val="16"/>
                <w:color w:val="auto"/>
              </w:rPr>
            </w:pPr>
          </w:p>
        </w:tc>
        <w:tc>
          <w:tcPr>
            <w:tcW w:w="780" w:type="dxa"/>
            <w:vAlign w:val="bottom"/>
          </w:tcPr>
          <w:p>
            <w:pPr>
              <w:jc w:val="right"/>
              <w:ind w:right="124"/>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78"/>
        </w:trPr>
        <w:tc>
          <w:tcPr>
            <w:tcW w:w="2120" w:type="dxa"/>
            <w:vAlign w:val="bottom"/>
          </w:tcPr>
          <w:p>
            <w:pPr>
              <w:ind w:left="220"/>
              <w:spacing w:after="0" w:line="178" w:lineRule="exact"/>
              <w:rPr>
                <w:sz w:val="20"/>
                <w:szCs w:val="20"/>
                <w:color w:val="auto"/>
              </w:rPr>
            </w:pPr>
            <w:r>
              <w:rPr>
                <w:rFonts w:ascii="Arial" w:cs="Arial" w:eastAsia="Arial" w:hAnsi="Arial"/>
                <w:sz w:val="16"/>
                <w:szCs w:val="16"/>
                <w:color w:val="auto"/>
              </w:rPr>
              <w:t>StormWind, LLC–</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20" w:type="dxa"/>
            <w:vAlign w:val="bottom"/>
          </w:tcPr>
          <w:p>
            <w:pPr>
              <w:ind w:left="220"/>
              <w:spacing w:after="0" w:line="162" w:lineRule="exact"/>
              <w:rPr>
                <w:sz w:val="20"/>
                <w:szCs w:val="20"/>
                <w:color w:val="auto"/>
              </w:rPr>
            </w:pPr>
            <w:r>
              <w:rPr>
                <w:rFonts w:ascii="Arial" w:cs="Arial" w:eastAsia="Arial" w:hAnsi="Arial"/>
                <w:sz w:val="16"/>
                <w:szCs w:val="16"/>
                <w:color w:val="auto"/>
                <w:w w:val="99"/>
              </w:rPr>
              <w:t>Preferred shares, Series A</w:t>
            </w:r>
          </w:p>
        </w:tc>
        <w:tc>
          <w:tcPr>
            <w:tcW w:w="740" w:type="dxa"/>
            <w:vAlign w:val="bottom"/>
            <w:vMerge w:val="restart"/>
          </w:tcPr>
          <w:p>
            <w:pPr>
              <w:jc w:val="right"/>
              <w:ind w:right="81"/>
              <w:spacing w:after="0"/>
              <w:rPr>
                <w:sz w:val="20"/>
                <w:szCs w:val="20"/>
                <w:color w:val="auto"/>
              </w:rPr>
            </w:pPr>
            <w:r>
              <w:rPr>
                <w:rFonts w:ascii="Arial" w:cs="Arial" w:eastAsia="Arial" w:hAnsi="Arial"/>
                <w:sz w:val="16"/>
                <w:szCs w:val="16"/>
                <w:color w:val="auto"/>
                <w:w w:val="96"/>
              </w:rPr>
              <w:t>366,666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restart"/>
          </w:tcPr>
          <w:p>
            <w:pPr>
              <w:jc w:val="right"/>
              <w:ind w:right="80"/>
              <w:spacing w:after="0"/>
              <w:rPr>
                <w:sz w:val="20"/>
                <w:szCs w:val="20"/>
                <w:color w:val="auto"/>
              </w:rPr>
            </w:pPr>
            <w:r>
              <w:rPr>
                <w:rFonts w:ascii="Arial" w:cs="Arial" w:eastAsia="Arial" w:hAnsi="Arial"/>
                <w:sz w:val="16"/>
                <w:szCs w:val="16"/>
                <w:color w:val="auto"/>
              </w:rPr>
              <w:t>421,525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restart"/>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restart"/>
          </w:tcPr>
          <w:p>
            <w:pPr>
              <w:ind w:left="780"/>
              <w:spacing w:after="0"/>
              <w:rPr>
                <w:sz w:val="20"/>
                <w:szCs w:val="20"/>
                <w:color w:val="auto"/>
              </w:rPr>
            </w:pPr>
            <w:r>
              <w:rPr>
                <w:rFonts w:ascii="Arial" w:cs="Arial" w:eastAsia="Arial" w:hAnsi="Arial"/>
                <w:sz w:val="16"/>
                <w:szCs w:val="16"/>
                <w:color w:val="auto"/>
                <w:w w:val="99"/>
              </w:rPr>
              <w:t>—</w:t>
            </w:r>
          </w:p>
        </w:tc>
        <w:tc>
          <w:tcPr>
            <w:tcW w:w="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ind w:right="40"/>
              <w:spacing w:after="0"/>
              <w:rPr>
                <w:sz w:val="20"/>
                <w:szCs w:val="20"/>
                <w:color w:val="auto"/>
              </w:rPr>
            </w:pPr>
            <w:r>
              <w:rPr>
                <w:rFonts w:ascii="Arial" w:cs="Arial" w:eastAsia="Arial" w:hAnsi="Arial"/>
                <w:sz w:val="16"/>
                <w:szCs w:val="16"/>
                <w:color w:val="auto"/>
              </w:rPr>
              <w:t>(263,576)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restart"/>
          </w:tcPr>
          <w:p>
            <w:pPr>
              <w:jc w:val="right"/>
              <w:ind w:right="60"/>
              <w:spacing w:after="0"/>
              <w:rPr>
                <w:sz w:val="20"/>
                <w:szCs w:val="20"/>
                <w:color w:val="auto"/>
              </w:rPr>
            </w:pPr>
            <w:r>
              <w:rPr>
                <w:rFonts w:ascii="Arial" w:cs="Arial" w:eastAsia="Arial" w:hAnsi="Arial"/>
                <w:sz w:val="16"/>
                <w:szCs w:val="16"/>
                <w:color w:val="auto"/>
              </w:rPr>
              <w:t>157,949</w:t>
            </w:r>
          </w:p>
        </w:tc>
        <w:tc>
          <w:tcPr>
            <w:tcW w:w="860" w:type="dxa"/>
            <w:vAlign w:val="bottom"/>
            <w:gridSpan w:val="2"/>
            <w:vMerge w:val="restart"/>
          </w:tcPr>
          <w:p>
            <w:pPr>
              <w:jc w:val="right"/>
              <w:spacing w:after="0"/>
              <w:rPr>
                <w:sz w:val="20"/>
                <w:szCs w:val="20"/>
                <w:color w:val="auto"/>
              </w:rPr>
            </w:pPr>
            <w:r>
              <w:rPr>
                <w:rFonts w:ascii="Arial" w:cs="Arial" w:eastAsia="Arial" w:hAnsi="Arial"/>
                <w:sz w:val="16"/>
                <w:szCs w:val="16"/>
                <w:color w:val="auto"/>
              </w:rPr>
              <w:t>0.08 %</w:t>
            </w:r>
          </w:p>
        </w:tc>
        <w:tc>
          <w:tcPr>
            <w:tcW w:w="0" w:type="dxa"/>
            <w:vAlign w:val="bottom"/>
          </w:tcPr>
          <w:p>
            <w:pPr>
              <w:spacing w:after="0"/>
              <w:rPr>
                <w:sz w:val="1"/>
                <w:szCs w:val="1"/>
                <w:color w:val="auto"/>
              </w:rPr>
            </w:pPr>
          </w:p>
        </w:tc>
      </w:tr>
      <w:tr>
        <w:trPr>
          <w:trHeight w:val="212"/>
        </w:trPr>
        <w:tc>
          <w:tcPr>
            <w:tcW w:w="2120" w:type="dxa"/>
            <w:vAlign w:val="bottom"/>
            <w:tcBorders>
              <w:bottom w:val="single" w:sz="8" w:color="CCEEFF"/>
            </w:tcBorders>
          </w:tcPr>
          <w:p>
            <w:pPr>
              <w:ind w:left="220"/>
              <w:spacing w:after="0" w:line="212" w:lineRule="exact"/>
              <w:rPr>
                <w:sz w:val="20"/>
                <w:szCs w:val="20"/>
                <w:color w:val="auto"/>
              </w:rPr>
            </w:pPr>
            <w:r>
              <w:rPr>
                <w:rFonts w:ascii="Arial" w:cs="Arial" w:eastAsia="Arial" w:hAnsi="Arial"/>
                <w:sz w:val="24"/>
                <w:szCs w:val="24"/>
                <w:color w:val="auto"/>
                <w:vertAlign w:val="subscript"/>
              </w:rPr>
              <w:t>8%</w:t>
            </w:r>
            <w:r>
              <w:rPr>
                <w:rFonts w:ascii="Arial" w:cs="Arial" w:eastAsia="Arial" w:hAnsi="Arial"/>
                <w:sz w:val="9"/>
                <w:szCs w:val="9"/>
                <w:color w:val="auto"/>
              </w:rPr>
              <w:t>(4)</w:t>
            </w:r>
          </w:p>
        </w:tc>
        <w:tc>
          <w:tcPr>
            <w:tcW w:w="740" w:type="dxa"/>
            <w:vAlign w:val="bottom"/>
            <w:tcBorders>
              <w:bottom w:val="single" w:sz="8" w:color="CCEEFF"/>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i w:val="1"/>
                <w:iCs w:val="1"/>
                <w:color w:val="auto"/>
              </w:rPr>
              <w:t>Total Interactive Learning</w:t>
            </w:r>
          </w:p>
        </w:tc>
        <w:tc>
          <w:tcPr>
            <w:tcW w:w="7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92"/>
              </w:rPr>
              <w:t>13,386,824</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257,267</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2"/>
              </w:rPr>
              <w:t>(4,343,218)</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9,300,873</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4.65 %</w:t>
            </w:r>
          </w:p>
        </w:tc>
        <w:tc>
          <w:tcPr>
            <w:tcW w:w="0" w:type="dxa"/>
            <w:vAlign w:val="bottom"/>
          </w:tcPr>
          <w:p>
            <w:pPr>
              <w:spacing w:after="0"/>
              <w:rPr>
                <w:sz w:val="1"/>
                <w:szCs w:val="1"/>
                <w:color w:val="auto"/>
              </w:rPr>
            </w:pPr>
          </w:p>
        </w:tc>
      </w:tr>
      <w:tr>
        <w:trPr>
          <w:trHeight w:val="224"/>
        </w:trPr>
        <w:tc>
          <w:tcPr>
            <w:tcW w:w="2120" w:type="dxa"/>
            <w:vAlign w:val="bottom"/>
          </w:tcPr>
          <w:p>
            <w:pPr>
              <w:ind w:left="20"/>
              <w:spacing w:after="0"/>
              <w:rPr>
                <w:sz w:val="20"/>
                <w:szCs w:val="20"/>
                <w:color w:val="auto"/>
              </w:rPr>
            </w:pPr>
            <w:r>
              <w:rPr>
                <w:rFonts w:ascii="Arial" w:cs="Arial" w:eastAsia="Arial" w:hAnsi="Arial"/>
                <w:sz w:val="16"/>
                <w:szCs w:val="16"/>
                <w:b w:val="1"/>
                <w:bCs w:val="1"/>
                <w:color w:val="auto"/>
              </w:rPr>
              <w:t>Total Preferred Stock</w:t>
            </w:r>
          </w:p>
        </w:tc>
        <w:tc>
          <w:tcPr>
            <w:tcW w:w="740" w:type="dxa"/>
            <w:vAlign w:val="bottom"/>
          </w:tcPr>
          <w:p>
            <w:pPr>
              <w:spacing w:after="0"/>
              <w:rPr>
                <w:sz w:val="19"/>
                <w:szCs w:val="19"/>
                <w:color w:val="auto"/>
              </w:rPr>
            </w:pPr>
          </w:p>
        </w:tc>
        <w:tc>
          <w:tcPr>
            <w:tcW w:w="200" w:type="dxa"/>
            <w:vAlign w:val="bottom"/>
            <w:gridSpan w:val="2"/>
          </w:tcPr>
          <w:p>
            <w:pPr>
              <w:ind w:left="100"/>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w w:val="92"/>
              </w:rPr>
              <w:t>14,784,677</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80"/>
              <w:spacing w:after="0"/>
              <w:rPr>
                <w:sz w:val="20"/>
                <w:szCs w:val="20"/>
                <w:color w:val="auto"/>
              </w:rPr>
            </w:pPr>
            <w:r>
              <w:rPr>
                <w:rFonts w:ascii="Arial" w:cs="Arial" w:eastAsia="Arial" w:hAnsi="Arial"/>
                <w:sz w:val="16"/>
                <w:szCs w:val="16"/>
                <w:color w:val="auto"/>
                <w:w w:val="92"/>
              </w:rPr>
              <w:t>2,102,384</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569,061</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center"/>
              <w:spacing w:after="0"/>
              <w:rPr>
                <w:sz w:val="20"/>
                <w:szCs w:val="20"/>
                <w:color w:val="auto"/>
              </w:rPr>
            </w:pPr>
            <w:r>
              <w:rPr>
                <w:rFonts w:ascii="Arial" w:cs="Arial" w:eastAsia="Arial" w:hAnsi="Arial"/>
                <w:sz w:val="16"/>
                <w:szCs w:val="16"/>
                <w:color w:val="auto"/>
                <w:w w:val="92"/>
              </w:rPr>
              <w:t>(11,002,160)</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w w:val="89"/>
              </w:rPr>
              <w:t>17,383,813</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color w:val="auto"/>
                <w:w w:val="92"/>
              </w:rPr>
              <w:t>23,837,775</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11.92 %</w:t>
            </w:r>
          </w:p>
        </w:tc>
        <w:tc>
          <w:tcPr>
            <w:tcW w:w="0" w:type="dxa"/>
            <w:vAlign w:val="bottom"/>
          </w:tcPr>
          <w:p>
            <w:pPr>
              <w:spacing w:after="0"/>
              <w:rPr>
                <w:sz w:val="1"/>
                <w:szCs w:val="1"/>
                <w:color w:val="auto"/>
              </w:rPr>
            </w:pPr>
          </w:p>
        </w:tc>
      </w:tr>
      <w:tr>
        <w:trPr>
          <w:trHeight w:val="33"/>
        </w:trPr>
        <w:tc>
          <w:tcPr>
            <w:tcW w:w="2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Options</w:t>
            </w: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120" w:type="dxa"/>
            <w:vAlign w:val="bottom"/>
          </w:tcPr>
          <w:p>
            <w:pPr>
              <w:ind w:left="120"/>
              <w:spacing w:after="0"/>
              <w:rPr>
                <w:sz w:val="20"/>
                <w:szCs w:val="20"/>
                <w:color w:val="auto"/>
              </w:rPr>
            </w:pPr>
            <w:r>
              <w:rPr>
                <w:rFonts w:ascii="Arial" w:cs="Arial" w:eastAsia="Arial" w:hAnsi="Arial"/>
                <w:sz w:val="16"/>
                <w:szCs w:val="16"/>
                <w:i w:val="1"/>
                <w:iCs w:val="1"/>
                <w:color w:val="auto"/>
              </w:rPr>
              <w:t>Corporate Education</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CUX, Inc. (d/b/a CorpU) –</w:t>
            </w: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Preferred warrants,</w:t>
            </w: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Series D, Strike Price</w:t>
            </w: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$4.59, Expiration Date</w:t>
            </w: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2/14/2020</w:t>
            </w:r>
          </w:p>
        </w:tc>
        <w:tc>
          <w:tcPr>
            <w:tcW w:w="7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16,903</w:t>
            </w:r>
          </w:p>
        </w:tc>
        <w:tc>
          <w:tcPr>
            <w:tcW w:w="2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19,946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(19,946)</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24"/>
        </w:trPr>
        <w:tc>
          <w:tcPr>
            <w:tcW w:w="2120" w:type="dxa"/>
            <w:vAlign w:val="bottom"/>
          </w:tcPr>
          <w:p>
            <w:pPr>
              <w:ind w:left="120"/>
              <w:spacing w:after="0"/>
              <w:rPr>
                <w:sz w:val="20"/>
                <w:szCs w:val="20"/>
                <w:color w:val="auto"/>
              </w:rPr>
            </w:pPr>
            <w:r>
              <w:rPr>
                <w:rFonts w:ascii="Arial" w:cs="Arial" w:eastAsia="Arial" w:hAnsi="Arial"/>
                <w:sz w:val="16"/>
                <w:szCs w:val="16"/>
                <w:i w:val="1"/>
                <w:iCs w:val="1"/>
                <w:color w:val="auto"/>
              </w:rPr>
              <w:t>Digital Media Platform</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OzyMedia, Inc.–Common</w:t>
            </w: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Warrants, Strike Price</w:t>
            </w: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$0.01, Expiration Date</w:t>
            </w: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4/9/2028</w:t>
            </w:r>
          </w:p>
        </w:tc>
        <w:tc>
          <w:tcPr>
            <w:tcW w:w="7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96"/>
              </w:rPr>
              <w:t>295,565</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1,182,260</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1,182,260</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0.59 %</w:t>
            </w:r>
          </w:p>
        </w:tc>
        <w:tc>
          <w:tcPr>
            <w:tcW w:w="0" w:type="dxa"/>
            <w:vAlign w:val="bottom"/>
          </w:tcPr>
          <w:p>
            <w:pPr>
              <w:spacing w:after="0"/>
              <w:rPr>
                <w:sz w:val="1"/>
                <w:szCs w:val="1"/>
                <w:color w:val="auto"/>
              </w:rPr>
            </w:pPr>
          </w:p>
        </w:tc>
      </w:tr>
      <w:tr>
        <w:trPr>
          <w:trHeight w:val="237"/>
        </w:trPr>
        <w:tc>
          <w:tcPr>
            <w:tcW w:w="2120" w:type="dxa"/>
            <w:vAlign w:val="bottom"/>
          </w:tcPr>
          <w:p>
            <w:pPr>
              <w:ind w:left="120"/>
              <w:spacing w:after="0"/>
              <w:rPr>
                <w:sz w:val="20"/>
                <w:szCs w:val="20"/>
                <w:color w:val="auto"/>
              </w:rPr>
            </w:pPr>
            <w:r>
              <w:rPr>
                <w:rFonts w:ascii="Arial" w:cs="Arial" w:eastAsia="Arial" w:hAnsi="Arial"/>
                <w:sz w:val="16"/>
                <w:szCs w:val="16"/>
                <w:i w:val="1"/>
                <w:iCs w:val="1"/>
                <w:color w:val="auto"/>
              </w:rPr>
              <w:t>Global Innovation Platform</w:t>
            </w: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120" w:type="dxa"/>
            <w:vAlign w:val="bottom"/>
            <w:shd w:val="clear" w:color="auto" w:fill="CCEEFF"/>
          </w:tcPr>
          <w:p>
            <w:pPr>
              <w:ind w:left="220"/>
              <w:spacing w:after="0" w:line="166" w:lineRule="exact"/>
              <w:rPr>
                <w:sz w:val="20"/>
                <w:szCs w:val="20"/>
                <w:color w:val="auto"/>
              </w:rPr>
            </w:pPr>
            <w:r>
              <w:rPr>
                <w:rFonts w:ascii="Arial" w:cs="Arial" w:eastAsia="Arial" w:hAnsi="Arial"/>
                <w:sz w:val="16"/>
                <w:szCs w:val="16"/>
                <w:color w:val="auto"/>
              </w:rPr>
              <w:t>NestGSV, Inc. (d/b/a GSV</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2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Labs, Inc.)–Preferred</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2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Warrant Series A-3, Strike</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2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Price $1.33, Expiration</w:t>
            </w:r>
          </w:p>
        </w:tc>
        <w:tc>
          <w:tcPr>
            <w:tcW w:w="74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96"/>
              </w:rPr>
              <w:t>187,500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26,250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(5,625)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20,625</w:t>
            </w: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0.01 %</w:t>
            </w:r>
          </w:p>
        </w:tc>
        <w:tc>
          <w:tcPr>
            <w:tcW w:w="0" w:type="dxa"/>
            <w:vAlign w:val="bottom"/>
          </w:tcPr>
          <w:p>
            <w:pPr>
              <w:spacing w:after="0"/>
              <w:rPr>
                <w:sz w:val="1"/>
                <w:szCs w:val="1"/>
                <w:color w:val="auto"/>
              </w:rPr>
            </w:pPr>
          </w:p>
        </w:tc>
      </w:tr>
      <w:tr>
        <w:trPr>
          <w:trHeight w:val="212"/>
        </w:trPr>
        <w:tc>
          <w:tcPr>
            <w:tcW w:w="2120" w:type="dxa"/>
            <w:vAlign w:val="bottom"/>
            <w:shd w:val="clear" w:color="auto" w:fill="CCEEFF"/>
          </w:tcPr>
          <w:p>
            <w:pPr>
              <w:ind w:left="220"/>
              <w:spacing w:after="0" w:line="213" w:lineRule="exact"/>
              <w:rPr>
                <w:sz w:val="20"/>
                <w:szCs w:val="20"/>
                <w:color w:val="auto"/>
              </w:rPr>
            </w:pPr>
            <w:r>
              <w:rPr>
                <w:rFonts w:ascii="Arial" w:cs="Arial" w:eastAsia="Arial" w:hAnsi="Arial"/>
                <w:sz w:val="16"/>
                <w:szCs w:val="16"/>
                <w:color w:val="auto"/>
              </w:rPr>
              <w:t>Date 4/4/2021</w:t>
            </w:r>
            <w:r>
              <w:rPr>
                <w:rFonts w:ascii="Arial" w:cs="Arial" w:eastAsia="Arial" w:hAnsi="Arial"/>
                <w:sz w:val="21"/>
                <w:szCs w:val="21"/>
                <w:color w:val="auto"/>
                <w:vertAlign w:val="superscript"/>
              </w:rPr>
              <w:t>(7)</w:t>
            </w: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120" w:type="dxa"/>
            <w:vAlign w:val="bottom"/>
          </w:tcPr>
          <w:p>
            <w:pPr>
              <w:ind w:left="220"/>
              <w:spacing w:after="0" w:line="166" w:lineRule="exact"/>
              <w:rPr>
                <w:sz w:val="20"/>
                <w:szCs w:val="20"/>
                <w:color w:val="auto"/>
              </w:rPr>
            </w:pPr>
            <w:r>
              <w:rPr>
                <w:rFonts w:ascii="Arial" w:cs="Arial" w:eastAsia="Arial" w:hAnsi="Arial"/>
                <w:sz w:val="16"/>
                <w:szCs w:val="16"/>
                <w:color w:val="auto"/>
              </w:rPr>
              <w:t>NestGSV, Inc. (d/b/a GSV</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20" w:type="dxa"/>
            <w:vAlign w:val="bottom"/>
          </w:tcPr>
          <w:p>
            <w:pPr>
              <w:ind w:left="220"/>
              <w:spacing w:after="0" w:line="162" w:lineRule="exact"/>
              <w:rPr>
                <w:sz w:val="20"/>
                <w:szCs w:val="20"/>
                <w:color w:val="auto"/>
              </w:rPr>
            </w:pPr>
            <w:r>
              <w:rPr>
                <w:rFonts w:ascii="Arial" w:cs="Arial" w:eastAsia="Arial" w:hAnsi="Arial"/>
                <w:sz w:val="16"/>
                <w:szCs w:val="16"/>
                <w:color w:val="auto"/>
              </w:rPr>
              <w:t>Labs, Inc.)–Preferred</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20" w:type="dxa"/>
            <w:vAlign w:val="bottom"/>
          </w:tcPr>
          <w:p>
            <w:pPr>
              <w:ind w:left="220"/>
              <w:spacing w:after="0" w:line="162" w:lineRule="exact"/>
              <w:rPr>
                <w:sz w:val="20"/>
                <w:szCs w:val="20"/>
                <w:color w:val="auto"/>
              </w:rPr>
            </w:pPr>
            <w:r>
              <w:rPr>
                <w:rFonts w:ascii="Arial" w:cs="Arial" w:eastAsia="Arial" w:hAnsi="Arial"/>
                <w:sz w:val="16"/>
                <w:szCs w:val="16"/>
                <w:color w:val="auto"/>
              </w:rPr>
              <w:t>Warrant Series A-4, Strike</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20" w:type="dxa"/>
            <w:vAlign w:val="bottom"/>
          </w:tcPr>
          <w:p>
            <w:pPr>
              <w:ind w:left="220"/>
              <w:spacing w:after="0" w:line="162" w:lineRule="exact"/>
              <w:rPr>
                <w:sz w:val="20"/>
                <w:szCs w:val="20"/>
                <w:color w:val="auto"/>
              </w:rPr>
            </w:pPr>
            <w:r>
              <w:rPr>
                <w:rFonts w:ascii="Arial" w:cs="Arial" w:eastAsia="Arial" w:hAnsi="Arial"/>
                <w:sz w:val="16"/>
                <w:szCs w:val="16"/>
                <w:color w:val="auto"/>
              </w:rPr>
              <w:t>Price $1.33, Expiration</w:t>
            </w:r>
          </w:p>
        </w:tc>
        <w:tc>
          <w:tcPr>
            <w:tcW w:w="740" w:type="dxa"/>
            <w:vAlign w:val="bottom"/>
            <w:vMerge w:val="restart"/>
          </w:tcPr>
          <w:p>
            <w:pPr>
              <w:jc w:val="right"/>
              <w:ind w:right="81"/>
              <w:spacing w:after="0"/>
              <w:rPr>
                <w:sz w:val="20"/>
                <w:szCs w:val="20"/>
                <w:color w:val="auto"/>
              </w:rPr>
            </w:pPr>
            <w:r>
              <w:rPr>
                <w:rFonts w:ascii="Arial" w:cs="Arial" w:eastAsia="Arial" w:hAnsi="Arial"/>
                <w:sz w:val="16"/>
                <w:szCs w:val="16"/>
                <w:color w:val="auto"/>
                <w:w w:val="96"/>
              </w:rPr>
              <w:t>500,000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20" w:type="dxa"/>
            <w:vAlign w:val="bottom"/>
            <w:vMerge w:val="restart"/>
          </w:tcPr>
          <w:p>
            <w:pPr>
              <w:jc w:val="right"/>
              <w:ind w:right="80"/>
              <w:spacing w:after="0"/>
              <w:rPr>
                <w:sz w:val="20"/>
                <w:szCs w:val="20"/>
                <w:color w:val="auto"/>
              </w:rPr>
            </w:pPr>
            <w:r>
              <w:rPr>
                <w:rFonts w:ascii="Arial" w:cs="Arial" w:eastAsia="Arial" w:hAnsi="Arial"/>
                <w:sz w:val="16"/>
                <w:szCs w:val="16"/>
                <w:color w:val="auto"/>
              </w:rPr>
              <w:t>145,000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40" w:type="dxa"/>
            <w:vAlign w:val="bottom"/>
            <w:gridSpan w:val="2"/>
            <w:vMerge w:val="restart"/>
          </w:tcPr>
          <w:p>
            <w:pPr>
              <w:ind w:left="7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00" w:type="dxa"/>
            <w:vAlign w:val="bottom"/>
            <w:vMerge w:val="restart"/>
          </w:tcPr>
          <w:p>
            <w:pPr>
              <w:jc w:val="right"/>
              <w:ind w:right="40"/>
              <w:spacing w:after="0"/>
              <w:rPr>
                <w:sz w:val="20"/>
                <w:szCs w:val="20"/>
                <w:color w:val="auto"/>
              </w:rPr>
            </w:pPr>
            <w:r>
              <w:rPr>
                <w:rFonts w:ascii="Arial" w:cs="Arial" w:eastAsia="Arial" w:hAnsi="Arial"/>
                <w:sz w:val="16"/>
                <w:szCs w:val="16"/>
                <w:color w:val="auto"/>
              </w:rPr>
              <w:t>(10,000)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restart"/>
          </w:tcPr>
          <w:p>
            <w:pPr>
              <w:jc w:val="right"/>
              <w:ind w:right="60"/>
              <w:spacing w:after="0"/>
              <w:rPr>
                <w:sz w:val="20"/>
                <w:szCs w:val="20"/>
                <w:color w:val="auto"/>
              </w:rPr>
            </w:pPr>
            <w:r>
              <w:rPr>
                <w:rFonts w:ascii="Arial" w:cs="Arial" w:eastAsia="Arial" w:hAnsi="Arial"/>
                <w:sz w:val="16"/>
                <w:szCs w:val="16"/>
                <w:color w:val="auto"/>
              </w:rPr>
              <w:t>135,000</w:t>
            </w:r>
          </w:p>
        </w:tc>
        <w:tc>
          <w:tcPr>
            <w:tcW w:w="860" w:type="dxa"/>
            <w:vAlign w:val="bottom"/>
            <w:gridSpan w:val="2"/>
            <w:vMerge w:val="restart"/>
          </w:tcPr>
          <w:p>
            <w:pPr>
              <w:jc w:val="right"/>
              <w:spacing w:after="0"/>
              <w:rPr>
                <w:sz w:val="20"/>
                <w:szCs w:val="20"/>
                <w:color w:val="auto"/>
              </w:rPr>
            </w:pPr>
            <w:r>
              <w:rPr>
                <w:rFonts w:ascii="Arial" w:cs="Arial" w:eastAsia="Arial" w:hAnsi="Arial"/>
                <w:sz w:val="16"/>
                <w:szCs w:val="16"/>
                <w:color w:val="auto"/>
              </w:rPr>
              <w:t>0.07 %</w:t>
            </w:r>
          </w:p>
        </w:tc>
        <w:tc>
          <w:tcPr>
            <w:tcW w:w="0" w:type="dxa"/>
            <w:vAlign w:val="bottom"/>
          </w:tcPr>
          <w:p>
            <w:pPr>
              <w:spacing w:after="0"/>
              <w:rPr>
                <w:sz w:val="1"/>
                <w:szCs w:val="1"/>
                <w:color w:val="auto"/>
              </w:rPr>
            </w:pPr>
          </w:p>
        </w:tc>
      </w:tr>
      <w:tr>
        <w:trPr>
          <w:trHeight w:val="212"/>
        </w:trPr>
        <w:tc>
          <w:tcPr>
            <w:tcW w:w="2120" w:type="dxa"/>
            <w:vAlign w:val="bottom"/>
          </w:tcPr>
          <w:p>
            <w:pPr>
              <w:ind w:left="220"/>
              <w:spacing w:after="0" w:line="213" w:lineRule="exact"/>
              <w:rPr>
                <w:sz w:val="20"/>
                <w:szCs w:val="20"/>
                <w:color w:val="auto"/>
              </w:rPr>
            </w:pPr>
            <w:r>
              <w:rPr>
                <w:rFonts w:ascii="Arial" w:cs="Arial" w:eastAsia="Arial" w:hAnsi="Arial"/>
                <w:sz w:val="16"/>
                <w:szCs w:val="16"/>
                <w:color w:val="auto"/>
              </w:rPr>
              <w:t>Date 10/6/2021</w:t>
            </w:r>
            <w:r>
              <w:rPr>
                <w:rFonts w:ascii="Arial" w:cs="Arial" w:eastAsia="Arial" w:hAnsi="Arial"/>
                <w:sz w:val="21"/>
                <w:szCs w:val="21"/>
                <w:color w:val="auto"/>
                <w:vertAlign w:val="superscript"/>
              </w:rPr>
              <w:t>(7)</w:t>
            </w: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120" w:type="dxa"/>
            <w:vAlign w:val="bottom"/>
            <w:shd w:val="clear" w:color="auto" w:fill="CCEEFF"/>
          </w:tcPr>
          <w:p>
            <w:pPr>
              <w:ind w:left="220"/>
              <w:spacing w:after="0" w:line="166" w:lineRule="exact"/>
              <w:rPr>
                <w:sz w:val="20"/>
                <w:szCs w:val="20"/>
                <w:color w:val="auto"/>
              </w:rPr>
            </w:pPr>
            <w:r>
              <w:rPr>
                <w:rFonts w:ascii="Arial" w:cs="Arial" w:eastAsia="Arial" w:hAnsi="Arial"/>
                <w:sz w:val="16"/>
                <w:szCs w:val="16"/>
                <w:color w:val="auto"/>
              </w:rPr>
              <w:t>NestGSV, Inc. (d/b/a GSV</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2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Labs, Inc.)–Preferred</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2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Warrant Series A-4, Strike</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2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Price $1.33, Expiration</w:t>
            </w:r>
          </w:p>
        </w:tc>
        <w:tc>
          <w:tcPr>
            <w:tcW w:w="74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96"/>
              </w:rPr>
              <w:t>250,000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70,000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(7,500)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62,500</w:t>
            </w: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0.03 %</w:t>
            </w:r>
          </w:p>
        </w:tc>
        <w:tc>
          <w:tcPr>
            <w:tcW w:w="0" w:type="dxa"/>
            <w:vAlign w:val="bottom"/>
          </w:tcPr>
          <w:p>
            <w:pPr>
              <w:spacing w:after="0"/>
              <w:rPr>
                <w:sz w:val="1"/>
                <w:szCs w:val="1"/>
                <w:color w:val="auto"/>
              </w:rPr>
            </w:pPr>
          </w:p>
        </w:tc>
      </w:tr>
      <w:tr>
        <w:trPr>
          <w:trHeight w:val="217"/>
        </w:trPr>
        <w:tc>
          <w:tcPr>
            <w:tcW w:w="2120" w:type="dxa"/>
            <w:vAlign w:val="bottom"/>
            <w:shd w:val="clear" w:color="auto" w:fill="CCEEFF"/>
          </w:tcPr>
          <w:p>
            <w:pPr>
              <w:ind w:left="220"/>
              <w:spacing w:after="0" w:line="213" w:lineRule="exact"/>
              <w:rPr>
                <w:sz w:val="20"/>
                <w:szCs w:val="20"/>
                <w:color w:val="auto"/>
              </w:rPr>
            </w:pPr>
            <w:r>
              <w:rPr>
                <w:rFonts w:ascii="Arial" w:cs="Arial" w:eastAsia="Arial" w:hAnsi="Arial"/>
                <w:sz w:val="16"/>
                <w:szCs w:val="16"/>
                <w:color w:val="auto"/>
              </w:rPr>
              <w:t>Date 7/18/2021</w:t>
            </w:r>
            <w:r>
              <w:rPr>
                <w:rFonts w:ascii="Arial" w:cs="Arial" w:eastAsia="Arial" w:hAnsi="Arial"/>
                <w:sz w:val="21"/>
                <w:szCs w:val="21"/>
                <w:color w:val="auto"/>
                <w:vertAlign w:val="superscript"/>
              </w:rPr>
              <w:t>(7)</w:t>
            </w:r>
          </w:p>
        </w:tc>
        <w:tc>
          <w:tcPr>
            <w:tcW w:w="74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2120" w:type="dxa"/>
            <w:vAlign w:val="bottom"/>
          </w:tcPr>
          <w:p>
            <w:pPr>
              <w:ind w:left="220"/>
              <w:spacing w:after="0" w:line="146" w:lineRule="exact"/>
              <w:rPr>
                <w:sz w:val="20"/>
                <w:szCs w:val="20"/>
                <w:color w:val="auto"/>
              </w:rPr>
            </w:pPr>
            <w:r>
              <w:rPr>
                <w:rFonts w:ascii="Arial" w:cs="Arial" w:eastAsia="Arial" w:hAnsi="Arial"/>
                <w:sz w:val="16"/>
                <w:szCs w:val="16"/>
                <w:color w:val="auto"/>
              </w:rPr>
              <w:t>NestGSV, Inc. (d/b/a GSV</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20" w:type="dxa"/>
            <w:vAlign w:val="bottom"/>
          </w:tcPr>
          <w:p>
            <w:pPr>
              <w:ind w:left="220"/>
              <w:spacing w:after="0" w:line="162" w:lineRule="exact"/>
              <w:rPr>
                <w:sz w:val="20"/>
                <w:szCs w:val="20"/>
                <w:color w:val="auto"/>
              </w:rPr>
            </w:pPr>
            <w:r>
              <w:rPr>
                <w:rFonts w:ascii="Arial" w:cs="Arial" w:eastAsia="Arial" w:hAnsi="Arial"/>
                <w:sz w:val="16"/>
                <w:szCs w:val="16"/>
                <w:color w:val="auto"/>
              </w:rPr>
              <w:t>Labs, Inc.)–Preferred</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20" w:type="dxa"/>
            <w:vAlign w:val="bottom"/>
          </w:tcPr>
          <w:p>
            <w:pPr>
              <w:ind w:left="220"/>
              <w:spacing w:after="0" w:line="162" w:lineRule="exact"/>
              <w:rPr>
                <w:sz w:val="20"/>
                <w:szCs w:val="20"/>
                <w:color w:val="auto"/>
              </w:rPr>
            </w:pPr>
            <w:r>
              <w:rPr>
                <w:rFonts w:ascii="Arial" w:cs="Arial" w:eastAsia="Arial" w:hAnsi="Arial"/>
                <w:sz w:val="16"/>
                <w:szCs w:val="16"/>
                <w:color w:val="auto"/>
              </w:rPr>
              <w:t>Warrant Series B, Strike</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20" w:type="dxa"/>
            <w:vAlign w:val="bottom"/>
          </w:tcPr>
          <w:p>
            <w:pPr>
              <w:ind w:left="220"/>
              <w:spacing w:after="0" w:line="162" w:lineRule="exact"/>
              <w:rPr>
                <w:sz w:val="20"/>
                <w:szCs w:val="20"/>
                <w:color w:val="auto"/>
              </w:rPr>
            </w:pPr>
            <w:r>
              <w:rPr>
                <w:rFonts w:ascii="Arial" w:cs="Arial" w:eastAsia="Arial" w:hAnsi="Arial"/>
                <w:sz w:val="16"/>
                <w:szCs w:val="16"/>
                <w:color w:val="auto"/>
              </w:rPr>
              <w:t>Price $2.31, Expiration</w:t>
            </w:r>
          </w:p>
        </w:tc>
        <w:tc>
          <w:tcPr>
            <w:tcW w:w="740" w:type="dxa"/>
            <w:vAlign w:val="bottom"/>
            <w:vMerge w:val="restart"/>
          </w:tcPr>
          <w:p>
            <w:pPr>
              <w:jc w:val="right"/>
              <w:ind w:right="81"/>
              <w:spacing w:after="0"/>
              <w:rPr>
                <w:sz w:val="20"/>
                <w:szCs w:val="20"/>
                <w:color w:val="auto"/>
              </w:rPr>
            </w:pPr>
            <w:r>
              <w:rPr>
                <w:rFonts w:ascii="Arial" w:cs="Arial" w:eastAsia="Arial" w:hAnsi="Arial"/>
                <w:sz w:val="16"/>
                <w:szCs w:val="16"/>
                <w:color w:val="auto"/>
                <w:w w:val="96"/>
              </w:rPr>
              <w:t>100,000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20" w:type="dxa"/>
            <w:vAlign w:val="bottom"/>
            <w:vMerge w:val="restart"/>
          </w:tcPr>
          <w:p>
            <w:pPr>
              <w:jc w:val="right"/>
              <w:ind w:right="80"/>
              <w:spacing w:after="0"/>
              <w:rPr>
                <w:sz w:val="20"/>
                <w:szCs w:val="20"/>
                <w:color w:val="auto"/>
              </w:rPr>
            </w:pPr>
            <w:r>
              <w:rPr>
                <w:rFonts w:ascii="Arial" w:cs="Arial" w:eastAsia="Arial" w:hAnsi="Arial"/>
                <w:sz w:val="16"/>
                <w:szCs w:val="16"/>
                <w:color w:val="auto"/>
              </w:rPr>
              <w:t>556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40" w:type="dxa"/>
            <w:vAlign w:val="bottom"/>
            <w:gridSpan w:val="2"/>
            <w:vMerge w:val="restart"/>
          </w:tcPr>
          <w:p>
            <w:pPr>
              <w:ind w:left="7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00" w:type="dxa"/>
            <w:vAlign w:val="bottom"/>
            <w:vMerge w:val="restart"/>
          </w:tcPr>
          <w:p>
            <w:pPr>
              <w:jc w:val="right"/>
              <w:ind w:right="40"/>
              <w:spacing w:after="0"/>
              <w:rPr>
                <w:sz w:val="20"/>
                <w:szCs w:val="20"/>
                <w:color w:val="auto"/>
              </w:rPr>
            </w:pPr>
            <w:r>
              <w:rPr>
                <w:rFonts w:ascii="Arial" w:cs="Arial" w:eastAsia="Arial" w:hAnsi="Arial"/>
                <w:sz w:val="16"/>
                <w:szCs w:val="16"/>
                <w:color w:val="auto"/>
              </w:rPr>
              <w:t>(556)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restart"/>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2"/>
        </w:trPr>
        <w:tc>
          <w:tcPr>
            <w:tcW w:w="2120" w:type="dxa"/>
            <w:vAlign w:val="bottom"/>
          </w:tcPr>
          <w:p>
            <w:pPr>
              <w:ind w:left="220"/>
              <w:spacing w:after="0" w:line="213" w:lineRule="exact"/>
              <w:rPr>
                <w:sz w:val="20"/>
                <w:szCs w:val="20"/>
                <w:color w:val="auto"/>
              </w:rPr>
            </w:pPr>
            <w:r>
              <w:rPr>
                <w:rFonts w:ascii="Arial" w:cs="Arial" w:eastAsia="Arial" w:hAnsi="Arial"/>
                <w:sz w:val="16"/>
                <w:szCs w:val="16"/>
                <w:color w:val="auto"/>
              </w:rPr>
              <w:t xml:space="preserve">Date 11/29/2021 </w:t>
            </w:r>
            <w:r>
              <w:rPr>
                <w:rFonts w:ascii="Arial" w:cs="Arial" w:eastAsia="Arial" w:hAnsi="Arial"/>
                <w:sz w:val="21"/>
                <w:szCs w:val="21"/>
                <w:color w:val="auto"/>
                <w:vertAlign w:val="superscript"/>
              </w:rPr>
              <w:t>(7)</w:t>
            </w: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120" w:type="dxa"/>
            <w:vAlign w:val="bottom"/>
            <w:shd w:val="clear" w:color="auto" w:fill="CCEEFF"/>
          </w:tcPr>
          <w:p>
            <w:pPr>
              <w:ind w:left="220"/>
              <w:spacing w:after="0" w:line="166" w:lineRule="exact"/>
              <w:rPr>
                <w:sz w:val="20"/>
                <w:szCs w:val="20"/>
                <w:color w:val="auto"/>
              </w:rPr>
            </w:pPr>
            <w:r>
              <w:rPr>
                <w:rFonts w:ascii="Arial" w:cs="Arial" w:eastAsia="Arial" w:hAnsi="Arial"/>
                <w:sz w:val="16"/>
                <w:szCs w:val="16"/>
                <w:color w:val="auto"/>
              </w:rPr>
              <w:t>NestGSV, Inc. (d/b/a GSV</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2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Labs, Inc.)–Preferred</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2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Warrant Series B, Strike</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2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Price $2.31, Expiration</w:t>
            </w:r>
          </w:p>
        </w:tc>
        <w:tc>
          <w:tcPr>
            <w:tcW w:w="74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96"/>
              </w:rPr>
              <w:t>125,000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694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(694)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7"/>
        </w:trPr>
        <w:tc>
          <w:tcPr>
            <w:tcW w:w="2120" w:type="dxa"/>
            <w:vAlign w:val="bottom"/>
            <w:shd w:val="clear" w:color="auto" w:fill="CCEEFF"/>
          </w:tcPr>
          <w:p>
            <w:pPr>
              <w:ind w:left="220"/>
              <w:spacing w:after="0" w:line="213" w:lineRule="exact"/>
              <w:rPr>
                <w:sz w:val="20"/>
                <w:szCs w:val="20"/>
                <w:color w:val="auto"/>
              </w:rPr>
            </w:pPr>
            <w:r>
              <w:rPr>
                <w:rFonts w:ascii="Arial" w:cs="Arial" w:eastAsia="Arial" w:hAnsi="Arial"/>
                <w:sz w:val="16"/>
                <w:szCs w:val="16"/>
                <w:color w:val="auto"/>
              </w:rPr>
              <w:t>Date 5/29/2022</w:t>
            </w:r>
            <w:r>
              <w:rPr>
                <w:rFonts w:ascii="Arial" w:cs="Arial" w:eastAsia="Arial" w:hAnsi="Arial"/>
                <w:sz w:val="21"/>
                <w:szCs w:val="21"/>
                <w:color w:val="auto"/>
                <w:vertAlign w:val="superscript"/>
              </w:rPr>
              <w:t>(7)</w:t>
            </w:r>
          </w:p>
        </w:tc>
        <w:tc>
          <w:tcPr>
            <w:tcW w:w="74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2120" w:type="dxa"/>
            <w:vAlign w:val="bottom"/>
          </w:tcPr>
          <w:p>
            <w:pPr>
              <w:ind w:left="220"/>
              <w:spacing w:after="0" w:line="146" w:lineRule="exact"/>
              <w:rPr>
                <w:sz w:val="20"/>
                <w:szCs w:val="20"/>
                <w:color w:val="auto"/>
              </w:rPr>
            </w:pPr>
            <w:r>
              <w:rPr>
                <w:rFonts w:ascii="Arial" w:cs="Arial" w:eastAsia="Arial" w:hAnsi="Arial"/>
                <w:sz w:val="16"/>
                <w:szCs w:val="16"/>
                <w:color w:val="auto"/>
              </w:rPr>
              <w:t>NestGSV, Inc. (d/b/a GSV</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20" w:type="dxa"/>
            <w:vAlign w:val="bottom"/>
          </w:tcPr>
          <w:p>
            <w:pPr>
              <w:ind w:left="220"/>
              <w:spacing w:after="0" w:line="162" w:lineRule="exact"/>
              <w:rPr>
                <w:sz w:val="20"/>
                <w:szCs w:val="20"/>
                <w:color w:val="auto"/>
              </w:rPr>
            </w:pPr>
            <w:r>
              <w:rPr>
                <w:rFonts w:ascii="Arial" w:cs="Arial" w:eastAsia="Arial" w:hAnsi="Arial"/>
                <w:sz w:val="16"/>
                <w:szCs w:val="16"/>
                <w:color w:val="auto"/>
              </w:rPr>
              <w:t>Labs, Inc.)–Preferred</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20" w:type="dxa"/>
            <w:vAlign w:val="bottom"/>
          </w:tcPr>
          <w:p>
            <w:pPr>
              <w:ind w:left="220"/>
              <w:spacing w:after="0" w:line="162" w:lineRule="exact"/>
              <w:rPr>
                <w:sz w:val="20"/>
                <w:szCs w:val="20"/>
                <w:color w:val="auto"/>
              </w:rPr>
            </w:pPr>
            <w:r>
              <w:rPr>
                <w:rFonts w:ascii="Arial" w:cs="Arial" w:eastAsia="Arial" w:hAnsi="Arial"/>
                <w:sz w:val="16"/>
                <w:szCs w:val="16"/>
                <w:color w:val="auto"/>
              </w:rPr>
              <w:t>Warrant Series B, Strike</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20" w:type="dxa"/>
            <w:vAlign w:val="bottom"/>
          </w:tcPr>
          <w:p>
            <w:pPr>
              <w:ind w:left="220"/>
              <w:spacing w:after="0" w:line="162" w:lineRule="exact"/>
              <w:rPr>
                <w:sz w:val="20"/>
                <w:szCs w:val="20"/>
                <w:color w:val="auto"/>
              </w:rPr>
            </w:pPr>
            <w:r>
              <w:rPr>
                <w:rFonts w:ascii="Arial" w:cs="Arial" w:eastAsia="Arial" w:hAnsi="Arial"/>
                <w:sz w:val="16"/>
                <w:szCs w:val="16"/>
                <w:color w:val="auto"/>
              </w:rPr>
              <w:t>Price $2.31, Expiration</w:t>
            </w:r>
          </w:p>
        </w:tc>
        <w:tc>
          <w:tcPr>
            <w:tcW w:w="740" w:type="dxa"/>
            <w:vAlign w:val="bottom"/>
            <w:vMerge w:val="restart"/>
          </w:tcPr>
          <w:p>
            <w:pPr>
              <w:jc w:val="right"/>
              <w:ind w:right="81"/>
              <w:spacing w:after="0"/>
              <w:rPr>
                <w:sz w:val="20"/>
                <w:szCs w:val="20"/>
                <w:color w:val="auto"/>
              </w:rPr>
            </w:pPr>
            <w:r>
              <w:rPr>
                <w:rFonts w:ascii="Arial" w:cs="Arial" w:eastAsia="Arial" w:hAnsi="Arial"/>
                <w:sz w:val="16"/>
                <w:szCs w:val="16"/>
                <w:color w:val="auto"/>
                <w:w w:val="96"/>
              </w:rPr>
              <w:t>250,000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20" w:type="dxa"/>
            <w:vAlign w:val="bottom"/>
            <w:vMerge w:val="restart"/>
          </w:tcPr>
          <w:p>
            <w:pPr>
              <w:jc w:val="right"/>
              <w:ind w:right="80"/>
              <w:spacing w:after="0"/>
              <w:rPr>
                <w:sz w:val="20"/>
                <w:szCs w:val="20"/>
                <w:color w:val="auto"/>
              </w:rPr>
            </w:pPr>
            <w:r>
              <w:rPr>
                <w:rFonts w:ascii="Arial" w:cs="Arial" w:eastAsia="Arial" w:hAnsi="Arial"/>
                <w:sz w:val="16"/>
                <w:szCs w:val="16"/>
                <w:color w:val="auto"/>
              </w:rPr>
              <w:t>5,000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40" w:type="dxa"/>
            <w:vAlign w:val="bottom"/>
            <w:gridSpan w:val="2"/>
            <w:vMerge w:val="restart"/>
          </w:tcPr>
          <w:p>
            <w:pPr>
              <w:ind w:left="7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00" w:type="dxa"/>
            <w:vAlign w:val="bottom"/>
            <w:vMerge w:val="restart"/>
          </w:tcPr>
          <w:p>
            <w:pPr>
              <w:jc w:val="right"/>
              <w:ind w:right="40"/>
              <w:spacing w:after="0"/>
              <w:rPr>
                <w:sz w:val="20"/>
                <w:szCs w:val="20"/>
                <w:color w:val="auto"/>
              </w:rPr>
            </w:pPr>
            <w:r>
              <w:rPr>
                <w:rFonts w:ascii="Arial" w:cs="Arial" w:eastAsia="Arial" w:hAnsi="Arial"/>
                <w:sz w:val="16"/>
                <w:szCs w:val="16"/>
                <w:color w:val="auto"/>
              </w:rPr>
              <w:t>(2,500)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restart"/>
          </w:tcPr>
          <w:p>
            <w:pPr>
              <w:jc w:val="right"/>
              <w:ind w:right="60"/>
              <w:spacing w:after="0"/>
              <w:rPr>
                <w:sz w:val="20"/>
                <w:szCs w:val="20"/>
                <w:color w:val="auto"/>
              </w:rPr>
            </w:pPr>
            <w:r>
              <w:rPr>
                <w:rFonts w:ascii="Arial" w:cs="Arial" w:eastAsia="Arial" w:hAnsi="Arial"/>
                <w:sz w:val="16"/>
                <w:szCs w:val="16"/>
                <w:color w:val="auto"/>
              </w:rPr>
              <w:t>2,500</w:t>
            </w:r>
          </w:p>
        </w:tc>
        <w:tc>
          <w:tcPr>
            <w:tcW w:w="860" w:type="dxa"/>
            <w:vAlign w:val="bottom"/>
            <w:gridSpan w:val="2"/>
            <w:vMerge w:val="restart"/>
          </w:tcPr>
          <w:p>
            <w:pPr>
              <w:jc w:val="right"/>
              <w:spacing w:after="0"/>
              <w:rPr>
                <w:sz w:val="20"/>
                <w:szCs w:val="20"/>
                <w:color w:val="auto"/>
              </w:rPr>
            </w:pPr>
            <w:r>
              <w:rPr>
                <w:rFonts w:ascii="Arial" w:cs="Arial" w:eastAsia="Arial" w:hAnsi="Arial"/>
                <w:sz w:val="16"/>
                <w:szCs w:val="16"/>
                <w:color w:val="auto"/>
              </w:rPr>
              <w:t>0.00 %</w:t>
            </w:r>
          </w:p>
        </w:tc>
        <w:tc>
          <w:tcPr>
            <w:tcW w:w="0" w:type="dxa"/>
            <w:vAlign w:val="bottom"/>
          </w:tcPr>
          <w:p>
            <w:pPr>
              <w:spacing w:after="0"/>
              <w:rPr>
                <w:sz w:val="1"/>
                <w:szCs w:val="1"/>
                <w:color w:val="auto"/>
              </w:rPr>
            </w:pPr>
          </w:p>
        </w:tc>
      </w:tr>
      <w:tr>
        <w:trPr>
          <w:trHeight w:val="212"/>
        </w:trPr>
        <w:tc>
          <w:tcPr>
            <w:tcW w:w="2120" w:type="dxa"/>
            <w:vAlign w:val="bottom"/>
          </w:tcPr>
          <w:p>
            <w:pPr>
              <w:ind w:left="220"/>
              <w:spacing w:after="0" w:line="213" w:lineRule="exact"/>
              <w:rPr>
                <w:sz w:val="20"/>
                <w:szCs w:val="20"/>
                <w:color w:val="auto"/>
              </w:rPr>
            </w:pPr>
            <w:r>
              <w:rPr>
                <w:rFonts w:ascii="Arial" w:cs="Arial" w:eastAsia="Arial" w:hAnsi="Arial"/>
                <w:sz w:val="16"/>
                <w:szCs w:val="16"/>
                <w:color w:val="auto"/>
              </w:rPr>
              <w:t>Date 12/31/2023</w:t>
            </w:r>
            <w:r>
              <w:rPr>
                <w:rFonts w:ascii="Arial" w:cs="Arial" w:eastAsia="Arial" w:hAnsi="Arial"/>
                <w:sz w:val="21"/>
                <w:szCs w:val="21"/>
                <w:color w:val="auto"/>
                <w:vertAlign w:val="superscript"/>
              </w:rPr>
              <w:t>(7)</w:t>
            </w: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120" w:type="dxa"/>
            <w:vAlign w:val="bottom"/>
            <w:shd w:val="clear" w:color="auto" w:fill="CCEEFF"/>
          </w:tcPr>
          <w:p>
            <w:pPr>
              <w:ind w:left="220"/>
              <w:spacing w:after="0" w:line="166" w:lineRule="exact"/>
              <w:rPr>
                <w:sz w:val="20"/>
                <w:szCs w:val="20"/>
                <w:color w:val="auto"/>
              </w:rPr>
            </w:pPr>
            <w:r>
              <w:rPr>
                <w:rFonts w:ascii="Arial" w:cs="Arial" w:eastAsia="Arial" w:hAnsi="Arial"/>
                <w:sz w:val="16"/>
                <w:szCs w:val="16"/>
                <w:color w:val="auto"/>
              </w:rPr>
              <w:t>Derivative Security,</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2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Expiration Date</w:t>
            </w:r>
          </w:p>
        </w:tc>
        <w:tc>
          <w:tcPr>
            <w:tcW w:w="74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w w:val="92"/>
              </w:rPr>
              <w:t>8,538,506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color w:val="auto"/>
              </w:rPr>
              <w:t>16,618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w w:val="92"/>
              </w:rPr>
              <w:t>(4,674,503)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3,880,621</w:t>
            </w: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1.94 %</w:t>
            </w:r>
          </w:p>
        </w:tc>
        <w:tc>
          <w:tcPr>
            <w:tcW w:w="0" w:type="dxa"/>
            <w:vAlign w:val="bottom"/>
          </w:tcPr>
          <w:p>
            <w:pPr>
              <w:spacing w:after="0"/>
              <w:rPr>
                <w:sz w:val="1"/>
                <w:szCs w:val="1"/>
                <w:color w:val="auto"/>
              </w:rPr>
            </w:pPr>
          </w:p>
        </w:tc>
      </w:tr>
      <w:tr>
        <w:trPr>
          <w:trHeight w:val="212"/>
        </w:trPr>
        <w:tc>
          <w:tcPr>
            <w:tcW w:w="2120" w:type="dxa"/>
            <w:vAlign w:val="bottom"/>
            <w:shd w:val="clear" w:color="auto" w:fill="CCEEFF"/>
          </w:tcPr>
          <w:p>
            <w:pPr>
              <w:ind w:left="220"/>
              <w:spacing w:after="0" w:line="213" w:lineRule="exact"/>
              <w:rPr>
                <w:sz w:val="20"/>
                <w:szCs w:val="20"/>
                <w:color w:val="auto"/>
              </w:rPr>
            </w:pPr>
            <w:r>
              <w:rPr>
                <w:rFonts w:ascii="Arial" w:cs="Arial" w:eastAsia="Arial" w:hAnsi="Arial"/>
                <w:sz w:val="16"/>
                <w:szCs w:val="16"/>
                <w:color w:val="auto"/>
              </w:rPr>
              <w:t>8/23/2024</w:t>
            </w:r>
            <w:r>
              <w:rPr>
                <w:rFonts w:ascii="Arial" w:cs="Arial" w:eastAsia="Arial" w:hAnsi="Arial"/>
                <w:sz w:val="21"/>
                <w:szCs w:val="21"/>
                <w:color w:val="auto"/>
                <w:vertAlign w:val="superscript"/>
              </w:rPr>
              <w:t>(7)</w:t>
            </w: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120" w:type="dxa"/>
            <w:vAlign w:val="bottom"/>
          </w:tcPr>
          <w:p>
            <w:pPr>
              <w:ind w:left="120"/>
              <w:spacing w:after="0"/>
              <w:rPr>
                <w:sz w:val="20"/>
                <w:szCs w:val="20"/>
                <w:color w:val="auto"/>
              </w:rPr>
            </w:pPr>
            <w:r>
              <w:rPr>
                <w:rFonts w:ascii="Arial" w:cs="Arial" w:eastAsia="Arial" w:hAnsi="Arial"/>
                <w:sz w:val="16"/>
                <w:szCs w:val="16"/>
                <w:i w:val="1"/>
                <w:iCs w:val="1"/>
                <w:color w:val="auto"/>
              </w:rPr>
              <w:t>Total Global Innovation</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120" w:type="dxa"/>
            <w:vAlign w:val="bottom"/>
          </w:tcPr>
          <w:p>
            <w:pPr>
              <w:ind w:left="120"/>
              <w:spacing w:after="0"/>
              <w:rPr>
                <w:sz w:val="20"/>
                <w:szCs w:val="20"/>
                <w:color w:val="auto"/>
              </w:rPr>
            </w:pPr>
            <w:r>
              <w:rPr>
                <w:rFonts w:ascii="Arial" w:cs="Arial" w:eastAsia="Arial" w:hAnsi="Arial"/>
                <w:sz w:val="16"/>
                <w:szCs w:val="16"/>
                <w:i w:val="1"/>
                <w:iCs w:val="1"/>
                <w:color w:val="auto"/>
              </w:rPr>
              <w:t>Platform</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247,500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w w:val="92"/>
              </w:rPr>
              <w:t>8,538,506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16,618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w w:val="92"/>
              </w:rPr>
              <w:t>(4,701,378)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4,101,246</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2.05 %</w:t>
            </w:r>
          </w:p>
        </w:tc>
        <w:tc>
          <w:tcPr>
            <w:tcW w:w="0" w:type="dxa"/>
            <w:vAlign w:val="bottom"/>
          </w:tcPr>
          <w:p>
            <w:pPr>
              <w:spacing w:after="0"/>
              <w:rPr>
                <w:sz w:val="1"/>
                <w:szCs w:val="1"/>
                <w:color w:val="auto"/>
              </w:rPr>
            </w:pPr>
          </w:p>
        </w:tc>
      </w:tr>
      <w:tr>
        <w:trPr>
          <w:trHeight w:val="33"/>
        </w:trPr>
        <w:tc>
          <w:tcPr>
            <w:tcW w:w="2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Options</w:t>
            </w:r>
          </w:p>
        </w:tc>
        <w:tc>
          <w:tcPr>
            <w:tcW w:w="740" w:type="dxa"/>
            <w:vAlign w:val="bottom"/>
            <w:shd w:val="clear" w:color="auto" w:fill="CCEEFF"/>
          </w:tcPr>
          <w:p>
            <w:pPr>
              <w:spacing w:after="0"/>
              <w:rPr>
                <w:sz w:val="19"/>
                <w:szCs w:val="19"/>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267,446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92"/>
              </w:rPr>
              <w:t>8,538,506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16,618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92"/>
              </w:rPr>
              <w:t>(3,539,064)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5,283,506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2.64 %</w:t>
            </w:r>
          </w:p>
        </w:tc>
        <w:tc>
          <w:tcPr>
            <w:tcW w:w="0" w:type="dxa"/>
            <w:vAlign w:val="bottom"/>
          </w:tcPr>
          <w:p>
            <w:pPr>
              <w:spacing w:after="0"/>
              <w:rPr>
                <w:sz w:val="1"/>
                <w:szCs w:val="1"/>
                <w:color w:val="auto"/>
              </w:rPr>
            </w:pPr>
          </w:p>
        </w:tc>
      </w:tr>
      <w:tr>
        <w:trPr>
          <w:trHeight w:val="47"/>
        </w:trPr>
        <w:tc>
          <w:tcPr>
            <w:tcW w:w="212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-4988560</wp:posOffset>
            </wp:positionV>
            <wp:extent cx="1285875"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85875" cy="171450"/>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200"/>
          </w:cols>
          <w:pgMar w:left="320" w:top="122" w:right="379" w:bottom="1440" w:gutter="0" w:footer="0" w:header="0"/>
          <w:type w:val="continuous"/>
        </w:sectPr>
      </w:pPr>
    </w:p>
    <w:bookmarkStart w:id="43" w:name="page44"/>
    <w:bookmarkEnd w:id="4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Interest,</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Purchases,</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Fees, or</w:t>
            </w:r>
          </w:p>
        </w:tc>
        <w:tc>
          <w:tcPr>
            <w:tcW w:w="80" w:type="dxa"/>
            <w:vAlign w:val="bottom"/>
          </w:tcPr>
          <w:p>
            <w:pPr>
              <w:spacing w:after="0"/>
              <w:rPr>
                <w:sz w:val="12"/>
                <w:szCs w:val="12"/>
                <w:color w:val="auto"/>
              </w:rPr>
            </w:pPr>
          </w:p>
        </w:tc>
        <w:tc>
          <w:tcPr>
            <w:tcW w:w="10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8"/>
              </w:rPr>
              <w:t>Fair Value at</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Capitalized</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Fair Value at</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8"/>
        </w:trPr>
        <w:tc>
          <w:tcPr>
            <w:tcW w:w="2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Type/Industry/Portfolio</w:t>
            </w:r>
          </w:p>
        </w:tc>
        <w:tc>
          <w:tcPr>
            <w:tcW w:w="8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Dividends</w:t>
            </w:r>
          </w:p>
        </w:tc>
        <w:tc>
          <w:tcPr>
            <w:tcW w:w="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Corporate</w:t>
            </w: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Fees,</w:t>
            </w:r>
          </w:p>
        </w:tc>
        <w:tc>
          <w:tcPr>
            <w:tcW w:w="120" w:type="dxa"/>
            <w:vAlign w:val="bottom"/>
          </w:tcPr>
          <w:p>
            <w:pPr>
              <w:spacing w:after="0"/>
              <w:rPr>
                <w:sz w:val="12"/>
                <w:szCs w:val="12"/>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Realized</w:t>
            </w:r>
          </w:p>
        </w:tc>
        <w:tc>
          <w:tcPr>
            <w:tcW w:w="120" w:type="dxa"/>
            <w:vAlign w:val="bottom"/>
          </w:tcPr>
          <w:p>
            <w:pPr>
              <w:spacing w:after="0"/>
              <w:rPr>
                <w:sz w:val="12"/>
                <w:szCs w:val="12"/>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Credited</w:t>
            </w:r>
          </w:p>
        </w:tc>
        <w:tc>
          <w:tcPr>
            <w:tcW w:w="10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Interest and</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00" w:type="dxa"/>
            <w:vAlign w:val="bottom"/>
          </w:tcPr>
          <w:p>
            <w:pPr>
              <w:jc w:val="right"/>
              <w:ind w:right="143"/>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92"/>
        </w:trPr>
        <w:tc>
          <w:tcPr>
            <w:tcW w:w="21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Company/Investment</w:t>
            </w:r>
          </w:p>
        </w:tc>
        <w:tc>
          <w:tcPr>
            <w:tcW w:w="80" w:type="dxa"/>
            <w:vAlign w:val="bottom"/>
          </w:tcPr>
          <w:p>
            <w:pPr>
              <w:spacing w:after="0"/>
              <w:rPr>
                <w:sz w:val="16"/>
                <w:szCs w:val="16"/>
                <w:color w:val="auto"/>
              </w:rPr>
            </w:pPr>
          </w:p>
        </w:tc>
        <w:tc>
          <w:tcPr>
            <w:tcW w:w="800" w:type="dxa"/>
            <w:vAlign w:val="bottom"/>
            <w:tcBorders>
              <w:bottom w:val="single" w:sz="8" w:color="CCEEFF"/>
            </w:tcBorders>
          </w:tcPr>
          <w:p>
            <w:pPr>
              <w:jc w:val="right"/>
              <w:ind w:right="44"/>
              <w:spacing w:after="0"/>
              <w:rPr>
                <w:sz w:val="20"/>
                <w:szCs w:val="20"/>
                <w:color w:val="auto"/>
              </w:rPr>
            </w:pPr>
            <w:r>
              <w:rPr>
                <w:rFonts w:ascii="Arial" w:cs="Arial" w:eastAsia="Arial" w:hAnsi="Arial"/>
                <w:sz w:val="14"/>
                <w:szCs w:val="14"/>
                <w:b w:val="1"/>
                <w:bCs w:val="1"/>
                <w:color w:val="auto"/>
              </w:rPr>
              <w:t>Quantity</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in Income</w:t>
            </w:r>
          </w:p>
        </w:tc>
        <w:tc>
          <w:tcPr>
            <w:tcW w:w="80" w:type="dxa"/>
            <w:vAlign w:val="bottom"/>
          </w:tcPr>
          <w:p>
            <w:pPr>
              <w:spacing w:after="0"/>
              <w:rPr>
                <w:sz w:val="16"/>
                <w:szCs w:val="16"/>
                <w:color w:val="auto"/>
              </w:rPr>
            </w:pPr>
          </w:p>
        </w:tc>
        <w:tc>
          <w:tcPr>
            <w:tcW w:w="900" w:type="dxa"/>
            <w:vAlign w:val="bottom"/>
          </w:tcPr>
          <w:p>
            <w:pPr>
              <w:jc w:val="center"/>
              <w:ind w:right="2"/>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Action</w:t>
            </w:r>
          </w:p>
        </w:tc>
        <w:tc>
          <w:tcPr>
            <w:tcW w:w="10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Amortization</w:t>
            </w:r>
          </w:p>
        </w:tc>
        <w:tc>
          <w:tcPr>
            <w:tcW w:w="11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Gains/(Losses)</w:t>
            </w:r>
          </w:p>
        </w:tc>
        <w:tc>
          <w:tcPr>
            <w:tcW w:w="10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9"/>
              </w:rPr>
              <w:t>Gains/(Losses)</w:t>
            </w:r>
          </w:p>
        </w:tc>
        <w:tc>
          <w:tcPr>
            <w:tcW w:w="100" w:type="dxa"/>
            <w:vAlign w:val="bottom"/>
          </w:tcPr>
          <w:p>
            <w:pPr>
              <w:spacing w:after="0"/>
              <w:rPr>
                <w:sz w:val="16"/>
                <w:szCs w:val="16"/>
                <w:color w:val="auto"/>
              </w:rPr>
            </w:pPr>
          </w:p>
        </w:tc>
        <w:tc>
          <w:tcPr>
            <w:tcW w:w="900" w:type="dxa"/>
            <w:vAlign w:val="bottom"/>
          </w:tcPr>
          <w:p>
            <w:pPr>
              <w:jc w:val="center"/>
              <w:ind w:right="22"/>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6"/>
                <w:szCs w:val="16"/>
                <w:color w:val="auto"/>
              </w:rPr>
            </w:pPr>
          </w:p>
        </w:tc>
        <w:tc>
          <w:tcPr>
            <w:tcW w:w="800" w:type="dxa"/>
            <w:vAlign w:val="bottom"/>
          </w:tcPr>
          <w:p>
            <w:pPr>
              <w:jc w:val="right"/>
              <w:ind w:right="123"/>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23"/>
        </w:trPr>
        <w:tc>
          <w:tcPr>
            <w:tcW w:w="2200" w:type="dxa"/>
            <w:vAlign w:val="bottom"/>
            <w:gridSpan w:val="2"/>
          </w:tcPr>
          <w:p>
            <w:pPr>
              <w:ind w:left="20"/>
              <w:spacing w:after="0"/>
              <w:rPr>
                <w:sz w:val="20"/>
                <w:szCs w:val="20"/>
                <w:color w:val="auto"/>
              </w:rPr>
            </w:pPr>
            <w:r>
              <w:rPr>
                <w:rFonts w:ascii="Arial" w:cs="Arial" w:eastAsia="Arial" w:hAnsi="Arial"/>
                <w:sz w:val="16"/>
                <w:szCs w:val="16"/>
                <w:b w:val="1"/>
                <w:bCs w:val="1"/>
                <w:color w:val="auto"/>
              </w:rPr>
              <w:t>Common Stock</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2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i w:val="1"/>
                <w:iCs w:val="1"/>
                <w:color w:val="auto"/>
              </w:rPr>
              <w:t>Online Education</w:t>
            </w:r>
          </w:p>
        </w:tc>
        <w:tc>
          <w:tcPr>
            <w:tcW w:w="8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200" w:type="dxa"/>
            <w:vAlign w:val="bottom"/>
            <w:gridSpan w:val="2"/>
          </w:tcPr>
          <w:p>
            <w:pPr>
              <w:ind w:left="220"/>
              <w:spacing w:after="0"/>
              <w:rPr>
                <w:sz w:val="20"/>
                <w:szCs w:val="20"/>
                <w:color w:val="auto"/>
              </w:rPr>
            </w:pPr>
            <w:r>
              <w:rPr>
                <w:rFonts w:ascii="Arial" w:cs="Arial" w:eastAsia="Arial" w:hAnsi="Arial"/>
                <w:sz w:val="16"/>
                <w:szCs w:val="16"/>
                <w:color w:val="auto"/>
                <w:w w:val="98"/>
              </w:rPr>
              <w:t>Curious.com, Inc.–Common</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200" w:type="dxa"/>
            <w:vAlign w:val="bottom"/>
            <w:gridSpan w:val="2"/>
          </w:tcPr>
          <w:p>
            <w:pPr>
              <w:ind w:left="220"/>
              <w:spacing w:after="0"/>
              <w:rPr>
                <w:sz w:val="20"/>
                <w:szCs w:val="20"/>
                <w:color w:val="auto"/>
              </w:rPr>
            </w:pPr>
            <w:r>
              <w:rPr>
                <w:rFonts w:ascii="Arial" w:cs="Arial" w:eastAsia="Arial" w:hAnsi="Arial"/>
                <w:sz w:val="16"/>
                <w:szCs w:val="16"/>
                <w:color w:val="auto"/>
              </w:rPr>
              <w:t>shares</w:t>
            </w:r>
          </w:p>
        </w:tc>
        <w:tc>
          <w:tcPr>
            <w:tcW w:w="800" w:type="dxa"/>
            <w:vAlign w:val="bottom"/>
          </w:tcPr>
          <w:p>
            <w:pPr>
              <w:jc w:val="right"/>
              <w:ind w:right="44"/>
              <w:spacing w:after="0"/>
              <w:rPr>
                <w:sz w:val="20"/>
                <w:szCs w:val="20"/>
                <w:color w:val="auto"/>
              </w:rPr>
            </w:pPr>
            <w:r>
              <w:rPr>
                <w:rFonts w:ascii="Arial" w:cs="Arial" w:eastAsia="Arial" w:hAnsi="Arial"/>
                <w:sz w:val="16"/>
                <w:szCs w:val="16"/>
                <w:color w:val="auto"/>
                <w:w w:val="92"/>
              </w:rPr>
              <w:t>1,135,944</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33"/>
        </w:trPr>
        <w:tc>
          <w:tcPr>
            <w:tcW w:w="2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2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i w:val="1"/>
                <w:iCs w:val="1"/>
                <w:color w:val="auto"/>
              </w:rPr>
              <w:t>Cannabis REIT</w:t>
            </w:r>
          </w:p>
        </w:tc>
        <w:tc>
          <w:tcPr>
            <w:tcW w:w="8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200" w:type="dxa"/>
            <w:vAlign w:val="bottom"/>
            <w:gridSpan w:val="2"/>
          </w:tcPr>
          <w:p>
            <w:pPr>
              <w:ind w:left="260"/>
              <w:spacing w:after="0"/>
              <w:rPr>
                <w:sz w:val="20"/>
                <w:szCs w:val="20"/>
                <w:color w:val="auto"/>
              </w:rPr>
            </w:pPr>
            <w:r>
              <w:rPr>
                <w:rFonts w:ascii="Arial" w:cs="Arial" w:eastAsia="Arial" w:hAnsi="Arial"/>
                <w:sz w:val="16"/>
                <w:szCs w:val="16"/>
                <w:color w:val="auto"/>
              </w:rPr>
              <w:t>GreenAcreage Real Estate</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200" w:type="dxa"/>
            <w:vAlign w:val="bottom"/>
            <w:gridSpan w:val="2"/>
          </w:tcPr>
          <w:p>
            <w:pPr>
              <w:ind w:left="220"/>
              <w:spacing w:after="0"/>
              <w:rPr>
                <w:sz w:val="20"/>
                <w:szCs w:val="20"/>
                <w:color w:val="auto"/>
              </w:rPr>
            </w:pPr>
            <w:r>
              <w:rPr>
                <w:rFonts w:ascii="Arial" w:cs="Arial" w:eastAsia="Arial" w:hAnsi="Arial"/>
                <w:sz w:val="16"/>
                <w:szCs w:val="16"/>
                <w:color w:val="auto"/>
              </w:rPr>
              <w:t>Corp. -Common shares</w:t>
            </w:r>
          </w:p>
        </w:tc>
        <w:tc>
          <w:tcPr>
            <w:tcW w:w="800" w:type="dxa"/>
            <w:vAlign w:val="bottom"/>
          </w:tcPr>
          <w:p>
            <w:pPr>
              <w:jc w:val="right"/>
              <w:ind w:right="44"/>
              <w:spacing w:after="0"/>
              <w:rPr>
                <w:sz w:val="20"/>
                <w:szCs w:val="20"/>
                <w:color w:val="auto"/>
              </w:rPr>
            </w:pPr>
            <w:r>
              <w:rPr>
                <w:rFonts w:ascii="Arial" w:cs="Arial" w:eastAsia="Arial" w:hAnsi="Arial"/>
                <w:sz w:val="16"/>
                <w:szCs w:val="16"/>
                <w:color w:val="auto"/>
              </w:rPr>
              <w:t>375,000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40" w:type="dxa"/>
            <w:vAlign w:val="bottom"/>
          </w:tcPr>
          <w:p>
            <w:pPr>
              <w:jc w:val="right"/>
              <w:ind w:right="63"/>
              <w:spacing w:after="0"/>
              <w:rPr>
                <w:sz w:val="20"/>
                <w:szCs w:val="20"/>
                <w:color w:val="auto"/>
              </w:rPr>
            </w:pPr>
            <w:r>
              <w:rPr>
                <w:rFonts w:ascii="Arial" w:cs="Arial" w:eastAsia="Arial" w:hAnsi="Arial"/>
                <w:sz w:val="16"/>
                <w:szCs w:val="16"/>
                <w:color w:val="auto"/>
                <w:w w:val="95"/>
              </w:rPr>
              <w:t>7,501,530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(1,530)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62"/>
              <w:spacing w:after="0"/>
              <w:rPr>
                <w:sz w:val="20"/>
                <w:szCs w:val="20"/>
                <w:color w:val="auto"/>
              </w:rPr>
            </w:pPr>
            <w:r>
              <w:rPr>
                <w:rFonts w:ascii="Arial" w:cs="Arial" w:eastAsia="Arial" w:hAnsi="Arial"/>
                <w:sz w:val="16"/>
                <w:szCs w:val="16"/>
                <w:color w:val="auto"/>
              </w:rPr>
              <w:t>7,500,000</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3.75 %</w:t>
            </w:r>
          </w:p>
        </w:tc>
        <w:tc>
          <w:tcPr>
            <w:tcW w:w="0" w:type="dxa"/>
            <w:vAlign w:val="bottom"/>
          </w:tcPr>
          <w:p>
            <w:pPr>
              <w:spacing w:after="0"/>
              <w:rPr>
                <w:sz w:val="1"/>
                <w:szCs w:val="1"/>
                <w:color w:val="auto"/>
              </w:rPr>
            </w:pPr>
          </w:p>
        </w:tc>
      </w:tr>
      <w:tr>
        <w:trPr>
          <w:trHeight w:val="33"/>
        </w:trPr>
        <w:tc>
          <w:tcPr>
            <w:tcW w:w="2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Common Stock</w:t>
            </w:r>
          </w:p>
        </w:tc>
        <w:tc>
          <w:tcPr>
            <w:tcW w:w="8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w w:val="95"/>
              </w:rPr>
              <w:t>7,501,530</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(1,530)</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7,500,000</w:t>
            </w:r>
          </w:p>
        </w:tc>
        <w:tc>
          <w:tcPr>
            <w:tcW w:w="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3.75 %</w:t>
            </w:r>
          </w:p>
        </w:tc>
        <w:tc>
          <w:tcPr>
            <w:tcW w:w="0" w:type="dxa"/>
            <w:vAlign w:val="bottom"/>
          </w:tcPr>
          <w:p>
            <w:pPr>
              <w:spacing w:after="0"/>
              <w:rPr>
                <w:sz w:val="1"/>
                <w:szCs w:val="1"/>
                <w:color w:val="auto"/>
              </w:rPr>
            </w:pPr>
          </w:p>
        </w:tc>
      </w:tr>
      <w:tr>
        <w:trPr>
          <w:trHeight w:val="156"/>
        </w:trPr>
        <w:tc>
          <w:tcPr>
            <w:tcW w:w="2120" w:type="dxa"/>
            <w:vAlign w:val="bottom"/>
            <w:tcBorders>
              <w:top w:val="single" w:sz="8" w:color="CCEEFF"/>
            </w:tcBorders>
          </w:tcPr>
          <w:p>
            <w:pPr>
              <w:ind w:left="20"/>
              <w:spacing w:after="0" w:line="155" w:lineRule="exact"/>
              <w:rPr>
                <w:sz w:val="20"/>
                <w:szCs w:val="20"/>
                <w:color w:val="auto"/>
              </w:rPr>
            </w:pPr>
            <w:r>
              <w:rPr>
                <w:rFonts w:ascii="Arial" w:cs="Arial" w:eastAsia="Arial" w:hAnsi="Arial"/>
                <w:sz w:val="16"/>
                <w:szCs w:val="16"/>
                <w:b w:val="1"/>
                <w:bCs w:val="1"/>
                <w:color w:val="auto"/>
              </w:rPr>
              <w:t>TOTAL NON-</w:t>
            </w:r>
          </w:p>
        </w:tc>
        <w:tc>
          <w:tcPr>
            <w:tcW w:w="80" w:type="dxa"/>
            <w:vAlign w:val="bottom"/>
          </w:tcPr>
          <w:p>
            <w:pPr>
              <w:spacing w:after="0"/>
              <w:rPr>
                <w:sz w:val="13"/>
                <w:szCs w:val="13"/>
                <w:color w:val="auto"/>
              </w:rPr>
            </w:pPr>
          </w:p>
        </w:tc>
        <w:tc>
          <w:tcPr>
            <w:tcW w:w="800" w:type="dxa"/>
            <w:vAlign w:val="bottom"/>
            <w:tcBorders>
              <w:top w:val="single" w:sz="8" w:color="CCEEFF"/>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00" w:type="dxa"/>
            <w:vAlign w:val="bottom"/>
            <w:gridSpan w:val="2"/>
          </w:tcPr>
          <w:p>
            <w:pPr>
              <w:ind w:left="20"/>
              <w:spacing w:after="0" w:line="162" w:lineRule="exact"/>
              <w:rPr>
                <w:sz w:val="20"/>
                <w:szCs w:val="20"/>
                <w:color w:val="auto"/>
              </w:rPr>
            </w:pPr>
            <w:r>
              <w:rPr>
                <w:rFonts w:ascii="Arial" w:cs="Arial" w:eastAsia="Arial" w:hAnsi="Arial"/>
                <w:sz w:val="16"/>
                <w:szCs w:val="16"/>
                <w:b w:val="1"/>
                <w:bCs w:val="1"/>
                <w:color w:val="auto"/>
              </w:rPr>
              <w:t>CONTROLLED/AFFILIATE</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vMerge w:val="restart"/>
          </w:tcPr>
          <w:p>
            <w:pPr>
              <w:jc w:val="right"/>
              <w:ind w:right="44"/>
              <w:spacing w:after="0"/>
              <w:rPr>
                <w:sz w:val="20"/>
                <w:szCs w:val="20"/>
                <w:color w:val="auto"/>
              </w:rPr>
            </w:pPr>
            <w:r>
              <w:rPr>
                <w:rFonts w:ascii="Arial" w:cs="Arial" w:eastAsia="Arial" w:hAnsi="Arial"/>
                <w:sz w:val="16"/>
                <w:szCs w:val="16"/>
                <w:b w:val="1"/>
                <w:bCs w:val="1"/>
                <w:color w:val="auto"/>
              </w:rPr>
              <w:t>167,333</w:t>
            </w:r>
          </w:p>
        </w:tc>
        <w:tc>
          <w:tcPr>
            <w:tcW w:w="100" w:type="dxa"/>
            <w:vAlign w:val="bottom"/>
          </w:tcPr>
          <w:p>
            <w:pPr>
              <w:spacing w:after="0"/>
              <w:rPr>
                <w:sz w:val="14"/>
                <w:szCs w:val="14"/>
                <w:color w:val="auto"/>
              </w:rPr>
            </w:pPr>
          </w:p>
        </w:tc>
        <w:tc>
          <w:tcPr>
            <w:tcW w:w="8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vMerge w:val="restart"/>
          </w:tcPr>
          <w:p>
            <w:pPr>
              <w:jc w:val="right"/>
              <w:ind w:right="42"/>
              <w:spacing w:after="0"/>
              <w:rPr>
                <w:sz w:val="20"/>
                <w:szCs w:val="20"/>
                <w:color w:val="auto"/>
              </w:rPr>
            </w:pPr>
            <w:r>
              <w:rPr>
                <w:rFonts w:ascii="Arial" w:cs="Arial" w:eastAsia="Arial" w:hAnsi="Arial"/>
                <w:sz w:val="16"/>
                <w:szCs w:val="16"/>
                <w:b w:val="1"/>
                <w:bCs w:val="1"/>
                <w:color w:val="auto"/>
                <w:w w:val="94"/>
              </w:rPr>
              <w:t>20,502,712</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vMerge w:val="restart"/>
          </w:tcPr>
          <w:p>
            <w:pPr>
              <w:jc w:val="right"/>
              <w:ind w:right="62"/>
              <w:spacing w:after="0"/>
              <w:rPr>
                <w:sz w:val="20"/>
                <w:szCs w:val="20"/>
                <w:color w:val="auto"/>
              </w:rPr>
            </w:pPr>
            <w:r>
              <w:rPr>
                <w:rFonts w:ascii="Arial" w:cs="Arial" w:eastAsia="Arial" w:hAnsi="Arial"/>
                <w:sz w:val="16"/>
                <w:szCs w:val="16"/>
                <w:b w:val="1"/>
                <w:bCs w:val="1"/>
                <w:color w:val="auto"/>
                <w:w w:val="89"/>
              </w:rPr>
              <w:t>8,538,506</w:t>
            </w:r>
          </w:p>
        </w:tc>
        <w:tc>
          <w:tcPr>
            <w:tcW w:w="8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vMerge w:val="restart"/>
          </w:tcPr>
          <w:p>
            <w:pPr>
              <w:jc w:val="right"/>
              <w:ind w:right="63"/>
              <w:spacing w:after="0"/>
              <w:rPr>
                <w:sz w:val="20"/>
                <w:szCs w:val="20"/>
                <w:color w:val="auto"/>
              </w:rPr>
            </w:pPr>
            <w:r>
              <w:rPr>
                <w:rFonts w:ascii="Arial" w:cs="Arial" w:eastAsia="Arial" w:hAnsi="Arial"/>
                <w:sz w:val="16"/>
                <w:szCs w:val="16"/>
                <w:b w:val="1"/>
                <w:bCs w:val="1"/>
                <w:color w:val="auto"/>
                <w:w w:val="95"/>
              </w:rPr>
              <w:t>8,170,181</w:t>
            </w:r>
          </w:p>
        </w:tc>
        <w:tc>
          <w:tcPr>
            <w:tcW w:w="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940" w:type="dxa"/>
            <w:vAlign w:val="bottom"/>
            <w:vMerge w:val="restart"/>
          </w:tcPr>
          <w:p>
            <w:pPr>
              <w:jc w:val="center"/>
              <w:ind w:right="1"/>
              <w:spacing w:after="0"/>
              <w:rPr>
                <w:sz w:val="20"/>
                <w:szCs w:val="20"/>
                <w:color w:val="auto"/>
              </w:rPr>
            </w:pPr>
            <w:r>
              <w:rPr>
                <w:rFonts w:ascii="Arial" w:cs="Arial" w:eastAsia="Arial" w:hAnsi="Arial"/>
                <w:sz w:val="16"/>
                <w:szCs w:val="16"/>
                <w:b w:val="1"/>
                <w:bCs w:val="1"/>
                <w:color w:val="auto"/>
                <w:w w:val="90"/>
              </w:rPr>
              <w:t>(13,446,323)</w:t>
            </w:r>
          </w:p>
        </w:tc>
        <w:tc>
          <w:tcPr>
            <w:tcW w:w="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vMerge w:val="restart"/>
          </w:tcPr>
          <w:p>
            <w:pPr>
              <w:jc w:val="right"/>
              <w:ind w:right="61"/>
              <w:spacing w:after="0"/>
              <w:rPr>
                <w:sz w:val="20"/>
                <w:szCs w:val="20"/>
                <w:color w:val="auto"/>
              </w:rPr>
            </w:pPr>
            <w:r>
              <w:rPr>
                <w:rFonts w:ascii="Arial" w:cs="Arial" w:eastAsia="Arial" w:hAnsi="Arial"/>
                <w:sz w:val="16"/>
                <w:szCs w:val="16"/>
                <w:b w:val="1"/>
                <w:bCs w:val="1"/>
                <w:color w:val="auto"/>
                <w:w w:val="89"/>
              </w:rPr>
              <w:t>14,179,192</w:t>
            </w:r>
          </w:p>
        </w:tc>
        <w:tc>
          <w:tcPr>
            <w:tcW w:w="8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vMerge w:val="restart"/>
          </w:tcPr>
          <w:p>
            <w:pPr>
              <w:jc w:val="right"/>
              <w:ind w:right="62"/>
              <w:spacing w:after="0"/>
              <w:rPr>
                <w:sz w:val="20"/>
                <w:szCs w:val="20"/>
                <w:color w:val="auto"/>
              </w:rPr>
            </w:pPr>
            <w:r>
              <w:rPr>
                <w:rFonts w:ascii="Arial" w:cs="Arial" w:eastAsia="Arial" w:hAnsi="Arial"/>
                <w:sz w:val="16"/>
                <w:szCs w:val="16"/>
                <w:b w:val="1"/>
                <w:bCs w:val="1"/>
                <w:color w:val="auto"/>
                <w:w w:val="92"/>
              </w:rPr>
              <w:t>37,944,268</w:t>
            </w:r>
          </w:p>
        </w:tc>
        <w:tc>
          <w:tcPr>
            <w:tcW w:w="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18.98 %</w:t>
            </w:r>
          </w:p>
        </w:tc>
        <w:tc>
          <w:tcPr>
            <w:tcW w:w="0" w:type="dxa"/>
            <w:vAlign w:val="bottom"/>
          </w:tcPr>
          <w:p>
            <w:pPr>
              <w:spacing w:after="0"/>
              <w:rPr>
                <w:sz w:val="1"/>
                <w:szCs w:val="1"/>
                <w:color w:val="auto"/>
              </w:rPr>
            </w:pPr>
          </w:p>
        </w:tc>
      </w:tr>
      <w:tr>
        <w:trPr>
          <w:trHeight w:val="194"/>
        </w:trPr>
        <w:tc>
          <w:tcPr>
            <w:tcW w:w="2200" w:type="dxa"/>
            <w:vAlign w:val="bottom"/>
            <w:gridSpan w:val="2"/>
          </w:tcPr>
          <w:p>
            <w:pPr>
              <w:ind w:left="20"/>
              <w:spacing w:after="0" w:line="189" w:lineRule="exact"/>
              <w:rPr>
                <w:sz w:val="20"/>
                <w:szCs w:val="20"/>
                <w:color w:val="auto"/>
              </w:rPr>
            </w:pPr>
            <w:r>
              <w:rPr>
                <w:rFonts w:ascii="Arial" w:cs="Arial" w:eastAsia="Arial" w:hAnsi="Arial"/>
                <w:sz w:val="16"/>
                <w:szCs w:val="16"/>
                <w:b w:val="1"/>
                <w:bCs w:val="1"/>
                <w:color w:val="auto"/>
              </w:rPr>
              <w:t>INVESTMENTS*</w:t>
            </w:r>
            <w:r>
              <w:rPr>
                <w:rFonts w:ascii="Arial" w:cs="Arial" w:eastAsia="Arial" w:hAnsi="Arial"/>
                <w:sz w:val="21"/>
                <w:szCs w:val="21"/>
                <w:b w:val="1"/>
                <w:bCs w:val="1"/>
                <w:color w:val="auto"/>
                <w:vertAlign w:val="superscript"/>
              </w:rPr>
              <w:t>(1)</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120" w:type="dxa"/>
            <w:vAlign w:val="bottom"/>
            <w:tcBorders>
              <w:bottom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-830580</wp:posOffset>
            </wp:positionV>
            <wp:extent cx="1345565" cy="2997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45565" cy="299720"/>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w:t>
      </w:r>
    </w:p>
    <w:p>
      <w:pPr>
        <w:spacing w:after="0" w:line="45" w:lineRule="exact"/>
        <w:rPr>
          <w:sz w:val="20"/>
          <w:szCs w:val="20"/>
          <w:color w:val="auto"/>
        </w:rPr>
      </w:pPr>
    </w:p>
    <w:p>
      <w:pPr>
        <w:ind w:left="340" w:hanging="332"/>
        <w:spacing w:after="0" w:line="268" w:lineRule="auto"/>
        <w:tabs>
          <w:tab w:leader="none" w:pos="151" w:val="left"/>
        </w:tabs>
        <w:numPr>
          <w:ilvl w:val="0"/>
          <w:numId w:val="26"/>
        </w:numPr>
        <w:rPr>
          <w:rFonts w:ascii="Arial" w:cs="Arial" w:eastAsia="Arial" w:hAnsi="Arial"/>
          <w:sz w:val="17"/>
          <w:szCs w:val="17"/>
          <w:color w:val="auto"/>
        </w:rPr>
      </w:pPr>
      <w:r>
        <w:rPr>
          <w:rFonts w:ascii="Arial" w:cs="Arial" w:eastAsia="Arial" w:hAnsi="Arial"/>
          <w:sz w:val="15"/>
          <w:szCs w:val="15"/>
          <w:color w:val="auto"/>
        </w:rPr>
        <w:t>All portfolio investments are non-income-producing, unless otherwise identified. Equity investments are subject to lock-up restrictions upon their IPO. Preferred dividends are generally only payable when declared and paid by the portfolio company's board of directors. Unless otherwise noted, all investments were pledged as collateral under the Credit Facility.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portfolio investments are considered Level 3 and valued using unobservable inputs, unless otherwise noted. All of the Company's portfolio investments are restricted as to resale, unless otherwise noted, and were valued at fair value as determined in good faith by the Company’s Board of Directors. (Refer to "Note 2—Significant Accounting Policies—Investments at Fair Value").</w:t>
      </w:r>
    </w:p>
    <w:p>
      <w:pPr>
        <w:spacing w:after="0" w:line="206" w:lineRule="exact"/>
        <w:rPr>
          <w:sz w:val="20"/>
          <w:szCs w:val="20"/>
          <w:color w:val="auto"/>
        </w:rPr>
      </w:pPr>
    </w:p>
    <w:p>
      <w:pPr>
        <w:ind w:left="340" w:hanging="332"/>
        <w:spacing w:after="0" w:line="275" w:lineRule="auto"/>
        <w:tabs>
          <w:tab w:leader="none" w:pos="232"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Indicates assets that SuRo Capital Corp believes do not represent “qualifying assets” under Section 55(a) of the Investment Company Act of 1940, as amended (the “1940 Act”). Of the Company’s total investments as of December 31, 2019, 0.00% of its total investments are non-qualifying assets.</w:t>
      </w:r>
    </w:p>
    <w:p>
      <w:pPr>
        <w:spacing w:after="0" w:line="199" w:lineRule="exact"/>
        <w:rPr>
          <w:rFonts w:ascii="Arial" w:cs="Arial" w:eastAsia="Arial" w:hAnsi="Arial"/>
          <w:sz w:val="16"/>
          <w:szCs w:val="16"/>
          <w:color w:val="auto"/>
        </w:rPr>
      </w:pPr>
    </w:p>
    <w:p>
      <w:pPr>
        <w:ind w:left="300" w:hanging="292"/>
        <w:spacing w:after="0"/>
        <w:tabs>
          <w:tab w:leader="none" w:pos="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Investment is income-producing.</w:t>
      </w:r>
    </w:p>
    <w:p>
      <w:pPr>
        <w:spacing w:after="0" w:line="248" w:lineRule="exact"/>
        <w:rPr>
          <w:sz w:val="20"/>
          <w:szCs w:val="20"/>
          <w:color w:val="auto"/>
        </w:rPr>
      </w:pPr>
    </w:p>
    <w:p>
      <w:pPr>
        <w:ind w:left="500" w:hanging="492"/>
        <w:spacing w:after="0" w:line="261" w:lineRule="auto"/>
        <w:tabs>
          <w:tab w:leader="none" w:pos="248" w:val="left"/>
        </w:tabs>
        <w:numPr>
          <w:ilvl w:val="0"/>
          <w:numId w:val="29"/>
        </w:numPr>
        <w:rPr>
          <w:rFonts w:ascii="Arial" w:cs="Arial" w:eastAsia="Arial" w:hAnsi="Arial"/>
          <w:sz w:val="16"/>
          <w:szCs w:val="16"/>
          <w:color w:val="auto"/>
        </w:rPr>
      </w:pPr>
      <w:r>
        <w:rPr>
          <w:rFonts w:ascii="Arial" w:cs="Arial" w:eastAsia="Arial" w:hAnsi="Arial"/>
          <w:sz w:val="16"/>
          <w:szCs w:val="16"/>
          <w:color w:val="auto"/>
        </w:rPr>
        <w:t>“Affiliate Investments” are investments in those companies that are “Affiliated Companies” of SuRo Capital Corp., as defined in the 1940 Act. In general, a company is deemed to be an “Affiliate” of SuRo Capital Corp. if SuRo Capital Corp. owns 5% or more of the voting securities (</w:t>
      </w:r>
      <w:r>
        <w:rPr>
          <w:rFonts w:ascii="Arial" w:cs="Arial" w:eastAsia="Arial" w:hAnsi="Arial"/>
          <w:sz w:val="16"/>
          <w:szCs w:val="16"/>
          <w:i w:val="1"/>
          <w:iCs w:val="1"/>
          <w:color w:val="auto"/>
        </w:rPr>
        <w:t>i.e.</w:t>
      </w:r>
      <w:r>
        <w:rPr>
          <w:rFonts w:ascii="Arial" w:cs="Arial" w:eastAsia="Arial" w:hAnsi="Arial"/>
          <w:sz w:val="16"/>
          <w:szCs w:val="16"/>
          <w:color w:val="auto"/>
        </w:rPr>
        <w:t>, securities with the right to elect directors) of such company.</w:t>
      </w:r>
    </w:p>
    <w:p>
      <w:pPr>
        <w:spacing w:after="0" w:line="209" w:lineRule="exact"/>
        <w:rPr>
          <w:rFonts w:ascii="Arial" w:cs="Arial" w:eastAsia="Arial" w:hAnsi="Arial"/>
          <w:sz w:val="16"/>
          <w:szCs w:val="16"/>
          <w:color w:val="auto"/>
        </w:rPr>
      </w:pPr>
    </w:p>
    <w:p>
      <w:pPr>
        <w:ind w:left="500" w:hanging="492"/>
        <w:spacing w:after="0" w:line="261" w:lineRule="auto"/>
        <w:tabs>
          <w:tab w:leader="none" w:pos="257"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“Control Investments” are investments in those companies that are “Controlled Companies” of SuRo Capital Corp., as defined in the 1940 Act. In general, under the 1940 Act, the Company would “Control” a portfolio company if the Company owned more than 25% of its outstanding voting securities (i.e., securities with the right to elect directors) and/or had the power to exercise control over the management or policies of such portfolio company.</w:t>
      </w:r>
    </w:p>
    <w:p>
      <w:pPr>
        <w:spacing w:after="0" w:line="209" w:lineRule="exact"/>
        <w:rPr>
          <w:rFonts w:ascii="Arial" w:cs="Arial" w:eastAsia="Arial" w:hAnsi="Arial"/>
          <w:sz w:val="16"/>
          <w:szCs w:val="16"/>
          <w:color w:val="auto"/>
        </w:rPr>
      </w:pPr>
    </w:p>
    <w:p>
      <w:pPr>
        <w:ind w:left="500" w:hanging="492"/>
        <w:spacing w:after="0" w:line="275" w:lineRule="auto"/>
        <w:tabs>
          <w:tab w:leader="none" w:pos="286" w:val="left"/>
        </w:tabs>
        <w:numPr>
          <w:ilvl w:val="0"/>
          <w:numId w:val="29"/>
        </w:numPr>
        <w:rPr>
          <w:rFonts w:ascii="Arial" w:cs="Arial" w:eastAsia="Arial" w:hAnsi="Arial"/>
          <w:sz w:val="16"/>
          <w:szCs w:val="16"/>
          <w:color w:val="auto"/>
        </w:rPr>
      </w:pPr>
      <w:r>
        <w:rPr>
          <w:rFonts w:ascii="Arial" w:cs="Arial" w:eastAsia="Arial" w:hAnsi="Arial"/>
          <w:sz w:val="16"/>
          <w:szCs w:val="16"/>
          <w:color w:val="auto"/>
        </w:rPr>
        <w:t>During the year ended December 31, 2019, SPBRX, INC. (f/k/a GSV Sustainability Partners, Inc.) declared, and SuRo Capital Corp. received, an aggregate of $400,000 in dividend distributions.</w:t>
      </w:r>
    </w:p>
    <w:p>
      <w:pPr>
        <w:spacing w:after="0" w:line="199" w:lineRule="exact"/>
        <w:rPr>
          <w:rFonts w:ascii="Arial" w:cs="Arial" w:eastAsia="Arial" w:hAnsi="Arial"/>
          <w:sz w:val="16"/>
          <w:szCs w:val="16"/>
          <w:color w:val="auto"/>
        </w:rPr>
      </w:pPr>
    </w:p>
    <w:p>
      <w:pPr>
        <w:ind w:left="280" w:hanging="272"/>
        <w:spacing w:after="0"/>
        <w:tabs>
          <w:tab w:leader="none" w:pos="2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SuRo Capital Corp.’s investments in StormWind, LLC are held through SuRo Capital Corp.'s wholly owned subsidiary, GSVC SW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22" w:right="33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2020</w:t>
      </w:r>
    </w:p>
    <w:p>
      <w:pPr>
        <w:spacing w:after="0" w:line="242" w:lineRule="exact"/>
        <w:rPr>
          <w:sz w:val="20"/>
          <w:szCs w:val="20"/>
          <w:color w:val="auto"/>
        </w:rPr>
      </w:pPr>
    </w:p>
    <w:p>
      <w:pPr>
        <w:ind w:left="500" w:hanging="492"/>
        <w:spacing w:after="0" w:line="261" w:lineRule="auto"/>
        <w:tabs>
          <w:tab w:leader="none" w:pos="299" w:val="left"/>
        </w:tabs>
        <w:numPr>
          <w:ilvl w:val="0"/>
          <w:numId w:val="30"/>
        </w:numPr>
        <w:rPr>
          <w:rFonts w:ascii="Arial" w:cs="Arial" w:eastAsia="Arial" w:hAnsi="Arial"/>
          <w:sz w:val="16"/>
          <w:szCs w:val="16"/>
          <w:color w:val="auto"/>
        </w:rPr>
      </w:pPr>
      <w:r>
        <w:rPr>
          <w:rFonts w:ascii="Arial" w:cs="Arial" w:eastAsia="Arial" w:hAnsi="Arial"/>
          <w:sz w:val="16"/>
          <w:szCs w:val="16"/>
          <w:color w:val="auto"/>
        </w:rPr>
        <w:t>On October 24, 2019, CUX, Inc. (d/b/a CorpU) completed a recapitalization, which amended SuRo Capital Corp.'s investment in the Senior Subordinated Convertible Promissory Note. As a result of the recapitalization, the principal amount of SuRo Capital Corp.'s Senior Subordinated Convertible Promissory Note was reduced by $109,331, the interest rate was reduced to 4%, and the maturity was extended to February 14, 2023.</w:t>
      </w:r>
    </w:p>
    <w:p>
      <w:pPr>
        <w:spacing w:after="0" w:line="209" w:lineRule="exact"/>
        <w:rPr>
          <w:rFonts w:ascii="Arial" w:cs="Arial" w:eastAsia="Arial" w:hAnsi="Arial"/>
          <w:sz w:val="16"/>
          <w:szCs w:val="16"/>
          <w:color w:val="auto"/>
        </w:rPr>
      </w:pPr>
    </w:p>
    <w:p>
      <w:pPr>
        <w:ind w:left="500" w:right="20" w:hanging="492"/>
        <w:spacing w:after="0" w:line="275" w:lineRule="auto"/>
        <w:tabs>
          <w:tab w:leader="none" w:pos="294" w:val="left"/>
        </w:tabs>
        <w:numPr>
          <w:ilvl w:val="0"/>
          <w:numId w:val="30"/>
        </w:numPr>
        <w:rPr>
          <w:rFonts w:ascii="Arial" w:cs="Arial" w:eastAsia="Arial" w:hAnsi="Arial"/>
          <w:sz w:val="16"/>
          <w:szCs w:val="16"/>
          <w:color w:val="auto"/>
        </w:rPr>
      </w:pPr>
      <w:r>
        <w:rPr>
          <w:rFonts w:ascii="Arial" w:cs="Arial" w:eastAsia="Arial" w:hAnsi="Arial"/>
          <w:sz w:val="16"/>
          <w:szCs w:val="16"/>
          <w:color w:val="auto"/>
        </w:rPr>
        <w:t>On September 11, 2019, SuRo Capital Corp. agreed to convert its 5% Convertible Promissory Note due 12/31/2018 to Ozy Media, Inc. and all related accrued interest, into 683,482 shares of Ozy Media, Inc.'s Series C-2 preferred shares.</w:t>
      </w:r>
    </w:p>
    <w:p>
      <w:pPr>
        <w:spacing w:after="0" w:line="199" w:lineRule="exact"/>
        <w:rPr>
          <w:rFonts w:ascii="Arial" w:cs="Arial" w:eastAsia="Arial" w:hAnsi="Arial"/>
          <w:sz w:val="16"/>
          <w:szCs w:val="16"/>
          <w:color w:val="auto"/>
        </w:rPr>
      </w:pPr>
    </w:p>
    <w:p>
      <w:pPr>
        <w:ind w:left="500" w:hanging="492"/>
        <w:spacing w:after="0" w:line="270" w:lineRule="auto"/>
        <w:tabs>
          <w:tab w:leader="none" w:pos="313" w:val="left"/>
        </w:tabs>
        <w:numPr>
          <w:ilvl w:val="0"/>
          <w:numId w:val="30"/>
        </w:numPr>
        <w:rPr>
          <w:rFonts w:ascii="Arial" w:cs="Arial" w:eastAsia="Arial" w:hAnsi="Arial"/>
          <w:sz w:val="15"/>
          <w:szCs w:val="15"/>
          <w:color w:val="auto"/>
        </w:rPr>
      </w:pPr>
      <w:r>
        <w:rPr>
          <w:rFonts w:ascii="Arial" w:cs="Arial" w:eastAsia="Arial" w:hAnsi="Arial"/>
          <w:sz w:val="15"/>
          <w:szCs w:val="15"/>
          <w:color w:val="auto"/>
        </w:rPr>
        <w:t>On August 23, 2019, SuRo Capital Corp. amended the structure of its investment in NestGSV, Inc. (d/b/a GSV Labs, Inc.). As part of the agreement, SuRo Capital Corp.’s equity holdings (warrants notwithstanding) were restructured into a derivative security. NestGSV, Inc. (d/b/a GSV Labs,Inc.) has the right to call the position at any time over a five year period, while SuRo Capital Corp. can put the shares to NestGSV, Inc. (d/b/a GSV Labs, Inc.) at the end of the five year period. As part of the agreement, previously accrued interest under SuRo Capital Corp.’s 12% Convertible Promissory Note due 12/31/2019 will be capitalized into the principal of the extended note, and the interest on the note is reduced from 12% to 8%. The Convertible Promissory Note’s maturity was extended to August 23, 2024. Under the amended structure, SuRo Capital Corp.’s fully diluted ownership of voting securities decreased from 50.0% to 8.5%. As such, SuRo Capital Corp.'s investments in NestGSV, Inc. (d/b/a GSV Labs, Inc.) have been recategorized from controlled investments to non-controlled/affiliated investments.</w:t>
      </w:r>
    </w:p>
    <w:p>
      <w:pPr>
        <w:spacing w:after="0" w:line="207" w:lineRule="exact"/>
        <w:rPr>
          <w:rFonts w:ascii="Arial" w:cs="Arial" w:eastAsia="Arial" w:hAnsi="Arial"/>
          <w:sz w:val="15"/>
          <w:szCs w:val="15"/>
          <w:color w:val="auto"/>
        </w:rPr>
      </w:pPr>
    </w:p>
    <w:p>
      <w:pPr>
        <w:ind w:left="500" w:hanging="492"/>
        <w:spacing w:after="0" w:line="261" w:lineRule="auto"/>
        <w:tabs>
          <w:tab w:leader="none" w:pos="289" w:val="left"/>
        </w:tabs>
        <w:numPr>
          <w:ilvl w:val="0"/>
          <w:numId w:val="30"/>
        </w:numPr>
        <w:rPr>
          <w:rFonts w:ascii="Arial" w:cs="Arial" w:eastAsia="Arial" w:hAnsi="Arial"/>
          <w:sz w:val="16"/>
          <w:szCs w:val="16"/>
          <w:color w:val="auto"/>
        </w:rPr>
      </w:pPr>
      <w:r>
        <w:rPr>
          <w:rFonts w:ascii="Arial" w:cs="Arial" w:eastAsia="Arial" w:hAnsi="Arial"/>
          <w:sz w:val="16"/>
          <w:szCs w:val="16"/>
          <w:color w:val="auto"/>
        </w:rPr>
        <w:t>On November 26, 2019, SuRo Capital Corp. invested $250,000 in StormWind, LLC's Series D financing round. As part of the round, SuRo Capital Corp.'s fully diluted ownership of voting securities decreased from 25.6% to 23.4%. As such, SuRo Capital Corp.'s investments in StormWind, LLC have been recategorized from controlled investments to non-controlled/affiliated investments.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5—SHARE REPURCHASE PROGRAM, EQUITY OFFERINGS, AND RELATED EXPENSES</w:t>
      </w:r>
    </w:p>
    <w:p>
      <w:pPr>
        <w:spacing w:after="0" w:line="256" w:lineRule="exact"/>
        <w:rPr>
          <w:sz w:val="20"/>
          <w:szCs w:val="20"/>
          <w:color w:val="auto"/>
        </w:rPr>
      </w:pPr>
    </w:p>
    <w:p>
      <w:pPr>
        <w:jc w:val="both"/>
        <w:ind w:firstLine="364"/>
        <w:spacing w:after="0" w:line="269" w:lineRule="auto"/>
        <w:rPr>
          <w:sz w:val="20"/>
          <w:szCs w:val="20"/>
          <w:color w:val="auto"/>
        </w:rPr>
      </w:pPr>
      <w:r>
        <w:rPr>
          <w:rFonts w:ascii="Arial" w:cs="Arial" w:eastAsia="Arial" w:hAnsi="Arial"/>
          <w:sz w:val="17"/>
          <w:szCs w:val="17"/>
          <w:color w:val="auto"/>
        </w:rPr>
        <w:t>On August 8, 2017, the Company announced a $5.0 million discretionary open-market share repurchase program of shares of the Company’s common stock, $0.01 par value per share, of up to $5.0 million until the earlier of (i) August 6, 2018 or (ii) the repurchase of $5.0 million in aggregate amount of the Company’s common stock (the “Share Repurchase Program”). On November 7, 2017, the Company’s Board of Directors authorized an extension of, and an increase in the amount of shares of the Company’s common stock that may be repurchased under the discretionary Share Repurchase Program until the earlier of (i) November 6, 2018 or (ii) the repurchase of $10.0 million in aggregate amount of the Company’s common stock. On May 3, 2018, the Company’s Board of Directors authorized a $5.0 million increase in the amount of shares of the Company’s common stock that may be repurchased under the discretionary Share Repurchase Program until the earlier of (i) November 6, 2018 or (ii) the repurchase of $15.0 million in aggregate amount of the Company’s common stock. On November 1, 2018, our Board of Directors authorized a $5.0 million increase in the amount of shares of our common stock that may be repurchased under the discretionary Share Repurchase Program until the earlier of (i) October 31, 2019 or (ii) the repurchase of $20.0 million in aggregate amount of our common stock. On August 5, 2019, our Board of Directors authorized a $5.0 million increase in the amount of shares of our common stock that may be repurchased under the discretionary Share Repurchase Program until the earlier of (i) August 4, 2020 or (ii) the repurchase of $25.0 million in aggregate amount of our common stock.</w:t>
      </w:r>
    </w:p>
    <w:p>
      <w:pPr>
        <w:spacing w:after="0" w:line="206" w:lineRule="exact"/>
        <w:rPr>
          <w:sz w:val="20"/>
          <w:szCs w:val="20"/>
          <w:color w:val="auto"/>
        </w:rPr>
      </w:pPr>
    </w:p>
    <w:p>
      <w:pPr>
        <w:jc w:val="both"/>
        <w:ind w:firstLine="364"/>
        <w:spacing w:after="0" w:line="263" w:lineRule="auto"/>
        <w:rPr>
          <w:sz w:val="20"/>
          <w:szCs w:val="20"/>
          <w:color w:val="auto"/>
        </w:rPr>
      </w:pPr>
      <w:r>
        <w:rPr>
          <w:rFonts w:ascii="Arial" w:cs="Arial" w:eastAsia="Arial" w:hAnsi="Arial"/>
          <w:sz w:val="18"/>
          <w:szCs w:val="18"/>
          <w:color w:val="auto"/>
        </w:rPr>
        <w:t>On March 9, 2020, our Board of Directors authorized a $5.0 million increase in the amount of shares of our common stock that may be repurchased under the discretionary Share Repurchase Program until the earlier of (i) March 8, 2021 or (ii) the repurchase of $30.0 million in aggregate amount of our common stock.</w:t>
      </w:r>
    </w:p>
    <w:p>
      <w:pPr>
        <w:spacing w:after="0" w:line="211" w:lineRule="exact"/>
        <w:rPr>
          <w:sz w:val="20"/>
          <w:szCs w:val="20"/>
          <w:color w:val="auto"/>
        </w:rPr>
      </w:pPr>
    </w:p>
    <w:p>
      <w:pPr>
        <w:jc w:val="both"/>
        <w:ind w:firstLine="364"/>
        <w:spacing w:after="0" w:line="257" w:lineRule="auto"/>
        <w:rPr>
          <w:sz w:val="20"/>
          <w:szCs w:val="20"/>
          <w:color w:val="auto"/>
        </w:rPr>
      </w:pPr>
      <w:r>
        <w:rPr>
          <w:rFonts w:ascii="Arial" w:cs="Arial" w:eastAsia="Arial" w:hAnsi="Arial"/>
          <w:sz w:val="18"/>
          <w:szCs w:val="18"/>
          <w:color w:val="auto"/>
        </w:rPr>
        <w:t>The timing and number of shares to be repurchased will depend on a number of factors, including market conditions and alternative investment opportunities. The Share Repurchase Program may be suspended, terminated or modified at any time for any reason and does not obligate the Company to acquire any specific number of shares of its common stock. Under the Share Repurchase Program, we may repurchase our outstanding common stock in the open market provided that we comply with the prohibitions under our insider trading policies and procedures and the applicable provisions of the 1940 Act and the Securities Exchange Act of 1934, as amended.</w:t>
      </w:r>
    </w:p>
    <w:p>
      <w:pPr>
        <w:spacing w:after="0" w:line="215" w:lineRule="exact"/>
        <w:rPr>
          <w:sz w:val="20"/>
          <w:szCs w:val="20"/>
          <w:color w:val="auto"/>
        </w:rPr>
      </w:pPr>
    </w:p>
    <w:p>
      <w:pPr>
        <w:jc w:val="both"/>
        <w:ind w:firstLine="364"/>
        <w:spacing w:after="0" w:line="263" w:lineRule="auto"/>
        <w:rPr>
          <w:sz w:val="20"/>
          <w:szCs w:val="20"/>
          <w:color w:val="auto"/>
        </w:rPr>
      </w:pPr>
      <w:r>
        <w:rPr>
          <w:rFonts w:ascii="Arial" w:cs="Arial" w:eastAsia="Arial" w:hAnsi="Arial"/>
          <w:sz w:val="18"/>
          <w:szCs w:val="18"/>
          <w:color w:val="auto"/>
        </w:rPr>
        <w:t>During the three and six months ended June 30, 2020, the Company repurchased 594,637 and 1,284,565 shares, respectively, of the Company’s common stock. As of June 30, 2020, the dollar value of shares that remained available to be purchased by the Company under the Share Repurchase Program was approximately $2.7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Modified Dutch Auction Tender Offer</w:t>
      </w:r>
    </w:p>
    <w:p>
      <w:pPr>
        <w:spacing w:after="0" w:line="25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On October 21, 2019, the Company commenced a modified “Dutch Auction” tender offer (the “Modified Dutch Auction Tender Offer”) to purchase for cash up to $10.0 million in shares of its common stock from its stockholders at a price per share of not less than $6.00 and not greater than $8.00 in $0.10 increments, using available cash. Upon expiration of the Modified Dutch Auction Tender Offer on November 20, 2019, the Company repurchased 1,449,275 shares, representing 7.6% of its outstanding shares, at a price of $6.90 per share on a pro rata basis, excluding fees and expenses relating to the self-tender offer. The Company has determined that the proration factor for the tender offer was 78.1%.</w:t>
      </w:r>
    </w:p>
    <w:p>
      <w:pPr>
        <w:spacing w:after="0" w:line="20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 new shares of the Company’s common stock were issued during the three and six months ended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22" w:right="339" w:bottom="1440" w:gutter="0" w:footer="0" w:header="0"/>
        </w:sectPr>
      </w:pPr>
    </w:p>
    <w:bookmarkStart w:id="46" w:name="page47"/>
    <w:bookmarkEnd w:id="46"/>
    <w:p>
      <w:pPr>
        <w:ind w:left="73"/>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ind w:right="-72"/>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ind w:right="-72"/>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72"/>
        <w:spacing w:after="0"/>
        <w:rPr>
          <w:sz w:val="20"/>
          <w:szCs w:val="20"/>
          <w:color w:val="auto"/>
        </w:rPr>
      </w:pPr>
      <w:r>
        <w:rPr>
          <w:rFonts w:ascii="Arial" w:cs="Arial" w:eastAsia="Arial" w:hAnsi="Arial"/>
          <w:sz w:val="18"/>
          <w:szCs w:val="18"/>
          <w:b w:val="1"/>
          <w:bCs w:val="1"/>
          <w:color w:val="auto"/>
        </w:rPr>
        <w:t>June 30, 2020</w:t>
      </w:r>
    </w:p>
    <w:p>
      <w:pPr>
        <w:spacing w:after="0" w:line="396" w:lineRule="exact"/>
        <w:rPr>
          <w:sz w:val="20"/>
          <w:szCs w:val="20"/>
          <w:color w:val="auto"/>
        </w:rPr>
      </w:pPr>
    </w:p>
    <w:p>
      <w:pPr>
        <w:ind w:left="73"/>
        <w:spacing w:after="0"/>
        <w:rPr>
          <w:sz w:val="20"/>
          <w:szCs w:val="20"/>
          <w:color w:val="auto"/>
        </w:rPr>
      </w:pPr>
      <w:r>
        <w:rPr>
          <w:rFonts w:ascii="Arial" w:cs="Arial" w:eastAsia="Arial" w:hAnsi="Arial"/>
          <w:sz w:val="18"/>
          <w:szCs w:val="18"/>
          <w:b w:val="1"/>
          <w:bCs w:val="1"/>
          <w:color w:val="auto"/>
        </w:rPr>
        <w:t>NOTE 6—NET CHANGE IN NET ASSETS RESULTING FROM OPERATIONS PER COMMON SHARE—BASIC AND DILUTED</w:t>
      </w:r>
    </w:p>
    <w:p>
      <w:pPr>
        <w:spacing w:after="0" w:line="256" w:lineRule="exact"/>
        <w:rPr>
          <w:sz w:val="20"/>
          <w:szCs w:val="20"/>
          <w:color w:val="auto"/>
        </w:rPr>
      </w:pPr>
    </w:p>
    <w:p>
      <w:pPr>
        <w:ind w:left="73" w:firstLine="364"/>
        <w:spacing w:after="0" w:line="277" w:lineRule="auto"/>
        <w:rPr>
          <w:sz w:val="20"/>
          <w:szCs w:val="20"/>
          <w:color w:val="auto"/>
        </w:rPr>
      </w:pPr>
      <w:r>
        <w:rPr>
          <w:rFonts w:ascii="Arial" w:cs="Arial" w:eastAsia="Arial" w:hAnsi="Arial"/>
          <w:sz w:val="18"/>
          <w:szCs w:val="18"/>
          <w:color w:val="auto"/>
        </w:rPr>
        <w:t>The following information sets forth the computation of basic and diluted net increase in net assets resulting from operations per common share, pursuant to ASC 260, for the three and six months ended June 30, 2020 and 2019.</w:t>
      </w:r>
    </w:p>
    <w:p>
      <w:pPr>
        <w:spacing w:after="0" w:line="94" w:lineRule="exact"/>
        <w:rPr>
          <w:sz w:val="20"/>
          <w:szCs w:val="20"/>
          <w:color w:val="auto"/>
        </w:rPr>
      </w:pPr>
    </w:p>
    <w:tbl>
      <w:tblPr>
        <w:tblLayout w:type="fixed"/>
        <w:tblInd w:w="73"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240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40" w:type="dxa"/>
            <w:vAlign w:val="bottom"/>
            <w:tcBorders>
              <w:bottom w:val="single" w:sz="8" w:color="auto"/>
            </w:tcBorders>
          </w:tcPr>
          <w:p>
            <w:pPr>
              <w:spacing w:after="0" w:line="169" w:lineRule="exact"/>
              <w:rPr>
                <w:sz w:val="20"/>
                <w:szCs w:val="20"/>
                <w:color w:val="auto"/>
              </w:rPr>
            </w:pPr>
            <w:r>
              <w:rPr>
                <w:rFonts w:ascii="Arial" w:cs="Arial" w:eastAsia="Arial" w:hAnsi="Arial"/>
                <w:sz w:val="16"/>
                <w:szCs w:val="16"/>
                <w:b w:val="1"/>
                <w:bCs w:val="1"/>
                <w:color w:val="auto"/>
                <w:w w:val="89"/>
              </w:rPr>
              <w:t>Earnings per common share–basic:</w:t>
            </w:r>
          </w:p>
        </w:tc>
        <w:tc>
          <w:tcPr>
            <w:tcW w:w="1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24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324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58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Net change in net assets resulting from operations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21,830,820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(675,605)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(1,861,427)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16,484,008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20" w:type="dxa"/>
            <w:vAlign w:val="bottom"/>
            <w:gridSpan w:val="3"/>
          </w:tcPr>
          <w:p>
            <w:pPr>
              <w:spacing w:after="0"/>
              <w:rPr>
                <w:sz w:val="20"/>
                <w:szCs w:val="20"/>
                <w:color w:val="auto"/>
              </w:rPr>
            </w:pPr>
            <w:r>
              <w:rPr>
                <w:rFonts w:ascii="Arial" w:cs="Arial" w:eastAsia="Arial" w:hAnsi="Arial"/>
                <w:sz w:val="16"/>
                <w:szCs w:val="16"/>
                <w:color w:val="auto"/>
              </w:rPr>
              <w:t>Weighted-average common shares–basic</w:t>
            </w:r>
          </w:p>
        </w:tc>
        <w:tc>
          <w:tcPr>
            <w:tcW w:w="240" w:type="dxa"/>
            <w:vAlign w:val="bottom"/>
          </w:tcPr>
          <w:p>
            <w:pPr>
              <w:spacing w:after="0"/>
              <w:rPr>
                <w:sz w:val="19"/>
                <w:szCs w:val="19"/>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16,383,188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19,719,706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16,912,091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19,741,058</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20" w:type="dxa"/>
            <w:vAlign w:val="bottom"/>
            <w:tcBorders>
              <w:bottom w:val="single" w:sz="8" w:color="CCEEFF"/>
            </w:tcBorders>
            <w:shd w:val="clear" w:color="auto" w:fill="CCEEFF"/>
          </w:tcPr>
          <w:p>
            <w:pPr>
              <w:spacing w:after="0"/>
              <w:rPr>
                <w:sz w:val="23"/>
                <w:szCs w:val="23"/>
                <w:color w:val="auto"/>
              </w:rPr>
            </w:pPr>
          </w:p>
        </w:tc>
        <w:tc>
          <w:tcPr>
            <w:tcW w:w="58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b w:val="1"/>
                <w:bCs w:val="1"/>
                <w:color w:val="auto"/>
              </w:rPr>
              <w:t>Earnings per common share–basic</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1.33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(0.03)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(0.11)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0.84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820" w:type="dxa"/>
            <w:vAlign w:val="bottom"/>
            <w:tcBorders>
              <w:top w:val="single" w:sz="8" w:color="CCEEFF"/>
              <w:bottom w:val="single" w:sz="8" w:color="CCEEFF"/>
            </w:tcBorders>
            <w:gridSpan w:val="3"/>
            <w:vMerge w:val="restart"/>
          </w:tcPr>
          <w:p>
            <w:pPr>
              <w:spacing w:after="0" w:line="179" w:lineRule="exact"/>
              <w:rPr>
                <w:sz w:val="20"/>
                <w:szCs w:val="20"/>
                <w:color w:val="auto"/>
              </w:rPr>
            </w:pPr>
            <w:r>
              <w:rPr>
                <w:rFonts w:ascii="Arial" w:cs="Arial" w:eastAsia="Arial" w:hAnsi="Arial"/>
                <w:sz w:val="16"/>
                <w:szCs w:val="16"/>
                <w:b w:val="1"/>
                <w:bCs w:val="1"/>
                <w:color w:val="auto"/>
              </w:rPr>
              <w:t>Earnings per common share–diluted:</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vMerge w:val="continue"/>
          </w:tcPr>
          <w:p>
            <w:pPr>
              <w:spacing w:after="0"/>
              <w:rPr>
                <w:sz w:val="12"/>
                <w:szCs w:val="12"/>
                <w:color w:val="auto"/>
              </w:rPr>
            </w:pPr>
          </w:p>
        </w:tc>
        <w:tc>
          <w:tcPr>
            <w:tcW w:w="582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4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3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8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Net change in net assets resulting from operations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21,830,820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(675,605)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(1,861,427)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16,484,008</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820" w:type="dxa"/>
            <w:vAlign w:val="bottom"/>
            <w:gridSpan w:val="3"/>
          </w:tcPr>
          <w:p>
            <w:pPr>
              <w:ind w:left="120"/>
              <w:spacing w:after="0" w:line="166" w:lineRule="exact"/>
              <w:rPr>
                <w:sz w:val="20"/>
                <w:szCs w:val="20"/>
                <w:color w:val="auto"/>
              </w:rPr>
            </w:pPr>
            <w:r>
              <w:rPr>
                <w:rFonts w:ascii="Arial" w:cs="Arial" w:eastAsia="Arial" w:hAnsi="Arial"/>
                <w:sz w:val="16"/>
                <w:szCs w:val="16"/>
                <w:color w:val="auto"/>
                <w:w w:val="99"/>
              </w:rPr>
              <w:t>Adjustment for interest and amortization on 4.75% Convertible Senior Notes due</w:t>
            </w:r>
          </w:p>
        </w:tc>
        <w:tc>
          <w:tcPr>
            <w:tcW w:w="240" w:type="dxa"/>
            <w:vAlign w:val="bottom"/>
          </w:tcPr>
          <w:p>
            <w:pPr>
              <w:spacing w:after="0"/>
              <w:rPr>
                <w:sz w:val="14"/>
                <w:szCs w:val="14"/>
                <w:color w:val="auto"/>
              </w:rPr>
            </w:pPr>
          </w:p>
        </w:tc>
        <w:tc>
          <w:tcPr>
            <w:tcW w:w="1020" w:type="dxa"/>
            <w:vAlign w:val="bottom"/>
            <w:vMerge w:val="restart"/>
          </w:tcPr>
          <w:p>
            <w:pPr>
              <w:jc w:val="right"/>
              <w:ind w:right="61"/>
              <w:spacing w:after="0"/>
              <w:rPr>
                <w:sz w:val="20"/>
                <w:szCs w:val="20"/>
                <w:color w:val="auto"/>
              </w:rPr>
            </w:pPr>
            <w:r>
              <w:rPr>
                <w:rFonts w:ascii="Arial" w:cs="Arial" w:eastAsia="Arial" w:hAnsi="Arial"/>
                <w:sz w:val="16"/>
                <w:szCs w:val="16"/>
                <w:color w:val="auto"/>
              </w:rPr>
              <w:t>569,011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114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1020" w:type="dxa"/>
            <w:vAlign w:val="bottom"/>
            <w:vMerge w:val="restart"/>
          </w:tcPr>
          <w:p>
            <w:pPr>
              <w:jc w:val="right"/>
              <w:ind w:right="60"/>
              <w:spacing w:after="0"/>
              <w:rPr>
                <w:sz w:val="20"/>
                <w:szCs w:val="20"/>
                <w:color w:val="auto"/>
              </w:rPr>
            </w:pPr>
            <w:r>
              <w:rPr>
                <w:rFonts w:ascii="Arial" w:cs="Arial" w:eastAsia="Arial" w:hAnsi="Arial"/>
                <w:sz w:val="16"/>
                <w:szCs w:val="16"/>
                <w:color w:val="auto"/>
              </w:rPr>
              <w:t>1,133,045</w:t>
            </w:r>
          </w:p>
        </w:tc>
        <w:tc>
          <w:tcPr>
            <w:tcW w:w="0" w:type="dxa"/>
            <w:vAlign w:val="bottom"/>
          </w:tcPr>
          <w:p>
            <w:pPr>
              <w:spacing w:after="0"/>
              <w:rPr>
                <w:sz w:val="1"/>
                <w:szCs w:val="1"/>
                <w:color w:val="auto"/>
              </w:rPr>
            </w:pPr>
          </w:p>
        </w:tc>
      </w:tr>
      <w:tr>
        <w:trPr>
          <w:trHeight w:val="212"/>
        </w:trPr>
        <w:tc>
          <w:tcPr>
            <w:tcW w:w="2460" w:type="dxa"/>
            <w:vAlign w:val="bottom"/>
            <w:gridSpan w:val="2"/>
          </w:tcPr>
          <w:p>
            <w:pPr>
              <w:jc w:val="right"/>
              <w:ind w:right="1699"/>
              <w:spacing w:after="0" w:line="213" w:lineRule="exact"/>
              <w:rPr>
                <w:sz w:val="20"/>
                <w:szCs w:val="20"/>
                <w:color w:val="auto"/>
              </w:rPr>
            </w:pPr>
            <w:r>
              <w:rPr>
                <w:rFonts w:ascii="Arial" w:cs="Arial" w:eastAsia="Arial" w:hAnsi="Arial"/>
                <w:sz w:val="16"/>
                <w:szCs w:val="16"/>
                <w:color w:val="auto"/>
              </w:rPr>
              <w:t>2023</w:t>
            </w:r>
            <w:r>
              <w:rPr>
                <w:rFonts w:ascii="Arial" w:cs="Arial" w:eastAsia="Arial" w:hAnsi="Arial"/>
                <w:sz w:val="21"/>
                <w:szCs w:val="21"/>
                <w:color w:val="auto"/>
                <w:vertAlign w:val="superscript"/>
              </w:rPr>
              <w:t>(1)</w:t>
            </w:r>
          </w:p>
        </w:tc>
        <w:tc>
          <w:tcPr>
            <w:tcW w:w="1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8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Net change in net assets resulting from operations, as adjusted</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22,399,831</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(675,605)</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(1,861,427)</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17,617,053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20" w:type="dxa"/>
            <w:vAlign w:val="bottom"/>
            <w:gridSpan w:val="3"/>
          </w:tcPr>
          <w:p>
            <w:pPr>
              <w:ind w:left="120"/>
              <w:spacing w:after="0" w:line="237" w:lineRule="exact"/>
              <w:rPr>
                <w:sz w:val="20"/>
                <w:szCs w:val="20"/>
                <w:color w:val="auto"/>
              </w:rPr>
            </w:pPr>
            <w:r>
              <w:rPr>
                <w:rFonts w:ascii="Arial" w:cs="Arial" w:eastAsia="Arial" w:hAnsi="Arial"/>
                <w:sz w:val="16"/>
                <w:szCs w:val="16"/>
                <w:color w:val="auto"/>
              </w:rPr>
              <w:t>Adjustment for dilutive effect of 4.75% Convertible Senior Notes due 2023</w:t>
            </w:r>
            <w:r>
              <w:rPr>
                <w:rFonts w:ascii="Arial" w:cs="Arial" w:eastAsia="Arial" w:hAnsi="Arial"/>
                <w:sz w:val="21"/>
                <w:szCs w:val="21"/>
                <w:color w:val="auto"/>
                <w:vertAlign w:val="superscript"/>
              </w:rPr>
              <w:t>(1)</w:t>
            </w:r>
          </w:p>
        </w:tc>
        <w:tc>
          <w:tcPr>
            <w:tcW w:w="240" w:type="dxa"/>
            <w:vAlign w:val="bottom"/>
          </w:tcPr>
          <w:p>
            <w:pPr>
              <w:spacing w:after="0"/>
              <w:rPr>
                <w:sz w:val="20"/>
                <w:szCs w:val="20"/>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3,917,792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3,731,344</w:t>
            </w:r>
          </w:p>
        </w:tc>
        <w:tc>
          <w:tcPr>
            <w:tcW w:w="0" w:type="dxa"/>
            <w:vAlign w:val="bottom"/>
          </w:tcPr>
          <w:p>
            <w:pPr>
              <w:spacing w:after="0"/>
              <w:rPr>
                <w:sz w:val="1"/>
                <w:szCs w:val="1"/>
                <w:color w:val="auto"/>
              </w:rPr>
            </w:pPr>
          </w:p>
        </w:tc>
      </w:tr>
      <w:tr>
        <w:trPr>
          <w:trHeight w:val="250"/>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8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Weighted-average common shares outstanding–diluted</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20,300,980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19,719,706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16,912,091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23,472,402</w:t>
            </w:r>
          </w:p>
        </w:tc>
        <w:tc>
          <w:tcPr>
            <w:tcW w:w="0" w:type="dxa"/>
            <w:vAlign w:val="bottom"/>
          </w:tcPr>
          <w:p>
            <w:pPr>
              <w:spacing w:after="0"/>
              <w:rPr>
                <w:sz w:val="1"/>
                <w:szCs w:val="1"/>
                <w:color w:val="auto"/>
              </w:rPr>
            </w:pPr>
          </w:p>
        </w:tc>
      </w:tr>
      <w:tr>
        <w:trPr>
          <w:trHeight w:val="247"/>
        </w:trPr>
        <w:tc>
          <w:tcPr>
            <w:tcW w:w="20" w:type="dxa"/>
            <w:vAlign w:val="bottom"/>
            <w:tcBorders>
              <w:top w:val="single" w:sz="8" w:color="CCEEFF"/>
            </w:tcBorders>
          </w:tcPr>
          <w:p>
            <w:pPr>
              <w:spacing w:after="0"/>
              <w:rPr>
                <w:sz w:val="21"/>
                <w:szCs w:val="21"/>
                <w:color w:val="auto"/>
              </w:rPr>
            </w:pPr>
          </w:p>
        </w:tc>
        <w:tc>
          <w:tcPr>
            <w:tcW w:w="5820" w:type="dxa"/>
            <w:vAlign w:val="bottom"/>
            <w:tcBorders>
              <w:top w:val="single" w:sz="8" w:color="CCEEFF"/>
            </w:tcBorders>
            <w:gridSpan w:val="3"/>
          </w:tcPr>
          <w:p>
            <w:pPr>
              <w:spacing w:after="0"/>
              <w:rPr>
                <w:sz w:val="20"/>
                <w:szCs w:val="20"/>
                <w:color w:val="auto"/>
              </w:rPr>
            </w:pPr>
            <w:r>
              <w:rPr>
                <w:rFonts w:ascii="Arial" w:cs="Arial" w:eastAsia="Arial" w:hAnsi="Arial"/>
                <w:sz w:val="16"/>
                <w:szCs w:val="16"/>
                <w:b w:val="1"/>
                <w:bCs w:val="1"/>
                <w:color w:val="auto"/>
              </w:rPr>
              <w:t>Earnings per common share–diluted</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(0.03)</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(0.11)</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0.75</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73"/>
        <w:spacing w:after="0"/>
        <w:rPr>
          <w:sz w:val="20"/>
          <w:szCs w:val="20"/>
          <w:color w:val="auto"/>
        </w:rPr>
      </w:pPr>
      <w:r>
        <w:rPr>
          <w:rFonts w:ascii="Arial" w:cs="Arial" w:eastAsia="Arial" w:hAnsi="Arial"/>
          <w:sz w:val="18"/>
          <w:szCs w:val="18"/>
          <w:color w:val="auto"/>
        </w:rPr>
        <w:t>______________________</w:t>
      </w:r>
    </w:p>
    <w:p>
      <w:pPr>
        <w:spacing w:after="0" w:line="32" w:lineRule="exact"/>
        <w:rPr>
          <w:sz w:val="20"/>
          <w:szCs w:val="20"/>
          <w:color w:val="auto"/>
        </w:rPr>
      </w:pPr>
    </w:p>
    <w:p>
      <w:pPr>
        <w:ind w:left="493" w:right="20" w:hanging="493"/>
        <w:spacing w:after="0"/>
        <w:tabs>
          <w:tab w:leader="none" w:pos="304" w:val="left"/>
        </w:tabs>
        <w:numPr>
          <w:ilvl w:val="0"/>
          <w:numId w:val="31"/>
        </w:numPr>
        <w:rPr>
          <w:rFonts w:ascii="Arial" w:cs="Arial" w:eastAsia="Arial" w:hAnsi="Arial"/>
          <w:sz w:val="16"/>
          <w:szCs w:val="16"/>
          <w:color w:val="auto"/>
        </w:rPr>
      </w:pPr>
      <w:r>
        <w:rPr>
          <w:rFonts w:ascii="Arial" w:cs="Arial" w:eastAsia="Arial" w:hAnsi="Arial"/>
          <w:sz w:val="14"/>
          <w:szCs w:val="14"/>
          <w:color w:val="auto"/>
        </w:rPr>
        <w:t>For the six months ended June 30, 2020 and the three months ended June 30, 2019, 3,917,792 and 3,731,344 potentially dilutive common shares, respectively, were excluded from the weighted-average common shares outstanding for diluted net increase in net assets resulting from operations per common share because the effect of these shares would have been anti-dilutive.</w:t>
      </w:r>
    </w:p>
    <w:p>
      <w:pPr>
        <w:spacing w:after="0" w:line="223" w:lineRule="exact"/>
        <w:rPr>
          <w:sz w:val="20"/>
          <w:szCs w:val="20"/>
          <w:color w:val="auto"/>
        </w:rPr>
      </w:pPr>
    </w:p>
    <w:p>
      <w:pPr>
        <w:ind w:left="73"/>
        <w:spacing w:after="0"/>
        <w:rPr>
          <w:sz w:val="20"/>
          <w:szCs w:val="20"/>
          <w:color w:val="auto"/>
        </w:rPr>
      </w:pPr>
      <w:r>
        <w:rPr>
          <w:rFonts w:ascii="Arial" w:cs="Arial" w:eastAsia="Arial" w:hAnsi="Arial"/>
          <w:sz w:val="18"/>
          <w:szCs w:val="18"/>
          <w:b w:val="1"/>
          <w:bCs w:val="1"/>
          <w:color w:val="auto"/>
        </w:rPr>
        <w:t>NOTE 7—COMMITMENTS AND CONTINGENCIES</w:t>
      </w:r>
    </w:p>
    <w:p>
      <w:pPr>
        <w:spacing w:after="0" w:line="256" w:lineRule="exact"/>
        <w:rPr>
          <w:sz w:val="20"/>
          <w:szCs w:val="20"/>
          <w:color w:val="auto"/>
        </w:rPr>
      </w:pPr>
    </w:p>
    <w:p>
      <w:pPr>
        <w:jc w:val="both"/>
        <w:ind w:left="73" w:firstLine="364"/>
        <w:spacing w:after="0" w:line="311" w:lineRule="auto"/>
        <w:rPr>
          <w:sz w:val="20"/>
          <w:szCs w:val="20"/>
          <w:color w:val="auto"/>
        </w:rPr>
      </w:pPr>
      <w:r>
        <w:rPr>
          <w:rFonts w:ascii="Arial" w:cs="Arial" w:eastAsia="Arial" w:hAnsi="Arial"/>
          <w:sz w:val="16"/>
          <w:szCs w:val="16"/>
          <w:color w:val="auto"/>
        </w:rPr>
        <w:t>In the normal course of business, the Company may enter into investment agreements under which it commits to make an investment in a portfolio company at some future date or over a specified period of time. As of June 30, 2020 and December 31, 2019, the Company had approximately $2,700,000 and $0, respectively, in non-binding investment agreements that required it to make a future investment in a portfolio company.</w:t>
      </w:r>
    </w:p>
    <w:p>
      <w:pPr>
        <w:spacing w:after="0" w:line="176" w:lineRule="exact"/>
        <w:rPr>
          <w:sz w:val="20"/>
          <w:szCs w:val="20"/>
          <w:color w:val="auto"/>
        </w:rPr>
      </w:pPr>
    </w:p>
    <w:p>
      <w:pPr>
        <w:jc w:val="both"/>
        <w:ind w:left="73" w:firstLine="364"/>
        <w:spacing w:after="0" w:line="259" w:lineRule="auto"/>
        <w:rPr>
          <w:sz w:val="20"/>
          <w:szCs w:val="20"/>
          <w:color w:val="auto"/>
        </w:rPr>
      </w:pPr>
      <w:r>
        <w:rPr>
          <w:rFonts w:ascii="Arial" w:cs="Arial" w:eastAsia="Arial" w:hAnsi="Arial"/>
          <w:sz w:val="18"/>
          <w:szCs w:val="18"/>
          <w:color w:val="auto"/>
        </w:rPr>
        <w:t>From time to time, the Company may be a party to certain legal proceedings in the ordinary course of business, including proceedings relating to the enforcement of its rights under contracts with its portfolio companies. While the outcome of these legal proceedings cannot be predicted with certainty, the Company does not expect that these proceedings will have a material effect upon its business, financial condition or results of operations. The Company is not currently a party to any material legal proceedings.</w:t>
      </w:r>
    </w:p>
    <w:p>
      <w:pPr>
        <w:spacing w:after="0" w:line="187" w:lineRule="exact"/>
        <w:rPr>
          <w:sz w:val="20"/>
          <w:szCs w:val="20"/>
          <w:color w:val="auto"/>
        </w:rPr>
      </w:pPr>
    </w:p>
    <w:p>
      <w:pPr>
        <w:ind w:left="73"/>
        <w:spacing w:after="0"/>
        <w:rPr>
          <w:sz w:val="20"/>
          <w:szCs w:val="20"/>
          <w:color w:val="auto"/>
        </w:rPr>
      </w:pPr>
      <w:r>
        <w:rPr>
          <w:rFonts w:ascii="Arial" w:cs="Arial" w:eastAsia="Arial" w:hAnsi="Arial"/>
          <w:sz w:val="18"/>
          <w:szCs w:val="18"/>
          <w:b w:val="1"/>
          <w:bCs w:val="1"/>
          <w:i w:val="1"/>
          <w:iCs w:val="1"/>
          <w:color w:val="auto"/>
        </w:rPr>
        <w:t>Operating Leases &amp; Related Deposits</w:t>
      </w:r>
    </w:p>
    <w:p>
      <w:pPr>
        <w:spacing w:after="0" w:line="252" w:lineRule="exact"/>
        <w:rPr>
          <w:sz w:val="20"/>
          <w:szCs w:val="20"/>
          <w:color w:val="auto"/>
        </w:rPr>
      </w:pPr>
    </w:p>
    <w:p>
      <w:pPr>
        <w:jc w:val="both"/>
        <w:ind w:left="73" w:firstLine="364"/>
        <w:spacing w:after="0" w:line="263" w:lineRule="auto"/>
        <w:rPr>
          <w:sz w:val="20"/>
          <w:szCs w:val="20"/>
          <w:color w:val="auto"/>
        </w:rPr>
      </w:pPr>
      <w:r>
        <w:rPr>
          <w:rFonts w:ascii="Arial" w:cs="Arial" w:eastAsia="Arial" w:hAnsi="Arial"/>
          <w:sz w:val="18"/>
          <w:szCs w:val="18"/>
          <w:color w:val="auto"/>
        </w:rPr>
        <w:t>The Company currently has one operating lease for office space for which the Company has recorded a right-of-use asset and lease liability for the operating lease obligation. The lease commenced June 3, 2019 and expires July 31, 2024. The lease expense is presented as a single lease cost that is amortized on a straight-line basis over the life of the lease.</w:t>
      </w:r>
    </w:p>
    <w:p>
      <w:pPr>
        <w:spacing w:after="0" w:line="211" w:lineRule="exact"/>
        <w:rPr>
          <w:sz w:val="20"/>
          <w:szCs w:val="20"/>
          <w:color w:val="auto"/>
        </w:rPr>
      </w:pPr>
    </w:p>
    <w:p>
      <w:pPr>
        <w:jc w:val="both"/>
        <w:ind w:left="73" w:firstLine="364"/>
        <w:spacing w:after="0" w:line="254" w:lineRule="auto"/>
        <w:rPr>
          <w:sz w:val="20"/>
          <w:szCs w:val="20"/>
          <w:color w:val="auto"/>
        </w:rPr>
      </w:pPr>
      <w:r>
        <w:rPr>
          <w:rFonts w:ascii="Arial" w:cs="Arial" w:eastAsia="Arial" w:hAnsi="Arial"/>
          <w:sz w:val="18"/>
          <w:szCs w:val="18"/>
          <w:color w:val="auto"/>
        </w:rPr>
        <w:t>As of June 30, 2020, the Company has booked a right of use asset and operating lease liability of $712,034 and $712,034, respectively, on the Condensed Consolidated Statement of Assets and Liabilities. As of June 30, 2020 and December 31, 2019, the Company recorded a security deposit of $16,574 and $16,574, respectively, on the Condensed Consolidated Statement of Assets and Liabilities. For the three months ended June 30, 2020, and 2019, the Company incurred $43,319 and $7,148 of operating lease expense, respectively. For the six months ended June 30, 2020 and 2019, the Company incurred $87,720 and $7,148 of operating lease expense, respectively. The amounts reflected on the Condensed Consolidated Statement of Assets and Liabilities have been discounted using the rate implicit in the lease. As of June 30, 2020, the remaining lease term was 4.1 years and the discount rate was 3.00%.</w:t>
      </w:r>
    </w:p>
    <w:p>
      <w:pPr>
        <w:sectPr>
          <w:pgSz w:w="11900" w:h="16838" w:orient="portrait"/>
          <w:cols w:equalWidth="0" w:num="1">
            <w:col w:w="11313"/>
          </w:cols>
          <w:pgMar w:left="247"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92"/>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313"/>
          </w:cols>
          <w:pgMar w:left="247" w:top="122" w:right="339" w:bottom="1440" w:gutter="0" w:footer="0" w:header="0"/>
          <w:type w:val="continuous"/>
        </w:sectPr>
      </w:pPr>
    </w:p>
    <w:bookmarkStart w:id="47" w:name="page48"/>
    <w:bookmarkEnd w:id="4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40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shows future minimum payments under the Company's operating lease as of June 30, 2020: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For the Years Ended December 31,</w:t>
            </w:r>
          </w:p>
        </w:tc>
        <w:tc>
          <w:tcPr>
            <w:tcW w:w="28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4"/>
                <w:szCs w:val="14"/>
                <w:b w:val="1"/>
                <w:bCs w:val="1"/>
                <w:color w:val="auto"/>
              </w:rPr>
              <w:t>Amount</w:t>
            </w:r>
          </w:p>
        </w:tc>
        <w:tc>
          <w:tcPr>
            <w:tcW w:w="10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57"/>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88,354</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179,800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185,194</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190,750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113,604</w:t>
            </w:r>
          </w:p>
        </w:tc>
        <w:tc>
          <w:tcPr>
            <w:tcW w:w="1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Borders>
              <w:top w:val="single" w:sz="8" w:color="auto"/>
            </w:tcBorders>
          </w:tcPr>
          <w:p>
            <w:pPr>
              <w:jc w:val="right"/>
              <w:ind w:right="157"/>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757,702</w:t>
            </w:r>
          </w:p>
        </w:tc>
        <w:tc>
          <w:tcPr>
            <w:tcW w:w="1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20" w:type="dxa"/>
            <w:vAlign w:val="bottom"/>
            <w:vMerge w:val="restart"/>
          </w:tcPr>
          <w:p>
            <w:pPr>
              <w:spacing w:after="0"/>
              <w:rPr>
                <w:sz w:val="20"/>
                <w:szCs w:val="20"/>
                <w:color w:val="auto"/>
              </w:rPr>
            </w:pPr>
            <w:r>
              <w:rPr>
                <w:rFonts w:ascii="Arial" w:cs="Arial" w:eastAsia="Arial" w:hAnsi="Arial"/>
                <w:sz w:val="18"/>
                <w:szCs w:val="18"/>
                <w:b w:val="1"/>
                <w:bCs w:val="1"/>
                <w:color w:val="auto"/>
              </w:rPr>
              <w:t>NOTE 8—FINANCIAL HIGHLIGHTS</w:t>
            </w: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4"/>
        </w:trPr>
        <w:tc>
          <w:tcPr>
            <w:tcW w:w="50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0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jc w:val="right"/>
              <w:ind w:right="357"/>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5"/>
          </w:tcPr>
          <w:p>
            <w:pPr>
              <w:jc w:val="right"/>
              <w:ind w:right="457"/>
              <w:spacing w:after="0"/>
              <w:rPr>
                <w:sz w:val="20"/>
                <w:szCs w:val="20"/>
                <w:color w:val="auto"/>
              </w:rPr>
            </w:pPr>
            <w:r>
              <w:rPr>
                <w:rFonts w:ascii="Arial" w:cs="Arial" w:eastAsia="Arial" w:hAnsi="Arial"/>
                <w:sz w:val="14"/>
                <w:szCs w:val="14"/>
                <w:b w:val="1"/>
                <w:bCs w:val="1"/>
                <w:color w:val="auto"/>
              </w:rPr>
              <w:t>Six Months Ended June 30,</w:t>
            </w: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Per Basic Share Data</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Arial" w:cs="Arial" w:eastAsia="Arial" w:hAnsi="Arial"/>
                <w:sz w:val="16"/>
                <w:szCs w:val="16"/>
                <w:color w:val="auto"/>
              </w:rPr>
              <w:t>Net asset value at beginning of the period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10.22</w:t>
            </w:r>
          </w:p>
        </w:tc>
        <w:tc>
          <w:tcPr>
            <w:tcW w:w="540" w:type="dxa"/>
            <w:vAlign w:val="bottom"/>
            <w:gridSpan w:val="3"/>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10.75</w:t>
            </w:r>
          </w:p>
        </w:tc>
        <w:tc>
          <w:tcPr>
            <w:tcW w:w="540" w:type="dxa"/>
            <w:vAlign w:val="bottom"/>
            <w:gridSpan w:val="3"/>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11.38</w:t>
            </w:r>
          </w:p>
        </w:tc>
        <w:tc>
          <w:tcPr>
            <w:tcW w:w="540" w:type="dxa"/>
            <w:vAlign w:val="bottom"/>
            <w:gridSpan w:val="3"/>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9.89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investment income/(loss)</w:t>
            </w:r>
            <w:r>
              <w:rPr>
                <w:rFonts w:ascii="Arial" w:cs="Arial" w:eastAsia="Arial" w:hAnsi="Arial"/>
                <w:sz w:val="21"/>
                <w:szCs w:val="21"/>
                <w:color w:val="auto"/>
                <w:vertAlign w:val="superscript"/>
              </w:rPr>
              <w:t>(1)</w:t>
            </w: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(0.28)</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(0.45)</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20" w:type="dxa"/>
            <w:vAlign w:val="bottom"/>
          </w:tcPr>
          <w:p>
            <w:pPr>
              <w:ind w:left="140"/>
              <w:spacing w:after="0"/>
              <w:rPr>
                <w:sz w:val="20"/>
                <w:szCs w:val="20"/>
                <w:color w:val="auto"/>
              </w:rPr>
            </w:pPr>
            <w:r>
              <w:rPr>
                <w:rFonts w:ascii="Arial" w:cs="Arial" w:eastAsia="Arial" w:hAnsi="Arial"/>
                <w:sz w:val="16"/>
                <w:szCs w:val="16"/>
                <w:color w:val="auto"/>
              </w:rPr>
              <w:t>Net realized gain/(loss) on investments</w:t>
            </w:r>
            <w:r>
              <w:rPr>
                <w:rFonts w:ascii="Arial" w:cs="Arial" w:eastAsia="Arial" w:hAnsi="Arial"/>
                <w:sz w:val="21"/>
                <w:szCs w:val="21"/>
                <w:color w:val="auto"/>
                <w:vertAlign w:val="superscript"/>
              </w:rPr>
              <w:t>(1)</w:t>
            </w: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0.69</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0.41</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0.48</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2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8"/>
              </w:rPr>
              <w:t>Net change in unrealized appreciation/(depreciation) of investments</w:t>
            </w:r>
            <w:r>
              <w:rPr>
                <w:rFonts w:ascii="Arial" w:cs="Arial" w:eastAsia="Arial" w:hAnsi="Arial"/>
                <w:sz w:val="21"/>
                <w:szCs w:val="21"/>
                <w:color w:val="auto"/>
                <w:w w:val="98"/>
                <w:vertAlign w:val="superscript"/>
              </w:rPr>
              <w:t>(1)</w:t>
            </w: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(0.63)</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0.42</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20" w:type="dxa"/>
            <w:vAlign w:val="bottom"/>
          </w:tcPr>
          <w:p>
            <w:pPr>
              <w:ind w:left="140"/>
              <w:spacing w:after="0"/>
              <w:rPr>
                <w:sz w:val="20"/>
                <w:szCs w:val="20"/>
                <w:color w:val="auto"/>
              </w:rPr>
            </w:pPr>
            <w:r>
              <w:rPr>
                <w:rFonts w:ascii="Arial" w:cs="Arial" w:eastAsia="Arial" w:hAnsi="Arial"/>
                <w:sz w:val="16"/>
                <w:szCs w:val="16"/>
                <w:color w:val="auto"/>
              </w:rPr>
              <w:t>Provision for taxes on unrealized appreciation of investments</w:t>
            </w:r>
            <w:r>
              <w:rPr>
                <w:rFonts w:ascii="Arial" w:cs="Arial" w:eastAsia="Arial" w:hAnsi="Arial"/>
                <w:sz w:val="21"/>
                <w:szCs w:val="21"/>
                <w:color w:val="auto"/>
                <w:vertAlign w:val="superscript"/>
              </w:rPr>
              <w:t>(1)</w:t>
            </w: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0.05</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0.05</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Repurchases of common stock</w:t>
            </w:r>
            <w:r>
              <w:rPr>
                <w:rFonts w:ascii="Arial" w:cs="Arial" w:eastAsia="Arial" w:hAnsi="Arial"/>
                <w:sz w:val="21"/>
                <w:szCs w:val="21"/>
                <w:color w:val="auto"/>
                <w:vertAlign w:val="superscript"/>
              </w:rPr>
              <w:t>(1)</w:t>
            </w: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0.45</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Stock-based compensation</w:t>
            </w:r>
            <w:r>
              <w:rPr>
                <w:rFonts w:ascii="Arial" w:cs="Arial" w:eastAsia="Arial" w:hAnsi="Arial"/>
                <w:sz w:val="21"/>
                <w:szCs w:val="21"/>
                <w:color w:val="auto"/>
                <w:vertAlign w:val="superscript"/>
              </w:rPr>
              <w:t>(1)</w:t>
            </w: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0.12</w:t>
            </w:r>
          </w:p>
        </w:tc>
        <w:tc>
          <w:tcPr>
            <w:tcW w:w="1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0.12</w:t>
            </w:r>
          </w:p>
        </w:tc>
        <w:tc>
          <w:tcPr>
            <w:tcW w:w="1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asset value at end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11.84</w:t>
            </w:r>
          </w:p>
        </w:tc>
        <w:tc>
          <w:tcPr>
            <w:tcW w:w="16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10.75</w:t>
            </w:r>
          </w:p>
        </w:tc>
        <w:tc>
          <w:tcPr>
            <w:tcW w:w="16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11.84</w:t>
            </w:r>
          </w:p>
        </w:tc>
        <w:tc>
          <w:tcPr>
            <w:tcW w:w="16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10.75</w:t>
            </w:r>
          </w:p>
        </w:tc>
        <w:tc>
          <w:tcPr>
            <w:tcW w:w="16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020" w:type="dxa"/>
            <w:vAlign w:val="bottom"/>
          </w:tcPr>
          <w:p>
            <w:pPr>
              <w:ind w:left="20"/>
              <w:spacing w:after="0"/>
              <w:rPr>
                <w:sz w:val="20"/>
                <w:szCs w:val="20"/>
                <w:color w:val="auto"/>
              </w:rPr>
            </w:pPr>
            <w:r>
              <w:rPr>
                <w:rFonts w:ascii="Arial" w:cs="Arial" w:eastAsia="Arial" w:hAnsi="Arial"/>
                <w:sz w:val="16"/>
                <w:szCs w:val="16"/>
                <w:color w:val="auto"/>
              </w:rPr>
              <w:t>Per share market value at end of period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8.47</w:t>
            </w:r>
          </w:p>
        </w:tc>
        <w:tc>
          <w:tcPr>
            <w:tcW w:w="540" w:type="dxa"/>
            <w:vAlign w:val="bottom"/>
            <w:gridSpan w:val="3"/>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6.40</w:t>
            </w:r>
          </w:p>
        </w:tc>
        <w:tc>
          <w:tcPr>
            <w:tcW w:w="540" w:type="dxa"/>
            <w:vAlign w:val="bottom"/>
            <w:gridSpan w:val="3"/>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8.47</w:t>
            </w:r>
          </w:p>
        </w:tc>
        <w:tc>
          <w:tcPr>
            <w:tcW w:w="540" w:type="dxa"/>
            <w:vAlign w:val="bottom"/>
            <w:gridSpan w:val="3"/>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6.40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5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return based on market value</w:t>
            </w:r>
            <w:r>
              <w:rPr>
                <w:rFonts w:ascii="Arial" w:cs="Arial" w:eastAsia="Arial" w:hAnsi="Arial"/>
                <w:sz w:val="21"/>
                <w:szCs w:val="21"/>
                <w:color w:val="auto"/>
                <w:vertAlign w:val="superscript"/>
              </w:rPr>
              <w:t>(2)</w:t>
            </w: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44.54</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(15.57) %</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56"/>
        </w:trPr>
        <w:tc>
          <w:tcPr>
            <w:tcW w:w="5020" w:type="dxa"/>
            <w:vAlign w:val="bottom"/>
          </w:tcPr>
          <w:p>
            <w:pPr>
              <w:ind w:left="20"/>
              <w:spacing w:after="0"/>
              <w:rPr>
                <w:sz w:val="20"/>
                <w:szCs w:val="20"/>
                <w:color w:val="auto"/>
              </w:rPr>
            </w:pPr>
            <w:r>
              <w:rPr>
                <w:rFonts w:ascii="Arial" w:cs="Arial" w:eastAsia="Arial" w:hAnsi="Arial"/>
                <w:sz w:val="16"/>
                <w:szCs w:val="16"/>
                <w:color w:val="auto"/>
              </w:rPr>
              <w:t>Total return based on net asset value</w:t>
            </w:r>
            <w:r>
              <w:rPr>
                <w:rFonts w:ascii="Arial" w:cs="Arial" w:eastAsia="Arial" w:hAnsi="Arial"/>
                <w:sz w:val="21"/>
                <w:szCs w:val="21"/>
                <w:color w:val="auto"/>
                <w:vertAlign w:val="superscript"/>
              </w:rPr>
              <w:t>(2)</w:t>
            </w: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15.85</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80" w:type="dxa"/>
            <w:vAlign w:val="bottom"/>
            <w:gridSpan w:val="4"/>
          </w:tcPr>
          <w:p>
            <w:pPr>
              <w:jc w:val="right"/>
              <w:ind w:right="319"/>
              <w:spacing w:after="0"/>
              <w:rPr>
                <w:sz w:val="20"/>
                <w:szCs w:val="20"/>
                <w:color w:val="auto"/>
              </w:rPr>
            </w:pPr>
            <w:r>
              <w:rPr>
                <w:rFonts w:ascii="Arial" w:cs="Arial" w:eastAsia="Arial" w:hAnsi="Arial"/>
                <w:sz w:val="16"/>
                <w:szCs w:val="16"/>
                <w:color w:val="auto"/>
              </w:rPr>
              <w:t>— %</w:t>
            </w:r>
          </w:p>
        </w:tc>
        <w:tc>
          <w:tcPr>
            <w:tcW w:w="1040" w:type="dxa"/>
            <w:vAlign w:val="bottom"/>
          </w:tcPr>
          <w:p>
            <w:pPr>
              <w:jc w:val="right"/>
              <w:spacing w:after="0"/>
              <w:rPr>
                <w:sz w:val="20"/>
                <w:szCs w:val="20"/>
                <w:color w:val="auto"/>
              </w:rPr>
            </w:pPr>
            <w:r>
              <w:rPr>
                <w:rFonts w:ascii="Arial" w:cs="Arial" w:eastAsia="Arial" w:hAnsi="Arial"/>
                <w:sz w:val="16"/>
                <w:szCs w:val="16"/>
                <w:color w:val="auto"/>
              </w:rPr>
              <w:t>4.04</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8.70</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37"/>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Shares outstanding at end of period</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16,279,679</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19,646,846</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16,279,679</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19,646,846</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Arial" w:cs="Arial" w:eastAsia="Arial" w:hAnsi="Arial"/>
                <w:sz w:val="16"/>
                <w:szCs w:val="16"/>
                <w:b w:val="1"/>
                <w:bCs w:val="1"/>
                <w:color w:val="auto"/>
              </w:rPr>
              <w:t>Ratios/Supplemental Data:</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assets at end of period</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192,692,441</w:t>
            </w:r>
          </w:p>
        </w:tc>
        <w:tc>
          <w:tcPr>
            <w:tcW w:w="54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211,125,048</w:t>
            </w:r>
          </w:p>
        </w:tc>
        <w:tc>
          <w:tcPr>
            <w:tcW w:w="54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192,692,441</w:t>
            </w:r>
          </w:p>
        </w:tc>
        <w:tc>
          <w:tcPr>
            <w:tcW w:w="54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211,125,048</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Arial" w:cs="Arial" w:eastAsia="Arial" w:hAnsi="Arial"/>
                <w:sz w:val="16"/>
                <w:szCs w:val="16"/>
                <w:color w:val="auto"/>
              </w:rPr>
              <w:t>Average net assets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169,877,812</w:t>
            </w:r>
          </w:p>
        </w:tc>
        <w:tc>
          <w:tcPr>
            <w:tcW w:w="540" w:type="dxa"/>
            <w:vAlign w:val="bottom"/>
            <w:gridSpan w:val="3"/>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211,244,233</w:t>
            </w:r>
          </w:p>
        </w:tc>
        <w:tc>
          <w:tcPr>
            <w:tcW w:w="540" w:type="dxa"/>
            <w:vAlign w:val="bottom"/>
            <w:gridSpan w:val="3"/>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184,435,968</w:t>
            </w:r>
          </w:p>
        </w:tc>
        <w:tc>
          <w:tcPr>
            <w:tcW w:w="540" w:type="dxa"/>
            <w:vAlign w:val="bottom"/>
            <w:gridSpan w:val="3"/>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203,070,126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Ratio of gross operating expenses to average net assets</w:t>
            </w:r>
            <w:r>
              <w:rPr>
                <w:rFonts w:ascii="Arial" w:cs="Arial" w:eastAsia="Arial" w:hAnsi="Arial"/>
                <w:sz w:val="21"/>
                <w:szCs w:val="21"/>
                <w:color w:val="auto"/>
                <w:vertAlign w:val="superscript"/>
              </w:rPr>
              <w:t>(3)</w:t>
            </w: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53"/>
        </w:trPr>
        <w:tc>
          <w:tcPr>
            <w:tcW w:w="5020" w:type="dxa"/>
            <w:vAlign w:val="bottom"/>
          </w:tcPr>
          <w:p>
            <w:pPr>
              <w:ind w:left="20"/>
              <w:spacing w:after="0"/>
              <w:rPr>
                <w:sz w:val="20"/>
                <w:szCs w:val="20"/>
                <w:color w:val="auto"/>
              </w:rPr>
            </w:pPr>
            <w:r>
              <w:rPr>
                <w:rFonts w:ascii="Arial" w:cs="Arial" w:eastAsia="Arial" w:hAnsi="Arial"/>
                <w:sz w:val="16"/>
                <w:szCs w:val="16"/>
                <w:color w:val="auto"/>
              </w:rPr>
              <w:t>Ratio of income tax provision to average net assets</w:t>
            </w:r>
          </w:p>
        </w:tc>
        <w:tc>
          <w:tcPr>
            <w:tcW w:w="280" w:type="dxa"/>
            <w:vAlign w:val="bottom"/>
          </w:tcPr>
          <w:p>
            <w:pPr>
              <w:spacing w:after="0"/>
              <w:rPr>
                <w:sz w:val="22"/>
                <w:szCs w:val="22"/>
                <w:color w:val="auto"/>
              </w:rPr>
            </w:pPr>
          </w:p>
        </w:tc>
        <w:tc>
          <w:tcPr>
            <w:tcW w:w="1580" w:type="dxa"/>
            <w:vAlign w:val="bottom"/>
            <w:gridSpan w:val="4"/>
          </w:tcPr>
          <w:p>
            <w:pPr>
              <w:jc w:val="right"/>
              <w:ind w:right="319"/>
              <w:spacing w:after="0"/>
              <w:rPr>
                <w:sz w:val="20"/>
                <w:szCs w:val="20"/>
                <w:color w:val="auto"/>
              </w:rPr>
            </w:pPr>
            <w:r>
              <w:rPr>
                <w:rFonts w:ascii="Arial" w:cs="Arial" w:eastAsia="Arial" w:hAnsi="Arial"/>
                <w:sz w:val="16"/>
                <w:szCs w:val="16"/>
                <w:color w:val="auto"/>
              </w:rPr>
              <w:t>— %</w:t>
            </w: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(0.46)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80" w:type="dxa"/>
            <w:vAlign w:val="bottom"/>
            <w:gridSpan w:val="4"/>
          </w:tcPr>
          <w:p>
            <w:pPr>
              <w:jc w:val="right"/>
              <w:ind w:right="319"/>
              <w:spacing w:after="0"/>
              <w:rPr>
                <w:sz w:val="20"/>
                <w:szCs w:val="20"/>
                <w:color w:val="auto"/>
              </w:rPr>
            </w:pPr>
            <w:r>
              <w:rPr>
                <w:rFonts w:ascii="Arial" w:cs="Arial" w:eastAsia="Arial" w:hAnsi="Arial"/>
                <w:sz w:val="16"/>
                <w:szCs w:val="16"/>
                <w:color w:val="auto"/>
              </w:rPr>
              <w:t>— %</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(0.44) %</w:t>
            </w:r>
          </w:p>
        </w:tc>
        <w:tc>
          <w:tcPr>
            <w:tcW w:w="0" w:type="dxa"/>
            <w:vAlign w:val="bottom"/>
          </w:tcPr>
          <w:p>
            <w:pPr>
              <w:spacing w:after="0"/>
              <w:rPr>
                <w:sz w:val="1"/>
                <w:szCs w:val="1"/>
                <w:color w:val="auto"/>
              </w:rPr>
            </w:pPr>
          </w:p>
        </w:tc>
      </w:tr>
      <w:tr>
        <w:trPr>
          <w:trHeight w:val="278"/>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Ratio of net operating expenses to average net assets</w:t>
            </w:r>
            <w:r>
              <w:rPr>
                <w:rFonts w:ascii="Arial" w:cs="Arial" w:eastAsia="Arial" w:hAnsi="Arial"/>
                <w:sz w:val="21"/>
                <w:szCs w:val="21"/>
                <w:color w:val="auto"/>
                <w:vertAlign w:val="superscript"/>
              </w:rPr>
              <w:t>(3)</w:t>
            </w:r>
          </w:p>
        </w:tc>
        <w:tc>
          <w:tcPr>
            <w:tcW w:w="280" w:type="dxa"/>
            <w:vAlign w:val="bottom"/>
            <w:tcBorders>
              <w:top w:val="single" w:sz="8" w:color="auto"/>
              <w:bottom w:val="single" w:sz="8" w:color="auto"/>
            </w:tcBorders>
            <w:shd w:val="clear" w:color="auto" w:fill="CCEEFF"/>
          </w:tcPr>
          <w:p>
            <w:pPr>
              <w:spacing w:after="0"/>
              <w:rPr>
                <w:sz w:val="23"/>
                <w:szCs w:val="23"/>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8.19</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spacing w:after="0"/>
              <w:rPr>
                <w:sz w:val="23"/>
                <w:szCs w:val="23"/>
                <w:color w:val="auto"/>
              </w:rPr>
            </w:pP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spacing w:after="0"/>
              <w:rPr>
                <w:sz w:val="23"/>
                <w:szCs w:val="23"/>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7.83</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spacing w:after="0"/>
              <w:rPr>
                <w:sz w:val="23"/>
                <w:szCs w:val="23"/>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20" w:type="dxa"/>
            <w:vAlign w:val="bottom"/>
          </w:tcPr>
          <w:p>
            <w:pPr>
              <w:ind w:left="20"/>
              <w:spacing w:after="0" w:line="231" w:lineRule="exact"/>
              <w:rPr>
                <w:sz w:val="20"/>
                <w:szCs w:val="20"/>
                <w:color w:val="auto"/>
              </w:rPr>
            </w:pPr>
            <w:r>
              <w:rPr>
                <w:rFonts w:ascii="Arial" w:cs="Arial" w:eastAsia="Arial" w:hAnsi="Arial"/>
                <w:sz w:val="16"/>
                <w:szCs w:val="16"/>
                <w:color w:val="auto"/>
              </w:rPr>
              <w:t>Ratio of net investment income/(loss) to average net assets</w:t>
            </w:r>
            <w:r>
              <w:rPr>
                <w:rFonts w:ascii="Arial" w:cs="Arial" w:eastAsia="Arial" w:hAnsi="Arial"/>
                <w:sz w:val="21"/>
                <w:szCs w:val="21"/>
                <w:color w:val="auto"/>
                <w:vertAlign w:val="superscript"/>
              </w:rPr>
              <w:t>(3)</w:t>
            </w:r>
          </w:p>
        </w:tc>
        <w:tc>
          <w:tcPr>
            <w:tcW w:w="28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(7.61)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(5.39)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(7.29)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(2.18) %</w:t>
            </w:r>
          </w:p>
        </w:tc>
        <w:tc>
          <w:tcPr>
            <w:tcW w:w="0" w:type="dxa"/>
            <w:vAlign w:val="bottom"/>
          </w:tcPr>
          <w:p>
            <w:pPr>
              <w:spacing w:after="0"/>
              <w:rPr>
                <w:sz w:val="1"/>
                <w:szCs w:val="1"/>
                <w:color w:val="auto"/>
              </w:rPr>
            </w:pPr>
          </w:p>
        </w:tc>
      </w:tr>
      <w:tr>
        <w:trPr>
          <w:trHeight w:val="224"/>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Portfolio Turnover Ratio</w:t>
            </w:r>
          </w:p>
        </w:tc>
        <w:tc>
          <w:tcPr>
            <w:tcW w:w="280" w:type="dxa"/>
            <w:vAlign w:val="bottom"/>
            <w:shd w:val="clear" w:color="auto" w:fill="CCEEFF"/>
          </w:tcPr>
          <w:p>
            <w:pPr>
              <w:spacing w:after="0"/>
              <w:rPr>
                <w:sz w:val="19"/>
                <w:szCs w:val="19"/>
                <w:color w:val="auto"/>
              </w:rPr>
            </w:pPr>
          </w:p>
        </w:tc>
        <w:tc>
          <w:tcPr>
            <w:tcW w:w="1580" w:type="dxa"/>
            <w:vAlign w:val="bottom"/>
            <w:gridSpan w:val="4"/>
            <w:shd w:val="clear" w:color="auto" w:fill="CCEEFF"/>
          </w:tcPr>
          <w:p>
            <w:pPr>
              <w:jc w:val="right"/>
              <w:ind w:right="319"/>
              <w:spacing w:after="0"/>
              <w:rPr>
                <w:sz w:val="20"/>
                <w:szCs w:val="20"/>
                <w:color w:val="auto"/>
              </w:rPr>
            </w:pPr>
            <w:r>
              <w:rPr>
                <w:rFonts w:ascii="Arial" w:cs="Arial" w:eastAsia="Arial" w:hAnsi="Arial"/>
                <w:sz w:val="16"/>
                <w:szCs w:val="16"/>
                <w:color w:val="auto"/>
              </w:rPr>
              <w:t>— %</w:t>
            </w:r>
          </w:p>
        </w:tc>
        <w:tc>
          <w:tcPr>
            <w:tcW w:w="700" w:type="dxa"/>
            <w:vAlign w:val="bottom"/>
            <w:shd w:val="clear" w:color="auto" w:fill="CCEEFF"/>
          </w:tcPr>
          <w:p>
            <w:pPr>
              <w:spacing w:after="0"/>
              <w:rPr>
                <w:sz w:val="19"/>
                <w:szCs w:val="19"/>
                <w:color w:val="auto"/>
              </w:rPr>
            </w:pPr>
          </w:p>
        </w:tc>
        <w:tc>
          <w:tcPr>
            <w:tcW w:w="880" w:type="dxa"/>
            <w:vAlign w:val="bottom"/>
            <w:gridSpan w:val="4"/>
            <w:shd w:val="clear" w:color="auto" w:fill="CCEEFF"/>
          </w:tcPr>
          <w:p>
            <w:pPr>
              <w:jc w:val="right"/>
              <w:ind w:right="319"/>
              <w:spacing w:after="0"/>
              <w:rPr>
                <w:sz w:val="20"/>
                <w:szCs w:val="20"/>
                <w:color w:val="auto"/>
              </w:rPr>
            </w:pPr>
            <w:r>
              <w:rPr>
                <w:rFonts w:ascii="Arial" w:cs="Arial" w:eastAsia="Arial" w:hAnsi="Arial"/>
                <w:sz w:val="16"/>
                <w:szCs w:val="16"/>
                <w:color w:val="auto"/>
              </w:rPr>
              <w:t>— %</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33"/>
        </w:trPr>
        <w:tc>
          <w:tcPr>
            <w:tcW w:w="50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-5211445</wp:posOffset>
            </wp:positionV>
            <wp:extent cx="48088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808855" cy="825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__________________</w:t>
      </w:r>
    </w:p>
    <w:p>
      <w:pPr>
        <w:spacing w:after="0" w:line="23" w:lineRule="exact"/>
        <w:rPr>
          <w:sz w:val="20"/>
          <w:szCs w:val="20"/>
          <w:color w:val="auto"/>
        </w:rPr>
      </w:pPr>
    </w:p>
    <w:p>
      <w:pPr>
        <w:ind w:left="500" w:hanging="492"/>
        <w:spacing w:after="0"/>
        <w:tabs>
          <w:tab w:leader="none" w:pos="5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weighted-average number of shares outstanding for the relevant period.</w:t>
      </w:r>
    </w:p>
    <w:p>
      <w:pPr>
        <w:spacing w:after="0" w:line="5" w:lineRule="exact"/>
        <w:rPr>
          <w:rFonts w:ascii="Arial" w:cs="Arial" w:eastAsia="Arial" w:hAnsi="Arial"/>
          <w:sz w:val="16"/>
          <w:szCs w:val="16"/>
          <w:color w:val="auto"/>
        </w:rPr>
      </w:pPr>
    </w:p>
    <w:p>
      <w:pPr>
        <w:ind w:left="500" w:hanging="492"/>
        <w:spacing w:after="0" w:line="262" w:lineRule="auto"/>
        <w:tabs>
          <w:tab w:leader="none" w:pos="5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Total return based on market value is based on the change in market price per share between the opening and ending market values per share in the year. Total return based on net asset value is based upon the change in net asset value per share between the opening and ending net asset values per share.</w:t>
      </w:r>
    </w:p>
    <w:p>
      <w:pPr>
        <w:spacing w:after="0" w:line="1" w:lineRule="exact"/>
        <w:rPr>
          <w:rFonts w:ascii="Arial" w:cs="Arial" w:eastAsia="Arial" w:hAnsi="Arial"/>
          <w:sz w:val="15"/>
          <w:szCs w:val="15"/>
          <w:color w:val="auto"/>
        </w:rPr>
      </w:pPr>
    </w:p>
    <w:p>
      <w:pPr>
        <w:jc w:val="both"/>
        <w:ind w:left="500" w:hanging="492"/>
        <w:spacing w:after="0" w:line="269" w:lineRule="auto"/>
        <w:tabs>
          <w:tab w:leader="none" w:pos="5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Financial Highlights for periods of less than one year are annualized and the ratios of operating expenses to average net assets and net investment loss to average net assets are adjusted accordingly. Significant and material non-recurring expenses are not annualized. For the three and six months ended June 30, 2020, the Company excluded $1,962,431 and $1,962,431, respectively of non-recurring expenses. For the three and six months ended June 30, 2019, the Company excluded $617,536 and $(1,769,820), respectively, of non-recurring expenses and did not annualize the income tax provision. Because the ratios are calculated for the Company’s common stock taken as a whole, an individual investor’s ratios may vary from these ratios.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240"/>
          </w:cols>
          <w:pgMar w:left="320" w:top="122" w:right="339" w:bottom="1440" w:gutter="0" w:footer="0" w:header="0"/>
          <w:type w:val="continuous"/>
        </w:sectPr>
      </w:pPr>
    </w:p>
    <w:bookmarkStart w:id="48" w:name="page49"/>
    <w:bookmarkEnd w:id="4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9—INCOME TAXES</w:t>
      </w:r>
    </w:p>
    <w:p>
      <w:pPr>
        <w:spacing w:after="0" w:line="256" w:lineRule="exact"/>
        <w:rPr>
          <w:sz w:val="20"/>
          <w:szCs w:val="20"/>
          <w:color w:val="auto"/>
        </w:rPr>
      </w:pPr>
    </w:p>
    <w:p>
      <w:pPr>
        <w:jc w:val="both"/>
        <w:ind w:right="20" w:firstLine="364"/>
        <w:spacing w:after="0" w:line="342" w:lineRule="auto"/>
        <w:rPr>
          <w:sz w:val="20"/>
          <w:szCs w:val="20"/>
          <w:color w:val="auto"/>
        </w:rPr>
      </w:pPr>
      <w:r>
        <w:rPr>
          <w:rFonts w:ascii="Arial" w:cs="Arial" w:eastAsia="Arial" w:hAnsi="Arial"/>
          <w:sz w:val="16"/>
          <w:szCs w:val="16"/>
          <w:color w:val="auto"/>
        </w:rPr>
        <w:t>The Company elected to be treated as a RIC under Subchapter M of the Code beginning with its taxable year ended December 31, 2014, has qualified to be treated as a RIC for subsequent taxable years and expects to continue to operate in a manner so as to qualify for the tax treatment applicable to RICs.</w:t>
      </w:r>
    </w:p>
    <w:p>
      <w:pPr>
        <w:spacing w:after="0" w:line="151" w:lineRule="exact"/>
        <w:rPr>
          <w:sz w:val="20"/>
          <w:szCs w:val="20"/>
          <w:color w:val="auto"/>
        </w:rPr>
      </w:pPr>
    </w:p>
    <w:p>
      <w:pPr>
        <w:jc w:val="both"/>
        <w:ind w:firstLine="364"/>
        <w:spacing w:after="0" w:line="254" w:lineRule="auto"/>
        <w:rPr>
          <w:sz w:val="20"/>
          <w:szCs w:val="20"/>
          <w:color w:val="auto"/>
        </w:rPr>
      </w:pPr>
      <w:r>
        <w:rPr>
          <w:rFonts w:ascii="Arial" w:cs="Arial" w:eastAsia="Arial" w:hAnsi="Arial"/>
          <w:sz w:val="18"/>
          <w:szCs w:val="18"/>
          <w:color w:val="auto"/>
        </w:rPr>
        <w:t>Due to the Company’s election to be treated as RIC, the associated previously accrued benefits from, and provisions for, taxes from prior periods were reversed for the year ended December 31, 2015. Typically for a taxable entity, a net investment loss would generate a benefit from taxes; however, as a result of our election to be treated as a RIC, we reversed the previously accrued benefits from taxes on net investment loss from prior periods. Typically for a taxable entity, net realized capital gains would generate a provision for taxes; however, as a result of our election to be treated as a RIC, we reversed the previously accrued provisions for taxes on net realized capital gains from prior periods. As a result of our election to be treated as a RIC, we reversed the previously accrued provisions for taxes on unrealized appreciation of investments from prior periods. This reversal resulted in a larger benefit for taxes on unrealized depreciation of investments than would have been accrued solely based on the unrealized depreciation of investments for the year ended December 31, 2015.</w:t>
      </w:r>
    </w:p>
    <w:p>
      <w:pPr>
        <w:spacing w:after="0" w:line="219" w:lineRule="exact"/>
        <w:rPr>
          <w:sz w:val="20"/>
          <w:szCs w:val="20"/>
          <w:color w:val="auto"/>
        </w:rPr>
      </w:pPr>
    </w:p>
    <w:p>
      <w:pPr>
        <w:jc w:val="both"/>
        <w:ind w:firstLine="364"/>
        <w:spacing w:after="0" w:line="275" w:lineRule="auto"/>
        <w:rPr>
          <w:sz w:val="20"/>
          <w:szCs w:val="20"/>
          <w:color w:val="auto"/>
        </w:rPr>
      </w:pPr>
      <w:r>
        <w:rPr>
          <w:rFonts w:ascii="Arial" w:cs="Arial" w:eastAsia="Arial" w:hAnsi="Arial"/>
          <w:sz w:val="17"/>
          <w:szCs w:val="17"/>
          <w:color w:val="auto"/>
        </w:rPr>
        <w:t>As a result of the Company electing to be treated as a RIC for the taxable year ended December 31, 2014 in connection with the filing of its 2014 tax return, it may be required to pay a corporate-level U.S. federal income tax on the amount of the net built-in gains, if any, in its assets (the amount by which the net fair market value of the Company’s assets exceeds the net adjusted basis in its assets) as of the date of conversion to a RIC (</w:t>
      </w:r>
      <w:r>
        <w:rPr>
          <w:rFonts w:ascii="Arial" w:cs="Arial" w:eastAsia="Arial" w:hAnsi="Arial"/>
          <w:sz w:val="17"/>
          <w:szCs w:val="17"/>
          <w:i w:val="1"/>
          <w:iCs w:val="1"/>
          <w:color w:val="auto"/>
        </w:rPr>
        <w:t>i.e.</w:t>
      </w:r>
      <w:r>
        <w:rPr>
          <w:rFonts w:ascii="Arial" w:cs="Arial" w:eastAsia="Arial" w:hAnsi="Arial"/>
          <w:sz w:val="17"/>
          <w:szCs w:val="17"/>
          <w:color w:val="auto"/>
        </w:rPr>
        <w:t>, the beginning of the first taxable year that the Company qualifies as a RIC, which would be January 1, 2014) to the extent that such gains are recognized by the Company during the applicable recognition period, which is the five-year period beginning on the date of conversion.</w:t>
      </w:r>
    </w:p>
    <w:p>
      <w:pPr>
        <w:spacing w:after="0" w:line="203" w:lineRule="exact"/>
        <w:rPr>
          <w:sz w:val="20"/>
          <w:szCs w:val="20"/>
          <w:color w:val="auto"/>
        </w:rPr>
      </w:pPr>
    </w:p>
    <w:p>
      <w:pPr>
        <w:jc w:val="both"/>
        <w:ind w:firstLine="364"/>
        <w:spacing w:after="0" w:line="271" w:lineRule="auto"/>
        <w:rPr>
          <w:sz w:val="20"/>
          <w:szCs w:val="20"/>
          <w:color w:val="auto"/>
        </w:rPr>
      </w:pPr>
      <w:r>
        <w:rPr>
          <w:rFonts w:ascii="Arial" w:cs="Arial" w:eastAsia="Arial" w:hAnsi="Arial"/>
          <w:sz w:val="17"/>
          <w:szCs w:val="17"/>
          <w:color w:val="auto"/>
        </w:rPr>
        <w:t>Any corporate-level built-in-gains tax is payable at the time the built-in gains are recognized (which generally will be the years in which the assets with the built-in-gains are sold in a taxable transaction). The amount of this tax will vary depending on the assets that are actually sold by the Company in this five-year period, the actual amount of net built-in gain or loss present in those assets as of the date of conversion, and the effective tax rates at such times. The payment of any such corporate-level U.S. federal income tax on built-in gains will be a Company expense that will reduce the amount available for distribution to stockholders. The built-in-gains tax is calculated by determining the RIC’s net unrealized built-in gains, if any, by which the fair market value of the assets of the RIC at the beginning of its first RIC year exceeds the aggregate adjusted basis of such assets at that time. As of January 1, 2014, the Company had net unrealized built-in gains. It did not incur a built-in-gains tax for the 2014 tax year due to the fact that there were sufficient net capital loss carryforwards to completely offset recognized built-in gains as well as available net operating losses.</w:t>
      </w:r>
    </w:p>
    <w:p>
      <w:pPr>
        <w:spacing w:after="0" w:line="20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Company elected to be treated as a RIC for the taxable year ended December 31, 2014 in connection with the filing of its 2014 tax return. As a result, the Company was required to pay a corporate-level U.S. federal income tax on the amount of the net built-in gains in its assets (the amount by which the net fair market value of the Company’s assets exceeds the net adjusted basis in its assets) either (1) as of the date it converted to a RIC (i.e., the beginning of the first taxable year that the Company qualifies as a RIC, which would be January 1, 2014), or (2) to the extent that the Company recognized such net built-in gains during the five-year recognition period beginning on the date of conversion. As of January 1, 2014, the Company had net unrealized built-in gains, but did not incur a built-in-gains tax for the 2014 tax year due to the fact that there were sufficient net capital loss carryforwards to completely offset recognized built-in gains as well as available net operating losses. The five-year recognition period ended on December 31, 2018.</w:t>
      </w:r>
    </w:p>
    <w:p>
      <w:pPr>
        <w:spacing w:after="0" w:line="193" w:lineRule="exact"/>
        <w:rPr>
          <w:sz w:val="20"/>
          <w:szCs w:val="20"/>
          <w:color w:val="auto"/>
        </w:rPr>
      </w:pPr>
    </w:p>
    <w:p>
      <w:pPr>
        <w:jc w:val="both"/>
        <w:ind w:firstLine="364"/>
        <w:spacing w:after="0" w:line="257" w:lineRule="auto"/>
        <w:rPr>
          <w:sz w:val="20"/>
          <w:szCs w:val="20"/>
          <w:color w:val="auto"/>
        </w:rPr>
      </w:pPr>
      <w:r>
        <w:rPr>
          <w:rFonts w:ascii="Arial" w:cs="Arial" w:eastAsia="Arial" w:hAnsi="Arial"/>
          <w:sz w:val="18"/>
          <w:szCs w:val="18"/>
          <w:color w:val="auto"/>
        </w:rPr>
        <w:t>As of June 30, 2020 and December 31, 2019, the Company recorded a deferred tax liability of approximately $0.0 million and $0.0 million, respectively. The Company is required to include net deferred tax provision/benefit in calculating its total expenses even though these net deferred taxes are not currently payable/receivable. Taxable income generally differs from net income for financial reporting purposes due to temporary and permanent differences in the recognition of income and expenses, and generally excludes net unrealized appreciation or depreciation, as such gains or losses are not included in taxable income until they are realized.</w:t>
      </w:r>
    </w:p>
    <w:p>
      <w:pPr>
        <w:spacing w:after="0" w:line="215" w:lineRule="exact"/>
        <w:rPr>
          <w:sz w:val="20"/>
          <w:szCs w:val="20"/>
          <w:color w:val="auto"/>
        </w:rPr>
      </w:pPr>
    </w:p>
    <w:p>
      <w:pPr>
        <w:jc w:val="both"/>
        <w:ind w:firstLine="364"/>
        <w:spacing w:after="0" w:line="277" w:lineRule="auto"/>
        <w:rPr>
          <w:sz w:val="20"/>
          <w:szCs w:val="20"/>
          <w:color w:val="auto"/>
        </w:rPr>
      </w:pPr>
      <w:r>
        <w:rPr>
          <w:rFonts w:ascii="Arial" w:cs="Arial" w:eastAsia="Arial" w:hAnsi="Arial"/>
          <w:sz w:val="18"/>
          <w:szCs w:val="18"/>
          <w:color w:val="auto"/>
        </w:rPr>
        <w:t>For U.S. federal and state income tax purposes, a portion of the Taxable Subsidiaries’ net operating loss carryforwards and basis differences may be subject to limitations on annual utilization in case of a change in ownership, as defined by federal and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22" w:right="33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4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state law. The amount of such limitations, if any, has not been determined. Accordingly, the amount of such tax attributes available to offset future profits may be significantly less than the actual amounts of the tax attributes.</w:t>
      </w:r>
    </w:p>
    <w:p>
      <w:pPr>
        <w:spacing w:after="0" w:line="197"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The Company and the Taxable Subsidiaries identified their major tax jurisdictions as U.S. federal and California and may be subject to the taxing authorities’ examination for the tax years 2016–2019 and 2015–2019, respectively. Further, the Company and the Taxable Subsidiaries accrue all interest and penalties related to uncertain tax positions as incurred. As of June 30, 2020, there were no material interest or penalties incurred related to uncertain tax positions.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10—DEBT CAPITAL ACTIVITIES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4.75% Convertible Senior Notes due 2023</w:t>
      </w:r>
    </w:p>
    <w:p>
      <w:pPr>
        <w:spacing w:after="0" w:line="256" w:lineRule="exact"/>
        <w:rPr>
          <w:sz w:val="20"/>
          <w:szCs w:val="20"/>
          <w:color w:val="auto"/>
        </w:rPr>
      </w:pPr>
    </w:p>
    <w:p>
      <w:pPr>
        <w:jc w:val="both"/>
        <w:ind w:firstLine="364"/>
        <w:spacing w:after="0" w:line="269" w:lineRule="auto"/>
        <w:rPr>
          <w:sz w:val="20"/>
          <w:szCs w:val="20"/>
          <w:color w:val="auto"/>
        </w:rPr>
      </w:pPr>
      <w:r>
        <w:rPr>
          <w:rFonts w:ascii="Arial" w:cs="Arial" w:eastAsia="Arial" w:hAnsi="Arial"/>
          <w:sz w:val="17"/>
          <w:szCs w:val="17"/>
          <w:color w:val="auto"/>
        </w:rPr>
        <w:t>On March 28, 2018, the Company issued $40.0 million aggregate principal amount of convertible senior notes, which bear interest at a fixed rate of 4.75% per year, payable semi-annually in arrears on March 31 and September 30 of each year, commencing on September 30, 2018. The 4.75% Convertible Senior Notes mature on March 28, 2023 (the "4.75% Convertible Senior Notes due 2023"), unless previously repurchased or converted in accordance with their terms. The Company does not have the right to redeem the 4.75% Convertible Senior Notes due 2023 prior to March 27, 2021. On or after March 27, 2021, the Company may redeem the 4.75% Convertible Senior Notes due 2023 for cash, in whole or from time to time in part, at the Company’s option if (i) the closing sale price of the Company’s common stock for at least 15 trading days (whether or not consecutive) during the period of any 20 consecutive trading days is greater than or equal to 150% of the conversion price on each applicable trading day, (ii) no public announcement of a pending, proposed or intended fundamental change has occurred which has not been abandoned, terminated or consummated, and (iii) no event of default under the indenture governing the 4.75% Convertible Senior Notes due 2023, and no event that with the passage of time or giving of notice would constitute an event of default under such indenture, has occurred or exists.</w:t>
      </w:r>
    </w:p>
    <w:p>
      <w:pPr>
        <w:spacing w:after="0" w:line="21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initial conversion rate for the 4.75% Convertible Senior Notes due 2023 was 93.2836 shares of the Company’s common stock for each $1,000 principal amount of the 4.75% Convertible Senior Notes due 2023, which represented an initial conversion price of approximately $10.72 per share. As a result of the Company’s Modified Dutch Auction Tender Offer and cash dividends, the conversion rate for the 4.75% Convertible Senior Notes due 2023 changed to 97.9448 shares of the Company’s common stock for each $1,000 principal amount of the 4.75% Convertible Senior Notes due 2023, which represents a current conversion price of approximately $10.21 per share. Following certain corporate transactions that occur on or prior to the stated maturity date, the Company will, in certain circumstances, increase the conversion rate for a holder that elects to convert its 4.75% Convertible Senior Notes due 2023 in connection with such a corporate transaction. If a fundamental change, as defined in the indenture governing the 4.75% Convertible Senior Notes due 2023, occurs prior to the stated maturity date, holders may require the Company to purchase for cash all or any portion of their 4.75% Convertible Senior Notes due 2023 at a fundamental change purchase price equal to 100% of the principal amount of the Notes to be purchased, plus accrued and unpaid interest to, but excluding, the fundamental change purchase date.</w:t>
      </w:r>
    </w:p>
    <w:p>
      <w:pPr>
        <w:spacing w:after="0" w:line="212" w:lineRule="exact"/>
        <w:rPr>
          <w:sz w:val="20"/>
          <w:szCs w:val="20"/>
          <w:color w:val="auto"/>
        </w:rPr>
      </w:pPr>
    </w:p>
    <w:p>
      <w:pPr>
        <w:jc w:val="both"/>
        <w:ind w:firstLine="364"/>
        <w:spacing w:after="0" w:line="263" w:lineRule="auto"/>
        <w:rPr>
          <w:sz w:val="20"/>
          <w:szCs w:val="20"/>
          <w:color w:val="auto"/>
        </w:rPr>
      </w:pPr>
      <w:r>
        <w:rPr>
          <w:rFonts w:ascii="Arial" w:cs="Arial" w:eastAsia="Arial" w:hAnsi="Arial"/>
          <w:sz w:val="18"/>
          <w:szCs w:val="18"/>
          <w:color w:val="auto"/>
        </w:rPr>
        <w:t>The indenture governing the 4.75% Convertible Senior Notes due 2023 contains customary financial reporting requirements and contains certain restrictions on mergers, consolidations, and asset sales. The indenture also contains certain events of default, the occurrence of which may lead to the 4.75% Convertible Senior Notes due 2023 being due and payable before their maturity or immediately.</w:t>
      </w:r>
    </w:p>
    <w:p>
      <w:pPr>
        <w:spacing w:after="0" w:line="211" w:lineRule="exact"/>
        <w:rPr>
          <w:sz w:val="20"/>
          <w:szCs w:val="20"/>
          <w:color w:val="auto"/>
        </w:rPr>
      </w:pPr>
    </w:p>
    <w:p>
      <w:pPr>
        <w:jc w:val="both"/>
        <w:ind w:firstLine="364"/>
        <w:spacing w:after="0" w:line="277" w:lineRule="auto"/>
        <w:rPr>
          <w:sz w:val="20"/>
          <w:szCs w:val="20"/>
          <w:color w:val="auto"/>
        </w:rPr>
      </w:pPr>
      <w:r>
        <w:rPr>
          <w:rFonts w:ascii="Arial" w:cs="Arial" w:eastAsia="Arial" w:hAnsi="Arial"/>
          <w:sz w:val="18"/>
          <w:szCs w:val="18"/>
          <w:color w:val="auto"/>
        </w:rPr>
        <w:t>The table below shows a reconciliation from the aggregate principal amount of 4.75% Convertible Senior Notes due 2023 to the balance shown on the Condensed Consolidated Statement of Assets and Liabilities.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June 30, 2020</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117"/>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5440" w:type="dxa"/>
            <w:vAlign w:val="bottom"/>
            <w:tcBorders>
              <w:bottom w:val="single" w:sz="8" w:color="CCEEFF"/>
            </w:tcBorders>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9"/>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2"/>
              </w:rPr>
              <w:t>Aggregate principal amount of 4.75% Convertible Senior Notes due 2023</w:t>
            </w:r>
          </w:p>
        </w:tc>
        <w:tc>
          <w:tcPr>
            <w:tcW w:w="3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40,000,000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40,000,000</w:t>
            </w:r>
          </w:p>
        </w:tc>
        <w:tc>
          <w:tcPr>
            <w:tcW w:w="0" w:type="dxa"/>
            <w:vAlign w:val="bottom"/>
          </w:tcPr>
          <w:p>
            <w:pPr>
              <w:spacing w:after="0"/>
              <w:rPr>
                <w:sz w:val="1"/>
                <w:szCs w:val="1"/>
                <w:color w:val="auto"/>
              </w:rPr>
            </w:pP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Direct deduction of deferred debt issuance costs</w:t>
            </w:r>
          </w:p>
        </w:tc>
        <w:tc>
          <w:tcPr>
            <w:tcW w:w="3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tcPr>
          <w:p>
            <w:pPr>
              <w:ind w:left="280"/>
              <w:spacing w:after="0"/>
              <w:rPr>
                <w:sz w:val="20"/>
                <w:szCs w:val="20"/>
                <w:color w:val="auto"/>
              </w:rPr>
            </w:pPr>
            <w:r>
              <w:rPr>
                <w:rFonts w:ascii="Arial" w:cs="Arial" w:eastAsia="Arial" w:hAnsi="Arial"/>
                <w:sz w:val="18"/>
                <w:szCs w:val="18"/>
                <w:color w:val="auto"/>
              </w:rPr>
              <w:t>(1,008,343)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ind w:left="280"/>
              <w:spacing w:after="0"/>
              <w:rPr>
                <w:sz w:val="20"/>
                <w:szCs w:val="20"/>
                <w:color w:val="auto"/>
              </w:rPr>
            </w:pPr>
            <w:r>
              <w:rPr>
                <w:rFonts w:ascii="Arial" w:cs="Arial" w:eastAsia="Arial" w:hAnsi="Arial"/>
                <w:sz w:val="18"/>
                <w:szCs w:val="18"/>
                <w:color w:val="auto"/>
              </w:rPr>
              <w:t>(1,196,365)</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4.75% Convertible Senior Notes due 2023 Payable</w:t>
            </w:r>
          </w:p>
        </w:tc>
        <w:tc>
          <w:tcPr>
            <w:tcW w:w="3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38,991,657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38,803,635</w:t>
            </w:r>
          </w:p>
        </w:tc>
        <w:tc>
          <w:tcPr>
            <w:tcW w:w="0" w:type="dxa"/>
            <w:vAlign w:val="bottom"/>
          </w:tcPr>
          <w:p>
            <w:pPr>
              <w:spacing w:after="0"/>
              <w:rPr>
                <w:sz w:val="1"/>
                <w:szCs w:val="1"/>
                <w:color w:val="auto"/>
              </w:rPr>
            </w:pPr>
          </w:p>
        </w:tc>
      </w:tr>
      <w:tr>
        <w:trPr>
          <w:trHeight w:val="884"/>
        </w:trPr>
        <w:tc>
          <w:tcPr>
            <w:tcW w:w="5440" w:type="dxa"/>
            <w:vAlign w:val="bottom"/>
          </w:tcPr>
          <w:p>
            <w:pPr>
              <w:spacing w:after="0"/>
              <w:rPr>
                <w:sz w:val="24"/>
                <w:szCs w:val="24"/>
                <w:color w:val="auto"/>
              </w:rPr>
            </w:pPr>
          </w:p>
        </w:tc>
        <w:tc>
          <w:tcPr>
            <w:tcW w:w="2800" w:type="dxa"/>
            <w:vAlign w:val="bottom"/>
          </w:tcPr>
          <w:p>
            <w:pPr>
              <w:jc w:val="right"/>
              <w:ind w:right="2430"/>
              <w:spacing w:after="0"/>
              <w:rPr>
                <w:sz w:val="20"/>
                <w:szCs w:val="20"/>
                <w:color w:val="auto"/>
              </w:rPr>
            </w:pPr>
            <w:r>
              <w:rPr>
                <w:rFonts w:ascii="Arial" w:cs="Arial" w:eastAsia="Arial" w:hAnsi="Arial"/>
                <w:sz w:val="18"/>
                <w:szCs w:val="18"/>
                <w:color w:val="auto"/>
              </w:rPr>
              <w:t>48</w:t>
            </w:r>
          </w:p>
        </w:tc>
        <w:tc>
          <w:tcPr>
            <w:tcW w:w="2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-1104900</wp:posOffset>
            </wp:positionV>
            <wp:extent cx="52292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229225" cy="88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right="20" w:firstLine="364"/>
        <w:spacing w:after="0" w:line="277" w:lineRule="auto"/>
        <w:rPr>
          <w:sz w:val="20"/>
          <w:szCs w:val="20"/>
          <w:color w:val="auto"/>
        </w:rPr>
      </w:pPr>
      <w:r>
        <w:rPr>
          <w:rFonts w:ascii="Arial" w:cs="Arial" w:eastAsia="Arial" w:hAnsi="Arial"/>
          <w:sz w:val="18"/>
          <w:szCs w:val="18"/>
          <w:color w:val="auto"/>
        </w:rPr>
        <w:t>As of June 30, 2020 the principal amount of the 4.75% Convertible Senior Notes due 2023 exceeded the value of the underlying shares multiplied by the per share closing price of the Company’s common stock.</w:t>
      </w:r>
    </w:p>
    <w:p>
      <w:pPr>
        <w:spacing w:after="0" w:line="197" w:lineRule="exact"/>
        <w:rPr>
          <w:sz w:val="20"/>
          <w:szCs w:val="20"/>
          <w:color w:val="auto"/>
        </w:rPr>
      </w:pPr>
    </w:p>
    <w:p>
      <w:pPr>
        <w:jc w:val="both"/>
        <w:ind w:firstLine="364"/>
        <w:spacing w:after="0" w:line="257" w:lineRule="auto"/>
        <w:rPr>
          <w:sz w:val="20"/>
          <w:szCs w:val="20"/>
          <w:color w:val="auto"/>
        </w:rPr>
      </w:pPr>
      <w:r>
        <w:rPr>
          <w:rFonts w:ascii="Arial" w:cs="Arial" w:eastAsia="Arial" w:hAnsi="Arial"/>
          <w:sz w:val="18"/>
          <w:szCs w:val="18"/>
          <w:color w:val="auto"/>
        </w:rPr>
        <w:t>The 4.75% Convertible Senior Notes due 2023 are the Company’s general, unsecured, senior obligations and rank senior in right of payment to any future indebtedness that is expressly subordinated in right of payment to the 4.75% Convertible Senior Notes due 2023, equal in right of payment to any existing and future unsecured indebtedness that is not so subordinated to the 4.75% Convertible Senior Notes due 2023, effectively junior to any future secured indebtedness to the extent of the value of the assets securing such indebtedness, and structurally junior to all future indebtedness (including trade payables) incurred by the Company’s subsidiaries.</w:t>
      </w:r>
    </w:p>
    <w:p>
      <w:pPr>
        <w:spacing w:after="0" w:line="21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connection with the issuance of the 4.75% Convertible Senior Notes due 2023, the Company was required under the terms of the Credit Facility (defined below) to deposit any proceeds from the 4.75% Convertible Senior Notes due 2023 offering into an account at Western Alliance Bank and was required to maintain at least $65.0 million (or such lesser amount to the extent such funds are used to repay or repurchase a portion of the outstanding 5.25% Convertible Senior Notes due 2018 prior to their maturity and repayment in full) in an account at Western Alliance Bank until such time as the</w:t>
      </w:r>
    </w:p>
    <w:p>
      <w:pPr>
        <w:spacing w:after="0" w:line="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5.25% Convertible Senior Notes due 2018 were repaid in full. The 5.25% Convertible Senior Notes due 2018 matured on September 15, 2018, at which time the Company repaid the remaining outstanding aggregate principal amount of the 5.25% Convertible Senior Notes due 2018, including accrued but unpaid interest. In addition, the Credit Facility matured on May 31, 2019. As a result, the company is no longer subject to such requirements.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Western Alliance Bank Credit Facility</w:t>
      </w:r>
    </w:p>
    <w:p>
      <w:pPr>
        <w:spacing w:after="0" w:line="256" w:lineRule="exact"/>
        <w:rPr>
          <w:sz w:val="20"/>
          <w:szCs w:val="20"/>
          <w:color w:val="auto"/>
        </w:rPr>
      </w:pPr>
    </w:p>
    <w:p>
      <w:pPr>
        <w:jc w:val="both"/>
        <w:ind w:firstLine="364"/>
        <w:spacing w:after="0" w:line="277" w:lineRule="auto"/>
        <w:rPr>
          <w:sz w:val="20"/>
          <w:szCs w:val="20"/>
          <w:color w:val="auto"/>
        </w:rPr>
      </w:pPr>
      <w:r>
        <w:rPr>
          <w:rFonts w:ascii="Arial" w:cs="Arial" w:eastAsia="Arial" w:hAnsi="Arial"/>
          <w:sz w:val="18"/>
          <w:szCs w:val="18"/>
          <w:color w:val="auto"/>
        </w:rPr>
        <w:t>The Credit Facility matured on May 31, 2019. There were no borrowings by the Company from the Credit Facility during the year ended December 31, 2019.</w:t>
      </w:r>
    </w:p>
    <w:p>
      <w:pPr>
        <w:spacing w:after="0" w:line="197" w:lineRule="exact"/>
        <w:rPr>
          <w:sz w:val="20"/>
          <w:szCs w:val="20"/>
          <w:color w:val="auto"/>
        </w:rPr>
      </w:pPr>
    </w:p>
    <w:p>
      <w:pPr>
        <w:jc w:val="both"/>
        <w:ind w:firstLine="364"/>
        <w:spacing w:after="0" w:line="255" w:lineRule="auto"/>
        <w:rPr>
          <w:sz w:val="20"/>
          <w:szCs w:val="20"/>
          <w:color w:val="auto"/>
        </w:rPr>
      </w:pPr>
      <w:r>
        <w:rPr>
          <w:rFonts w:ascii="Arial" w:cs="Arial" w:eastAsia="Arial" w:hAnsi="Arial"/>
          <w:sz w:val="18"/>
          <w:szCs w:val="18"/>
          <w:color w:val="auto"/>
        </w:rPr>
        <w:t>The Company entered into a Loan and Security Agreement, effective May 31, 2017 and amended on March 22, 2018 (the “Loan Agreement”), with Western Alliance Bank, pursuant to which Western Alliance Bank agreed to provide the Company with a $12.0 million senior secured revolving credit facility (the “Credit Facility”). The Credit Facility, among other things, matured on May 31, 2019 and bore interest at a per annum rate equal to the prime rate plus 3.50%. In addition, a facility fee of $60,000 was charged upon closing of the Credit Facility, and the Loan Agreement required payment of a fee for unused amounts during the revolving period in an amount equal to 0.50% per annum of the average unused portion of the Credit Facility payable quarterly in arrears.</w:t>
      </w:r>
    </w:p>
    <w:p>
      <w:pPr>
        <w:spacing w:after="0" w:line="219" w:lineRule="exact"/>
        <w:rPr>
          <w:sz w:val="20"/>
          <w:szCs w:val="20"/>
          <w:color w:val="auto"/>
        </w:rPr>
      </w:pPr>
    </w:p>
    <w:p>
      <w:pPr>
        <w:jc w:val="both"/>
        <w:ind w:firstLine="364"/>
        <w:spacing w:after="0" w:line="290" w:lineRule="auto"/>
        <w:rPr>
          <w:sz w:val="20"/>
          <w:szCs w:val="20"/>
          <w:color w:val="auto"/>
        </w:rPr>
      </w:pPr>
      <w:r>
        <w:rPr>
          <w:rFonts w:ascii="Arial" w:cs="Arial" w:eastAsia="Arial" w:hAnsi="Arial"/>
          <w:sz w:val="16"/>
          <w:szCs w:val="16"/>
          <w:color w:val="auto"/>
        </w:rPr>
        <w:t>Under the Loan Agreement, the Company made certain customary representations and warranties and was required to comply with various affirmative and negative covenants, reporting requirements, and other customary requirements for similar credit facilities, including, without limitation, restrictions on incurring additional indebtedness (with unsecured longer-term indebtedness limited to $70.0 million in the aggregate), compliance with the asset coverage requirements under the 1940 Act, a minimum net asset value requirement of at least the greater of $60.0 million or five times the amount of the Credit Facility, a limitation on the Company’s net asset value being reduced by more than 15% of its net asset value at December 31, 2016, and maintenance of RIC and BDC status. The Loan Agreement included usual and customary events of default for credit facilities of this nature, including, without limitation, nonpayment, misrepresentation of representations and warranties in a material respect, breach of covenant, cross-default to certain other indebtedness, bankruptcy, the cessation of the Investment Advisory Agreement, and the occurrence of a material adverse effect.</w:t>
      </w:r>
    </w:p>
    <w:p>
      <w:pPr>
        <w:spacing w:after="0" w:line="192" w:lineRule="exact"/>
        <w:rPr>
          <w:sz w:val="20"/>
          <w:szCs w:val="20"/>
          <w:color w:val="auto"/>
        </w:rPr>
      </w:pPr>
    </w:p>
    <w:p>
      <w:pPr>
        <w:jc w:val="both"/>
        <w:ind w:firstLine="364"/>
        <w:spacing w:after="0" w:line="277" w:lineRule="auto"/>
        <w:rPr>
          <w:sz w:val="20"/>
          <w:szCs w:val="20"/>
          <w:color w:val="auto"/>
        </w:rPr>
      </w:pPr>
      <w:r>
        <w:rPr>
          <w:rFonts w:ascii="Arial" w:cs="Arial" w:eastAsia="Arial" w:hAnsi="Arial"/>
          <w:sz w:val="18"/>
          <w:szCs w:val="18"/>
          <w:color w:val="auto"/>
        </w:rPr>
        <w:t>The Credit Facility was secured by substantially all of the Company’s property and assets. As of June 30, 2020 and December 31, 2019, the Company had no borrowings outstanding under the Credit Facility, as the Credit Facility matured on May 31, 2019.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11—STOCK-BASED COMPENSATION</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June 5, 2019, our Board of Directors adopted, and our stockholders approved, an equity-based incentive plan (the "2019 Equity Incentive Plan”), which authorizes equity awards to be granted for up to 1,976,264 shares of our common stock. Under</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22" w:right="33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2019 Equity Incentive Plan, the exercise price of awards is set on the grant date and may not be less than the fair market value per share on such date, however, that in the case of an incentive stock option granted to an employee who, at the time of the grant of such option, owns stock representing more than ten percent (10%) of the voting power of all classes of stock of the Company or the Company’s present or future parent or subsidiary corporations, as defined in Section 424(e) or (f) of the Code, or other Affiliates the employees of which are eligible to receive incentive stock options under the Code (the “10% Shareholders”), the exercise price per share shall be no less than one hundred ten percent (110%) of the fair market value per share on the date of grant. The fair market value shall be the closing price of the shares on the Nasdaq Capital Market on the date of grant.</w:t>
      </w:r>
    </w:p>
    <w:p>
      <w:pPr>
        <w:spacing w:after="0" w:line="19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July 17, 2019, stock options providing the right to purchase up to 1,165,000 shares were granted under the 2019 Equity Incentive Plan with an exercise price equal to the market price of our common stock at the grant date. These stock options have a vesting period of 3 years with 1/3 vesting immediately on the grant date, 1/3 vesting on July 17, 2020, and the remaining 1/3 vesting on July 17,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Cancellation of Stock Option Awards</w:t>
      </w:r>
    </w:p>
    <w:p>
      <w:pPr>
        <w:spacing w:after="0" w:line="25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April 28, 2020, all stock option awards granted under the 2019 Equity Incentive Plan were canceled for no payment pursuant to an option cancellation agreement (the "Option Cancellation Agreement"). As a result, there are no stock option awards currently outstanding under the 2019 Equity Incentive Plan. In accordance with ASC Topic 718, all unrecognized compensation cost related to still unvested shares was recognized as of the date of cancellation. For more information, including a description of the Option Cancellation Agreement, please refer to our current report on Form 8-K filed with the SEC on April 29, 2020. Such description of the Option Cancellation Agreement is qualified in its entirety by reference to the text of such Option Cancellation Agreement filed as Exhibit 10.3 to our quarterly report on Form 10-Q for the period ended March 31, 2020 filed with the SEC on May 8, 2020.</w:t>
      </w:r>
    </w:p>
    <w:p>
      <w:pPr>
        <w:spacing w:after="0" w:line="22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 follows ASC Topic 718 to account for stock options granted. Under ASC Topic 718, compensation expense associated with stock-based compensation is measured at the grant date based on the fair value of the award and is recognized over the vesting period. Determining the appropriate fair value model and calculating the fair value of stock-based awards at the grant date requires judgment, including estimating stock price volatility, forfeiture rate, and expected option life. The time-based options granted on July 17, 2019 have a weighted-average fair value of $2.57 per share. The fair value of options granted was based upon a Black Scholes option pricing model using the assumptions in the following table: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Input Assumptions</w:t>
            </w:r>
          </w:p>
        </w:tc>
        <w:tc>
          <w:tcPr>
            <w:tcW w:w="1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As of July 17, 2019 Grant Date</w:t>
            </w:r>
          </w:p>
        </w:tc>
        <w:tc>
          <w:tcPr>
            <w:tcW w:w="0" w:type="dxa"/>
            <w:vAlign w:val="bottom"/>
          </w:tcPr>
          <w:p>
            <w:pPr>
              <w:spacing w:after="0"/>
              <w:rPr>
                <w:sz w:val="1"/>
                <w:szCs w:val="1"/>
                <w:color w:val="auto"/>
              </w:rPr>
            </w:pPr>
          </w:p>
        </w:tc>
      </w:tr>
      <w:tr>
        <w:trPr>
          <w:trHeight w:val="249"/>
        </w:trPr>
        <w:tc>
          <w:tcPr>
            <w:tcW w:w="5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Term (years)</w:t>
            </w: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ind w:right="1014"/>
              <w:spacing w:after="0"/>
              <w:rPr>
                <w:sz w:val="20"/>
                <w:szCs w:val="20"/>
                <w:color w:val="auto"/>
              </w:rPr>
            </w:pPr>
            <w:r>
              <w:rPr>
                <w:rFonts w:ascii="Arial" w:cs="Arial" w:eastAsia="Arial" w:hAnsi="Arial"/>
                <w:sz w:val="18"/>
                <w:szCs w:val="18"/>
                <w:color w:val="auto"/>
                <w:w w:val="85"/>
              </w:rPr>
              <w:t>5.55</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Volatility</w:t>
            </w:r>
          </w:p>
        </w:tc>
        <w:tc>
          <w:tcPr>
            <w:tcW w:w="1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20" w:type="dxa"/>
            <w:vAlign w:val="bottom"/>
          </w:tcPr>
          <w:p>
            <w:pPr>
              <w:jc w:val="center"/>
              <w:ind w:right="1014"/>
              <w:spacing w:after="0"/>
              <w:rPr>
                <w:sz w:val="20"/>
                <w:szCs w:val="20"/>
                <w:color w:val="auto"/>
              </w:rPr>
            </w:pPr>
            <w:r>
              <w:rPr>
                <w:rFonts w:ascii="Arial" w:cs="Arial" w:eastAsia="Arial" w:hAnsi="Arial"/>
                <w:sz w:val="18"/>
                <w:szCs w:val="18"/>
                <w:color w:val="auto"/>
                <w:w w:val="88"/>
              </w:rPr>
              <w:t>39.47%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Risk-free rate</w:t>
            </w:r>
          </w:p>
        </w:tc>
        <w:tc>
          <w:tcPr>
            <w:tcW w:w="1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center"/>
              <w:ind w:right="1014"/>
              <w:spacing w:after="0"/>
              <w:rPr>
                <w:sz w:val="20"/>
                <w:szCs w:val="20"/>
                <w:color w:val="auto"/>
              </w:rPr>
            </w:pPr>
            <w:r>
              <w:rPr>
                <w:rFonts w:ascii="Arial" w:cs="Arial" w:eastAsia="Arial" w:hAnsi="Arial"/>
                <w:sz w:val="18"/>
                <w:szCs w:val="18"/>
                <w:color w:val="auto"/>
                <w:w w:val="90"/>
              </w:rPr>
              <w:t>1.86%</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Dividend yield</w:t>
            </w:r>
          </w:p>
        </w:tc>
        <w:tc>
          <w:tcPr>
            <w:tcW w:w="1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gridSpan w:val="2"/>
          </w:tcPr>
          <w:p>
            <w:pPr>
              <w:jc w:val="center"/>
              <w:ind w:right="11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15"/>
        </w:trPr>
        <w:tc>
          <w:tcPr>
            <w:tcW w:w="10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84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vMerge w:val="restart"/>
          </w:tcPr>
          <w:p>
            <w:pPr>
              <w:spacing w:after="0"/>
              <w:rPr>
                <w:sz w:val="24"/>
                <w:szCs w:val="24"/>
                <w:color w:val="auto"/>
              </w:rPr>
            </w:pPr>
          </w:p>
        </w:tc>
        <w:tc>
          <w:tcPr>
            <w:tcW w:w="19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Weighted-Average Exercise</w:t>
            </w:r>
          </w:p>
        </w:tc>
        <w:tc>
          <w:tcPr>
            <w:tcW w:w="140" w:type="dxa"/>
            <w:vAlign w:val="bottom"/>
          </w:tcPr>
          <w:p>
            <w:pPr>
              <w:spacing w:after="0"/>
              <w:rPr>
                <w:sz w:val="24"/>
                <w:szCs w:val="24"/>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Weighted-Average Grant</w:t>
            </w:r>
          </w:p>
        </w:tc>
        <w:tc>
          <w:tcPr>
            <w:tcW w:w="0" w:type="dxa"/>
            <w:vAlign w:val="bottom"/>
          </w:tcPr>
          <w:p>
            <w:pPr>
              <w:spacing w:after="0"/>
              <w:rPr>
                <w:sz w:val="1"/>
                <w:szCs w:val="1"/>
                <w:color w:val="auto"/>
              </w:rPr>
            </w:pPr>
          </w:p>
        </w:tc>
      </w:tr>
      <w:tr>
        <w:trPr>
          <w:trHeight w:val="192"/>
        </w:trPr>
        <w:tc>
          <w:tcPr>
            <w:tcW w:w="100" w:type="dxa"/>
            <w:vAlign w:val="bottom"/>
          </w:tcPr>
          <w:p>
            <w:pPr>
              <w:spacing w:after="0"/>
              <w:rPr>
                <w:sz w:val="16"/>
                <w:szCs w:val="16"/>
                <w:color w:val="auto"/>
              </w:rPr>
            </w:pPr>
          </w:p>
        </w:tc>
        <w:tc>
          <w:tcPr>
            <w:tcW w:w="530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20" w:type="dxa"/>
            <w:vAlign w:val="bottom"/>
            <w:tcBorders>
              <w:bottom w:val="single" w:sz="8" w:color="auto"/>
            </w:tcBorders>
            <w:gridSpan w:val="3"/>
          </w:tcPr>
          <w:p>
            <w:pPr>
              <w:jc w:val="center"/>
              <w:ind w:left="515"/>
              <w:spacing w:after="0"/>
              <w:rPr>
                <w:sz w:val="20"/>
                <w:szCs w:val="20"/>
                <w:color w:val="auto"/>
              </w:rPr>
            </w:pPr>
            <w:r>
              <w:rPr>
                <w:rFonts w:ascii="Arial" w:cs="Arial" w:eastAsia="Arial" w:hAnsi="Arial"/>
                <w:sz w:val="14"/>
                <w:szCs w:val="14"/>
                <w:b w:val="1"/>
                <w:bCs w:val="1"/>
                <w:color w:val="auto"/>
                <w:w w:val="87"/>
              </w:rPr>
              <w:t>Price</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Date Fair Value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2018</w:t>
            </w:r>
          </w:p>
        </w:tc>
        <w:tc>
          <w:tcPr>
            <w:tcW w:w="19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Granted</w:t>
            </w:r>
          </w:p>
        </w:tc>
        <w:tc>
          <w:tcPr>
            <w:tcW w:w="1840" w:type="dxa"/>
            <w:vAlign w:val="bottom"/>
          </w:tcPr>
          <w:p>
            <w:pPr>
              <w:jc w:val="right"/>
              <w:ind w:right="72"/>
              <w:spacing w:after="0"/>
              <w:rPr>
                <w:sz w:val="20"/>
                <w:szCs w:val="20"/>
                <w:color w:val="auto"/>
              </w:rPr>
            </w:pPr>
            <w:r>
              <w:rPr>
                <w:rFonts w:ascii="Arial" w:cs="Arial" w:eastAsia="Arial" w:hAnsi="Arial"/>
                <w:sz w:val="18"/>
                <w:szCs w:val="18"/>
                <w:color w:val="auto"/>
              </w:rPr>
              <w:t>1,165,000</w:t>
            </w:r>
          </w:p>
        </w:tc>
        <w:tc>
          <w:tcPr>
            <w:tcW w:w="120" w:type="dxa"/>
            <w:vAlign w:val="bottom"/>
          </w:tcPr>
          <w:p>
            <w:pPr>
              <w:spacing w:after="0"/>
              <w:rPr>
                <w:sz w:val="21"/>
                <w:szCs w:val="21"/>
                <w:color w:val="auto"/>
              </w:rPr>
            </w:pPr>
          </w:p>
        </w:tc>
        <w:tc>
          <w:tcPr>
            <w:tcW w:w="780" w:type="dxa"/>
            <w:vAlign w:val="bottom"/>
          </w:tcPr>
          <w:p>
            <w:pPr>
              <w:jc w:val="right"/>
              <w:ind w:right="595"/>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jc w:val="right"/>
              <w:ind w:right="73"/>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74"/>
              <w:spacing w:after="0"/>
              <w:rPr>
                <w:sz w:val="20"/>
                <w:szCs w:val="20"/>
                <w:color w:val="auto"/>
              </w:rPr>
            </w:pPr>
            <w:r>
              <w:rPr>
                <w:rFonts w:ascii="Arial" w:cs="Arial" w:eastAsia="Arial" w:hAnsi="Arial"/>
                <w:sz w:val="18"/>
                <w:szCs w:val="18"/>
                <w:color w:val="auto"/>
              </w:rPr>
              <w:t>2.57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100" w:type="dxa"/>
            <w:vAlign w:val="bottom"/>
          </w:tcPr>
          <w:p>
            <w:pPr>
              <w:spacing w:after="0"/>
              <w:rPr>
                <w:sz w:val="22"/>
                <w:szCs w:val="22"/>
                <w:color w:val="auto"/>
              </w:rPr>
            </w:pPr>
          </w:p>
        </w:tc>
        <w:tc>
          <w:tcPr>
            <w:tcW w:w="5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9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840" w:type="dxa"/>
            <w:vAlign w:val="bottom"/>
          </w:tcPr>
          <w:p>
            <w:pPr>
              <w:jc w:val="right"/>
              <w:ind w:right="32"/>
              <w:spacing w:after="0"/>
              <w:rPr>
                <w:sz w:val="20"/>
                <w:szCs w:val="20"/>
                <w:color w:val="auto"/>
              </w:rPr>
            </w:pPr>
            <w:r>
              <w:rPr>
                <w:rFonts w:ascii="Arial" w:cs="Arial" w:eastAsia="Arial" w:hAnsi="Arial"/>
                <w:sz w:val="18"/>
                <w:szCs w:val="18"/>
                <w:color w:val="auto"/>
              </w:rPr>
              <w:t>(6,667)</w:t>
            </w:r>
          </w:p>
        </w:tc>
        <w:tc>
          <w:tcPr>
            <w:tcW w:w="120" w:type="dxa"/>
            <w:vAlign w:val="bottom"/>
          </w:tcPr>
          <w:p>
            <w:pPr>
              <w:spacing w:after="0"/>
              <w:rPr>
                <w:sz w:val="21"/>
                <w:szCs w:val="21"/>
                <w:color w:val="auto"/>
              </w:rPr>
            </w:pPr>
          </w:p>
        </w:tc>
        <w:tc>
          <w:tcPr>
            <w:tcW w:w="780" w:type="dxa"/>
            <w:vAlign w:val="bottom"/>
          </w:tcPr>
          <w:p>
            <w:pPr>
              <w:jc w:val="right"/>
              <w:ind w:right="595"/>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jc w:val="right"/>
              <w:ind w:right="73"/>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74"/>
              <w:spacing w:after="0"/>
              <w:rPr>
                <w:sz w:val="20"/>
                <w:szCs w:val="20"/>
                <w:color w:val="auto"/>
              </w:rPr>
            </w:pPr>
            <w:r>
              <w:rPr>
                <w:rFonts w:ascii="Arial" w:cs="Arial" w:eastAsia="Arial" w:hAnsi="Arial"/>
                <w:sz w:val="18"/>
                <w:szCs w:val="18"/>
                <w:color w:val="auto"/>
              </w:rPr>
              <w:t>2.57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100" w:type="dxa"/>
            <w:vAlign w:val="bottom"/>
          </w:tcPr>
          <w:p>
            <w:pPr>
              <w:spacing w:after="0"/>
              <w:rPr>
                <w:sz w:val="22"/>
                <w:szCs w:val="22"/>
                <w:color w:val="auto"/>
              </w:rPr>
            </w:pPr>
          </w:p>
        </w:tc>
        <w:tc>
          <w:tcPr>
            <w:tcW w:w="5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Expired</w:t>
            </w: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(3,333)</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95"/>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6.57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2.57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Outstanding as of December 31, 2019</w:t>
            </w:r>
          </w:p>
        </w:tc>
        <w:tc>
          <w:tcPr>
            <w:tcW w:w="1840" w:type="dxa"/>
            <w:vAlign w:val="bottom"/>
          </w:tcPr>
          <w:p>
            <w:pPr>
              <w:jc w:val="right"/>
              <w:ind w:right="72"/>
              <w:spacing w:after="0"/>
              <w:rPr>
                <w:sz w:val="20"/>
                <w:szCs w:val="20"/>
                <w:color w:val="auto"/>
              </w:rPr>
            </w:pPr>
            <w:r>
              <w:rPr>
                <w:rFonts w:ascii="Arial" w:cs="Arial" w:eastAsia="Arial" w:hAnsi="Arial"/>
                <w:sz w:val="18"/>
                <w:szCs w:val="18"/>
                <w:color w:val="auto"/>
              </w:rPr>
              <w:t>1,155,000</w:t>
            </w:r>
          </w:p>
        </w:tc>
        <w:tc>
          <w:tcPr>
            <w:tcW w:w="120" w:type="dxa"/>
            <w:vAlign w:val="bottom"/>
          </w:tcPr>
          <w:p>
            <w:pPr>
              <w:spacing w:after="0"/>
              <w:rPr>
                <w:sz w:val="21"/>
                <w:szCs w:val="21"/>
                <w:color w:val="auto"/>
              </w:rPr>
            </w:pPr>
          </w:p>
        </w:tc>
        <w:tc>
          <w:tcPr>
            <w:tcW w:w="780" w:type="dxa"/>
            <w:vAlign w:val="bottom"/>
          </w:tcPr>
          <w:p>
            <w:pPr>
              <w:jc w:val="right"/>
              <w:ind w:right="595"/>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jc w:val="right"/>
              <w:ind w:right="73"/>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100" w:type="dxa"/>
            <w:vAlign w:val="bottom"/>
          </w:tcPr>
          <w:p>
            <w:pPr>
              <w:spacing w:after="0"/>
              <w:rPr>
                <w:sz w:val="22"/>
                <w:szCs w:val="22"/>
                <w:color w:val="auto"/>
              </w:rPr>
            </w:pPr>
          </w:p>
        </w:tc>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and Exercisable as of December 31, 2019</w:t>
            </w:r>
          </w:p>
        </w:tc>
        <w:tc>
          <w:tcPr>
            <w:tcW w:w="18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385,000</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95"/>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6.57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2.57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530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-1893570</wp:posOffset>
            </wp:positionV>
            <wp:extent cx="51689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68900" cy="8890"/>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-350520</wp:posOffset>
            </wp:positionV>
            <wp:extent cx="3368675" cy="1797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8675" cy="179705"/>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-702310</wp:posOffset>
            </wp:positionV>
            <wp:extent cx="3368675" cy="1797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8675" cy="179705"/>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-1053465</wp:posOffset>
            </wp:positionV>
            <wp:extent cx="3368675" cy="1803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8675" cy="180340"/>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-1233805</wp:posOffset>
            </wp:positionV>
            <wp:extent cx="336867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303"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For the three and six months ended June 30, 2020, we recognized stock-based compensation expense of $1,962,431 and $1,962,431, respectively, related to the cancellation of all granted vested and unvested options, and the amount of cash received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22" w:right="33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40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from the exercise of stock options was $0 and $0, respectively. As of June 30, 2020, there was $0 of total unrecognized compensation cost related to non-vested stock options granted under the 2019 Plan.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2019 Equity Incentive Plan</w:t>
      </w:r>
    </w:p>
    <w:p>
      <w:pPr>
        <w:spacing w:after="0" w:line="25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On June 19, 2020, our Board of Directors adopted, and our stockholders approved, an amendment and restatement of the Company’s 2019 Equity Incentive Plan (the “Amended &amp; Restated 2019 Equity Incentive Plan”) under which the Company is authorized to grant equity awards for up to 1,627,967 shares of its common stock. In accordance with the exemptive relief granted to the Company by the SEC on June 16, 2020 with respect to the Amended &amp; Restated 2019 Equity Incentive Plan, the Company is generally authorized to (i) issue restricted shares as part of the compensation package for certain of its employees, officers and all directors, including non-employee directors (collectively, the “Participants”), (ii) issue options to acquire shares of its common stock (“Options”) to certain employees, officers and employee directors as a part of such compensation packages, (iii) withhold shares of the Company’s common stock or purchase shares of common stock from the Participants to satisfy tax withholding obligations relating to the vesting of restricted shares or the exercise of Options granted to the certain Participants pursuant to the Amended &amp; Restated 2019 Equity Incentive Plan, and (iv) permit the Participants to pay the exercise price of Options granted to them with shares of the Company’s common stock.</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 the Amended &amp; Restated 2019 Equity Incentive Plan, each non-employee director will receive an annual grant of $50,000 worth of restricted shares of common stock (based on the closing stock price of the common stock on the grant date). Each grant of $50,000 in restricted shares will vest if the non-employee director is in continuous service as a director of the Company through the anniversary of such grant (or, if earlier, the annual meeting of the Company’s stockholders that is closest to the anniversary of such grant).</w:t>
      </w:r>
    </w:p>
    <w:p>
      <w:pPr>
        <w:spacing w:after="0" w:line="21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Other than such restricted shares granted to non-employee directors, the Company’s Compensation Committee may determine the time or times at which Options and restricted shares granted to other Participants will vest or become payable or exercisable, as applicable. The exercise price of each Option will not be less than 100% of the fair market value of the Company’s common stock on the date the option is granted. However, any optionee who owns more than 10% of the combined voting power of all classes of the Company’s outstanding common stock (a “10% Stockholder”), will not be eligible for the grant of an incentive stock option unless the exercise price of the incentive stock option is at least 110% of the fair market value of the Company’s common stock on the date of grant. Generally, no Option will be exercisable after the expiration of ten years from the date of grant. In the case of an Option granted to a 10% Stockholder, the term of an incentive stock option will be for no more than five years from the date of grant.</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12—SUBSEQUENT EVENTS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Activity</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From July 1, 2020 through August 6, 2020, the Company exited the following investments.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60" w:type="dxa"/>
            <w:vAlign w:val="bottom"/>
            <w:gridSpan w:val="2"/>
          </w:tcPr>
          <w:p>
            <w:pPr>
              <w:ind w:left="20"/>
              <w:spacing w:after="0"/>
              <w:rPr>
                <w:sz w:val="20"/>
                <w:szCs w:val="20"/>
                <w:color w:val="auto"/>
              </w:rPr>
            </w:pPr>
            <w:r>
              <w:rPr>
                <w:rFonts w:ascii="Arial" w:cs="Arial" w:eastAsia="Arial" w:hAnsi="Arial"/>
                <w:sz w:val="16"/>
                <w:szCs w:val="16"/>
                <w:b w:val="1"/>
                <w:bCs w:val="1"/>
                <w:color w:val="auto"/>
              </w:rPr>
              <w:t>Portfolio Company</w:t>
            </w:r>
          </w:p>
        </w:tc>
        <w:tc>
          <w:tcPr>
            <w:tcW w:w="20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Transaction Date</w:t>
            </w:r>
          </w:p>
        </w:tc>
        <w:tc>
          <w:tcPr>
            <w:tcW w:w="2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Investment</w:t>
            </w:r>
          </w:p>
        </w:tc>
        <w:tc>
          <w:tcPr>
            <w:tcW w:w="16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Net Proceeds</w:t>
            </w:r>
          </w:p>
        </w:tc>
        <w:tc>
          <w:tcPr>
            <w:tcW w:w="180" w:type="dxa"/>
            <w:vAlign w:val="bottom"/>
          </w:tcPr>
          <w:p>
            <w:pPr>
              <w:spacing w:after="0"/>
              <w:rPr>
                <w:sz w:val="18"/>
                <w:szCs w:val="18"/>
                <w:color w:val="auto"/>
              </w:rPr>
            </w:pPr>
          </w:p>
        </w:tc>
        <w:tc>
          <w:tcPr>
            <w:tcW w:w="1260" w:type="dxa"/>
            <w:vAlign w:val="bottom"/>
          </w:tcPr>
          <w:p>
            <w:pPr>
              <w:jc w:val="right"/>
              <w:ind w:right="155"/>
              <w:spacing w:after="0"/>
              <w:rPr>
                <w:sz w:val="20"/>
                <w:szCs w:val="20"/>
                <w:color w:val="auto"/>
              </w:rPr>
            </w:pPr>
            <w:r>
              <w:rPr>
                <w:rFonts w:ascii="Arial" w:cs="Arial" w:eastAsia="Arial" w:hAnsi="Arial"/>
                <w:sz w:val="16"/>
                <w:szCs w:val="16"/>
                <w:b w:val="1"/>
                <w:bCs w:val="1"/>
                <w:color w:val="auto"/>
                <w:w w:val="93"/>
              </w:rPr>
              <w:t>Realized Loss</w:t>
            </w:r>
          </w:p>
        </w:tc>
      </w:tr>
      <w:tr>
        <w:trPr>
          <w:trHeight w:val="33"/>
        </w:trPr>
        <w:tc>
          <w:tcPr>
            <w:tcW w:w="3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4C Insights (f/k/a The Echo Systems Corp.)</w:t>
            </w:r>
          </w:p>
        </w:tc>
        <w:tc>
          <w:tcPr>
            <w:tcW w:w="192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7/29/2020</w:t>
            </w:r>
          </w:p>
        </w:tc>
        <w:tc>
          <w:tcPr>
            <w:tcW w:w="100" w:type="dxa"/>
            <w:vAlign w:val="bottom"/>
            <w:shd w:val="clear" w:color="auto" w:fill="CCEEFF"/>
          </w:tcPr>
          <w:p>
            <w:pPr>
              <w:spacing w:after="0"/>
              <w:rPr>
                <w:sz w:val="20"/>
                <w:szCs w:val="20"/>
                <w:color w:val="auto"/>
              </w:rPr>
            </w:pPr>
          </w:p>
        </w:tc>
        <w:tc>
          <w:tcPr>
            <w:tcW w:w="22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Common Shares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813,093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(623,311)</w:t>
            </w:r>
          </w:p>
        </w:tc>
      </w:tr>
      <w:tr>
        <w:trPr>
          <w:trHeight w:val="27"/>
        </w:trPr>
        <w:tc>
          <w:tcPr>
            <w:tcW w:w="3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From July 1, 2020 through August 6, 2020, the Company funded investments in an aggregate amount of $2,838,354 (not including capitalized transaction costs) as shown in the following table: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40" w:type="dxa"/>
            <w:vAlign w:val="bottom"/>
            <w:gridSpan w:val="2"/>
          </w:tcPr>
          <w:p>
            <w:pPr>
              <w:ind w:left="20"/>
              <w:spacing w:after="0"/>
              <w:rPr>
                <w:sz w:val="20"/>
                <w:szCs w:val="20"/>
                <w:color w:val="auto"/>
              </w:rPr>
            </w:pPr>
            <w:r>
              <w:rPr>
                <w:rFonts w:ascii="Arial" w:cs="Arial" w:eastAsia="Arial" w:hAnsi="Arial"/>
                <w:sz w:val="16"/>
                <w:szCs w:val="16"/>
                <w:b w:val="1"/>
                <w:bCs w:val="1"/>
                <w:color w:val="auto"/>
              </w:rPr>
              <w:t>Portfolio Company</w:t>
            </w:r>
          </w:p>
        </w:tc>
        <w:tc>
          <w:tcPr>
            <w:tcW w:w="3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Investment</w:t>
            </w: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Transaction Date</w:t>
            </w:r>
          </w:p>
        </w:tc>
        <w:tc>
          <w:tcPr>
            <w:tcW w:w="280" w:type="dxa"/>
            <w:vAlign w:val="bottom"/>
          </w:tcPr>
          <w:p>
            <w:pPr>
              <w:spacing w:after="0"/>
              <w:rPr>
                <w:sz w:val="18"/>
                <w:szCs w:val="18"/>
                <w:color w:val="auto"/>
              </w:rPr>
            </w:pPr>
          </w:p>
        </w:tc>
        <w:tc>
          <w:tcPr>
            <w:tcW w:w="1700" w:type="dxa"/>
            <w:vAlign w:val="bottom"/>
          </w:tcPr>
          <w:p>
            <w:pPr>
              <w:jc w:val="right"/>
              <w:ind w:right="335"/>
              <w:spacing w:after="0"/>
              <w:rPr>
                <w:sz w:val="20"/>
                <w:szCs w:val="20"/>
                <w:color w:val="auto"/>
              </w:rPr>
            </w:pPr>
            <w:r>
              <w:rPr>
                <w:rFonts w:ascii="Arial" w:cs="Arial" w:eastAsia="Arial" w:hAnsi="Arial"/>
                <w:sz w:val="16"/>
                <w:szCs w:val="16"/>
                <w:b w:val="1"/>
                <w:bCs w:val="1"/>
                <w:color w:val="auto"/>
                <w:w w:val="99"/>
              </w:rPr>
              <w:t>Gross Payments</w:t>
            </w:r>
          </w:p>
        </w:tc>
      </w:tr>
      <w:tr>
        <w:trPr>
          <w:trHeight w:val="33"/>
        </w:trPr>
        <w:tc>
          <w:tcPr>
            <w:tcW w:w="3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7"/>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Coursera, Inc.</w:t>
            </w:r>
          </w:p>
        </w:tc>
        <w:tc>
          <w:tcPr>
            <w:tcW w:w="35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Preferred Shares, Series F</w:t>
            </w:r>
          </w:p>
        </w:tc>
        <w:tc>
          <w:tcPr>
            <w:tcW w:w="1840" w:type="dxa"/>
            <w:vAlign w:val="bottom"/>
            <w:shd w:val="clear" w:color="auto" w:fill="CCEEFF"/>
          </w:tcPr>
          <w:p>
            <w:pPr>
              <w:jc w:val="right"/>
              <w:ind w:right="475"/>
              <w:spacing w:after="0"/>
              <w:rPr>
                <w:sz w:val="20"/>
                <w:szCs w:val="20"/>
                <w:color w:val="auto"/>
              </w:rPr>
            </w:pPr>
            <w:r>
              <w:rPr>
                <w:rFonts w:ascii="Arial" w:cs="Arial" w:eastAsia="Arial" w:hAnsi="Arial"/>
                <w:sz w:val="18"/>
                <w:szCs w:val="18"/>
                <w:color w:val="auto"/>
              </w:rPr>
              <w:t>7/15/2020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2,838,354</w:t>
            </w:r>
          </w:p>
        </w:tc>
      </w:tr>
      <w:tr>
        <w:trPr>
          <w:trHeight w:val="27"/>
        </w:trPr>
        <w:tc>
          <w:tcPr>
            <w:tcW w:w="3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both"/>
        <w:ind w:firstLine="364"/>
        <w:spacing w:after="0" w:line="263" w:lineRule="auto"/>
        <w:rPr>
          <w:sz w:val="20"/>
          <w:szCs w:val="20"/>
          <w:color w:val="auto"/>
        </w:rPr>
      </w:pPr>
      <w:r>
        <w:rPr>
          <w:rFonts w:ascii="Arial" w:cs="Arial" w:eastAsia="Arial" w:hAnsi="Arial"/>
          <w:sz w:val="18"/>
          <w:szCs w:val="18"/>
          <w:color w:val="auto"/>
        </w:rPr>
        <w:t>The Company is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22" w:right="33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40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refusal by the issuer and/or its stockholders and termination rights by the seller or the Company. Equity investments made through the secondary market may involve making deposits in escrow accounts until the applicable closing conditions are satisfied, at which time the escrow accounts will close and such equity investments will be effectuated.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July 29, 2020, the Company’s Board of Directors declared a dividend of $0.15 per share payable on August 25, 2020 to stockholders of record as of the close of business on August 11, 2020. The dividend will be paid in cash.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4.75% Convertible Senior Notes due 2023</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From July 1, 2020 through August 6, 2020, the Company issued 169,442 shares of its common stock upon the conversion of $1,730,000 in aggregate principal amount of the 4.75% Convertible Senior Notes due 2023.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At-the-Market Offering</w:t>
      </w:r>
    </w:p>
    <w:p>
      <w:pPr>
        <w:spacing w:after="0" w:line="25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On July 29, 2020, the Company entered into an At-the-Market Sales Agreement, dated July 29, 2020 (the “Sales Agreement”), with BTIG, LLC, JMP Securities LLC and Ladenburg Thalmann &amp; Co., Inc. (collectively, the “Agents”). Under the Sales Agreement, the Company may, but has no obligation to, issue and sell up to $50,000,000 in aggregate amount of shares of its common stock (the “Shares”) from time to time through the Agents or to them as principal for their own account. The Company intends to use the net proceeds from this “at-the-market” offering to make investments in portfolio companies in accordance with its investment objective and strategy and for general corporate purposes.</w:t>
      </w:r>
    </w:p>
    <w:p>
      <w:pPr>
        <w:spacing w:after="0" w:line="20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Sales of the Shares, if any, will be made pursuant to the prospectus supplement, dated July 29, 2020 (the “Prospectus Supplement”), as may be supplemented from time to time, and the base prospectus, dated July 27, 2020, by any method that is deemed to be an “at-the-market” offering as defined in Rule 415 under the Securities Act of 1933, as amended, including sales made directly on the Nasdaq Capital Market or sales made to or through a market maker other than on an exchange, at market prices prevailing at the time of sale, at prices related to prevailing market prices or at other negotiated prices. Actual sales in this “at-the-market” offering will depend on a variety of factors to be determined by the Company from time to time.</w:t>
      </w:r>
    </w:p>
    <w:p>
      <w:pPr>
        <w:spacing w:after="0" w:line="18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Agents will receive a commission from the Company equal to up to 2.0% of the gross sales price of any Shares sold through the Agents under the Sales Agreement and reimbursement of certain expenses. The Sales Agreement contains customary representations, warranties and agreements of the Company, conditions to closing, indemnification rights and obligations of the parties and termination provisions.</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From July 29, 2020 through August 6, 2020, the Company issued and sold 305,469 Shares under this “at-the-market” offering for gross proceeds of approximately $3,937,500 million and net proceeds of approximately $3,858,750 million, after deducting commissions to the Agents on the Shares sold and offering expenses. As a result, as of August 6, 2020, up to approximately $46.1 million in aggregate amount of the Shares remain available for sale under this “at-the-market” offering.</w:t>
      </w:r>
    </w:p>
    <w:p>
      <w:pPr>
        <w:spacing w:after="0" w:line="21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Further details regarding the Sales Agreement and the “at-the-market” offering are set forth in the Prospectus Supplement filed with the SEC on July 30, 2020. The foregoing description of the Sales Agreement is not complete and is qualified in its entirety by reference to the full text of the Sales Agreement, a copy of which is attached as Exhibit 10.1 to the Company’s Current Report on Form 8-K filed with the SEC on August 3,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25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Company has been closely monitoring the COVID-19 pandemic, its broader impact on the global economy and the more recent impacts on the U.S. economy. Subsequent to June 30, 2020, the global outbreak of the COVID-19 pandemic, and the related effect on the U.S. and global economies, may have adverse consequences for the business operations of some of the Company’s portfolio companies and, as a result, may have adverse effects on the Company’s operations. The ultimate economic fallout from the pandemic, and the long-term impact on economies, markets, industries and individual issuers, remain uncertain. The operational and financial performance of the issuers of securities in which the Company invests depends on</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240"/>
          </w:cols>
          <w:pgMar w:left="320" w:top="122" w:right="339" w:bottom="1440" w:gutter="0" w:footer="0" w:header="0"/>
          <w:type w:val="continuous"/>
        </w:sectPr>
      </w:pPr>
    </w:p>
    <w:bookmarkStart w:id="54" w:name="page55"/>
    <w:bookmarkEnd w:id="5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4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developments, including the duration and spread of the outbreak, and such uncertainty may in turn adversely affect the value and liquidity of the Company’s investments and negatively impact the Company’s performance.</w:t>
      </w:r>
    </w:p>
    <w:p>
      <w:pPr>
        <w:spacing w:after="0" w:line="197"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As of August 6, 2020, there is no indication of a reportable subsequent event impacting the Company’s financial statements for the three months ended June 30, 2020. The Company continues to observe and respond to the evolving COVID-19 environment and its potential impact on areas across its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13—SUPPLEMENTAL FINANCIAL DATA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Financial Information of Unconsolidated Subsidiaries</w:t>
      </w:r>
    </w:p>
    <w:p>
      <w:pPr>
        <w:spacing w:after="0" w:line="256" w:lineRule="exact"/>
        <w:rPr>
          <w:sz w:val="20"/>
          <w:szCs w:val="20"/>
          <w:color w:val="auto"/>
        </w:rPr>
      </w:pPr>
    </w:p>
    <w:p>
      <w:pPr>
        <w:jc w:val="both"/>
        <w:ind w:firstLine="364"/>
        <w:spacing w:after="0" w:line="286" w:lineRule="auto"/>
        <w:rPr>
          <w:sz w:val="20"/>
          <w:szCs w:val="20"/>
          <w:color w:val="auto"/>
        </w:rPr>
      </w:pPr>
      <w:r>
        <w:rPr>
          <w:rFonts w:ascii="Arial" w:cs="Arial" w:eastAsia="Arial" w:hAnsi="Arial"/>
          <w:sz w:val="16"/>
          <w:szCs w:val="16"/>
          <w:color w:val="auto"/>
        </w:rPr>
        <w:t>In accordance with the SEC’s Regulation S-X and GAAP, the Company is not permitted to consolidate any subsidiary or other entity that is not an investment company, including those in which the Company has a controlling interest; however, the Company must disclose certain financial information related to any subsidiaries or other entities that are considered to be “significant subsidiaries” under the applicable rules of Regulation S-X. As of June 30, 2020, the Company had investments in at least one portfolio company considered to be a significant subsidiary under SEC Regulation S-X Rule 10-01(b)</w:t>
      </w:r>
    </w:p>
    <w:p>
      <w:pPr>
        <w:spacing w:after="0" w:line="1" w:lineRule="exact"/>
        <w:rPr>
          <w:sz w:val="20"/>
          <w:szCs w:val="20"/>
          <w:color w:val="auto"/>
        </w:rPr>
      </w:pPr>
    </w:p>
    <w:p>
      <w:pPr>
        <w:ind w:firstLine="8"/>
        <w:spacing w:after="0" w:line="260" w:lineRule="auto"/>
        <w:tabs>
          <w:tab w:leader="none" w:pos="27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and Regulation S-X Rule 4-08(g). Below is summarized, unaudited, comparative financial information for the Company’s unconsolidated significant subsidiaries.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Borders>
              <w:bottom w:val="single" w:sz="8" w:color="auto"/>
            </w:tcBorders>
          </w:tcPr>
          <w:p>
            <w:pPr>
              <w:spacing w:after="0"/>
              <w:rPr>
                <w:sz w:val="16"/>
                <w:szCs w:val="16"/>
                <w:color w:val="auto"/>
              </w:rPr>
            </w:pPr>
          </w:p>
        </w:tc>
        <w:tc>
          <w:tcPr>
            <w:tcW w:w="7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Income Statement Data for the Three Months Ended</w:t>
            </w:r>
            <w:r>
              <w:rPr>
                <w:rFonts w:ascii="Arial" w:cs="Arial" w:eastAsia="Arial" w:hAnsi="Arial"/>
                <w:sz w:val="9"/>
                <w:szCs w:val="9"/>
                <w:b w:val="1"/>
                <w:bCs w:val="1"/>
                <w:color w:val="auto"/>
              </w:rPr>
              <w:t>(1)</w:t>
            </w:r>
            <w:r>
              <w:rPr>
                <w:rFonts w:ascii="Arial" w:cs="Arial" w:eastAsia="Arial" w:hAnsi="Arial"/>
                <w:sz w:val="14"/>
                <w:szCs w:val="14"/>
                <w:b w:val="1"/>
                <w:bCs w:val="1"/>
                <w:color w:val="auto"/>
              </w:rPr>
              <w:t>:</w:t>
            </w:r>
          </w:p>
        </w:tc>
        <w:tc>
          <w:tcPr>
            <w:tcW w:w="120" w:type="dxa"/>
            <w:vAlign w:val="bottom"/>
            <w:tcBorders>
              <w:bottom w:val="single" w:sz="8" w:color="CCEEFF"/>
            </w:tcBorders>
            <w:gridSpan w:val="2"/>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June 30, 2019</w:t>
            </w: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80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Revenue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105,705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5,906,873</w:t>
            </w:r>
          </w:p>
        </w:tc>
      </w:tr>
      <w:tr>
        <w:trPr>
          <w:trHeight w:val="224"/>
        </w:trPr>
        <w:tc>
          <w:tcPr>
            <w:tcW w:w="20" w:type="dxa"/>
            <w:vAlign w:val="bottom"/>
          </w:tcPr>
          <w:p>
            <w:pPr>
              <w:spacing w:after="0"/>
              <w:rPr>
                <w:sz w:val="19"/>
                <w:szCs w:val="19"/>
                <w:color w:val="auto"/>
              </w:rPr>
            </w:pPr>
          </w:p>
        </w:tc>
        <w:tc>
          <w:tcPr>
            <w:tcW w:w="8000" w:type="dxa"/>
            <w:vAlign w:val="bottom"/>
            <w:gridSpan w:val="3"/>
          </w:tcPr>
          <w:p>
            <w:pPr>
              <w:spacing w:after="0"/>
              <w:rPr>
                <w:sz w:val="20"/>
                <w:szCs w:val="20"/>
                <w:color w:val="auto"/>
              </w:rPr>
            </w:pPr>
            <w:r>
              <w:rPr>
                <w:rFonts w:ascii="Arial" w:cs="Arial" w:eastAsia="Arial" w:hAnsi="Arial"/>
                <w:sz w:val="16"/>
                <w:szCs w:val="16"/>
                <w:color w:val="auto"/>
              </w:rPr>
              <w:t>Gross profit</w:t>
            </w:r>
          </w:p>
        </w:tc>
        <w:tc>
          <w:tcPr>
            <w:tcW w:w="240" w:type="dxa"/>
            <w:vAlign w:val="bottom"/>
          </w:tcPr>
          <w:p>
            <w:pPr>
              <w:spacing w:after="0"/>
              <w:rPr>
                <w:sz w:val="19"/>
                <w:szCs w:val="19"/>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(3,122)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16"/>
                <w:szCs w:val="16"/>
                <w:color w:val="auto"/>
              </w:rPr>
              <w:t>3,618,370</w:t>
            </w:r>
          </w:p>
        </w:tc>
      </w:tr>
      <w:tr>
        <w:trPr>
          <w:trHeight w:val="33"/>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80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Loss from operations</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(14,013)</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(1,663,892)</w:t>
            </w:r>
          </w:p>
        </w:tc>
      </w:tr>
      <w:tr>
        <w:trPr>
          <w:trHeight w:val="223"/>
        </w:trPr>
        <w:tc>
          <w:tcPr>
            <w:tcW w:w="20" w:type="dxa"/>
            <w:vAlign w:val="bottom"/>
          </w:tcPr>
          <w:p>
            <w:pPr>
              <w:spacing w:after="0"/>
              <w:rPr>
                <w:sz w:val="19"/>
                <w:szCs w:val="19"/>
                <w:color w:val="auto"/>
              </w:rPr>
            </w:pPr>
          </w:p>
        </w:tc>
        <w:tc>
          <w:tcPr>
            <w:tcW w:w="8000" w:type="dxa"/>
            <w:vAlign w:val="bottom"/>
            <w:gridSpan w:val="3"/>
          </w:tcPr>
          <w:p>
            <w:pPr>
              <w:spacing w:after="0"/>
              <w:rPr>
                <w:sz w:val="20"/>
                <w:szCs w:val="20"/>
                <w:color w:val="auto"/>
              </w:rPr>
            </w:pPr>
            <w:r>
              <w:rPr>
                <w:rFonts w:ascii="Arial" w:cs="Arial" w:eastAsia="Arial" w:hAnsi="Arial"/>
                <w:sz w:val="16"/>
                <w:szCs w:val="16"/>
                <w:color w:val="auto"/>
              </w:rPr>
              <w:t>Total net loss including net loss attributable to non-controlling interest</w:t>
            </w:r>
          </w:p>
        </w:tc>
        <w:tc>
          <w:tcPr>
            <w:tcW w:w="240" w:type="dxa"/>
            <w:vAlign w:val="bottom"/>
          </w:tcPr>
          <w:p>
            <w:pPr>
              <w:spacing w:after="0"/>
              <w:rPr>
                <w:sz w:val="19"/>
                <w:szCs w:val="19"/>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(14,013)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(1,663,892)</w:t>
            </w:r>
          </w:p>
        </w:tc>
      </w:tr>
      <w:tr>
        <w:trPr>
          <w:trHeight w:val="33"/>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80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Net loss attributable to non-controlling interest</w:t>
            </w: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r>
      <w:tr>
        <w:trPr>
          <w:trHeight w:val="561"/>
        </w:trPr>
        <w:tc>
          <w:tcPr>
            <w:tcW w:w="20" w:type="dxa"/>
            <w:vAlign w:val="bottom"/>
          </w:tcPr>
          <w:p>
            <w:pPr>
              <w:spacing w:after="0"/>
              <w:rPr>
                <w:sz w:val="24"/>
                <w:szCs w:val="24"/>
                <w:color w:val="auto"/>
              </w:rPr>
            </w:pPr>
          </w:p>
        </w:tc>
        <w:tc>
          <w:tcPr>
            <w:tcW w:w="79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Income Statement Data for the Six Months Ended</w:t>
            </w:r>
            <w:r>
              <w:rPr>
                <w:rFonts w:ascii="Arial" w:cs="Arial" w:eastAsia="Arial" w:hAnsi="Arial"/>
                <w:sz w:val="9"/>
                <w:szCs w:val="9"/>
                <w:b w:val="1"/>
                <w:bCs w:val="1"/>
                <w:color w:val="auto"/>
              </w:rPr>
              <w:t>(1)</w:t>
            </w: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June 30, 2019</w:t>
            </w:r>
          </w:p>
        </w:tc>
      </w:tr>
      <w:tr>
        <w:trPr>
          <w:trHeight w:val="236"/>
        </w:trPr>
        <w:tc>
          <w:tcPr>
            <w:tcW w:w="20" w:type="dxa"/>
            <w:vAlign w:val="bottom"/>
          </w:tcPr>
          <w:p>
            <w:pPr>
              <w:spacing w:after="0"/>
              <w:rPr>
                <w:sz w:val="20"/>
                <w:szCs w:val="20"/>
                <w:color w:val="auto"/>
              </w:rPr>
            </w:pPr>
          </w:p>
        </w:tc>
        <w:tc>
          <w:tcPr>
            <w:tcW w:w="80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215,847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11,552,985</w:t>
            </w:r>
          </w:p>
        </w:tc>
      </w:tr>
      <w:tr>
        <w:trPr>
          <w:trHeight w:val="224"/>
        </w:trPr>
        <w:tc>
          <w:tcPr>
            <w:tcW w:w="20" w:type="dxa"/>
            <w:vAlign w:val="bottom"/>
          </w:tcPr>
          <w:p>
            <w:pPr>
              <w:spacing w:after="0"/>
              <w:rPr>
                <w:sz w:val="19"/>
                <w:szCs w:val="19"/>
                <w:color w:val="auto"/>
              </w:rPr>
            </w:pPr>
          </w:p>
        </w:tc>
        <w:tc>
          <w:tcPr>
            <w:tcW w:w="8000" w:type="dxa"/>
            <w:vAlign w:val="bottom"/>
            <w:gridSpan w:val="3"/>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tcPr>
          <w:p>
            <w:pPr>
              <w:spacing w:after="0"/>
              <w:rPr>
                <w:sz w:val="19"/>
                <w:szCs w:val="19"/>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(1,808)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7,280,802</w:t>
            </w:r>
          </w:p>
        </w:tc>
      </w:tr>
      <w:tr>
        <w:trPr>
          <w:trHeight w:val="33"/>
        </w:trPr>
        <w:tc>
          <w:tcPr>
            <w:tcW w:w="20" w:type="dxa"/>
            <w:vAlign w:val="bottom"/>
          </w:tcPr>
          <w:p>
            <w:pPr>
              <w:spacing w:after="0"/>
              <w:rPr>
                <w:sz w:val="2"/>
                <w:szCs w:val="2"/>
                <w:color w:val="auto"/>
              </w:rPr>
            </w:pPr>
          </w:p>
        </w:tc>
        <w:tc>
          <w:tcPr>
            <w:tcW w:w="79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6"/>
        </w:trPr>
        <w:tc>
          <w:tcPr>
            <w:tcW w:w="20" w:type="dxa"/>
            <w:vAlign w:val="bottom"/>
          </w:tcPr>
          <w:p>
            <w:pPr>
              <w:spacing w:after="0"/>
              <w:rPr>
                <w:sz w:val="20"/>
                <w:szCs w:val="20"/>
                <w:color w:val="auto"/>
              </w:rPr>
            </w:pPr>
          </w:p>
        </w:tc>
        <w:tc>
          <w:tcPr>
            <w:tcW w:w="80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(28,630)</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(3,423,181)</w:t>
            </w:r>
          </w:p>
        </w:tc>
      </w:tr>
      <w:tr>
        <w:trPr>
          <w:trHeight w:val="224"/>
        </w:trPr>
        <w:tc>
          <w:tcPr>
            <w:tcW w:w="20" w:type="dxa"/>
            <w:vAlign w:val="bottom"/>
          </w:tcPr>
          <w:p>
            <w:pPr>
              <w:spacing w:after="0"/>
              <w:rPr>
                <w:sz w:val="19"/>
                <w:szCs w:val="19"/>
                <w:color w:val="auto"/>
              </w:rPr>
            </w:pPr>
          </w:p>
        </w:tc>
        <w:tc>
          <w:tcPr>
            <w:tcW w:w="8000" w:type="dxa"/>
            <w:vAlign w:val="bottom"/>
            <w:gridSpan w:val="3"/>
          </w:tcPr>
          <w:p>
            <w:pPr>
              <w:ind w:left="20"/>
              <w:spacing w:after="0"/>
              <w:rPr>
                <w:sz w:val="20"/>
                <w:szCs w:val="20"/>
                <w:color w:val="auto"/>
              </w:rPr>
            </w:pPr>
            <w:r>
              <w:rPr>
                <w:rFonts w:ascii="Arial" w:cs="Arial" w:eastAsia="Arial" w:hAnsi="Arial"/>
                <w:sz w:val="16"/>
                <w:szCs w:val="16"/>
                <w:color w:val="auto"/>
              </w:rPr>
              <w:t>Total net loss including net loss attributable to non-controlling interest</w:t>
            </w:r>
          </w:p>
        </w:tc>
        <w:tc>
          <w:tcPr>
            <w:tcW w:w="240" w:type="dxa"/>
            <w:vAlign w:val="bottom"/>
          </w:tcPr>
          <w:p>
            <w:pPr>
              <w:spacing w:after="0"/>
              <w:rPr>
                <w:sz w:val="19"/>
                <w:szCs w:val="19"/>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(28,630)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(3,423,181)</w:t>
            </w:r>
          </w:p>
        </w:tc>
      </w:tr>
      <w:tr>
        <w:trPr>
          <w:trHeight w:val="33"/>
        </w:trPr>
        <w:tc>
          <w:tcPr>
            <w:tcW w:w="20" w:type="dxa"/>
            <w:vAlign w:val="bottom"/>
          </w:tcPr>
          <w:p>
            <w:pPr>
              <w:spacing w:after="0"/>
              <w:rPr>
                <w:sz w:val="2"/>
                <w:szCs w:val="2"/>
                <w:color w:val="auto"/>
              </w:rPr>
            </w:pPr>
          </w:p>
        </w:tc>
        <w:tc>
          <w:tcPr>
            <w:tcW w:w="79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80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Net loss attributable to non-controlling interest</w:t>
            </w:r>
          </w:p>
        </w:tc>
        <w:tc>
          <w:tcPr>
            <w:tcW w:w="2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r>
      <w:tr>
        <w:trPr>
          <w:trHeight w:val="33"/>
        </w:trPr>
        <w:tc>
          <w:tcPr>
            <w:tcW w:w="20" w:type="dxa"/>
            <w:vAlign w:val="bottom"/>
          </w:tcPr>
          <w:p>
            <w:pPr>
              <w:spacing w:after="0"/>
              <w:rPr>
                <w:sz w:val="2"/>
                <w:szCs w:val="2"/>
                <w:color w:val="auto"/>
              </w:rPr>
            </w:pPr>
          </w:p>
        </w:tc>
        <w:tc>
          <w:tcPr>
            <w:tcW w:w="78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__________________</w:t>
      </w:r>
    </w:p>
    <w:p>
      <w:pPr>
        <w:spacing w:after="0" w:line="23" w:lineRule="exact"/>
        <w:rPr>
          <w:sz w:val="20"/>
          <w:szCs w:val="20"/>
          <w:color w:val="auto"/>
        </w:rPr>
      </w:pPr>
    </w:p>
    <w:p>
      <w:pPr>
        <w:jc w:val="both"/>
        <w:ind w:left="500" w:hanging="492"/>
        <w:spacing w:after="0" w:line="250" w:lineRule="auto"/>
        <w:tabs>
          <w:tab w:leader="none" w:pos="5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On August 23, 2019, SuRo Capital Corp. amended the structure of its investment in NestGSV, Inc. (d/b/a GSV Labs, Inc.). Under the amended structure, SuRo Capital Corp.’s fully diluted ownership of voting securities decreased from 50.0% to 8.5%. As such, SuRo Capital Corp.'s investments in NestGSV, Inc. (d/b/a GSV Labs, Inc.) have been recategorized from controlled investments to non-controlled/affiliated investments and NestGSV, Inc. (d/b/a GSV Labs, Inc.) is no longer considered a significant subsidiary.</w:t>
      </w:r>
    </w:p>
    <w:p>
      <w:pPr>
        <w:spacing w:after="0" w:line="218" w:lineRule="exact"/>
        <w:rPr>
          <w:rFonts w:ascii="Arial" w:cs="Arial" w:eastAsia="Arial" w:hAnsi="Arial"/>
          <w:sz w:val="16"/>
          <w:szCs w:val="16"/>
          <w:color w:val="auto"/>
        </w:rPr>
      </w:pPr>
    </w:p>
    <w:p>
      <w:pPr>
        <w:jc w:val="both"/>
        <w:ind w:left="500"/>
        <w:spacing w:after="0" w:line="286" w:lineRule="auto"/>
        <w:rPr>
          <w:rFonts w:ascii="Arial" w:cs="Arial" w:eastAsia="Arial" w:hAnsi="Arial"/>
          <w:sz w:val="16"/>
          <w:szCs w:val="16"/>
          <w:color w:val="auto"/>
        </w:rPr>
      </w:pPr>
      <w:r>
        <w:rPr>
          <w:rFonts w:ascii="Arial" w:cs="Arial" w:eastAsia="Arial" w:hAnsi="Arial"/>
          <w:sz w:val="15"/>
          <w:szCs w:val="15"/>
          <w:color w:val="auto"/>
        </w:rPr>
        <w:t>On November 26, 2019, SuRo Capital Corp. invested $250,000 in StormWind, LLC's Series D financing round. As part of the round, SuRo Capital Corp.'s fully diluted ownership of voting securities decreased from 25.6% to 23.4%. As such, SuRo Capital Corp.'s investments in StormWind, LLC have been recategorized from controlled investments to non-controlled/affiliated investments and StormWind, LLC is no longer considered a significant subsidiary.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22" w:right="339" w:bottom="1440" w:gutter="0" w:footer="0" w:header="0"/>
        </w:sectPr>
      </w:pPr>
    </w:p>
    <w:bookmarkStart w:id="55" w:name="page56"/>
    <w:bookmarkEnd w:id="55"/>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ind w:firstLine="364"/>
        <w:spacing w:after="0" w:line="257" w:lineRule="auto"/>
        <w:rPr>
          <w:sz w:val="20"/>
          <w:szCs w:val="20"/>
          <w:color w:val="auto"/>
        </w:rPr>
      </w:pPr>
      <w:r>
        <w:rPr>
          <w:rFonts w:ascii="Arial" w:cs="Arial" w:eastAsia="Arial" w:hAnsi="Arial"/>
          <w:sz w:val="18"/>
          <w:szCs w:val="18"/>
          <w:color w:val="auto"/>
        </w:rPr>
        <w:t>This quarterly report on Form 10-Q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215" w:lineRule="exact"/>
        <w:rPr>
          <w:sz w:val="20"/>
          <w:szCs w:val="20"/>
          <w:color w:val="auto"/>
        </w:rPr>
      </w:pPr>
    </w:p>
    <w:p>
      <w:pPr>
        <w:jc w:val="both"/>
        <w:ind w:firstLine="364"/>
        <w:spacing w:after="0" w:line="277" w:lineRule="auto"/>
        <w:rPr>
          <w:sz w:val="20"/>
          <w:szCs w:val="20"/>
          <w:color w:val="auto"/>
        </w:rPr>
      </w:pPr>
      <w:r>
        <w:rPr>
          <w:rFonts w:ascii="Arial" w:cs="Arial" w:eastAsia="Arial" w:hAnsi="Arial"/>
          <w:sz w:val="18"/>
          <w:szCs w:val="18"/>
          <w:color w:val="auto"/>
        </w:rPr>
        <w:t>The forward-looking statements contained in this quarterly report on Form 10-Q involve risks and uncertainties, including, without limitation, statements as to:</w:t>
      </w:r>
    </w:p>
    <w:p>
      <w:pPr>
        <w:spacing w:after="0" w:line="197" w:lineRule="exact"/>
        <w:rPr>
          <w:sz w:val="20"/>
          <w:szCs w:val="20"/>
          <w:color w:val="auto"/>
        </w:rPr>
      </w:pPr>
    </w:p>
    <w:p>
      <w:pPr>
        <w:jc w:val="both"/>
        <w:ind w:left="660" w:hanging="328"/>
        <w:spacing w:after="0" w:line="259"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effect and consequences of the novel coronavirus (“COVID-19”) public health crisis on matters including global, U.S. and local economies, our business operations and continuity, potential disruption to our portfolio companies, tightened availability to capital and financing, the health and productivity of our employees, the ability of third-party providers to continue uninterrupted service, and the regulatory environment in which we operate;</w:t>
      </w:r>
    </w:p>
    <w:p>
      <w:pPr>
        <w:spacing w:after="0" w:line="213" w:lineRule="exact"/>
        <w:rPr>
          <w:rFonts w:ascii="Arial" w:cs="Arial" w:eastAsia="Arial" w:hAnsi="Arial"/>
          <w:sz w:val="18"/>
          <w:szCs w:val="18"/>
          <w:color w:val="auto"/>
        </w:rPr>
      </w:pPr>
    </w:p>
    <w:p>
      <w:pPr>
        <w:ind w:left="440" w:hanging="108"/>
        <w:spacing w:after="0"/>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252" w:lineRule="exact"/>
        <w:rPr>
          <w:rFonts w:ascii="Arial" w:cs="Arial" w:eastAsia="Arial" w:hAnsi="Arial"/>
          <w:sz w:val="18"/>
          <w:szCs w:val="18"/>
          <w:color w:val="auto"/>
        </w:rPr>
      </w:pPr>
    </w:p>
    <w:p>
      <w:pPr>
        <w:ind w:left="440" w:hanging="108"/>
        <w:spacing w:after="0"/>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252" w:lineRule="exact"/>
        <w:rPr>
          <w:rFonts w:ascii="Arial" w:cs="Arial" w:eastAsia="Arial" w:hAnsi="Arial"/>
          <w:sz w:val="18"/>
          <w:szCs w:val="18"/>
          <w:color w:val="auto"/>
        </w:rPr>
      </w:pPr>
    </w:p>
    <w:p>
      <w:pPr>
        <w:ind w:left="440" w:hanging="108"/>
        <w:spacing w:after="0"/>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252" w:lineRule="exact"/>
        <w:rPr>
          <w:rFonts w:ascii="Arial" w:cs="Arial" w:eastAsia="Arial" w:hAnsi="Arial"/>
          <w:sz w:val="18"/>
          <w:szCs w:val="18"/>
          <w:color w:val="auto"/>
        </w:rPr>
      </w:pPr>
    </w:p>
    <w:p>
      <w:pPr>
        <w:ind w:left="440" w:hanging="108"/>
        <w:spacing w:after="0"/>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252" w:lineRule="exact"/>
        <w:rPr>
          <w:rFonts w:ascii="Arial" w:cs="Arial" w:eastAsia="Arial" w:hAnsi="Arial"/>
          <w:sz w:val="18"/>
          <w:szCs w:val="18"/>
          <w:color w:val="auto"/>
        </w:rPr>
      </w:pPr>
    </w:p>
    <w:p>
      <w:pPr>
        <w:ind w:left="440" w:hanging="108"/>
        <w:spacing w:after="0"/>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252" w:lineRule="exact"/>
        <w:rPr>
          <w:rFonts w:ascii="Arial" w:cs="Arial" w:eastAsia="Arial" w:hAnsi="Arial"/>
          <w:sz w:val="18"/>
          <w:szCs w:val="18"/>
          <w:color w:val="auto"/>
        </w:rPr>
      </w:pPr>
    </w:p>
    <w:p>
      <w:pPr>
        <w:ind w:left="440" w:hanging="108"/>
        <w:spacing w:after="0"/>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252" w:lineRule="exact"/>
        <w:rPr>
          <w:rFonts w:ascii="Arial" w:cs="Arial" w:eastAsia="Arial" w:hAnsi="Arial"/>
          <w:sz w:val="18"/>
          <w:szCs w:val="18"/>
          <w:color w:val="auto"/>
        </w:rPr>
      </w:pPr>
    </w:p>
    <w:p>
      <w:pPr>
        <w:ind w:left="440" w:hanging="108"/>
        <w:spacing w:after="0"/>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252" w:lineRule="exact"/>
        <w:rPr>
          <w:rFonts w:ascii="Arial" w:cs="Arial" w:eastAsia="Arial" w:hAnsi="Arial"/>
          <w:sz w:val="18"/>
          <w:szCs w:val="18"/>
          <w:color w:val="auto"/>
        </w:rPr>
      </w:pPr>
    </w:p>
    <w:p>
      <w:pPr>
        <w:ind w:left="440" w:hanging="108"/>
        <w:spacing w:after="0"/>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 and</w:t>
      </w:r>
    </w:p>
    <w:p>
      <w:pPr>
        <w:spacing w:after="0" w:line="252" w:lineRule="exact"/>
        <w:rPr>
          <w:rFonts w:ascii="Arial" w:cs="Arial" w:eastAsia="Arial" w:hAnsi="Arial"/>
          <w:sz w:val="18"/>
          <w:szCs w:val="18"/>
          <w:color w:val="auto"/>
        </w:rPr>
      </w:pPr>
    </w:p>
    <w:p>
      <w:pPr>
        <w:ind w:left="440" w:hanging="108"/>
        <w:spacing w:after="0"/>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252" w:lineRule="exact"/>
        <w:rPr>
          <w:sz w:val="20"/>
          <w:szCs w:val="20"/>
          <w:color w:val="auto"/>
        </w:rPr>
      </w:pPr>
    </w:p>
    <w:p>
      <w:pPr>
        <w:jc w:val="both"/>
        <w:ind w:firstLine="364"/>
        <w:spacing w:after="0" w:line="263" w:lineRule="auto"/>
        <w:rPr>
          <w:sz w:val="20"/>
          <w:szCs w:val="20"/>
          <w:color w:val="auto"/>
        </w:rPr>
      </w:pPr>
      <w:r>
        <w:rPr>
          <w:rFonts w:ascii="Arial" w:cs="Arial" w:eastAsia="Arial" w:hAnsi="Arial"/>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211" w:lineRule="exact"/>
        <w:rPr>
          <w:sz w:val="20"/>
          <w:szCs w:val="20"/>
          <w:color w:val="auto"/>
        </w:rPr>
      </w:pPr>
    </w:p>
    <w:p>
      <w:pPr>
        <w:ind w:left="660" w:right="20" w:hanging="328"/>
        <w:spacing w:after="0" w:line="277" w:lineRule="auto"/>
        <w:tabs>
          <w:tab w:leader="none" w:pos="469"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ability to continue to operate, which could lead to the loss of some or all of our investments in such portfolio companies;</w:t>
      </w:r>
    </w:p>
    <w:p>
      <w:pPr>
        <w:spacing w:after="0" w:line="197" w:lineRule="exact"/>
        <w:rPr>
          <w:rFonts w:ascii="Arial" w:cs="Arial" w:eastAsia="Arial" w:hAnsi="Arial"/>
          <w:sz w:val="18"/>
          <w:szCs w:val="18"/>
          <w:color w:val="auto"/>
        </w:rPr>
      </w:pPr>
    </w:p>
    <w:p>
      <w:pPr>
        <w:ind w:left="660" w:hanging="328"/>
        <w:spacing w:after="0" w:line="277" w:lineRule="auto"/>
        <w:tabs>
          <w:tab w:leader="none" w:pos="4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economic downturn could disproportionately impact the market sectors in which a significant portion of our portfolio is concentrated, causing us to suffer losses in our portfolio;</w:t>
      </w:r>
    </w:p>
    <w:p>
      <w:pPr>
        <w:spacing w:after="0" w:line="197" w:lineRule="exact"/>
        <w:rPr>
          <w:rFonts w:ascii="Arial" w:cs="Arial" w:eastAsia="Arial" w:hAnsi="Arial"/>
          <w:sz w:val="18"/>
          <w:szCs w:val="18"/>
          <w:color w:val="auto"/>
        </w:rPr>
      </w:pPr>
    </w:p>
    <w:p>
      <w:pPr>
        <w:ind w:left="440" w:hanging="108"/>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contraction of available credit and/or an inability to access the equity markets could impair our investment activities;</w:t>
      </w:r>
    </w:p>
    <w:p>
      <w:pPr>
        <w:spacing w:after="0" w:line="252" w:lineRule="exact"/>
        <w:rPr>
          <w:rFonts w:ascii="Arial" w:cs="Arial" w:eastAsia="Arial" w:hAnsi="Arial"/>
          <w:sz w:val="18"/>
          <w:szCs w:val="18"/>
          <w:color w:val="auto"/>
        </w:rPr>
      </w:pPr>
    </w:p>
    <w:p>
      <w:pPr>
        <w:ind w:left="440" w:hanging="108"/>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interest rate volatility could adversely affect our results, particularly because we use leverage as part of our investment strategy; and</w:t>
      </w:r>
    </w:p>
    <w:p>
      <w:pPr>
        <w:spacing w:after="0" w:line="252" w:lineRule="exact"/>
        <w:rPr>
          <w:rFonts w:ascii="Arial" w:cs="Arial" w:eastAsia="Arial" w:hAnsi="Arial"/>
          <w:sz w:val="18"/>
          <w:szCs w:val="18"/>
          <w:color w:val="auto"/>
        </w:rPr>
      </w:pPr>
    </w:p>
    <w:p>
      <w:pPr>
        <w:ind w:left="660" w:hanging="328"/>
        <w:spacing w:after="0" w:line="277" w:lineRule="auto"/>
        <w:tabs>
          <w:tab w:leader="none" w:pos="4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the sections entitled “Risk Factors” in our quarterly reports on Form 10-Q, our annual report on Form 10-K, and in our other filings with the SEC.</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240"/>
          </w:cols>
          <w:pgMar w:left="320" w:top="122" w:right="339" w:bottom="1440" w:gutter="0" w:footer="0" w:header="0"/>
          <w:type w:val="continuous"/>
        </w:sectPr>
      </w:pPr>
    </w:p>
    <w:bookmarkStart w:id="56" w:name="page57"/>
    <w:bookmarkEnd w:id="56"/>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364"/>
        <w:spacing w:after="0" w:line="290" w:lineRule="auto"/>
        <w:rPr>
          <w:sz w:val="20"/>
          <w:szCs w:val="20"/>
          <w:color w:val="auto"/>
        </w:rPr>
      </w:pPr>
      <w:r>
        <w:rPr>
          <w:rFonts w:ascii="Arial" w:cs="Arial" w:eastAsia="Arial" w:hAnsi="Arial"/>
          <w:sz w:val="16"/>
          <w:szCs w:val="16"/>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our quarterly reports on Form 10-Q and our annual report on Form 10-K, in the “Risk Factors” sections. You should not place undue reliance on these forward-looking statements, which apply only as of the date of this quarterly report on Form 10-Q. The following analysis of our financial condition and results of operations should be read in conjunction with our consolidated financial statements and the related notes thereto contained elsewhere in this quarterly report on Form 10-Q.</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22" w:right="339" w:bottom="1440" w:gutter="0" w:footer="0" w:header="0"/>
        </w:sectPr>
      </w:pPr>
    </w:p>
    <w:bookmarkStart w:id="57" w:name="page58"/>
    <w:bookmarkEnd w:id="57"/>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364"/>
        <w:spacing w:after="0" w:line="286" w:lineRule="auto"/>
        <w:rPr>
          <w:sz w:val="20"/>
          <w:szCs w:val="20"/>
          <w:color w:val="auto"/>
        </w:rPr>
      </w:pPr>
      <w:r>
        <w:rPr>
          <w:rFonts w:ascii="Arial" w:cs="Arial" w:eastAsia="Arial" w:hAnsi="Arial"/>
          <w:sz w:val="17"/>
          <w:szCs w:val="17"/>
          <w:color w:val="auto"/>
        </w:rPr>
        <w:t>We are an internally-managed, non-diversified closed-end management investment company that has elected to be regulated as a business development company ("BDC") under the Investment Company Act of 1940, as amended (the “1940 Act”), and has elected to be treated, and intends to qualify annually, as a regulated investment company (“RIC”) under Subchapter M of the Internal Revenue Code of 1986, as amended (the “Code”).</w:t>
      </w:r>
    </w:p>
    <w:p>
      <w:pPr>
        <w:spacing w:after="0" w:line="192" w:lineRule="exact"/>
        <w:rPr>
          <w:sz w:val="20"/>
          <w:szCs w:val="20"/>
          <w:color w:val="auto"/>
        </w:rPr>
      </w:pPr>
    </w:p>
    <w:p>
      <w:pPr>
        <w:jc w:val="both"/>
        <w:ind w:firstLine="364"/>
        <w:spacing w:after="0" w:line="257" w:lineRule="auto"/>
        <w:rPr>
          <w:sz w:val="20"/>
          <w:szCs w:val="20"/>
          <w:color w:val="auto"/>
        </w:rPr>
      </w:pPr>
      <w:r>
        <w:rPr>
          <w:rFonts w:ascii="Arial" w:cs="Arial" w:eastAsia="Arial" w:hAnsi="Arial"/>
          <w:sz w:val="18"/>
          <w:szCs w:val="18"/>
          <w:color w:val="auto"/>
        </w:rPr>
        <w:t>Our investment objective is to maximize our portfolio’s total return, principally by seeking capital gains on our equity and equity-related investments, and to a lesser extent, income from debt investments. We invest principally in the equity securities of what we believe to be rapidly growing venture-capital-backed emerging companies. We acquire our investments through direct investments in prospective portfolio companies, secondary marketplaces for private companies and negotiations with selling stockholders. We may also invest on an opportunistic basis in select publicly traded equity securities or certain non-U.S. companies that otherwise meet our investment criteria.</w:t>
      </w:r>
    </w:p>
    <w:p>
      <w:pPr>
        <w:spacing w:after="0" w:line="215" w:lineRule="exact"/>
        <w:rPr>
          <w:sz w:val="20"/>
          <w:szCs w:val="20"/>
          <w:color w:val="auto"/>
        </w:rPr>
      </w:pPr>
    </w:p>
    <w:p>
      <w:pPr>
        <w:jc w:val="both"/>
        <w:ind w:firstLine="364"/>
        <w:spacing w:after="0" w:line="273" w:lineRule="auto"/>
        <w:rPr>
          <w:sz w:val="20"/>
          <w:szCs w:val="20"/>
          <w:color w:val="auto"/>
        </w:rPr>
      </w:pPr>
      <w:r>
        <w:rPr>
          <w:rFonts w:ascii="Arial" w:cs="Arial" w:eastAsia="Arial" w:hAnsi="Arial"/>
          <w:sz w:val="17"/>
          <w:szCs w:val="17"/>
          <w:color w:val="auto"/>
        </w:rPr>
        <w:t>In regard to the regulatory requirements for BDCs under the 1940 Act, some of these investments may not qualify as investments in “eligible portfolio companies,” and thus may not be considered “qualifying assets.” “Eligible portfolio companies” generally include U.S. companies that are not investment companies and that do not have securities listed on a national exchange. If at any time less than 70% of our gross assets are comprised of qualifying assets, including as a result of an increase in the value of any non-qualifying assets or decrease in the value of any qualifying assets, we would generally not be permitted to acquire any additional non-qualifying assets until such time as 70% of our then-current gross assets were comprised of qualifying assets. We would not be required, however, to dispose of any non-qualifying assets in such circumstances.</w:t>
      </w:r>
    </w:p>
    <w:p>
      <w:pPr>
        <w:spacing w:after="0" w:line="205" w:lineRule="exact"/>
        <w:rPr>
          <w:sz w:val="20"/>
          <w:szCs w:val="20"/>
          <w:color w:val="auto"/>
        </w:rPr>
      </w:pPr>
    </w:p>
    <w:p>
      <w:pPr>
        <w:jc w:val="both"/>
        <w:ind w:firstLine="364"/>
        <w:spacing w:after="0" w:line="255" w:lineRule="auto"/>
        <w:rPr>
          <w:sz w:val="20"/>
          <w:szCs w:val="20"/>
          <w:color w:val="auto"/>
        </w:rPr>
      </w:pPr>
      <w:r>
        <w:rPr>
          <w:rFonts w:ascii="Arial" w:cs="Arial" w:eastAsia="Arial" w:hAnsi="Arial"/>
          <w:sz w:val="18"/>
          <w:szCs w:val="18"/>
          <w:color w:val="auto"/>
        </w:rPr>
        <w:t>Our investment philosophy is based on a disciplined approach of identifying promising investments in high-growth, venture-backed companies across several key industry themes which may include, among others, social mobile, cloud computing and big data, internet commerce, financial technology, mobility, and enterprise software. Our investment decisions are based on a disciplined analysis of available information regarding each potential portfolio company’s business operations, focusing on the portfolio company’s growth potential, the quality of recurring revenues, and path to profitability, as well as an understanding of key market fundamentals. Venture capital funds or other institutional investors have invested in the vast majority of companies that we evaluate.</w:t>
      </w:r>
    </w:p>
    <w:p>
      <w:pPr>
        <w:spacing w:after="0" w:line="219" w:lineRule="exact"/>
        <w:rPr>
          <w:sz w:val="20"/>
          <w:szCs w:val="20"/>
          <w:color w:val="auto"/>
        </w:rPr>
      </w:pPr>
    </w:p>
    <w:p>
      <w:pPr>
        <w:jc w:val="both"/>
        <w:ind w:firstLine="364"/>
        <w:spacing w:after="0" w:line="255" w:lineRule="auto"/>
        <w:rPr>
          <w:sz w:val="20"/>
          <w:szCs w:val="20"/>
          <w:color w:val="auto"/>
        </w:rPr>
      </w:pPr>
      <w:r>
        <w:rPr>
          <w:rFonts w:ascii="Arial" w:cs="Arial" w:eastAsia="Arial" w:hAnsi="Arial"/>
          <w:sz w:val="18"/>
          <w:szCs w:val="18"/>
          <w:color w:val="auto"/>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 Typically, our preferred stock investments are non-income producing, have different voting rights than our common stock investments and are generally convertible into common stock at our discretion. As our investment strategy is primarily focused on equity positions, out investments generally do not produce current income and therefore we may be dependent on future capital raising to meet our operational needs if no other source of liquidity is available.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Name Change to SuRo Capital Corp.</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Articles of Amendment</w:t>
      </w:r>
    </w:p>
    <w:p>
      <w:pPr>
        <w:spacing w:after="0" w:line="25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On and effective June 22, 2020, the Company changed its name to “SuRo Capital Corp.” from “Sutter Rock Capital Corp” (the“Name Change”) by filing Articles of Amendment (the “Articles of Amendment”) to its Articles of Amendment and Restatement, as amended (the “Charter”), with the Department of Assessments and Taxation of the State of Maryland to effect the Name Change. In accordance with the Maryland General Corporation Law and the Charter, the Company’s board of directors approved the Name Change and the Articles of Amendment. Stockholder approval was not required.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Second Amended and Restated Bylaws</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connection with the Name Change, the Company’s board of directors also approved an amendment and restatement of the Company’s Amended and Restated Bylaws (the “Amended and Restated Bylaws”) to reflect the Name Change. The Amended and Restated Bylaws became effective on June 22, 2020 and did not require stockholder approval.</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more information regarding the foregoing events, please refer to the Company’s current report on Form 8-K filed with the SEC on June 16, 2020.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Internalization of Operating Structure</w:t>
      </w:r>
    </w:p>
    <w:p>
      <w:pPr>
        <w:spacing w:after="0" w:line="25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and effective March 12, 2019 (the "Effective Date"), our Board of Directors approved internalizing our operating structure ("Internalization") and we began operating as an internally managed non-diversified closed-end management investment company that has elected to be regulated as a BDC under the 1940 Act. Prior to the Effective Date, we were externally managed by our former investment adviser, GSV Asset Management, LLC (“GSV Asset Management”), pursuant to an investment advisory agreement (the “Investment Advisory Agreement”), and our former administrator, GSV Capital Service Company, LLC (“GSV Capital Service Company”), provided the administrative services necessary for our operations pursuant to an administration agreement (the “Administration Agreement”). In connection with our Internalization, the Investment Advisory Agreement and the Administration Agreement were terminated as of the Effective Date, and as a result no fees or expenses will be due or payable under the Investment Advisory Agreement and the Administration Agreement going forward.</w:t>
      </w:r>
    </w:p>
    <w:p>
      <w:pPr>
        <w:spacing w:after="0" w:line="20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Except as otherwise disclosed herein, this Form 10-Q discusses our business and operations as an internally-managed BDC during the period covered by this Form 10-Q.</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COVID-19 Developments</w:t>
      </w:r>
    </w:p>
    <w:p>
      <w:pPr>
        <w:spacing w:after="0" w:line="25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On March 11, 2020, the World Health Organization declared the novel coronavirus (“COVID-19”) as a pandemic, and on March 13, 2020 the United States declared a national emergency with respect to COVID-19. The outbreak of COVID-19 has severely impacted global economic activity and caused significant volatility and negative pressure in financial markets. The global impact of the outbreak has been rapidly evolving and many countries, including the United States, have reacted by instituting quarantines, mandating business and school closures and restricting travel. Such actions are creating</w:t>
      </w:r>
    </w:p>
    <w:p>
      <w:pPr>
        <w:sectPr>
          <w:pgSz w:w="11900" w:h="16838" w:orient="portrait"/>
          <w:cols w:equalWidth="0" w:num="1">
            <w:col w:w="11240"/>
          </w:cols>
          <w:pgMar w:left="320" w:top="122" w:right="339" w:bottom="0" w:gutter="0" w:footer="0" w:header="0"/>
        </w:sectPr>
      </w:pPr>
    </w:p>
    <w:bookmarkStart w:id="58" w:name="page59"/>
    <w:bookmarkEnd w:id="58"/>
    <w:p>
      <w:pPr>
        <w:jc w:val="both"/>
        <w:ind w:right="20"/>
        <w:spacing w:after="0" w:line="277" w:lineRule="auto"/>
        <w:rPr>
          <w:sz w:val="20"/>
          <w:szCs w:val="20"/>
          <w:color w:val="auto"/>
        </w:rPr>
      </w:pPr>
      <w:r>
        <w:rPr>
          <w:rFonts w:ascii="Arial" w:cs="Arial" w:eastAsia="Arial" w:hAnsi="Arial"/>
          <w:sz w:val="18"/>
          <w:szCs w:val="18"/>
          <w:color w:val="auto"/>
        </w:rPr>
        <w:t>disruption in global supply chains and adversely impacting a number of industries. The outbreak could have a continued adverse impact on economic and market conditions and trigger a period of global economic slowdown.</w:t>
      </w:r>
    </w:p>
    <w:p>
      <w:pPr>
        <w:spacing w:after="0" w:line="1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closely monitoring the impact of the outbreak of COVID-19 on all aspects of our business, including how it will impact our portfolio companies, employees, due diligence and investing processes, and financial markets. Given the fluidity of the situation, we cannot estimate the long-term impact of COVID-19 on our business, future results of operations, financial position or cash flows at this time. The extent to which our operations may be impacted by the COVID-19 pandemic will depend largely on future developments, which are highly uncertain and cannot be accurately predicted, including new information which may emerge concerning the severity of the outbreak and actions by government authorities to contain the outbreak or treat its impact. Furthermore, the impact of a potential worsening of global economic conditions and the continued disruptions to, and volatility in, the financial markets remain unknown.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2020</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value of our investment portfolio will change over time due to changes in the fair value of our underlying investments, as well as changes in the composition of our portfolio resulting from purchases of new and follow-on investments and the sales of existing investments. The fair value, as of June 30, 2020, of all of our portfolio investments, excluding U.S. Treasury bills, was $198,999,318.</w:t>
      </w:r>
    </w:p>
    <w:p>
      <w:pPr>
        <w:spacing w:after="0" w:line="211"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During the six months ended June 30, 2020, we funded investments in an aggregate amount of $12,376,340 (not including capitalized transaction costs) as shown in the following table: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20" w:type="dxa"/>
            <w:vAlign w:val="bottom"/>
            <w:gridSpan w:val="2"/>
          </w:tcPr>
          <w:p>
            <w:pPr>
              <w:ind w:left="20"/>
              <w:spacing w:after="0"/>
              <w:rPr>
                <w:sz w:val="20"/>
                <w:szCs w:val="20"/>
                <w:color w:val="auto"/>
              </w:rPr>
            </w:pPr>
            <w:r>
              <w:rPr>
                <w:rFonts w:ascii="Arial" w:cs="Arial" w:eastAsia="Arial" w:hAnsi="Arial"/>
                <w:sz w:val="16"/>
                <w:szCs w:val="16"/>
                <w:b w:val="1"/>
                <w:bCs w:val="1"/>
                <w:color w:val="auto"/>
              </w:rPr>
              <w:t>Portfolio Company</w:t>
            </w:r>
          </w:p>
        </w:tc>
        <w:tc>
          <w:tcPr>
            <w:tcW w:w="33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Investment</w:t>
            </w:r>
          </w:p>
        </w:tc>
        <w:tc>
          <w:tcPr>
            <w:tcW w:w="20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Transaction Date</w:t>
            </w:r>
          </w:p>
        </w:tc>
        <w:tc>
          <w:tcPr>
            <w:tcW w:w="280" w:type="dxa"/>
            <w:vAlign w:val="bottom"/>
          </w:tcPr>
          <w:p>
            <w:pPr>
              <w:spacing w:after="0"/>
              <w:rPr>
                <w:sz w:val="18"/>
                <w:szCs w:val="18"/>
                <w:color w:val="auto"/>
              </w:rPr>
            </w:pPr>
          </w:p>
        </w:tc>
        <w:tc>
          <w:tcPr>
            <w:tcW w:w="1700" w:type="dxa"/>
            <w:vAlign w:val="bottom"/>
          </w:tcPr>
          <w:p>
            <w:pPr>
              <w:jc w:val="right"/>
              <w:ind w:right="339"/>
              <w:spacing w:after="0"/>
              <w:rPr>
                <w:sz w:val="20"/>
                <w:szCs w:val="20"/>
                <w:color w:val="auto"/>
              </w:rPr>
            </w:pPr>
            <w:r>
              <w:rPr>
                <w:rFonts w:ascii="Arial" w:cs="Arial" w:eastAsia="Arial" w:hAnsi="Arial"/>
                <w:sz w:val="16"/>
                <w:szCs w:val="16"/>
                <w:b w:val="1"/>
                <w:bCs w:val="1"/>
                <w:color w:val="auto"/>
                <w:w w:val="99"/>
              </w:rPr>
              <w:t>Gross Payments</w:t>
            </w:r>
          </w:p>
        </w:tc>
      </w:tr>
      <w:tr>
        <w:trPr>
          <w:trHeight w:val="33"/>
        </w:trPr>
        <w:tc>
          <w:tcPr>
            <w:tcW w:w="3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0"/>
        </w:trPr>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Neutron Holdings, Inc. (d/b/a Lime)</w:t>
            </w:r>
          </w:p>
        </w:tc>
        <w:tc>
          <w:tcPr>
            <w:tcW w:w="33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3"/>
              </w:rPr>
              <w:t>Convertible Promissory Note</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5/11/2020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506,339</w:t>
            </w:r>
          </w:p>
        </w:tc>
      </w:tr>
      <w:tr>
        <w:trPr>
          <w:trHeight w:val="223"/>
        </w:trPr>
        <w:tc>
          <w:tcPr>
            <w:tcW w:w="3820" w:type="dxa"/>
            <w:vAlign w:val="bottom"/>
            <w:gridSpan w:val="2"/>
          </w:tcPr>
          <w:p>
            <w:pPr>
              <w:ind w:left="20"/>
              <w:spacing w:after="0"/>
              <w:rPr>
                <w:sz w:val="20"/>
                <w:szCs w:val="20"/>
                <w:color w:val="auto"/>
              </w:rPr>
            </w:pPr>
            <w:r>
              <w:rPr>
                <w:rFonts w:ascii="Arial" w:cs="Arial" w:eastAsia="Arial" w:hAnsi="Arial"/>
                <w:sz w:val="16"/>
                <w:szCs w:val="16"/>
                <w:color w:val="auto"/>
              </w:rPr>
              <w:t>Rent the Runway, Inc.</w:t>
            </w:r>
          </w:p>
        </w:tc>
        <w:tc>
          <w:tcPr>
            <w:tcW w:w="338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Preferred Shares</w:t>
            </w:r>
          </w:p>
        </w:tc>
        <w:tc>
          <w:tcPr>
            <w:tcW w:w="1960" w:type="dxa"/>
            <w:vAlign w:val="bottom"/>
          </w:tcPr>
          <w:p>
            <w:pPr>
              <w:jc w:val="center"/>
              <w:spacing w:after="0"/>
              <w:rPr>
                <w:sz w:val="20"/>
                <w:szCs w:val="20"/>
                <w:color w:val="auto"/>
              </w:rPr>
            </w:pPr>
            <w:r>
              <w:rPr>
                <w:rFonts w:ascii="Arial" w:cs="Arial" w:eastAsia="Arial" w:hAnsi="Arial"/>
                <w:sz w:val="16"/>
                <w:szCs w:val="16"/>
                <w:color w:val="auto"/>
                <w:w w:val="92"/>
              </w:rPr>
              <w:t>6/17/2020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jc w:val="right"/>
              <w:ind w:right="59"/>
              <w:spacing w:after="0"/>
              <w:rPr>
                <w:sz w:val="20"/>
                <w:szCs w:val="20"/>
                <w:color w:val="auto"/>
              </w:rPr>
            </w:pPr>
            <w:r>
              <w:rPr>
                <w:rFonts w:ascii="Arial" w:cs="Arial" w:eastAsia="Arial" w:hAnsi="Arial"/>
                <w:sz w:val="16"/>
                <w:szCs w:val="16"/>
                <w:color w:val="auto"/>
              </w:rPr>
              <w:t>5,000,001</w:t>
            </w:r>
          </w:p>
        </w:tc>
      </w:tr>
      <w:tr>
        <w:trPr>
          <w:trHeight w:val="33"/>
        </w:trPr>
        <w:tc>
          <w:tcPr>
            <w:tcW w:w="3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6"/>
        </w:trPr>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Palantir Lending Trust</w:t>
            </w:r>
          </w:p>
        </w:tc>
        <w:tc>
          <w:tcPr>
            <w:tcW w:w="33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3"/>
              </w:rPr>
              <w:t>Collateralized Loan</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6/19/2020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6,870,000</w:t>
            </w:r>
          </w:p>
        </w:tc>
      </w:tr>
      <w:tr>
        <w:trPr>
          <w:trHeight w:val="247"/>
        </w:trPr>
        <w:tc>
          <w:tcPr>
            <w:tcW w:w="382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3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12,376,340</w:t>
            </w:r>
          </w:p>
        </w:tc>
      </w:tr>
      <w:tr>
        <w:trPr>
          <w:trHeight w:val="23"/>
        </w:trPr>
        <w:tc>
          <w:tcPr>
            <w:tcW w:w="3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bl>
    <w:p>
      <w:pPr>
        <w:spacing w:after="0" w:line="24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During the six months ended June 30, 2020, we capitalized fees of $179,180.</w:t>
      </w:r>
    </w:p>
    <w:p>
      <w:pPr>
        <w:spacing w:after="0" w:line="252" w:lineRule="exact"/>
        <w:rPr>
          <w:sz w:val="20"/>
          <w:szCs w:val="20"/>
          <w:color w:val="auto"/>
        </w:rPr>
      </w:pPr>
    </w:p>
    <w:p>
      <w:pPr>
        <w:jc w:val="both"/>
        <w:ind w:right="20" w:firstLine="419"/>
        <w:spacing w:after="0" w:line="277" w:lineRule="auto"/>
        <w:rPr>
          <w:sz w:val="20"/>
          <w:szCs w:val="20"/>
          <w:color w:val="auto"/>
        </w:rPr>
      </w:pPr>
      <w:r>
        <w:rPr>
          <w:rFonts w:ascii="Arial" w:cs="Arial" w:eastAsia="Arial" w:hAnsi="Arial"/>
          <w:sz w:val="18"/>
          <w:szCs w:val="18"/>
          <w:color w:val="auto"/>
        </w:rPr>
        <w:t>During the six months ended June 30, 2020, we exited investments in an amount of $10,876,621, net of transaction costs, and realized a net gain on investments of approximately $6,954,253 (including U.S. Treasury investments) as shown in following table: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Portfolio Investment</w:t>
            </w:r>
          </w:p>
        </w:tc>
        <w:tc>
          <w:tcPr>
            <w:tcW w:w="100" w:type="dxa"/>
            <w:vAlign w:val="bottom"/>
            <w:tcBorders>
              <w:bottom w:val="single" w:sz="8" w:color="CCEEFF"/>
            </w:tcBorders>
          </w:tcPr>
          <w:p>
            <w:pPr>
              <w:spacing w:after="0"/>
              <w:rPr>
                <w:sz w:val="21"/>
                <w:szCs w:val="21"/>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Transaction Date</w:t>
            </w:r>
          </w:p>
        </w:tc>
        <w:tc>
          <w:tcPr>
            <w:tcW w:w="10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w w:val="97"/>
              </w:rPr>
              <w:t>Net Proceeds</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3"/>
              </w:rPr>
              <w:t>Realized Gain</w:t>
            </w:r>
            <w:r>
              <w:rPr>
                <w:rFonts w:ascii="Arial" w:cs="Arial" w:eastAsia="Arial" w:hAnsi="Arial"/>
                <w:sz w:val="21"/>
                <w:szCs w:val="21"/>
                <w:b w:val="1"/>
                <w:bCs w:val="1"/>
                <w:color w:val="auto"/>
                <w:w w:val="93"/>
                <w:vertAlign w:val="superscript"/>
              </w:rPr>
              <w:t>(1)</w:t>
            </w:r>
          </w:p>
        </w:tc>
      </w:tr>
      <w:tr>
        <w:trPr>
          <w:trHeight w:val="230"/>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Parchment, Inc.</w:t>
            </w:r>
          </w:p>
        </w:tc>
        <w:tc>
          <w:tcPr>
            <w:tcW w:w="22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color w:val="auto"/>
              </w:rPr>
              <w:t>1/31/2020</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3,200,512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10,876,621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6,875,639</w:t>
            </w:r>
          </w:p>
        </w:tc>
      </w:tr>
      <w:tr>
        <w:trPr>
          <w:trHeight w:val="236"/>
        </w:trPr>
        <w:tc>
          <w:tcPr>
            <w:tcW w:w="3900" w:type="dxa"/>
            <w:vAlign w:val="bottom"/>
          </w:tcPr>
          <w:p>
            <w:pPr>
              <w:spacing w:after="0"/>
              <w:rPr>
                <w:sz w:val="20"/>
                <w:szCs w:val="20"/>
                <w:color w:val="auto"/>
              </w:rPr>
            </w:pPr>
            <w:r>
              <w:rPr>
                <w:rFonts w:ascii="Arial" w:cs="Arial" w:eastAsia="Arial" w:hAnsi="Arial"/>
                <w:sz w:val="14"/>
                <w:szCs w:val="14"/>
                <w:b w:val="1"/>
                <w:bCs w:val="1"/>
                <w:color w:val="auto"/>
              </w:rPr>
              <w:t>_________________________________</w:t>
            </w: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r>
    </w:tbl>
    <w:p>
      <w:pPr>
        <w:ind w:left="480" w:hanging="472"/>
        <w:spacing w:after="0"/>
        <w:tabs>
          <w:tab w:leader="none" w:pos="4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Realized gain does not include realized gain or loss incurred on the maturity of our U.S. Treasury investments.</w:t>
      </w:r>
    </w:p>
    <w:p>
      <w:pPr>
        <w:spacing w:after="0" w:line="236" w:lineRule="exact"/>
        <w:rPr>
          <w:sz w:val="20"/>
          <w:szCs w:val="20"/>
          <w:color w:val="auto"/>
        </w:rPr>
      </w:pPr>
    </w:p>
    <w:p>
      <w:pPr>
        <w:ind w:firstLine="370"/>
        <w:spacing w:after="0" w:line="277" w:lineRule="auto"/>
        <w:rPr>
          <w:sz w:val="20"/>
          <w:szCs w:val="20"/>
          <w:color w:val="auto"/>
        </w:rPr>
      </w:pPr>
      <w:r>
        <w:rPr>
          <w:rFonts w:ascii="Arial" w:cs="Arial" w:eastAsia="Arial" w:hAnsi="Arial"/>
          <w:sz w:val="18"/>
          <w:szCs w:val="18"/>
          <w:color w:val="auto"/>
        </w:rPr>
        <w:t>During the six months ended June 30, 2020, we did not write-off any investments and our CUX, Inc. (d/b/a CorpU) Series D preferred warrants with a strike price of $4.59, expired on February 14, 2020.</w:t>
      </w:r>
    </w:p>
    <w:p>
      <w:pPr>
        <w:spacing w:after="0" w:line="19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the COVID-19 situation continues to evolve, we are maintaining close communications with our portfolio companies to proactively assess and manage potential risks across our investment portfolio.</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2019</w:t>
      </w:r>
    </w:p>
    <w:p>
      <w:pPr>
        <w:spacing w:after="0" w:line="252" w:lineRule="exact"/>
        <w:rPr>
          <w:sz w:val="20"/>
          <w:szCs w:val="20"/>
          <w:color w:val="auto"/>
        </w:rPr>
      </w:pPr>
    </w:p>
    <w:p>
      <w:pPr>
        <w:ind w:right="400" w:firstLine="360"/>
        <w:spacing w:after="0" w:line="277" w:lineRule="auto"/>
        <w:rPr>
          <w:sz w:val="20"/>
          <w:szCs w:val="20"/>
          <w:color w:val="auto"/>
        </w:rPr>
      </w:pPr>
      <w:r>
        <w:rPr>
          <w:rFonts w:ascii="Arial" w:cs="Arial" w:eastAsia="Arial" w:hAnsi="Arial"/>
          <w:sz w:val="18"/>
          <w:szCs w:val="18"/>
          <w:color w:val="auto"/>
        </w:rPr>
        <w:t>During the six months ended June 30, 2019, we funded investments in an aggregate amount of $10,000,000 (not including capitalized transaction costs) as shown in the following table: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20" w:type="dxa"/>
            <w:vAlign w:val="bottom"/>
            <w:gridSpan w:val="2"/>
          </w:tcPr>
          <w:p>
            <w:pPr>
              <w:ind w:left="20"/>
              <w:spacing w:after="0"/>
              <w:rPr>
                <w:sz w:val="20"/>
                <w:szCs w:val="20"/>
                <w:color w:val="auto"/>
              </w:rPr>
            </w:pPr>
            <w:r>
              <w:rPr>
                <w:rFonts w:ascii="Arial" w:cs="Arial" w:eastAsia="Arial" w:hAnsi="Arial"/>
                <w:sz w:val="16"/>
                <w:szCs w:val="16"/>
                <w:b w:val="1"/>
                <w:bCs w:val="1"/>
                <w:color w:val="auto"/>
              </w:rPr>
              <w:t>Portfolio Company</w:t>
            </w:r>
          </w:p>
        </w:tc>
        <w:tc>
          <w:tcPr>
            <w:tcW w:w="33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Investment</w:t>
            </w:r>
          </w:p>
        </w:tc>
        <w:tc>
          <w:tcPr>
            <w:tcW w:w="20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Transaction Date</w:t>
            </w:r>
          </w:p>
        </w:tc>
        <w:tc>
          <w:tcPr>
            <w:tcW w:w="280" w:type="dxa"/>
            <w:vAlign w:val="bottom"/>
          </w:tcPr>
          <w:p>
            <w:pPr>
              <w:spacing w:after="0"/>
              <w:rPr>
                <w:sz w:val="18"/>
                <w:szCs w:val="18"/>
                <w:color w:val="auto"/>
              </w:rPr>
            </w:pPr>
          </w:p>
        </w:tc>
        <w:tc>
          <w:tcPr>
            <w:tcW w:w="1700" w:type="dxa"/>
            <w:vAlign w:val="bottom"/>
          </w:tcPr>
          <w:p>
            <w:pPr>
              <w:jc w:val="right"/>
              <w:ind w:right="339"/>
              <w:spacing w:after="0"/>
              <w:rPr>
                <w:sz w:val="20"/>
                <w:szCs w:val="20"/>
                <w:color w:val="auto"/>
              </w:rPr>
            </w:pPr>
            <w:r>
              <w:rPr>
                <w:rFonts w:ascii="Arial" w:cs="Arial" w:eastAsia="Arial" w:hAnsi="Arial"/>
                <w:sz w:val="16"/>
                <w:szCs w:val="16"/>
                <w:b w:val="1"/>
                <w:bCs w:val="1"/>
                <w:color w:val="auto"/>
                <w:w w:val="99"/>
              </w:rPr>
              <w:t>Gross Payments</w:t>
            </w:r>
          </w:p>
        </w:tc>
      </w:tr>
      <w:tr>
        <w:trPr>
          <w:trHeight w:val="33"/>
        </w:trPr>
        <w:tc>
          <w:tcPr>
            <w:tcW w:w="3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0"/>
        </w:trPr>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Neutron Holdings, Inc. (d/b/a/ Lime)</w:t>
            </w:r>
          </w:p>
        </w:tc>
        <w:tc>
          <w:tcPr>
            <w:tcW w:w="33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8"/>
              </w:rPr>
              <w:t>Preferred shares, Series D</w:t>
            </w:r>
          </w:p>
        </w:tc>
        <w:tc>
          <w:tcPr>
            <w:tcW w:w="196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6"/>
                <w:szCs w:val="16"/>
                <w:color w:val="auto"/>
              </w:rPr>
              <w:t>1/25/2019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10,000,000</w:t>
            </w:r>
          </w:p>
        </w:tc>
      </w:tr>
      <w:tr>
        <w:trPr>
          <w:trHeight w:val="247"/>
        </w:trPr>
        <w:tc>
          <w:tcPr>
            <w:tcW w:w="382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3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10,000,000</w:t>
            </w:r>
          </w:p>
        </w:tc>
      </w:tr>
      <w:tr>
        <w:trPr>
          <w:trHeight w:val="24"/>
        </w:trPr>
        <w:tc>
          <w:tcPr>
            <w:tcW w:w="3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bl>
    <w:p>
      <w:pPr>
        <w:spacing w:after="0" w:line="33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During the six months ended June 30, 2019, we capitalized fees of $8,040.</w:t>
      </w:r>
    </w:p>
    <w:p>
      <w:pPr>
        <w:spacing w:after="0" w:line="252" w:lineRule="exact"/>
        <w:rPr>
          <w:sz w:val="20"/>
          <w:szCs w:val="20"/>
          <w:color w:val="auto"/>
        </w:rPr>
      </w:pPr>
    </w:p>
    <w:p>
      <w:pPr>
        <w:jc w:val="both"/>
        <w:ind w:firstLine="455"/>
        <w:spacing w:after="0" w:line="277" w:lineRule="auto"/>
        <w:rPr>
          <w:sz w:val="20"/>
          <w:szCs w:val="20"/>
          <w:color w:val="auto"/>
        </w:rPr>
      </w:pPr>
      <w:r>
        <w:rPr>
          <w:rFonts w:ascii="Arial" w:cs="Arial" w:eastAsia="Arial" w:hAnsi="Arial"/>
          <w:sz w:val="18"/>
          <w:szCs w:val="18"/>
          <w:color w:val="auto"/>
        </w:rPr>
        <w:t>During the six months ended June 30, 2019, we sold investments in an amount of $43,119,593, net of transaction costs, and realized a net gain on investments of approximately $9,524,540 (including U.S. Treasury investments) as shown in following table:</w:t>
      </w:r>
    </w:p>
    <w:p>
      <w:pPr>
        <w:sectPr>
          <w:pgSz w:w="11900" w:h="16838" w:orient="portrait"/>
          <w:cols w:equalWidth="0" w:num="1">
            <w:col w:w="11240"/>
          </w:cols>
          <w:pgMar w:left="320" w:top="122" w:right="339" w:bottom="0" w:gutter="0" w:footer="0" w:header="0"/>
        </w:sectPr>
      </w:pPr>
    </w:p>
    <w:p>
      <w:pPr>
        <w:spacing w:after="0" w:line="21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Portfolio Investment</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Declara, Inc.</w:t>
      </w:r>
      <w:r>
        <w:rPr>
          <w:rFonts w:ascii="Arial" w:cs="Arial" w:eastAsia="Arial" w:hAnsi="Arial"/>
          <w:sz w:val="21"/>
          <w:szCs w:val="21"/>
          <w:color w:val="auto"/>
          <w:vertAlign w:val="superscript"/>
        </w:rPr>
        <w:t>(3)</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4"/>
          <w:szCs w:val="14"/>
          <w:color w:val="auto"/>
        </w:rPr>
        <w:t>Spotify Technologies S.A.</w:t>
      </w:r>
      <w:r>
        <w:rPr>
          <w:rFonts w:ascii="Arial" w:cs="Arial" w:eastAsia="Arial" w:hAnsi="Arial"/>
          <w:sz w:val="18"/>
          <w:szCs w:val="18"/>
          <w:color w:val="auto"/>
          <w:vertAlign w:val="superscript"/>
        </w:rPr>
        <w:t>(4)</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Dropbox, Inc.</w:t>
      </w:r>
      <w:r>
        <w:rPr>
          <w:rFonts w:ascii="Arial" w:cs="Arial" w:eastAsia="Arial" w:hAnsi="Arial"/>
          <w:sz w:val="21"/>
          <w:szCs w:val="21"/>
          <w:color w:val="auto"/>
          <w:vertAlign w:val="superscript"/>
        </w:rPr>
        <w:t>(5)</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6"/>
          <w:szCs w:val="16"/>
          <w:color w:val="auto"/>
        </w:rPr>
        <w:t>Knewton, Inc.</w:t>
      </w:r>
      <w:r>
        <w:rPr>
          <w:rFonts w:ascii="Arial" w:cs="Arial" w:eastAsia="Arial" w:hAnsi="Arial"/>
          <w:sz w:val="21"/>
          <w:szCs w:val="21"/>
          <w:color w:val="auto"/>
          <w:vertAlign w:val="superscript"/>
        </w:rPr>
        <w:t>(6)</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Total</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__________________</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5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Transaction Date</w:t>
            </w:r>
          </w:p>
        </w:tc>
        <w:tc>
          <w:tcPr>
            <w:tcW w:w="100" w:type="dxa"/>
            <w:vAlign w:val="bottom"/>
            <w:vMerge w:val="restart"/>
          </w:tcPr>
          <w:p>
            <w:pPr>
              <w:spacing w:after="0"/>
              <w:rPr>
                <w:sz w:val="16"/>
                <w:szCs w:val="16"/>
                <w:color w:val="auto"/>
              </w:rPr>
            </w:pPr>
          </w:p>
        </w:tc>
        <w:tc>
          <w:tcPr>
            <w:tcW w:w="152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Shares Sold</w:t>
            </w:r>
          </w:p>
        </w:tc>
        <w:tc>
          <w:tcPr>
            <w:tcW w:w="10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ind w:left="20"/>
              <w:spacing w:after="0"/>
              <w:rPr>
                <w:sz w:val="20"/>
                <w:szCs w:val="20"/>
                <w:color w:val="auto"/>
              </w:rPr>
            </w:pPr>
            <w:r>
              <w:rPr>
                <w:rFonts w:ascii="Arial" w:cs="Arial" w:eastAsia="Arial" w:hAnsi="Arial"/>
                <w:sz w:val="16"/>
                <w:szCs w:val="16"/>
                <w:b w:val="1"/>
                <w:bCs w:val="1"/>
                <w:color w:val="auto"/>
              </w:rPr>
              <w:t>Average Net Share</w:t>
            </w:r>
          </w:p>
        </w:tc>
        <w:tc>
          <w:tcPr>
            <w:tcW w:w="200" w:type="dxa"/>
            <w:vAlign w:val="bottom"/>
          </w:tcPr>
          <w:p>
            <w:pPr>
              <w:spacing w:after="0"/>
              <w:rPr>
                <w:sz w:val="16"/>
                <w:szCs w:val="16"/>
                <w:color w:val="auto"/>
              </w:rPr>
            </w:pPr>
          </w:p>
        </w:tc>
        <w:tc>
          <w:tcPr>
            <w:tcW w:w="13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w w:val="97"/>
              </w:rPr>
              <w:t>Net Proceeds</w:t>
            </w:r>
          </w:p>
        </w:tc>
        <w:tc>
          <w:tcPr>
            <w:tcW w:w="120" w:type="dxa"/>
            <w:vAlign w:val="bottom"/>
            <w:vMerge w:val="restart"/>
          </w:tcPr>
          <w:p>
            <w:pPr>
              <w:spacing w:after="0"/>
              <w:rPr>
                <w:sz w:val="16"/>
                <w:szCs w:val="16"/>
                <w:color w:val="auto"/>
              </w:rPr>
            </w:pPr>
          </w:p>
        </w:tc>
        <w:tc>
          <w:tcPr>
            <w:tcW w:w="15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2"/>
              </w:rPr>
              <w:t>Realized Gain/(Loss)</w:t>
            </w:r>
          </w:p>
        </w:tc>
        <w:tc>
          <w:tcPr>
            <w:tcW w:w="0" w:type="dxa"/>
            <w:vAlign w:val="bottom"/>
          </w:tcPr>
          <w:p>
            <w:pPr>
              <w:spacing w:after="0"/>
              <w:rPr>
                <w:sz w:val="1"/>
                <w:szCs w:val="1"/>
                <w:color w:val="auto"/>
              </w:rPr>
            </w:pPr>
          </w:p>
        </w:tc>
      </w:tr>
      <w:tr>
        <w:trPr>
          <w:trHeight w:val="70"/>
        </w:trPr>
        <w:tc>
          <w:tcPr>
            <w:tcW w:w="1520" w:type="dxa"/>
            <w:vAlign w:val="bottom"/>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1520" w:type="dxa"/>
            <w:vAlign w:val="bottom"/>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vMerge w:val="restart"/>
          </w:tcPr>
          <w:p>
            <w:pPr>
              <w:jc w:val="right"/>
              <w:ind w:right="419"/>
              <w:spacing w:after="0" w:line="216" w:lineRule="exact"/>
              <w:rPr>
                <w:sz w:val="20"/>
                <w:szCs w:val="20"/>
                <w:color w:val="auto"/>
              </w:rPr>
            </w:pPr>
            <w:r>
              <w:rPr>
                <w:rFonts w:ascii="Arial" w:cs="Arial" w:eastAsia="Arial" w:hAnsi="Arial"/>
                <w:sz w:val="16"/>
                <w:szCs w:val="16"/>
                <w:b w:val="1"/>
                <w:bCs w:val="1"/>
                <w:color w:val="auto"/>
              </w:rPr>
              <w:t xml:space="preserve">Price </w:t>
            </w:r>
            <w:r>
              <w:rPr>
                <w:rFonts w:ascii="Arial" w:cs="Arial" w:eastAsia="Arial" w:hAnsi="Arial"/>
                <w:sz w:val="21"/>
                <w:szCs w:val="21"/>
                <w:b w:val="1"/>
                <w:bCs w:val="1"/>
                <w:color w:val="auto"/>
                <w:vertAlign w:val="superscript"/>
              </w:rPr>
              <w:t>(1)</w:t>
            </w:r>
          </w:p>
        </w:tc>
        <w:tc>
          <w:tcPr>
            <w:tcW w:w="100" w:type="dxa"/>
            <w:vAlign w:val="bottom"/>
            <w:vMerge w:val="restart"/>
          </w:tcPr>
          <w:p>
            <w:pPr>
              <w:spacing w:after="0"/>
              <w:rPr>
                <w:sz w:val="6"/>
                <w:szCs w:val="6"/>
                <w:color w:val="auto"/>
              </w:rPr>
            </w:pPr>
          </w:p>
        </w:tc>
        <w:tc>
          <w:tcPr>
            <w:tcW w:w="2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152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52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624"/>
              <w:spacing w:after="0"/>
              <w:rPr>
                <w:sz w:val="20"/>
                <w:szCs w:val="20"/>
                <w:color w:val="auto"/>
              </w:rPr>
            </w:pPr>
            <w:r>
              <w:rPr>
                <w:rFonts w:ascii="Arial" w:cs="Arial" w:eastAsia="Arial" w:hAnsi="Arial"/>
                <w:sz w:val="11"/>
                <w:szCs w:val="11"/>
                <w:b w:val="1"/>
                <w:bCs w:val="1"/>
                <w:color w:val="auto"/>
              </w:rPr>
              <w:t>(2)</w:t>
            </w:r>
          </w:p>
        </w:tc>
        <w:tc>
          <w:tcPr>
            <w:tcW w:w="0" w:type="dxa"/>
            <w:vAlign w:val="bottom"/>
          </w:tcPr>
          <w:p>
            <w:pPr>
              <w:spacing w:after="0"/>
              <w:rPr>
                <w:sz w:val="1"/>
                <w:szCs w:val="1"/>
                <w:color w:val="auto"/>
              </w:rPr>
            </w:pPr>
          </w:p>
        </w:tc>
      </w:tr>
      <w:tr>
        <w:trPr>
          <w:trHeight w:val="217"/>
        </w:trPr>
        <w:tc>
          <w:tcPr>
            <w:tcW w:w="1520" w:type="dxa"/>
            <w:vAlign w:val="bottom"/>
          </w:tcPr>
          <w:p>
            <w:pPr>
              <w:jc w:val="center"/>
              <w:spacing w:after="0"/>
              <w:rPr>
                <w:sz w:val="20"/>
                <w:szCs w:val="20"/>
                <w:color w:val="auto"/>
              </w:rPr>
            </w:pPr>
            <w:r>
              <w:rPr>
                <w:rFonts w:ascii="Arial" w:cs="Arial" w:eastAsia="Arial" w:hAnsi="Arial"/>
                <w:sz w:val="16"/>
                <w:szCs w:val="16"/>
                <w:color w:val="auto"/>
                <w:w w:val="89"/>
              </w:rPr>
              <w:t>3/11/2019</w:t>
            </w:r>
          </w:p>
        </w:tc>
        <w:tc>
          <w:tcPr>
            <w:tcW w:w="10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4"/>
              <w:spacing w:after="0"/>
              <w:rPr>
                <w:sz w:val="20"/>
                <w:szCs w:val="20"/>
                <w:color w:val="auto"/>
              </w:rPr>
            </w:pPr>
            <w:r>
              <w:rPr>
                <w:rFonts w:ascii="Arial" w:cs="Arial" w:eastAsia="Arial" w:hAnsi="Arial"/>
                <w:sz w:val="16"/>
                <w:szCs w:val="16"/>
                <w:color w:val="auto"/>
              </w:rPr>
              <w:t>(12,334,151)</w:t>
            </w:r>
          </w:p>
        </w:tc>
        <w:tc>
          <w:tcPr>
            <w:tcW w:w="0" w:type="dxa"/>
            <w:vAlign w:val="bottom"/>
          </w:tcPr>
          <w:p>
            <w:pPr>
              <w:spacing w:after="0"/>
              <w:rPr>
                <w:sz w:val="1"/>
                <w:szCs w:val="1"/>
                <w:color w:val="auto"/>
              </w:rPr>
            </w:pPr>
          </w:p>
        </w:tc>
      </w:tr>
      <w:tr>
        <w:trPr>
          <w:trHeight w:val="256"/>
        </w:trPr>
        <w:tc>
          <w:tcPr>
            <w:tcW w:w="162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Various</w:t>
            </w: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235,360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138.29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32,547,633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ind w:right="64"/>
              <w:spacing w:after="0"/>
              <w:rPr>
                <w:sz w:val="20"/>
                <w:szCs w:val="20"/>
                <w:color w:val="auto"/>
              </w:rPr>
            </w:pPr>
            <w:r>
              <w:rPr>
                <w:rFonts w:ascii="Arial" w:cs="Arial" w:eastAsia="Arial" w:hAnsi="Arial"/>
                <w:sz w:val="16"/>
                <w:szCs w:val="16"/>
                <w:color w:val="auto"/>
              </w:rPr>
              <w:t>22,545,550</w:t>
            </w:r>
          </w:p>
        </w:tc>
        <w:tc>
          <w:tcPr>
            <w:tcW w:w="0" w:type="dxa"/>
            <w:vAlign w:val="bottom"/>
          </w:tcPr>
          <w:p>
            <w:pPr>
              <w:spacing w:after="0"/>
              <w:rPr>
                <w:sz w:val="1"/>
                <w:szCs w:val="1"/>
                <w:color w:val="auto"/>
              </w:rPr>
            </w:pPr>
          </w:p>
        </w:tc>
      </w:tr>
      <w:tr>
        <w:trPr>
          <w:trHeight w:val="256"/>
        </w:trPr>
        <w:tc>
          <w:tcPr>
            <w:tcW w:w="162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Various</w:t>
            </w: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437,460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24.06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10,520,449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ind w:right="64"/>
              <w:spacing w:after="0"/>
              <w:rPr>
                <w:sz w:val="20"/>
                <w:szCs w:val="20"/>
                <w:color w:val="auto"/>
              </w:rPr>
            </w:pPr>
            <w:r>
              <w:rPr>
                <w:rFonts w:ascii="Arial" w:cs="Arial" w:eastAsia="Arial" w:hAnsi="Arial"/>
                <w:sz w:val="16"/>
                <w:szCs w:val="16"/>
                <w:color w:val="auto"/>
              </w:rPr>
              <w:t>4,326,029</w:t>
            </w:r>
          </w:p>
        </w:tc>
        <w:tc>
          <w:tcPr>
            <w:tcW w:w="0" w:type="dxa"/>
            <w:vAlign w:val="bottom"/>
          </w:tcPr>
          <w:p>
            <w:pPr>
              <w:spacing w:after="0"/>
              <w:rPr>
                <w:sz w:val="1"/>
                <w:szCs w:val="1"/>
                <w:color w:val="auto"/>
              </w:rPr>
            </w:pPr>
          </w:p>
        </w:tc>
      </w:tr>
      <w:tr>
        <w:trPr>
          <w:trHeight w:val="256"/>
        </w:trPr>
        <w:tc>
          <w:tcPr>
            <w:tcW w:w="1520" w:type="dxa"/>
            <w:vAlign w:val="bottom"/>
          </w:tcPr>
          <w:p>
            <w:pPr>
              <w:jc w:val="center"/>
              <w:spacing w:after="0"/>
              <w:rPr>
                <w:sz w:val="20"/>
                <w:szCs w:val="20"/>
                <w:color w:val="auto"/>
              </w:rPr>
            </w:pPr>
            <w:r>
              <w:rPr>
                <w:rFonts w:ascii="Arial" w:cs="Arial" w:eastAsia="Arial" w:hAnsi="Arial"/>
                <w:sz w:val="16"/>
                <w:szCs w:val="16"/>
                <w:color w:val="auto"/>
                <w:w w:val="92"/>
              </w:rPr>
              <w:t>5/31/2019</w:t>
            </w:r>
          </w:p>
        </w:tc>
        <w:tc>
          <w:tcPr>
            <w:tcW w:w="100" w:type="dxa"/>
            <w:vAlign w:val="bottom"/>
          </w:tcPr>
          <w:p>
            <w:pPr>
              <w:spacing w:after="0"/>
              <w:rPr>
                <w:sz w:val="22"/>
                <w:szCs w:val="22"/>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51,511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ind w:right="24"/>
              <w:spacing w:after="0"/>
              <w:rPr>
                <w:sz w:val="20"/>
                <w:szCs w:val="20"/>
                <w:color w:val="auto"/>
              </w:rPr>
            </w:pPr>
            <w:r>
              <w:rPr>
                <w:rFonts w:ascii="Arial" w:cs="Arial" w:eastAsia="Arial" w:hAnsi="Arial"/>
                <w:sz w:val="16"/>
                <w:szCs w:val="16"/>
                <w:color w:val="auto"/>
              </w:rPr>
              <w:t>(5,083,701)</w:t>
            </w:r>
          </w:p>
        </w:tc>
        <w:tc>
          <w:tcPr>
            <w:tcW w:w="0" w:type="dxa"/>
            <w:vAlign w:val="bottom"/>
          </w:tcPr>
          <w:p>
            <w:pPr>
              <w:spacing w:after="0"/>
              <w:rPr>
                <w:sz w:val="1"/>
                <w:szCs w:val="1"/>
                <w:color w:val="auto"/>
              </w:rPr>
            </w:pPr>
          </w:p>
        </w:tc>
      </w:tr>
      <w:tr>
        <w:trPr>
          <w:trHeight w:val="33"/>
        </w:trPr>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Pr>
          <w:p>
            <w:pPr>
              <w:jc w:val="right"/>
              <w:ind w:right="59"/>
              <w:spacing w:after="0"/>
              <w:rPr>
                <w:sz w:val="20"/>
                <w:szCs w:val="20"/>
                <w:color w:val="auto"/>
              </w:rPr>
            </w:pPr>
            <w:r>
              <w:rPr>
                <w:rFonts w:ascii="Arial" w:cs="Arial" w:eastAsia="Arial" w:hAnsi="Arial"/>
                <w:sz w:val="16"/>
                <w:szCs w:val="16"/>
                <w:b w:val="1"/>
                <w:bCs w:val="1"/>
                <w:color w:val="auto"/>
              </w:rPr>
              <w:t>43,119,593</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ind w:right="64"/>
              <w:spacing w:after="0"/>
              <w:rPr>
                <w:sz w:val="20"/>
                <w:szCs w:val="20"/>
                <w:color w:val="auto"/>
              </w:rPr>
            </w:pPr>
            <w:r>
              <w:rPr>
                <w:rFonts w:ascii="Arial" w:cs="Arial" w:eastAsia="Arial" w:hAnsi="Arial"/>
                <w:sz w:val="16"/>
                <w:szCs w:val="16"/>
                <w:b w:val="1"/>
                <w:bCs w:val="1"/>
                <w:color w:val="auto"/>
              </w:rPr>
              <w:t>9,453,727</w:t>
            </w:r>
          </w:p>
        </w:tc>
        <w:tc>
          <w:tcPr>
            <w:tcW w:w="0" w:type="dxa"/>
            <w:vAlign w:val="bottom"/>
          </w:tcPr>
          <w:p>
            <w:pPr>
              <w:spacing w:after="0"/>
              <w:rPr>
                <w:sz w:val="1"/>
                <w:szCs w:val="1"/>
                <w:color w:val="auto"/>
              </w:rPr>
            </w:pPr>
          </w:p>
        </w:tc>
      </w:tr>
      <w:tr>
        <w:trPr>
          <w:trHeight w:val="33"/>
        </w:trPr>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-530860</wp:posOffset>
            </wp:positionV>
            <wp:extent cx="7132320" cy="1625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-2038985</wp:posOffset>
            </wp:positionH>
            <wp:positionV relativeFrom="paragraph">
              <wp:posOffset>-205105</wp:posOffset>
            </wp:positionV>
            <wp:extent cx="7132320" cy="1885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-2038985</wp:posOffset>
            </wp:positionH>
            <wp:positionV relativeFrom="paragraph">
              <wp:posOffset>-864870</wp:posOffset>
            </wp:positionV>
            <wp:extent cx="713232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63" w:lineRule="exact"/>
        <w:rPr>
          <w:sz w:val="20"/>
          <w:szCs w:val="20"/>
          <w:color w:val="auto"/>
        </w:rPr>
      </w:pPr>
    </w:p>
    <w:p>
      <w:pPr>
        <w:sectPr>
          <w:pgSz w:w="11900" w:h="16838" w:orient="portrait"/>
          <w:cols w:equalWidth="0" w:num="2">
            <w:col w:w="2500" w:space="720"/>
            <w:col w:w="8020"/>
          </w:cols>
          <w:pgMar w:left="320" w:top="122" w:right="339" w:bottom="0" w:gutter="0" w:footer="0" w:header="0"/>
          <w:type w:val="continuous"/>
        </w:sectPr>
      </w:pPr>
    </w:p>
    <w:p>
      <w:pPr>
        <w:ind w:left="480" w:hanging="472"/>
        <w:spacing w:after="0"/>
        <w:tabs>
          <w:tab w:leader="none" w:pos="4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average net share price is the net share price realized after deducting all commissions and fees on the sale(s), if applicable.</w:t>
      </w:r>
    </w:p>
    <w:p>
      <w:pPr>
        <w:spacing w:after="0" w:line="1" w:lineRule="exact"/>
        <w:rPr>
          <w:rFonts w:ascii="Arial" w:cs="Arial" w:eastAsia="Arial" w:hAnsi="Arial"/>
          <w:sz w:val="14"/>
          <w:szCs w:val="14"/>
          <w:color w:val="auto"/>
        </w:rPr>
      </w:pPr>
    </w:p>
    <w:p>
      <w:pPr>
        <w:ind w:left="480" w:hanging="472"/>
        <w:spacing w:after="0"/>
        <w:tabs>
          <w:tab w:leader="none" w:pos="4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Realized gain/(loss) does not include amounts held in escrow or any realized gain or loss incurred on the maturity of our U.S. Treasury investments.</w:t>
      </w:r>
    </w:p>
    <w:p>
      <w:pPr>
        <w:spacing w:after="0" w:line="1" w:lineRule="exact"/>
        <w:rPr>
          <w:rFonts w:ascii="Arial" w:cs="Arial" w:eastAsia="Arial" w:hAnsi="Arial"/>
          <w:sz w:val="14"/>
          <w:szCs w:val="14"/>
          <w:color w:val="auto"/>
        </w:rPr>
      </w:pPr>
    </w:p>
    <w:p>
      <w:pPr>
        <w:jc w:val="both"/>
        <w:ind w:left="500" w:hanging="492"/>
        <w:spacing w:after="0" w:line="241" w:lineRule="auto"/>
        <w:tabs>
          <w:tab w:leader="none" w:pos="492" w:val="left"/>
        </w:tabs>
        <w:numPr>
          <w:ilvl w:val="0"/>
          <w:numId w:val="38"/>
        </w:numPr>
        <w:rPr>
          <w:rFonts w:ascii="Arial" w:cs="Arial" w:eastAsia="Arial" w:hAnsi="Arial"/>
          <w:sz w:val="14"/>
          <w:szCs w:val="14"/>
          <w:color w:val="auto"/>
        </w:rPr>
      </w:pPr>
      <w:r>
        <w:rPr>
          <w:rFonts w:ascii="Arial" w:cs="Arial" w:eastAsia="Arial" w:hAnsi="Arial"/>
          <w:sz w:val="14"/>
          <w:szCs w:val="14"/>
          <w:color w:val="auto"/>
        </w:rPr>
        <w:t>On March 11, 2019, Declara, Inc. entered into a definitive agreement to be acquired by Declara Holdings, Inc., a subsidiary of Futuryng, Inc. Despite the existence of an earn-out provision, as a result of the transaction, the Company does not expect to receive any proceeds. The exit of Declara, Inc. included a 12% Convertible Promissory Note with a principal value of $2,334,152.</w:t>
      </w:r>
    </w:p>
    <w:p>
      <w:pPr>
        <w:spacing w:after="0" w:line="1" w:lineRule="exact"/>
        <w:rPr>
          <w:rFonts w:ascii="Arial" w:cs="Arial" w:eastAsia="Arial" w:hAnsi="Arial"/>
          <w:sz w:val="14"/>
          <w:szCs w:val="14"/>
          <w:color w:val="auto"/>
        </w:rPr>
      </w:pPr>
    </w:p>
    <w:p>
      <w:pPr>
        <w:ind w:left="480" w:hanging="472"/>
        <w:spacing w:after="0"/>
        <w:tabs>
          <w:tab w:leader="none" w:pos="4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As of June 30, 2019 we held 0 remaining shares of Spotify Technologies S.A.</w:t>
      </w:r>
    </w:p>
    <w:p>
      <w:pPr>
        <w:spacing w:after="0" w:line="1" w:lineRule="exact"/>
        <w:rPr>
          <w:rFonts w:ascii="Arial" w:cs="Arial" w:eastAsia="Arial" w:hAnsi="Arial"/>
          <w:sz w:val="14"/>
          <w:szCs w:val="14"/>
          <w:color w:val="auto"/>
        </w:rPr>
      </w:pPr>
    </w:p>
    <w:p>
      <w:pPr>
        <w:ind w:left="480" w:hanging="472"/>
        <w:spacing w:after="0"/>
        <w:tabs>
          <w:tab w:leader="none" w:pos="4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AS of June 30, 2019 we held 437,530 remaining shares of Dropbox, Inc.</w:t>
      </w:r>
    </w:p>
    <w:p>
      <w:pPr>
        <w:spacing w:after="0" w:line="1" w:lineRule="exact"/>
        <w:rPr>
          <w:rFonts w:ascii="Arial" w:cs="Arial" w:eastAsia="Arial" w:hAnsi="Arial"/>
          <w:sz w:val="14"/>
          <w:szCs w:val="14"/>
          <w:color w:val="auto"/>
        </w:rPr>
      </w:pPr>
    </w:p>
    <w:p>
      <w:pPr>
        <w:ind w:left="480" w:hanging="472"/>
        <w:spacing w:after="0"/>
        <w:tabs>
          <w:tab w:leader="none" w:pos="4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On May 31, 2019, a sale of substantially all of Knewton, Inc. to Wiley Education was completed.</w:t>
      </w:r>
    </w:p>
    <w:p>
      <w:pPr>
        <w:spacing w:after="0" w:line="2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During the six months ended June 30, 2019, we did not write-off any investments.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ectPr>
          <w:pgSz w:w="11900" w:h="16838" w:orient="portrait"/>
          <w:cols w:equalWidth="0" w:num="1">
            <w:col w:w="11240"/>
          </w:cols>
          <w:pgMar w:left="320" w:top="122" w:right="339" w:bottom="0" w:gutter="0" w:footer="0" w:header="0"/>
          <w:type w:val="continuous"/>
        </w:sectPr>
      </w:pPr>
    </w:p>
    <w:p>
      <w:pPr>
        <w:spacing w:after="0" w:line="2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Comparison of the three and six months ended June 30, 2020 and 2019</w:t>
      </w:r>
    </w:p>
    <w:p>
      <w:pPr>
        <w:sectPr>
          <w:pgSz w:w="11900" w:h="16838" w:orient="portrait"/>
          <w:cols w:equalWidth="0" w:num="1">
            <w:col w:w="11240"/>
          </w:cols>
          <w:pgMar w:left="320" w:top="122" w:right="339" w:bottom="0" w:gutter="0" w:footer="0" w:header="0"/>
          <w:type w:val="continuous"/>
        </w:sectPr>
      </w:pPr>
    </w:p>
    <w:bookmarkStart w:id="60" w:name="page61"/>
    <w:bookmarkEnd w:id="60"/>
    <w:p>
      <w:pPr>
        <w:ind w:left="340"/>
        <w:spacing w:after="0"/>
        <w:rPr>
          <w:sz w:val="20"/>
          <w:szCs w:val="20"/>
          <w:color w:val="auto"/>
        </w:rPr>
      </w:pPr>
      <w:r>
        <w:rPr>
          <w:rFonts w:ascii="Arial" w:cs="Arial" w:eastAsia="Arial" w:hAnsi="Arial"/>
          <w:sz w:val="18"/>
          <w:szCs w:val="18"/>
          <w:color w:val="auto"/>
        </w:rPr>
        <w:t>Operating results for the three and six months ended June 30, 2020 and 2019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20" w:type="dxa"/>
            <w:vAlign w:val="bottom"/>
            <w:gridSpan w:val="5"/>
          </w:tcPr>
          <w:p>
            <w:pPr>
              <w:ind w:left="28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18"/>
                <w:szCs w:val="18"/>
                <w:color w:val="auto"/>
              </w:rPr>
            </w:pPr>
          </w:p>
        </w:tc>
        <w:tc>
          <w:tcPr>
            <w:tcW w:w="3020" w:type="dxa"/>
            <w:vAlign w:val="bottom"/>
            <w:gridSpan w:val="4"/>
          </w:tcPr>
          <w:p>
            <w:pPr>
              <w:jc w:val="right"/>
              <w:ind w:right="65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4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Investment Income</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241,514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487,952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493,277</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715,202</w:t>
            </w:r>
          </w:p>
        </w:tc>
        <w:tc>
          <w:tcPr>
            <w:tcW w:w="0" w:type="dxa"/>
            <w:vAlign w:val="bottom"/>
          </w:tcPr>
          <w:p>
            <w:pPr>
              <w:spacing w:after="0"/>
              <w:rPr>
                <w:sz w:val="1"/>
                <w:szCs w:val="1"/>
                <w:color w:val="auto"/>
              </w:rPr>
            </w:pPr>
          </w:p>
        </w:tc>
      </w:tr>
      <w:tr>
        <w:trPr>
          <w:trHeight w:val="223"/>
        </w:trPr>
        <w:tc>
          <w:tcPr>
            <w:tcW w:w="4360" w:type="dxa"/>
            <w:vAlign w:val="bottom"/>
          </w:tcPr>
          <w:p>
            <w:pPr>
              <w:ind w:left="120"/>
              <w:spacing w:after="0"/>
              <w:rPr>
                <w:sz w:val="20"/>
                <w:szCs w:val="20"/>
                <w:color w:val="auto"/>
              </w:rPr>
            </w:pPr>
            <w:r>
              <w:rPr>
                <w:rFonts w:ascii="Arial" w:cs="Arial" w:eastAsia="Arial" w:hAnsi="Arial"/>
                <w:sz w:val="16"/>
                <w:szCs w:val="16"/>
                <w:color w:val="auto"/>
              </w:rPr>
              <w:t>Interest income</w:t>
            </w:r>
          </w:p>
        </w:tc>
        <w:tc>
          <w:tcPr>
            <w:tcW w:w="38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11,514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287,952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187,027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515,202</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Dividend income</w:t>
            </w: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230,000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200,000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306,250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200,000</w:t>
            </w:r>
          </w:p>
        </w:tc>
        <w:tc>
          <w:tcPr>
            <w:tcW w:w="0" w:type="dxa"/>
            <w:vAlign w:val="bottom"/>
          </w:tcPr>
          <w:p>
            <w:pPr>
              <w:spacing w:after="0"/>
              <w:rPr>
                <w:sz w:val="1"/>
                <w:szCs w:val="1"/>
                <w:color w:val="auto"/>
              </w:rPr>
            </w:pPr>
          </w:p>
        </w:tc>
      </w:tr>
      <w:tr>
        <w:trPr>
          <w:trHeight w:val="224"/>
        </w:trPr>
        <w:tc>
          <w:tcPr>
            <w:tcW w:w="4360" w:type="dxa"/>
            <w:vAlign w:val="bottom"/>
          </w:tcPr>
          <w:p>
            <w:pPr>
              <w:ind w:left="20"/>
              <w:spacing w:after="0"/>
              <w:rPr>
                <w:sz w:val="20"/>
                <w:szCs w:val="20"/>
                <w:color w:val="auto"/>
              </w:rPr>
            </w:pPr>
            <w:r>
              <w:rPr>
                <w:rFonts w:ascii="Arial" w:cs="Arial" w:eastAsia="Arial" w:hAnsi="Arial"/>
                <w:sz w:val="16"/>
                <w:szCs w:val="16"/>
                <w:b w:val="1"/>
                <w:bCs w:val="1"/>
                <w:color w:val="auto"/>
              </w:rPr>
              <w:t>Total Operating Expenses</w:t>
            </w: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ind w:right="59"/>
              <w:spacing w:after="0"/>
              <w:rPr>
                <w:sz w:val="20"/>
                <w:szCs w:val="20"/>
                <w:color w:val="auto"/>
              </w:rPr>
            </w:pPr>
            <w:r>
              <w:rPr>
                <w:rFonts w:ascii="Arial" w:cs="Arial" w:eastAsia="Arial" w:hAnsi="Arial"/>
                <w:sz w:val="16"/>
                <w:szCs w:val="16"/>
                <w:b w:val="1"/>
                <w:bCs w:val="1"/>
                <w:color w:val="auto"/>
              </w:rPr>
              <w:t>4,908,902</w:t>
            </w:r>
          </w:p>
        </w:tc>
        <w:tc>
          <w:tcPr>
            <w:tcW w:w="10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ind w:right="59"/>
              <w:spacing w:after="0"/>
              <w:rPr>
                <w:sz w:val="20"/>
                <w:szCs w:val="20"/>
                <w:color w:val="auto"/>
              </w:rPr>
            </w:pPr>
            <w:r>
              <w:rPr>
                <w:rFonts w:ascii="Arial" w:cs="Arial" w:eastAsia="Arial" w:hAnsi="Arial"/>
                <w:sz w:val="16"/>
                <w:szCs w:val="16"/>
                <w:b w:val="1"/>
                <w:bCs w:val="1"/>
                <w:color w:val="auto"/>
              </w:rPr>
              <w:t>3,293,183</w:t>
            </w:r>
          </w:p>
        </w:tc>
        <w:tc>
          <w:tcPr>
            <w:tcW w:w="12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ind w:right="59"/>
              <w:spacing w:after="0"/>
              <w:rPr>
                <w:sz w:val="20"/>
                <w:szCs w:val="20"/>
                <w:color w:val="auto"/>
              </w:rPr>
            </w:pPr>
            <w:r>
              <w:rPr>
                <w:rFonts w:ascii="Arial" w:cs="Arial" w:eastAsia="Arial" w:hAnsi="Arial"/>
                <w:sz w:val="16"/>
                <w:szCs w:val="16"/>
                <w:b w:val="1"/>
                <w:bCs w:val="1"/>
                <w:color w:val="auto"/>
              </w:rPr>
              <w:t>8,165,218</w:t>
            </w:r>
          </w:p>
        </w:tc>
        <w:tc>
          <w:tcPr>
            <w:tcW w:w="12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ind w:right="59"/>
              <w:spacing w:after="0"/>
              <w:rPr>
                <w:sz w:val="20"/>
                <w:szCs w:val="20"/>
                <w:color w:val="auto"/>
              </w:rPr>
            </w:pPr>
            <w:r>
              <w:rPr>
                <w:rFonts w:ascii="Arial" w:cs="Arial" w:eastAsia="Arial" w:hAnsi="Arial"/>
                <w:sz w:val="16"/>
                <w:szCs w:val="16"/>
                <w:b w:val="1"/>
                <w:bCs w:val="1"/>
                <w:color w:val="auto"/>
              </w:rPr>
              <w:t>2,900,731</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Management fees</w:t>
            </w:r>
          </w:p>
        </w:tc>
        <w:tc>
          <w:tcPr>
            <w:tcW w:w="3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848,723</w:t>
            </w:r>
          </w:p>
        </w:tc>
        <w:tc>
          <w:tcPr>
            <w:tcW w:w="0" w:type="dxa"/>
            <w:vAlign w:val="bottom"/>
          </w:tcPr>
          <w:p>
            <w:pPr>
              <w:spacing w:after="0"/>
              <w:rPr>
                <w:sz w:val="1"/>
                <w:szCs w:val="1"/>
                <w:color w:val="auto"/>
              </w:rPr>
            </w:pPr>
          </w:p>
        </w:tc>
      </w:tr>
      <w:tr>
        <w:trPr>
          <w:trHeight w:val="223"/>
        </w:trPr>
        <w:tc>
          <w:tcPr>
            <w:tcW w:w="4360" w:type="dxa"/>
            <w:vAlign w:val="bottom"/>
          </w:tcPr>
          <w:p>
            <w:pPr>
              <w:ind w:left="120"/>
              <w:spacing w:after="0"/>
              <w:rPr>
                <w:sz w:val="20"/>
                <w:szCs w:val="20"/>
                <w:color w:val="auto"/>
              </w:rPr>
            </w:pPr>
            <w:r>
              <w:rPr>
                <w:rFonts w:ascii="Arial" w:cs="Arial" w:eastAsia="Arial" w:hAnsi="Arial"/>
                <w:sz w:val="16"/>
                <w:szCs w:val="16"/>
                <w:color w:val="auto"/>
              </w:rPr>
              <w:t>Incentive fees/(Reversal of incentive fee accrual)</w:t>
            </w:r>
          </w:p>
        </w:tc>
        <w:tc>
          <w:tcPr>
            <w:tcW w:w="38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(4,660,472)</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Costs incurred under Administration Agreement</w:t>
            </w:r>
          </w:p>
        </w:tc>
        <w:tc>
          <w:tcPr>
            <w:tcW w:w="3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306,084</w:t>
            </w:r>
          </w:p>
        </w:tc>
        <w:tc>
          <w:tcPr>
            <w:tcW w:w="0" w:type="dxa"/>
            <w:vAlign w:val="bottom"/>
          </w:tcPr>
          <w:p>
            <w:pPr>
              <w:spacing w:after="0"/>
              <w:rPr>
                <w:sz w:val="1"/>
                <w:szCs w:val="1"/>
                <w:color w:val="auto"/>
              </w:rPr>
            </w:pPr>
          </w:p>
        </w:tc>
      </w:tr>
      <w:tr>
        <w:trPr>
          <w:trHeight w:val="224"/>
        </w:trPr>
        <w:tc>
          <w:tcPr>
            <w:tcW w:w="4360" w:type="dxa"/>
            <w:vAlign w:val="bottom"/>
          </w:tcPr>
          <w:p>
            <w:pPr>
              <w:ind w:left="120"/>
              <w:spacing w:after="0"/>
              <w:rPr>
                <w:sz w:val="20"/>
                <w:szCs w:val="20"/>
                <w:color w:val="auto"/>
              </w:rPr>
            </w:pPr>
            <w:r>
              <w:rPr>
                <w:rFonts w:ascii="Arial" w:cs="Arial" w:eastAsia="Arial" w:hAnsi="Arial"/>
                <w:sz w:val="16"/>
                <w:szCs w:val="16"/>
                <w:color w:val="auto"/>
              </w:rPr>
              <w:t>Directors’ fees</w:t>
            </w:r>
          </w:p>
        </w:tc>
        <w:tc>
          <w:tcPr>
            <w:tcW w:w="38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111,250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86,250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222,500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172,500</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Professional fees</w:t>
            </w: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678,472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1,310,028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1,817,838</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3,371,950</w:t>
            </w:r>
          </w:p>
        </w:tc>
        <w:tc>
          <w:tcPr>
            <w:tcW w:w="0" w:type="dxa"/>
            <w:vAlign w:val="bottom"/>
          </w:tcPr>
          <w:p>
            <w:pPr>
              <w:spacing w:after="0"/>
              <w:rPr>
                <w:sz w:val="1"/>
                <w:szCs w:val="1"/>
                <w:color w:val="auto"/>
              </w:rPr>
            </w:pPr>
          </w:p>
        </w:tc>
      </w:tr>
      <w:tr>
        <w:trPr>
          <w:trHeight w:val="223"/>
        </w:trPr>
        <w:tc>
          <w:tcPr>
            <w:tcW w:w="4360" w:type="dxa"/>
            <w:vAlign w:val="bottom"/>
          </w:tcPr>
          <w:p>
            <w:pPr>
              <w:ind w:left="120"/>
              <w:spacing w:after="0"/>
              <w:rPr>
                <w:sz w:val="20"/>
                <w:szCs w:val="20"/>
                <w:color w:val="auto"/>
              </w:rPr>
            </w:pPr>
            <w:r>
              <w:rPr>
                <w:rFonts w:ascii="Arial" w:cs="Arial" w:eastAsia="Arial" w:hAnsi="Arial"/>
                <w:sz w:val="16"/>
                <w:szCs w:val="16"/>
                <w:color w:val="auto"/>
              </w:rPr>
              <w:t>Compensation expense</w:t>
            </w:r>
          </w:p>
        </w:tc>
        <w:tc>
          <w:tcPr>
            <w:tcW w:w="38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3,005,524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469,944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3,930,440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632,108</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Interest expense</w:t>
            </w: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568,627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600,205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1,142,027</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1,204,373</w:t>
            </w:r>
          </w:p>
        </w:tc>
        <w:tc>
          <w:tcPr>
            <w:tcW w:w="0" w:type="dxa"/>
            <w:vAlign w:val="bottom"/>
          </w:tcPr>
          <w:p>
            <w:pPr>
              <w:spacing w:after="0"/>
              <w:rPr>
                <w:sz w:val="1"/>
                <w:szCs w:val="1"/>
                <w:color w:val="auto"/>
              </w:rPr>
            </w:pPr>
          </w:p>
        </w:tc>
      </w:tr>
      <w:tr>
        <w:trPr>
          <w:trHeight w:val="224"/>
        </w:trPr>
        <w:tc>
          <w:tcPr>
            <w:tcW w:w="4360" w:type="dxa"/>
            <w:vAlign w:val="bottom"/>
          </w:tcPr>
          <w:p>
            <w:pPr>
              <w:ind w:left="120"/>
              <w:spacing w:after="0"/>
              <w:rPr>
                <w:sz w:val="20"/>
                <w:szCs w:val="20"/>
                <w:color w:val="auto"/>
              </w:rPr>
            </w:pPr>
            <w:r>
              <w:rPr>
                <w:rFonts w:ascii="Arial" w:cs="Arial" w:eastAsia="Arial" w:hAnsi="Arial"/>
                <w:sz w:val="16"/>
                <w:szCs w:val="16"/>
                <w:color w:val="auto"/>
              </w:rPr>
              <w:t>Tax expense</w:t>
            </w:r>
          </w:p>
        </w:tc>
        <w:tc>
          <w:tcPr>
            <w:tcW w:w="38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39,590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29,949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48,255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33,712</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expenses</w:t>
            </w: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505,439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796,807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1,004,158</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991,753</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Arial" w:cs="Arial" w:eastAsia="Arial" w:hAnsi="Arial"/>
                <w:sz w:val="16"/>
                <w:szCs w:val="16"/>
                <w:b w:val="1"/>
                <w:bCs w:val="1"/>
                <w:color w:val="auto"/>
              </w:rPr>
              <w:t>Net Investment Loss</w:t>
            </w: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(4,667,388)</w:t>
            </w:r>
          </w:p>
        </w:tc>
        <w:tc>
          <w:tcPr>
            <w:tcW w:w="10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(2,805,231)</w:t>
            </w:r>
          </w:p>
        </w:tc>
        <w:tc>
          <w:tcPr>
            <w:tcW w:w="12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(7,671,941)</w:t>
            </w:r>
          </w:p>
        </w:tc>
        <w:tc>
          <w:tcPr>
            <w:tcW w:w="12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(2,185,529)</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realized gain/(loss) on investments</w:t>
            </w: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(23,987)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13,590,233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6,954,253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9,524,540</w:t>
            </w:r>
          </w:p>
        </w:tc>
        <w:tc>
          <w:tcPr>
            <w:tcW w:w="0" w:type="dxa"/>
            <w:vAlign w:val="bottom"/>
          </w:tcPr>
          <w:p>
            <w:pPr>
              <w:spacing w:after="0"/>
              <w:rPr>
                <w:sz w:val="1"/>
                <w:szCs w:val="1"/>
                <w:color w:val="auto"/>
              </w:rPr>
            </w:pPr>
          </w:p>
        </w:tc>
      </w:tr>
      <w:tr>
        <w:trPr>
          <w:trHeight w:val="166"/>
        </w:trPr>
        <w:tc>
          <w:tcPr>
            <w:tcW w:w="4360" w:type="dxa"/>
            <w:vAlign w:val="bottom"/>
          </w:tcPr>
          <w:p>
            <w:pPr>
              <w:ind w:left="100"/>
              <w:spacing w:after="0" w:line="166" w:lineRule="exact"/>
              <w:rPr>
                <w:sz w:val="20"/>
                <w:szCs w:val="20"/>
                <w:color w:val="auto"/>
              </w:rPr>
            </w:pPr>
            <w:r>
              <w:rPr>
                <w:rFonts w:ascii="Arial" w:cs="Arial" w:eastAsia="Arial" w:hAnsi="Arial"/>
                <w:sz w:val="16"/>
                <w:szCs w:val="16"/>
                <w:color w:val="auto"/>
              </w:rPr>
              <w:t>Net change in unrealized appreciation/(depreciation) of</w:t>
            </w:r>
          </w:p>
        </w:tc>
        <w:tc>
          <w:tcPr>
            <w:tcW w:w="380" w:type="dxa"/>
            <w:vAlign w:val="bottom"/>
          </w:tcPr>
          <w:p>
            <w:pPr>
              <w:spacing w:after="0"/>
              <w:rPr>
                <w:sz w:val="14"/>
                <w:szCs w:val="14"/>
                <w:color w:val="auto"/>
              </w:rPr>
            </w:pPr>
          </w:p>
        </w:tc>
        <w:tc>
          <w:tcPr>
            <w:tcW w:w="1260" w:type="dxa"/>
            <w:vAlign w:val="bottom"/>
            <w:vMerge w:val="restart"/>
          </w:tcPr>
          <w:p>
            <w:pPr>
              <w:jc w:val="right"/>
              <w:ind w:right="59"/>
              <w:spacing w:after="0"/>
              <w:rPr>
                <w:sz w:val="20"/>
                <w:szCs w:val="20"/>
                <w:color w:val="auto"/>
              </w:rPr>
            </w:pPr>
            <w:r>
              <w:rPr>
                <w:rFonts w:ascii="Arial" w:cs="Arial" w:eastAsia="Arial" w:hAnsi="Arial"/>
                <w:sz w:val="16"/>
                <w:szCs w:val="16"/>
                <w:color w:val="auto"/>
              </w:rPr>
              <w:t>26,522,195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vMerge w:val="restart"/>
          </w:tcPr>
          <w:p>
            <w:pPr>
              <w:jc w:val="right"/>
              <w:ind w:right="19"/>
              <w:spacing w:after="0"/>
              <w:rPr>
                <w:sz w:val="20"/>
                <w:szCs w:val="20"/>
                <w:color w:val="auto"/>
              </w:rPr>
            </w:pPr>
            <w:r>
              <w:rPr>
                <w:rFonts w:ascii="Arial" w:cs="Arial" w:eastAsia="Arial" w:hAnsi="Arial"/>
                <w:sz w:val="16"/>
                <w:szCs w:val="16"/>
                <w:color w:val="auto"/>
              </w:rPr>
              <w:t>(12,440,320)</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vMerge w:val="restart"/>
          </w:tcPr>
          <w:p>
            <w:pPr>
              <w:jc w:val="right"/>
              <w:ind w:right="19"/>
              <w:spacing w:after="0"/>
              <w:rPr>
                <w:sz w:val="20"/>
                <w:szCs w:val="20"/>
                <w:color w:val="auto"/>
              </w:rPr>
            </w:pPr>
            <w:r>
              <w:rPr>
                <w:rFonts w:ascii="Arial" w:cs="Arial" w:eastAsia="Arial" w:hAnsi="Arial"/>
                <w:sz w:val="16"/>
                <w:szCs w:val="16"/>
                <w:color w:val="auto"/>
              </w:rPr>
              <w:t>(1,143,739)</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vMerge w:val="restart"/>
          </w:tcPr>
          <w:p>
            <w:pPr>
              <w:jc w:val="right"/>
              <w:ind w:right="59"/>
              <w:spacing w:after="0"/>
              <w:rPr>
                <w:sz w:val="20"/>
                <w:szCs w:val="20"/>
                <w:color w:val="auto"/>
              </w:rPr>
            </w:pPr>
            <w:r>
              <w:rPr>
                <w:rFonts w:ascii="Arial" w:cs="Arial" w:eastAsia="Arial" w:hAnsi="Arial"/>
                <w:sz w:val="16"/>
                <w:szCs w:val="16"/>
                <w:color w:val="auto"/>
              </w:rPr>
              <w:t>8,259,431</w:t>
            </w:r>
          </w:p>
        </w:tc>
        <w:tc>
          <w:tcPr>
            <w:tcW w:w="0" w:type="dxa"/>
            <w:vAlign w:val="bottom"/>
          </w:tcPr>
          <w:p>
            <w:pPr>
              <w:spacing w:after="0"/>
              <w:rPr>
                <w:sz w:val="1"/>
                <w:szCs w:val="1"/>
                <w:color w:val="auto"/>
              </w:rPr>
            </w:pPr>
          </w:p>
        </w:tc>
      </w:tr>
      <w:tr>
        <w:trPr>
          <w:trHeight w:val="209"/>
        </w:trPr>
        <w:tc>
          <w:tcPr>
            <w:tcW w:w="4360" w:type="dxa"/>
            <w:vAlign w:val="bottom"/>
          </w:tcPr>
          <w:p>
            <w:pPr>
              <w:ind w:left="180"/>
              <w:spacing w:after="0"/>
              <w:rPr>
                <w:sz w:val="20"/>
                <w:szCs w:val="20"/>
                <w:color w:val="auto"/>
              </w:rPr>
            </w:pPr>
            <w:r>
              <w:rPr>
                <w:rFonts w:ascii="Arial" w:cs="Arial" w:eastAsia="Arial" w:hAnsi="Arial"/>
                <w:sz w:val="16"/>
                <w:szCs w:val="16"/>
                <w:color w:val="auto"/>
              </w:rPr>
              <w:t>investments</w:t>
            </w: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436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8"/>
              </w:rPr>
              <w:t>Provision for taxes on unrealized appreciation of investments</w:t>
            </w:r>
          </w:p>
        </w:tc>
        <w:tc>
          <w:tcPr>
            <w:tcW w:w="38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979,713</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885,566</w:t>
            </w:r>
          </w:p>
        </w:tc>
        <w:tc>
          <w:tcPr>
            <w:tcW w:w="0" w:type="dxa"/>
            <w:vAlign w:val="bottom"/>
          </w:tcPr>
          <w:p>
            <w:pPr>
              <w:spacing w:after="0"/>
              <w:rPr>
                <w:sz w:val="1"/>
                <w:szCs w:val="1"/>
                <w:color w:val="auto"/>
              </w:rPr>
            </w:pPr>
          </w:p>
        </w:tc>
      </w:tr>
      <w:tr>
        <w:trPr>
          <w:trHeight w:val="216"/>
        </w:trPr>
        <w:tc>
          <w:tcPr>
            <w:tcW w:w="4360" w:type="dxa"/>
            <w:vAlign w:val="bottom"/>
          </w:tcPr>
          <w:p>
            <w:pPr>
              <w:ind w:left="20"/>
              <w:spacing w:after="0"/>
              <w:rPr>
                <w:sz w:val="20"/>
                <w:szCs w:val="20"/>
                <w:color w:val="auto"/>
              </w:rPr>
            </w:pPr>
            <w:r>
              <w:rPr>
                <w:rFonts w:ascii="Arial" w:cs="Arial" w:eastAsia="Arial" w:hAnsi="Arial"/>
                <w:sz w:val="16"/>
                <w:szCs w:val="16"/>
                <w:b w:val="1"/>
                <w:bCs w:val="1"/>
                <w:color w:val="auto"/>
              </w:rPr>
              <w:t>Net Increase/(Decrease) in Net Assets Resulting from</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tcPr>
          <w:p>
            <w:pPr>
              <w:ind w:left="20"/>
              <w:spacing w:after="0"/>
              <w:rPr>
                <w:sz w:val="20"/>
                <w:szCs w:val="20"/>
                <w:color w:val="auto"/>
              </w:rPr>
            </w:pPr>
            <w:r>
              <w:rPr>
                <w:rFonts w:ascii="Arial" w:cs="Arial" w:eastAsia="Arial" w:hAnsi="Arial"/>
                <w:sz w:val="16"/>
                <w:szCs w:val="16"/>
                <w:b w:val="1"/>
                <w:bCs w:val="1"/>
                <w:color w:val="auto"/>
              </w:rPr>
              <w:t>Operations</w:t>
            </w: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ind w:right="59"/>
              <w:spacing w:after="0"/>
              <w:rPr>
                <w:sz w:val="20"/>
                <w:szCs w:val="20"/>
                <w:color w:val="auto"/>
              </w:rPr>
            </w:pPr>
            <w:r>
              <w:rPr>
                <w:rFonts w:ascii="Arial" w:cs="Arial" w:eastAsia="Arial" w:hAnsi="Arial"/>
                <w:sz w:val="16"/>
                <w:szCs w:val="16"/>
                <w:b w:val="1"/>
                <w:bCs w:val="1"/>
                <w:color w:val="auto"/>
              </w:rPr>
              <w:t>21,830,820</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(675,605)</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(1,861,427)</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ind w:right="59"/>
              <w:spacing w:after="0"/>
              <w:rPr>
                <w:sz w:val="20"/>
                <w:szCs w:val="20"/>
                <w:color w:val="auto"/>
              </w:rPr>
            </w:pPr>
            <w:r>
              <w:rPr>
                <w:rFonts w:ascii="Arial" w:cs="Arial" w:eastAsia="Arial" w:hAnsi="Arial"/>
                <w:sz w:val="16"/>
                <w:szCs w:val="16"/>
                <w:b w:val="1"/>
                <w:bCs w:val="1"/>
                <w:color w:val="auto"/>
              </w:rPr>
              <w:t>16,484,008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-3124200</wp:posOffset>
            </wp:positionV>
            <wp:extent cx="27686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52"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Investment income decreased to $241,514 for the three months ended June 30, 2020 from $487,952 for the three months ended June 30, 2019. The net decrease between periods was not material and was generally due to decreased accrued interest income due to the placement of some debt investments on non-accrual status offset by an increase in dividend income received from GreenAcreage Real Estate Investment Trust, Inc. during the three months ended June 30, 2020, relative to the three months ended June 30, 2019.</w:t>
      </w:r>
    </w:p>
    <w:p>
      <w:pPr>
        <w:spacing w:after="0" w:line="214" w:lineRule="exact"/>
        <w:rPr>
          <w:sz w:val="20"/>
          <w:szCs w:val="20"/>
          <w:color w:val="auto"/>
        </w:rPr>
      </w:pPr>
    </w:p>
    <w:p>
      <w:pPr>
        <w:jc w:val="both"/>
        <w:ind w:firstLine="364"/>
        <w:spacing w:after="0" w:line="301" w:lineRule="auto"/>
        <w:rPr>
          <w:sz w:val="20"/>
          <w:szCs w:val="20"/>
          <w:color w:val="auto"/>
        </w:rPr>
      </w:pPr>
      <w:r>
        <w:rPr>
          <w:rFonts w:ascii="Arial" w:cs="Arial" w:eastAsia="Arial" w:hAnsi="Arial"/>
          <w:sz w:val="16"/>
          <w:szCs w:val="16"/>
          <w:color w:val="auto"/>
        </w:rPr>
        <w:t>Investment income decreased to $493,277 for the six months ended June 30, 2020 from $715,202 for the six months ended June 30, 2019. The net decrease between periods was not material and was generally due to decreased accrued interest income due to renegotiation of certain debt investments and the placement of some debt investments on non-accrual status, offest by a increase in dividend income received from Treehouse Real Estate Investment Trust, Inc. and GreenAcreage Real Estate Corp. during the six months ended June 30, 2020, relative to the six months ended June 30,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52" w:lineRule="exact"/>
        <w:rPr>
          <w:sz w:val="20"/>
          <w:szCs w:val="20"/>
          <w:color w:val="auto"/>
        </w:rPr>
      </w:pPr>
    </w:p>
    <w:p>
      <w:pPr>
        <w:jc w:val="both"/>
        <w:ind w:firstLine="364"/>
        <w:spacing w:after="0" w:line="277" w:lineRule="auto"/>
        <w:rPr>
          <w:sz w:val="20"/>
          <w:szCs w:val="20"/>
          <w:color w:val="auto"/>
        </w:rPr>
      </w:pPr>
      <w:r>
        <w:rPr>
          <w:rFonts w:ascii="Arial" w:cs="Arial" w:eastAsia="Arial" w:hAnsi="Arial"/>
          <w:sz w:val="18"/>
          <w:szCs w:val="18"/>
          <w:color w:val="auto"/>
        </w:rPr>
        <w:t>Total operating expenses increased to $4,908,902 for the three months ended June 30, 2020, from $3,293,183 in net operating expense for the three months ended June 30, 2019. The increase in operating expense was primarily due to the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recognition of all unvested and unrecognized compensation cost related to the stock-based compensation plan upon cancellation of all outstanding options on April 28, 2020. The notable increase was partially offset by a notable reduction in professional fees and other expenses for the three months ended June 30, 2020 compared to the three months ended June 30, 2019.</w:t>
      </w:r>
    </w:p>
    <w:p>
      <w:pPr>
        <w:spacing w:after="0" w:line="211" w:lineRule="exact"/>
        <w:rPr>
          <w:sz w:val="20"/>
          <w:szCs w:val="20"/>
          <w:color w:val="auto"/>
        </w:rPr>
      </w:pPr>
    </w:p>
    <w:p>
      <w:pPr>
        <w:jc w:val="both"/>
        <w:ind w:firstLine="364"/>
        <w:spacing w:after="0" w:line="293" w:lineRule="auto"/>
        <w:rPr>
          <w:sz w:val="20"/>
          <w:szCs w:val="20"/>
          <w:color w:val="auto"/>
        </w:rPr>
      </w:pPr>
      <w:r>
        <w:rPr>
          <w:rFonts w:ascii="Arial" w:cs="Arial" w:eastAsia="Arial" w:hAnsi="Arial"/>
          <w:sz w:val="16"/>
          <w:szCs w:val="16"/>
          <w:color w:val="auto"/>
        </w:rPr>
        <w:t>Total operating expenses increased to $8,165,218 for the six months ended June 30, 2020, from $2,900,731 in net operating expense for the six months ended June 30, 2019. The increase in operating expenses was primarily due to the reversal of the incentive fee accrual as a result of our Internalization during the six months ended June 30, 2019 and the recognition of all unvested and unrecognized compensation cost related to the stock-based compensation plan upon cancellation of all outstanding options on April 28, 2020 during the six months ended June 30, 2020. The notable increases are partially offset by the removal of fees and expenses related to the Investment Advisory Agreement and Administration Agreements and a significant reduction in professional fees for the six months ended June 30, 2020 compared to the six months ended June 30, 2019.</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Income/(Loss)</w:t>
      </w:r>
    </w:p>
    <w:p>
      <w:pPr>
        <w:spacing w:after="0" w:line="252" w:lineRule="exact"/>
        <w:rPr>
          <w:sz w:val="20"/>
          <w:szCs w:val="20"/>
          <w:color w:val="auto"/>
        </w:rPr>
      </w:pPr>
    </w:p>
    <w:p>
      <w:pPr>
        <w:jc w:val="both"/>
        <w:ind w:firstLine="364"/>
        <w:spacing w:after="0" w:line="263" w:lineRule="auto"/>
        <w:rPr>
          <w:sz w:val="20"/>
          <w:szCs w:val="20"/>
          <w:color w:val="auto"/>
        </w:rPr>
      </w:pPr>
      <w:r>
        <w:rPr>
          <w:rFonts w:ascii="Arial" w:cs="Arial" w:eastAsia="Arial" w:hAnsi="Arial"/>
          <w:sz w:val="18"/>
          <w:szCs w:val="18"/>
          <w:color w:val="auto"/>
        </w:rPr>
        <w:t>For the three months ended June 30, 2020, we recognized net investment loss of $4,667,388, compared to net investment loss of $2,805,231 for the three months ended June 30, 2019. The change between periods resulted from the increase in operating expenses, and to a lesser extent, the decrease in total investment income between periods, as discussed above.</w:t>
      </w:r>
    </w:p>
    <w:p>
      <w:pPr>
        <w:spacing w:after="0" w:line="211" w:lineRule="exact"/>
        <w:rPr>
          <w:sz w:val="20"/>
          <w:szCs w:val="20"/>
          <w:color w:val="auto"/>
        </w:rPr>
      </w:pPr>
    </w:p>
    <w:p>
      <w:pPr>
        <w:jc w:val="both"/>
        <w:ind w:firstLine="364"/>
        <w:spacing w:after="0" w:line="263" w:lineRule="auto"/>
        <w:rPr>
          <w:sz w:val="20"/>
          <w:szCs w:val="20"/>
          <w:color w:val="auto"/>
        </w:rPr>
      </w:pPr>
      <w:r>
        <w:rPr>
          <w:rFonts w:ascii="Arial" w:cs="Arial" w:eastAsia="Arial" w:hAnsi="Arial"/>
          <w:sz w:val="18"/>
          <w:szCs w:val="18"/>
          <w:color w:val="auto"/>
        </w:rPr>
        <w:t>For the six months ended June 30, 2020, we recognized net investment loss of $7,671,941, compared to net investment loss of $2,185,529 for the six months ended June 30, 2019. The change between periods resulted from the increase in operating expenses, and to a lesser extent, the decrease in total investment income between periods, as discussed above.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Gain/(Loss) on Investments</w:t>
      </w:r>
    </w:p>
    <w:p>
      <w:pPr>
        <w:spacing w:after="0" w:line="252" w:lineRule="exact"/>
        <w:rPr>
          <w:sz w:val="20"/>
          <w:szCs w:val="20"/>
          <w:color w:val="auto"/>
        </w:rPr>
      </w:pPr>
    </w:p>
    <w:p>
      <w:pPr>
        <w:jc w:val="both"/>
        <w:ind w:firstLine="364"/>
        <w:spacing w:after="0" w:line="311" w:lineRule="auto"/>
        <w:rPr>
          <w:sz w:val="20"/>
          <w:szCs w:val="20"/>
          <w:color w:val="auto"/>
        </w:rPr>
      </w:pPr>
      <w:r>
        <w:rPr>
          <w:rFonts w:ascii="Arial" w:cs="Arial" w:eastAsia="Arial" w:hAnsi="Arial"/>
          <w:sz w:val="16"/>
          <w:szCs w:val="16"/>
          <w:color w:val="auto"/>
        </w:rPr>
        <w:t>For the three months ended June 30, 2020, we recognized a net realized loss on our investments of $23,987, compared to net realized gain of $13,590,233 for the three months ended June 30, 2019. The components of our net realized gains/losses on portfolio investments for the three months ended June 30, 2020 and 2019, excluding U.S. Treasury investments, are reflected in the tables above, under “—Portfolio and Investment Activity.”</w:t>
      </w:r>
    </w:p>
    <w:p>
      <w:pPr>
        <w:spacing w:after="0" w:line="176" w:lineRule="exact"/>
        <w:rPr>
          <w:sz w:val="20"/>
          <w:szCs w:val="20"/>
          <w:color w:val="auto"/>
        </w:rPr>
      </w:pPr>
    </w:p>
    <w:p>
      <w:pPr>
        <w:jc w:val="both"/>
        <w:ind w:firstLine="364"/>
        <w:spacing w:after="0" w:line="286" w:lineRule="auto"/>
        <w:rPr>
          <w:sz w:val="20"/>
          <w:szCs w:val="20"/>
          <w:color w:val="auto"/>
        </w:rPr>
      </w:pPr>
      <w:r>
        <w:rPr>
          <w:rFonts w:ascii="Arial" w:cs="Arial" w:eastAsia="Arial" w:hAnsi="Arial"/>
          <w:sz w:val="17"/>
          <w:szCs w:val="17"/>
          <w:color w:val="auto"/>
        </w:rPr>
        <w:t>For the six months ended June 30, 2020, we recognized a net realized gain on our investments of $6,954,253, compared to net realized gain of $9,524,540 for the six months ended June 30, 2019. The components of our net realized gains/losses on portfolio investments for the six months ended June 30, 2020 and 2019, excluding U.S. Treasury investments, are reflected in the tables above, under “—Portfolio and Investment Activity.”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22" w:right="339" w:bottom="1440" w:gutter="0" w:footer="0" w:header="0"/>
        </w:sectPr>
      </w:pPr>
    </w:p>
    <w:bookmarkStart w:id="62" w:name="page63"/>
    <w:bookmarkEnd w:id="62"/>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Change in Unrealized Appreciation/(Depreciation) of Investments</w:t>
      </w:r>
    </w:p>
    <w:p>
      <w:pPr>
        <w:spacing w:after="0" w:line="25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For the three months ended June 30, 2020, we had a net increase in unrealized appreciation/depreciation of $26,522,195. For the three months ended June 30, 2019, we had a net decrease in unrealized appreciation/depreciation of $12,440,320. The following tables summarize, by portfolio company, the significant changes in unrealized appreciation and/or depreciation of our investment portfolio for the three months ended June 30, 2020 and 2019.</w:t>
      </w:r>
    </w:p>
    <w:p>
      <w:pPr>
        <w:spacing w:after="0" w:line="6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tcPr>
          <w:p>
            <w:pPr>
              <w:jc w:val="center"/>
              <w:ind w:right="180"/>
              <w:spacing w:after="0"/>
              <w:rPr>
                <w:sz w:val="20"/>
                <w:szCs w:val="20"/>
                <w:color w:val="auto"/>
              </w:rPr>
            </w:pPr>
            <w:r>
              <w:rPr>
                <w:rFonts w:ascii="Arial" w:cs="Arial" w:eastAsia="Arial" w:hAnsi="Arial"/>
                <w:sz w:val="14"/>
                <w:szCs w:val="14"/>
                <w:b w:val="1"/>
                <w:bCs w:val="1"/>
                <w:color w:val="auto"/>
                <w:w w:val="93"/>
              </w:rPr>
              <w:t>Net Change in Unrealized</w:t>
            </w:r>
          </w:p>
        </w:tc>
        <w:tc>
          <w:tcPr>
            <w:tcW w:w="1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tcPr>
          <w:p>
            <w:pPr>
              <w:jc w:val="right"/>
              <w:ind w:right="260"/>
              <w:spacing w:after="0"/>
              <w:rPr>
                <w:sz w:val="20"/>
                <w:szCs w:val="20"/>
                <w:color w:val="auto"/>
              </w:rPr>
            </w:pPr>
            <w:r>
              <w:rPr>
                <w:rFonts w:ascii="Arial" w:cs="Arial" w:eastAsia="Arial" w:hAnsi="Arial"/>
                <w:sz w:val="14"/>
                <w:szCs w:val="14"/>
                <w:b w:val="1"/>
                <w:bCs w:val="1"/>
                <w:color w:val="auto"/>
              </w:rPr>
              <w:t>Net Change in Unrealized</w:t>
            </w:r>
          </w:p>
        </w:tc>
        <w:tc>
          <w:tcPr>
            <w:tcW w:w="0" w:type="dxa"/>
            <w:vAlign w:val="bottom"/>
          </w:tcPr>
          <w:p>
            <w:pPr>
              <w:spacing w:after="0"/>
              <w:rPr>
                <w:sz w:val="1"/>
                <w:szCs w:val="1"/>
                <w:color w:val="auto"/>
              </w:rPr>
            </w:pPr>
          </w:p>
        </w:tc>
      </w:tr>
      <w:tr>
        <w:trPr>
          <w:trHeight w:val="148"/>
        </w:trPr>
        <w:tc>
          <w:tcPr>
            <w:tcW w:w="3160" w:type="dxa"/>
            <w:vAlign w:val="bottom"/>
            <w:vMerge w:val="restart"/>
          </w:tcPr>
          <w:p>
            <w:pPr>
              <w:spacing w:after="0"/>
              <w:rPr>
                <w:sz w:val="20"/>
                <w:szCs w:val="20"/>
                <w:color w:val="auto"/>
              </w:rPr>
            </w:pPr>
            <w:r>
              <w:rPr>
                <w:rFonts w:ascii="Arial" w:cs="Arial" w:eastAsia="Arial" w:hAnsi="Arial"/>
                <w:sz w:val="14"/>
                <w:szCs w:val="14"/>
                <w:b w:val="1"/>
                <w:bCs w:val="1"/>
                <w:color w:val="auto"/>
              </w:rPr>
              <w:t>Portfolio Company</w:t>
            </w:r>
          </w:p>
        </w:tc>
        <w:tc>
          <w:tcPr>
            <w:tcW w:w="120" w:type="dxa"/>
            <w:vAlign w:val="bottom"/>
            <w:vMerge w:val="restart"/>
          </w:tcPr>
          <w:p>
            <w:pPr>
              <w:spacing w:after="0"/>
              <w:rPr>
                <w:sz w:val="12"/>
                <w:szCs w:val="12"/>
                <w:color w:val="auto"/>
              </w:rPr>
            </w:pPr>
          </w:p>
        </w:tc>
        <w:tc>
          <w:tcPr>
            <w:tcW w:w="2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Appreciation/(Depreciation) For the</w:t>
            </w:r>
          </w:p>
        </w:tc>
        <w:tc>
          <w:tcPr>
            <w:tcW w:w="100" w:type="dxa"/>
            <w:vAlign w:val="bottom"/>
          </w:tcPr>
          <w:p>
            <w:pPr>
              <w:spacing w:after="0"/>
              <w:rPr>
                <w:sz w:val="12"/>
                <w:szCs w:val="12"/>
                <w:color w:val="auto"/>
              </w:rPr>
            </w:pPr>
          </w:p>
        </w:tc>
        <w:tc>
          <w:tcPr>
            <w:tcW w:w="312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Portfolio Company</w:t>
            </w:r>
          </w:p>
        </w:tc>
        <w:tc>
          <w:tcPr>
            <w:tcW w:w="100" w:type="dxa"/>
            <w:vAlign w:val="bottom"/>
            <w:vMerge w:val="restart"/>
          </w:tcPr>
          <w:p>
            <w:pPr>
              <w:spacing w:after="0"/>
              <w:rPr>
                <w:sz w:val="12"/>
                <w:szCs w:val="12"/>
                <w:color w:val="auto"/>
              </w:rPr>
            </w:pPr>
          </w:p>
        </w:tc>
        <w:tc>
          <w:tcPr>
            <w:tcW w:w="22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4"/>
              </w:rPr>
              <w:t>Appreciation/(Depreciation) For the</w:t>
            </w:r>
          </w:p>
        </w:tc>
        <w:tc>
          <w:tcPr>
            <w:tcW w:w="0" w:type="dxa"/>
            <w:vAlign w:val="bottom"/>
          </w:tcPr>
          <w:p>
            <w:pPr>
              <w:spacing w:after="0"/>
              <w:rPr>
                <w:sz w:val="1"/>
                <w:szCs w:val="1"/>
                <w:color w:val="auto"/>
              </w:rPr>
            </w:pPr>
          </w:p>
        </w:tc>
      </w:tr>
      <w:tr>
        <w:trPr>
          <w:trHeight w:val="192"/>
        </w:trPr>
        <w:tc>
          <w:tcPr>
            <w:tcW w:w="3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Three Months Ended June 30, 2020</w:t>
            </w:r>
          </w:p>
        </w:tc>
        <w:tc>
          <w:tcPr>
            <w:tcW w:w="100" w:type="dxa"/>
            <w:vAlign w:val="bottom"/>
            <w:tcBorders>
              <w:bottom w:val="single" w:sz="8" w:color="CCEEFF"/>
            </w:tcBorders>
          </w:tcPr>
          <w:p>
            <w:pPr>
              <w:spacing w:after="0"/>
              <w:rPr>
                <w:sz w:val="16"/>
                <w:szCs w:val="16"/>
                <w:color w:val="auto"/>
              </w:rPr>
            </w:pPr>
          </w:p>
        </w:tc>
        <w:tc>
          <w:tcPr>
            <w:tcW w:w="3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5"/>
              </w:rPr>
              <w:t>Three Months Ended June 30, 2019</w:t>
            </w:r>
          </w:p>
        </w:tc>
        <w:tc>
          <w:tcPr>
            <w:tcW w:w="0" w:type="dxa"/>
            <w:vAlign w:val="bottom"/>
          </w:tcPr>
          <w:p>
            <w:pPr>
              <w:spacing w:after="0"/>
              <w:rPr>
                <w:sz w:val="1"/>
                <w:szCs w:val="1"/>
                <w:color w:val="auto"/>
              </w:rPr>
            </w:pPr>
          </w:p>
        </w:tc>
      </w:tr>
      <w:tr>
        <w:trPr>
          <w:trHeight w:val="256"/>
        </w:trPr>
        <w:tc>
          <w:tcPr>
            <w:tcW w:w="3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Coursera, Inc.</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20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15,161,245</w:t>
            </w:r>
          </w:p>
        </w:tc>
        <w:tc>
          <w:tcPr>
            <w:tcW w:w="100" w:type="dxa"/>
            <w:vAlign w:val="bottom"/>
            <w:shd w:val="clear" w:color="auto" w:fill="CCEEFF"/>
          </w:tcPr>
          <w:p>
            <w:pPr>
              <w:spacing w:after="0"/>
              <w:rPr>
                <w:sz w:val="22"/>
                <w:szCs w:val="22"/>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Knewton, Inc.</w:t>
            </w:r>
            <w:r>
              <w:rPr>
                <w:rFonts w:ascii="Arial" w:cs="Arial" w:eastAsia="Arial" w:hAnsi="Arial"/>
                <w:sz w:val="21"/>
                <w:szCs w:val="21"/>
                <w:color w:val="auto"/>
                <w:vertAlign w:val="superscript"/>
              </w:rPr>
              <w:t>(1)</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0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5,101,610</w:t>
            </w:r>
          </w:p>
        </w:tc>
        <w:tc>
          <w:tcPr>
            <w:tcW w:w="0" w:type="dxa"/>
            <w:vAlign w:val="bottom"/>
          </w:tcPr>
          <w:p>
            <w:pPr>
              <w:spacing w:after="0"/>
              <w:rPr>
                <w:sz w:val="1"/>
                <w:szCs w:val="1"/>
                <w:color w:val="auto"/>
              </w:rPr>
            </w:pPr>
          </w:p>
        </w:tc>
      </w:tr>
      <w:tr>
        <w:trPr>
          <w:trHeight w:val="223"/>
        </w:trPr>
        <w:tc>
          <w:tcPr>
            <w:tcW w:w="3280" w:type="dxa"/>
            <w:vAlign w:val="bottom"/>
            <w:gridSpan w:val="2"/>
          </w:tcPr>
          <w:p>
            <w:pPr>
              <w:spacing w:after="0"/>
              <w:rPr>
                <w:sz w:val="20"/>
                <w:szCs w:val="20"/>
                <w:color w:val="auto"/>
              </w:rPr>
            </w:pPr>
            <w:r>
              <w:rPr>
                <w:rFonts w:ascii="Arial" w:cs="Arial" w:eastAsia="Arial" w:hAnsi="Arial"/>
                <w:sz w:val="16"/>
                <w:szCs w:val="16"/>
                <w:color w:val="auto"/>
              </w:rPr>
              <w:t>Course Hero, Inc.</w:t>
            </w:r>
          </w:p>
        </w:tc>
        <w:tc>
          <w:tcPr>
            <w:tcW w:w="220" w:type="dxa"/>
            <w:vAlign w:val="bottom"/>
          </w:tcPr>
          <w:p>
            <w:pPr>
              <w:spacing w:after="0"/>
              <w:rPr>
                <w:sz w:val="19"/>
                <w:szCs w:val="19"/>
                <w:color w:val="auto"/>
              </w:rPr>
            </w:pPr>
          </w:p>
        </w:tc>
        <w:tc>
          <w:tcPr>
            <w:tcW w:w="2080" w:type="dxa"/>
            <w:vAlign w:val="bottom"/>
          </w:tcPr>
          <w:p>
            <w:pPr>
              <w:jc w:val="right"/>
              <w:ind w:right="80"/>
              <w:spacing w:after="0"/>
              <w:rPr>
                <w:sz w:val="20"/>
                <w:szCs w:val="20"/>
                <w:color w:val="auto"/>
              </w:rPr>
            </w:pPr>
            <w:r>
              <w:rPr>
                <w:rFonts w:ascii="Arial" w:cs="Arial" w:eastAsia="Arial" w:hAnsi="Arial"/>
                <w:sz w:val="16"/>
                <w:szCs w:val="16"/>
                <w:color w:val="auto"/>
              </w:rPr>
              <w:t>8,595,533</w:t>
            </w:r>
          </w:p>
        </w:tc>
        <w:tc>
          <w:tcPr>
            <w:tcW w:w="100" w:type="dxa"/>
            <w:vAlign w:val="bottom"/>
          </w:tcPr>
          <w:p>
            <w:pPr>
              <w:spacing w:after="0"/>
              <w:rPr>
                <w:sz w:val="19"/>
                <w:szCs w:val="19"/>
                <w:color w:val="auto"/>
              </w:rPr>
            </w:pPr>
          </w:p>
        </w:tc>
        <w:tc>
          <w:tcPr>
            <w:tcW w:w="3220" w:type="dxa"/>
            <w:vAlign w:val="bottom"/>
            <w:gridSpan w:val="2"/>
          </w:tcPr>
          <w:p>
            <w:pPr>
              <w:spacing w:after="0"/>
              <w:rPr>
                <w:sz w:val="20"/>
                <w:szCs w:val="20"/>
                <w:color w:val="auto"/>
              </w:rPr>
            </w:pPr>
            <w:r>
              <w:rPr>
                <w:rFonts w:ascii="Arial" w:cs="Arial" w:eastAsia="Arial" w:hAnsi="Arial"/>
                <w:sz w:val="16"/>
                <w:szCs w:val="16"/>
                <w:color w:val="auto"/>
              </w:rPr>
              <w:t>Aspiration Partners, Inc.</w:t>
            </w:r>
          </w:p>
        </w:tc>
        <w:tc>
          <w:tcPr>
            <w:tcW w:w="220" w:type="dxa"/>
            <w:vAlign w:val="bottom"/>
          </w:tcPr>
          <w:p>
            <w:pPr>
              <w:spacing w:after="0"/>
              <w:rPr>
                <w:sz w:val="19"/>
                <w:szCs w:val="19"/>
                <w:color w:val="auto"/>
              </w:rPr>
            </w:pPr>
          </w:p>
        </w:tc>
        <w:tc>
          <w:tcPr>
            <w:tcW w:w="2060" w:type="dxa"/>
            <w:vAlign w:val="bottom"/>
          </w:tcPr>
          <w:p>
            <w:pPr>
              <w:jc w:val="right"/>
              <w:ind w:right="60"/>
              <w:spacing w:after="0"/>
              <w:rPr>
                <w:sz w:val="20"/>
                <w:szCs w:val="20"/>
                <w:color w:val="auto"/>
              </w:rPr>
            </w:pPr>
            <w:r>
              <w:rPr>
                <w:rFonts w:ascii="Arial" w:cs="Arial" w:eastAsia="Arial" w:hAnsi="Arial"/>
                <w:sz w:val="16"/>
                <w:szCs w:val="16"/>
                <w:color w:val="auto"/>
              </w:rPr>
              <w:t>4,330,592</w:t>
            </w: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SharesPost, Inc.</w:t>
            </w:r>
          </w:p>
        </w:tc>
        <w:tc>
          <w:tcPr>
            <w:tcW w:w="22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4,918,421</w:t>
            </w:r>
          </w:p>
        </w:tc>
        <w:tc>
          <w:tcPr>
            <w:tcW w:w="100" w:type="dxa"/>
            <w:vAlign w:val="bottom"/>
            <w:tcBorders>
              <w:bottom w:val="single" w:sz="8" w:color="CCEEFF"/>
            </w:tcBorders>
            <w:shd w:val="clear" w:color="auto" w:fill="CCEEFF"/>
          </w:tcPr>
          <w:p>
            <w:pPr>
              <w:spacing w:after="0"/>
              <w:rPr>
                <w:sz w:val="20"/>
                <w:szCs w:val="20"/>
                <w:color w:val="auto"/>
              </w:rPr>
            </w:pPr>
          </w:p>
        </w:tc>
        <w:tc>
          <w:tcPr>
            <w:tcW w:w="3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Parchment, Inc.</w:t>
            </w:r>
          </w:p>
        </w:tc>
        <w:tc>
          <w:tcPr>
            <w:tcW w:w="22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2,079,822</w:t>
            </w:r>
          </w:p>
        </w:tc>
        <w:tc>
          <w:tcPr>
            <w:tcW w:w="0" w:type="dxa"/>
            <w:vAlign w:val="bottom"/>
          </w:tcPr>
          <w:p>
            <w:pPr>
              <w:spacing w:after="0"/>
              <w:rPr>
                <w:sz w:val="1"/>
                <w:szCs w:val="1"/>
                <w:color w:val="auto"/>
              </w:rPr>
            </w:pPr>
          </w:p>
        </w:tc>
      </w:tr>
      <w:tr>
        <w:trPr>
          <w:trHeight w:val="224"/>
        </w:trPr>
        <w:tc>
          <w:tcPr>
            <w:tcW w:w="3280" w:type="dxa"/>
            <w:vAlign w:val="bottom"/>
            <w:gridSpan w:val="2"/>
          </w:tcPr>
          <w:p>
            <w:pPr>
              <w:spacing w:after="0"/>
              <w:rPr>
                <w:sz w:val="20"/>
                <w:szCs w:val="20"/>
                <w:color w:val="auto"/>
              </w:rPr>
            </w:pPr>
            <w:r>
              <w:rPr>
                <w:rFonts w:ascii="Arial" w:cs="Arial" w:eastAsia="Arial" w:hAnsi="Arial"/>
                <w:sz w:val="16"/>
                <w:szCs w:val="16"/>
                <w:color w:val="auto"/>
              </w:rPr>
              <w:t>Ozy Media, Inc.</w:t>
            </w:r>
          </w:p>
        </w:tc>
        <w:tc>
          <w:tcPr>
            <w:tcW w:w="220" w:type="dxa"/>
            <w:vAlign w:val="bottom"/>
          </w:tcPr>
          <w:p>
            <w:pPr>
              <w:spacing w:after="0"/>
              <w:rPr>
                <w:sz w:val="19"/>
                <w:szCs w:val="19"/>
                <w:color w:val="auto"/>
              </w:rPr>
            </w:pPr>
          </w:p>
        </w:tc>
        <w:tc>
          <w:tcPr>
            <w:tcW w:w="2080" w:type="dxa"/>
            <w:vAlign w:val="bottom"/>
          </w:tcPr>
          <w:p>
            <w:pPr>
              <w:jc w:val="right"/>
              <w:ind w:right="80"/>
              <w:spacing w:after="0"/>
              <w:rPr>
                <w:sz w:val="20"/>
                <w:szCs w:val="20"/>
                <w:color w:val="auto"/>
              </w:rPr>
            </w:pPr>
            <w:r>
              <w:rPr>
                <w:rFonts w:ascii="Arial" w:cs="Arial" w:eastAsia="Arial" w:hAnsi="Arial"/>
                <w:sz w:val="16"/>
                <w:szCs w:val="16"/>
                <w:color w:val="auto"/>
              </w:rPr>
              <w:t>1,965,825</w:t>
            </w:r>
          </w:p>
        </w:tc>
        <w:tc>
          <w:tcPr>
            <w:tcW w:w="100" w:type="dxa"/>
            <w:vAlign w:val="bottom"/>
          </w:tcPr>
          <w:p>
            <w:pPr>
              <w:spacing w:after="0"/>
              <w:rPr>
                <w:sz w:val="19"/>
                <w:szCs w:val="19"/>
                <w:color w:val="auto"/>
              </w:rPr>
            </w:pPr>
          </w:p>
        </w:tc>
        <w:tc>
          <w:tcPr>
            <w:tcW w:w="3220" w:type="dxa"/>
            <w:vAlign w:val="bottom"/>
            <w:gridSpan w:val="2"/>
          </w:tcPr>
          <w:p>
            <w:pPr>
              <w:spacing w:after="0"/>
              <w:rPr>
                <w:sz w:val="20"/>
                <w:szCs w:val="20"/>
                <w:color w:val="auto"/>
              </w:rPr>
            </w:pPr>
            <w:r>
              <w:rPr>
                <w:rFonts w:ascii="Arial" w:cs="Arial" w:eastAsia="Arial" w:hAnsi="Arial"/>
                <w:sz w:val="16"/>
                <w:szCs w:val="16"/>
                <w:color w:val="auto"/>
              </w:rPr>
              <w:t>Coursera, Inc.</w:t>
            </w:r>
          </w:p>
        </w:tc>
        <w:tc>
          <w:tcPr>
            <w:tcW w:w="220" w:type="dxa"/>
            <w:vAlign w:val="bottom"/>
          </w:tcPr>
          <w:p>
            <w:pPr>
              <w:spacing w:after="0"/>
              <w:rPr>
                <w:sz w:val="19"/>
                <w:szCs w:val="19"/>
                <w:color w:val="auto"/>
              </w:rPr>
            </w:pPr>
          </w:p>
        </w:tc>
        <w:tc>
          <w:tcPr>
            <w:tcW w:w="2060" w:type="dxa"/>
            <w:vAlign w:val="bottom"/>
          </w:tcPr>
          <w:p>
            <w:pPr>
              <w:jc w:val="right"/>
              <w:ind w:right="60"/>
              <w:spacing w:after="0"/>
              <w:rPr>
                <w:sz w:val="20"/>
                <w:szCs w:val="20"/>
                <w:color w:val="auto"/>
              </w:rPr>
            </w:pPr>
            <w:r>
              <w:rPr>
                <w:rFonts w:ascii="Arial" w:cs="Arial" w:eastAsia="Arial" w:hAnsi="Arial"/>
                <w:sz w:val="16"/>
                <w:szCs w:val="16"/>
                <w:color w:val="auto"/>
              </w:rPr>
              <w:t>1,948,734</w:t>
            </w: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Enjoy, Inc.</w:t>
            </w:r>
          </w:p>
        </w:tc>
        <w:tc>
          <w:tcPr>
            <w:tcW w:w="22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(1,574,358)</w:t>
            </w:r>
          </w:p>
        </w:tc>
        <w:tc>
          <w:tcPr>
            <w:tcW w:w="100" w:type="dxa"/>
            <w:vAlign w:val="bottom"/>
            <w:tcBorders>
              <w:bottom w:val="single" w:sz="8" w:color="CCEEFF"/>
            </w:tcBorders>
            <w:shd w:val="clear" w:color="auto" w:fill="CCEEFF"/>
          </w:tcPr>
          <w:p>
            <w:pPr>
              <w:spacing w:after="0"/>
              <w:rPr>
                <w:sz w:val="20"/>
                <w:szCs w:val="20"/>
                <w:color w:val="auto"/>
              </w:rPr>
            </w:pPr>
          </w:p>
        </w:tc>
        <w:tc>
          <w:tcPr>
            <w:tcW w:w="3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Nextdoor.com, Inc.</w:t>
            </w:r>
          </w:p>
        </w:tc>
        <w:tc>
          <w:tcPr>
            <w:tcW w:w="22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1,348,648</w:t>
            </w:r>
          </w:p>
        </w:tc>
        <w:tc>
          <w:tcPr>
            <w:tcW w:w="0" w:type="dxa"/>
            <w:vAlign w:val="bottom"/>
          </w:tcPr>
          <w:p>
            <w:pPr>
              <w:spacing w:after="0"/>
              <w:rPr>
                <w:sz w:val="1"/>
                <w:szCs w:val="1"/>
                <w:color w:val="auto"/>
              </w:rPr>
            </w:pPr>
          </w:p>
        </w:tc>
      </w:tr>
      <w:tr>
        <w:trPr>
          <w:trHeight w:val="223"/>
        </w:trPr>
        <w:tc>
          <w:tcPr>
            <w:tcW w:w="3280" w:type="dxa"/>
            <w:vAlign w:val="bottom"/>
            <w:gridSpan w:val="2"/>
          </w:tcPr>
          <w:p>
            <w:pPr>
              <w:spacing w:after="0"/>
              <w:rPr>
                <w:sz w:val="20"/>
                <w:szCs w:val="20"/>
                <w:color w:val="auto"/>
              </w:rPr>
            </w:pPr>
            <w:r>
              <w:rPr>
                <w:rFonts w:ascii="Arial" w:cs="Arial" w:eastAsia="Arial" w:hAnsi="Arial"/>
                <w:sz w:val="16"/>
                <w:szCs w:val="16"/>
                <w:color w:val="auto"/>
              </w:rPr>
              <w:t>Treehouse Real Estate Investment Trust, Inc.</w:t>
            </w:r>
          </w:p>
        </w:tc>
        <w:tc>
          <w:tcPr>
            <w:tcW w:w="220" w:type="dxa"/>
            <w:vAlign w:val="bottom"/>
          </w:tcPr>
          <w:p>
            <w:pPr>
              <w:spacing w:after="0"/>
              <w:rPr>
                <w:sz w:val="19"/>
                <w:szCs w:val="19"/>
                <w:color w:val="auto"/>
              </w:rPr>
            </w:pPr>
          </w:p>
        </w:tc>
        <w:tc>
          <w:tcPr>
            <w:tcW w:w="2080" w:type="dxa"/>
            <w:vAlign w:val="bottom"/>
          </w:tcPr>
          <w:p>
            <w:pPr>
              <w:jc w:val="right"/>
              <w:ind w:right="40"/>
              <w:spacing w:after="0"/>
              <w:rPr>
                <w:sz w:val="20"/>
                <w:szCs w:val="20"/>
                <w:color w:val="auto"/>
              </w:rPr>
            </w:pPr>
            <w:r>
              <w:rPr>
                <w:rFonts w:ascii="Arial" w:cs="Arial" w:eastAsia="Arial" w:hAnsi="Arial"/>
                <w:sz w:val="16"/>
                <w:szCs w:val="16"/>
                <w:color w:val="auto"/>
              </w:rPr>
              <w:t>(2,311,230)</w:t>
            </w:r>
          </w:p>
        </w:tc>
        <w:tc>
          <w:tcPr>
            <w:tcW w:w="100" w:type="dxa"/>
            <w:vAlign w:val="bottom"/>
          </w:tcPr>
          <w:p>
            <w:pPr>
              <w:spacing w:after="0"/>
              <w:rPr>
                <w:sz w:val="19"/>
                <w:szCs w:val="19"/>
                <w:color w:val="auto"/>
              </w:rPr>
            </w:pPr>
          </w:p>
        </w:tc>
        <w:tc>
          <w:tcPr>
            <w:tcW w:w="3220" w:type="dxa"/>
            <w:vAlign w:val="bottom"/>
            <w:gridSpan w:val="2"/>
          </w:tcPr>
          <w:p>
            <w:pPr>
              <w:spacing w:after="0"/>
              <w:rPr>
                <w:sz w:val="20"/>
                <w:szCs w:val="20"/>
                <w:color w:val="auto"/>
              </w:rPr>
            </w:pPr>
            <w:r>
              <w:rPr>
                <w:rFonts w:ascii="Arial" w:cs="Arial" w:eastAsia="Arial" w:hAnsi="Arial"/>
                <w:sz w:val="16"/>
                <w:szCs w:val="16"/>
                <w:color w:val="auto"/>
              </w:rPr>
              <w:t>Course Hero, Inc.</w:t>
            </w:r>
          </w:p>
        </w:tc>
        <w:tc>
          <w:tcPr>
            <w:tcW w:w="220" w:type="dxa"/>
            <w:vAlign w:val="bottom"/>
          </w:tcPr>
          <w:p>
            <w:pPr>
              <w:spacing w:after="0"/>
              <w:rPr>
                <w:sz w:val="19"/>
                <w:szCs w:val="19"/>
                <w:color w:val="auto"/>
              </w:rPr>
            </w:pPr>
          </w:p>
        </w:tc>
        <w:tc>
          <w:tcPr>
            <w:tcW w:w="2060" w:type="dxa"/>
            <w:vAlign w:val="bottom"/>
          </w:tcPr>
          <w:p>
            <w:pPr>
              <w:jc w:val="right"/>
              <w:ind w:right="20"/>
              <w:spacing w:after="0"/>
              <w:rPr>
                <w:sz w:val="20"/>
                <w:szCs w:val="20"/>
                <w:color w:val="auto"/>
              </w:rPr>
            </w:pPr>
            <w:r>
              <w:rPr>
                <w:rFonts w:ascii="Arial" w:cs="Arial" w:eastAsia="Arial" w:hAnsi="Arial"/>
                <w:sz w:val="16"/>
                <w:szCs w:val="16"/>
                <w:color w:val="auto"/>
              </w:rPr>
              <w:t>(1,802,608)</w:t>
            </w: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3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Dropbox, Inc.</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22"/>
                <w:szCs w:val="22"/>
                <w:color w:val="auto"/>
              </w:rPr>
            </w:pPr>
          </w:p>
        </w:tc>
        <w:tc>
          <w:tcPr>
            <w:tcW w:w="20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(1,920,235)</w:t>
            </w:r>
          </w:p>
        </w:tc>
        <w:tc>
          <w:tcPr>
            <w:tcW w:w="0" w:type="dxa"/>
            <w:vAlign w:val="bottom"/>
          </w:tcPr>
          <w:p>
            <w:pPr>
              <w:spacing w:after="0"/>
              <w:rPr>
                <w:sz w:val="1"/>
                <w:szCs w:val="1"/>
                <w:color w:val="auto"/>
              </w:rPr>
            </w:pPr>
          </w:p>
        </w:tc>
      </w:tr>
      <w:tr>
        <w:trPr>
          <w:trHeight w:val="224"/>
        </w:trPr>
        <w:tc>
          <w:tcPr>
            <w:tcW w:w="3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20" w:type="dxa"/>
            <w:vAlign w:val="bottom"/>
            <w:gridSpan w:val="2"/>
          </w:tcPr>
          <w:p>
            <w:pPr>
              <w:spacing w:after="0"/>
              <w:rPr>
                <w:sz w:val="20"/>
                <w:szCs w:val="20"/>
                <w:color w:val="auto"/>
              </w:rPr>
            </w:pPr>
            <w:r>
              <w:rPr>
                <w:rFonts w:ascii="Arial" w:cs="Arial" w:eastAsia="Arial" w:hAnsi="Arial"/>
                <w:sz w:val="16"/>
                <w:szCs w:val="16"/>
                <w:color w:val="auto"/>
              </w:rPr>
              <w:t>Lyft, Inc.</w:t>
            </w:r>
          </w:p>
        </w:tc>
        <w:tc>
          <w:tcPr>
            <w:tcW w:w="220" w:type="dxa"/>
            <w:vAlign w:val="bottom"/>
          </w:tcPr>
          <w:p>
            <w:pPr>
              <w:spacing w:after="0"/>
              <w:rPr>
                <w:sz w:val="19"/>
                <w:szCs w:val="19"/>
                <w:color w:val="auto"/>
              </w:rPr>
            </w:pPr>
          </w:p>
        </w:tc>
        <w:tc>
          <w:tcPr>
            <w:tcW w:w="2060" w:type="dxa"/>
            <w:vAlign w:val="bottom"/>
          </w:tcPr>
          <w:p>
            <w:pPr>
              <w:jc w:val="right"/>
              <w:ind w:right="20"/>
              <w:spacing w:after="0"/>
              <w:rPr>
                <w:sz w:val="20"/>
                <w:szCs w:val="20"/>
                <w:color w:val="auto"/>
              </w:rPr>
            </w:pPr>
            <w:r>
              <w:rPr>
                <w:rFonts w:ascii="Arial" w:cs="Arial" w:eastAsia="Arial" w:hAnsi="Arial"/>
                <w:sz w:val="16"/>
                <w:szCs w:val="16"/>
                <w:color w:val="auto"/>
              </w:rPr>
              <w:t>(3,046,918)</w:t>
            </w: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StormWind, LLC</w:t>
            </w:r>
          </w:p>
        </w:tc>
        <w:tc>
          <w:tcPr>
            <w:tcW w:w="22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(5,013,143)</w:t>
            </w:r>
          </w:p>
        </w:tc>
        <w:tc>
          <w:tcPr>
            <w:tcW w:w="0" w:type="dxa"/>
            <w:vAlign w:val="bottom"/>
          </w:tcPr>
          <w:p>
            <w:pPr>
              <w:spacing w:after="0"/>
              <w:rPr>
                <w:sz w:val="1"/>
                <w:szCs w:val="1"/>
                <w:color w:val="auto"/>
              </w:rPr>
            </w:pPr>
          </w:p>
        </w:tc>
      </w:tr>
      <w:tr>
        <w:trPr>
          <w:trHeight w:val="257"/>
        </w:trPr>
        <w:tc>
          <w:tcPr>
            <w:tcW w:w="3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20" w:type="dxa"/>
            <w:vAlign w:val="bottom"/>
            <w:gridSpan w:val="2"/>
          </w:tcPr>
          <w:p>
            <w:pPr>
              <w:spacing w:after="0"/>
              <w:rPr>
                <w:sz w:val="20"/>
                <w:szCs w:val="20"/>
                <w:color w:val="auto"/>
              </w:rPr>
            </w:pPr>
            <w:r>
              <w:rPr>
                <w:rFonts w:ascii="Arial" w:cs="Arial" w:eastAsia="Arial" w:hAnsi="Arial"/>
                <w:sz w:val="16"/>
                <w:szCs w:val="16"/>
                <w:color w:val="auto"/>
              </w:rPr>
              <w:t>Spotify Technology S.A.</w:t>
            </w:r>
            <w:r>
              <w:rPr>
                <w:rFonts w:ascii="Arial" w:cs="Arial" w:eastAsia="Arial" w:hAnsi="Arial"/>
                <w:sz w:val="21"/>
                <w:szCs w:val="21"/>
                <w:color w:val="auto"/>
                <w:vertAlign w:val="superscript"/>
              </w:rPr>
              <w:t>(2)</w:t>
            </w:r>
          </w:p>
        </w:tc>
        <w:tc>
          <w:tcPr>
            <w:tcW w:w="220" w:type="dxa"/>
            <w:vAlign w:val="bottom"/>
          </w:tcPr>
          <w:p>
            <w:pPr>
              <w:spacing w:after="0"/>
              <w:rPr>
                <w:sz w:val="22"/>
                <w:szCs w:val="22"/>
                <w:color w:val="auto"/>
              </w:rPr>
            </w:pPr>
          </w:p>
        </w:tc>
        <w:tc>
          <w:tcPr>
            <w:tcW w:w="2060" w:type="dxa"/>
            <w:vAlign w:val="bottom"/>
          </w:tcPr>
          <w:p>
            <w:pPr>
              <w:jc w:val="right"/>
              <w:ind w:right="20"/>
              <w:spacing w:after="0"/>
              <w:rPr>
                <w:sz w:val="20"/>
                <w:szCs w:val="20"/>
                <w:color w:val="auto"/>
              </w:rPr>
            </w:pPr>
            <w:r>
              <w:rPr>
                <w:rFonts w:ascii="Arial" w:cs="Arial" w:eastAsia="Arial" w:hAnsi="Arial"/>
                <w:sz w:val="16"/>
                <w:szCs w:val="16"/>
                <w:color w:val="auto"/>
              </w:rPr>
              <w:t>(14,479,668)</w:t>
            </w:r>
          </w:p>
        </w:tc>
        <w:tc>
          <w:tcPr>
            <w:tcW w:w="0" w:type="dxa"/>
            <w:vAlign w:val="bottom"/>
          </w:tcPr>
          <w:p>
            <w:pPr>
              <w:spacing w:after="0"/>
              <w:rPr>
                <w:sz w:val="1"/>
                <w:szCs w:val="1"/>
                <w:color w:val="auto"/>
              </w:rPr>
            </w:pPr>
          </w:p>
        </w:tc>
      </w:tr>
      <w:tr>
        <w:trPr>
          <w:trHeight w:val="256"/>
        </w:trPr>
        <w:tc>
          <w:tcPr>
            <w:tcW w:w="3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(3)</w:t>
            </w:r>
          </w:p>
        </w:tc>
        <w:tc>
          <w:tcPr>
            <w:tcW w:w="220" w:type="dxa"/>
            <w:vAlign w:val="bottom"/>
            <w:tcBorders>
              <w:bottom w:val="single" w:sz="8" w:color="auto"/>
            </w:tcBorders>
            <w:shd w:val="clear" w:color="auto" w:fill="CCEEFF"/>
          </w:tcPr>
          <w:p>
            <w:pPr>
              <w:spacing w:after="0"/>
              <w:rPr>
                <w:sz w:val="22"/>
                <w:szCs w:val="22"/>
                <w:color w:val="auto"/>
              </w:rPr>
            </w:pPr>
          </w:p>
        </w:tc>
        <w:tc>
          <w:tcPr>
            <w:tcW w:w="20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(233,241)</w:t>
            </w:r>
          </w:p>
        </w:tc>
        <w:tc>
          <w:tcPr>
            <w:tcW w:w="100" w:type="dxa"/>
            <w:vAlign w:val="bottom"/>
            <w:shd w:val="clear" w:color="auto" w:fill="CCEEFF"/>
          </w:tcPr>
          <w:p>
            <w:pPr>
              <w:spacing w:after="0"/>
              <w:rPr>
                <w:sz w:val="22"/>
                <w:szCs w:val="22"/>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(3)</w:t>
            </w:r>
          </w:p>
        </w:tc>
        <w:tc>
          <w:tcPr>
            <w:tcW w:w="220" w:type="dxa"/>
            <w:vAlign w:val="bottom"/>
            <w:tcBorders>
              <w:bottom w:val="single" w:sz="8" w:color="auto"/>
            </w:tcBorders>
            <w:shd w:val="clear" w:color="auto" w:fill="CCEEFF"/>
          </w:tcPr>
          <w:p>
            <w:pPr>
              <w:spacing w:after="0"/>
              <w:rPr>
                <w:sz w:val="22"/>
                <w:szCs w:val="22"/>
                <w:color w:val="auto"/>
              </w:rPr>
            </w:pPr>
          </w:p>
        </w:tc>
        <w:tc>
          <w:tcPr>
            <w:tcW w:w="20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(987,154)</w:t>
            </w:r>
          </w:p>
        </w:tc>
        <w:tc>
          <w:tcPr>
            <w:tcW w:w="0" w:type="dxa"/>
            <w:vAlign w:val="bottom"/>
          </w:tcPr>
          <w:p>
            <w:pPr>
              <w:spacing w:after="0"/>
              <w:rPr>
                <w:sz w:val="1"/>
                <w:szCs w:val="1"/>
                <w:color w:val="auto"/>
              </w:rPr>
            </w:pPr>
          </w:p>
        </w:tc>
      </w:tr>
      <w:tr>
        <w:trPr>
          <w:trHeight w:val="247"/>
        </w:trPr>
        <w:tc>
          <w:tcPr>
            <w:tcW w:w="3280" w:type="dxa"/>
            <w:vAlign w:val="bottom"/>
            <w:gridSpan w:val="2"/>
          </w:tcPr>
          <w:p>
            <w:pPr>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20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26,522,195</w:t>
            </w:r>
          </w:p>
        </w:tc>
        <w:tc>
          <w:tcPr>
            <w:tcW w:w="100" w:type="dxa"/>
            <w:vAlign w:val="bottom"/>
          </w:tcPr>
          <w:p>
            <w:pPr>
              <w:spacing w:after="0"/>
              <w:rPr>
                <w:sz w:val="21"/>
                <w:szCs w:val="21"/>
                <w:color w:val="auto"/>
              </w:rPr>
            </w:pPr>
          </w:p>
        </w:tc>
        <w:tc>
          <w:tcPr>
            <w:tcW w:w="3220" w:type="dxa"/>
            <w:vAlign w:val="bottom"/>
            <w:gridSpan w:val="2"/>
          </w:tcPr>
          <w:p>
            <w:pPr>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(12,440,320)</w:t>
            </w:r>
          </w:p>
        </w:tc>
        <w:tc>
          <w:tcPr>
            <w:tcW w:w="0" w:type="dxa"/>
            <w:vAlign w:val="bottom"/>
          </w:tcPr>
          <w:p>
            <w:pPr>
              <w:spacing w:after="0"/>
              <w:rPr>
                <w:sz w:val="1"/>
                <w:szCs w:val="1"/>
                <w:color w:val="auto"/>
              </w:rPr>
            </w:pPr>
          </w:p>
        </w:tc>
      </w:tr>
      <w:tr>
        <w:trPr>
          <w:trHeight w:val="23"/>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w:t>
      </w:r>
    </w:p>
    <w:p>
      <w:pPr>
        <w:spacing w:after="0" w:line="13" w:lineRule="exact"/>
        <w:rPr>
          <w:sz w:val="20"/>
          <w:szCs w:val="20"/>
          <w:color w:val="auto"/>
        </w:rPr>
      </w:pPr>
    </w:p>
    <w:p>
      <w:pPr>
        <w:ind w:left="480" w:hanging="472"/>
        <w:spacing w:after="0"/>
        <w:tabs>
          <w:tab w:leader="none" w:pos="4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change in unrealized appreciation/depreciation reflected for these investments resulted from writing off an investment that was previously reduced in value to zero.</w:t>
      </w:r>
    </w:p>
    <w:p>
      <w:pPr>
        <w:spacing w:after="0" w:line="1" w:lineRule="exact"/>
        <w:rPr>
          <w:rFonts w:ascii="Arial" w:cs="Arial" w:eastAsia="Arial" w:hAnsi="Arial"/>
          <w:sz w:val="14"/>
          <w:szCs w:val="14"/>
          <w:color w:val="auto"/>
        </w:rPr>
      </w:pPr>
    </w:p>
    <w:p>
      <w:pPr>
        <w:ind w:left="500" w:hanging="492"/>
        <w:spacing w:after="0" w:line="241" w:lineRule="auto"/>
        <w:tabs>
          <w:tab w:leader="none" w:pos="492"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change in unrealized appreciation/(depreciation) reflected for these investments resulted from the full or partial sale or write-off of the investment, which resulted in the reversal of previously accrued unrealized appreciation/(depreciation), as applicable.</w:t>
      </w:r>
    </w:p>
    <w:p>
      <w:pPr>
        <w:ind w:left="500" w:hanging="492"/>
        <w:spacing w:after="0" w:line="255" w:lineRule="auto"/>
        <w:tabs>
          <w:tab w:leader="none" w:pos="492" w:val="left"/>
        </w:tabs>
        <w:numPr>
          <w:ilvl w:val="0"/>
          <w:numId w:val="39"/>
        </w:numPr>
        <w:rPr>
          <w:rFonts w:ascii="Arial" w:cs="Arial" w:eastAsia="Arial" w:hAnsi="Arial"/>
          <w:sz w:val="14"/>
          <w:szCs w:val="14"/>
          <w:color w:val="auto"/>
        </w:rPr>
      </w:pPr>
      <w:r>
        <w:rPr>
          <w:rFonts w:ascii="Arial" w:cs="Arial" w:eastAsia="Arial" w:hAnsi="Arial"/>
          <w:sz w:val="14"/>
          <w:szCs w:val="14"/>
          <w:color w:val="auto"/>
        </w:rPr>
        <w:t>“Other” represents investments (including U.S. Treasury bills) for which individual change in unrealized appreciation/(depreciation) was less than $1.0 million for the three months ended June 30, 2020 and 2019.</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22" w:right="339" w:bottom="1440" w:gutter="0" w:footer="0" w:header="0"/>
        </w:sectPr>
      </w:pPr>
    </w:p>
    <w:bookmarkStart w:id="63" w:name="page64"/>
    <w:bookmarkEnd w:id="63"/>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7"/>
          <w:szCs w:val="17"/>
          <w:color w:val="auto"/>
        </w:rPr>
        <w:t>For the six months ended June 30, 2020, we had a net decrease in unrealized appreciation/depreciation of $1,143,739. For the six months ended June 30, 2019, we had a net increase in unrealized appreciation/depreciation of $8,259,431. The following tables summarize, by portfolio company, the significant changes in unrealized appreciation and/or depreciation of our investment portfolio for the six months ended June 30, 2020 and 2019.</w:t>
      </w:r>
    </w:p>
    <w:tbl>
      <w:tblPr>
        <w:tblLayout w:type="fixed"/>
        <w:tblInd w:w="0" w:type="dxa"/>
        <w:tblCellMar>
          <w:top w:w="0" w:type="dxa"/>
          <w:left w:w="0" w:type="dxa"/>
          <w:bottom w:w="0" w:type="dxa"/>
          <w:right w:w="0" w:type="dxa"/>
        </w:tblCellMar>
      </w:tblPr>
      <w:tr>
        <w:trPr>
          <w:trHeight w:val="151"/>
        </w:trPr>
        <w:tc>
          <w:tcPr>
            <w:tcW w:w="3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60" w:type="dxa"/>
            <w:vAlign w:val="bottom"/>
          </w:tcPr>
          <w:p>
            <w:pPr>
              <w:jc w:val="center"/>
              <w:ind w:right="60"/>
              <w:spacing w:after="0" w:line="151" w:lineRule="exact"/>
              <w:rPr>
                <w:sz w:val="20"/>
                <w:szCs w:val="20"/>
                <w:color w:val="auto"/>
              </w:rPr>
            </w:pPr>
            <w:r>
              <w:rPr>
                <w:rFonts w:ascii="Arial" w:cs="Arial" w:eastAsia="Arial" w:hAnsi="Arial"/>
                <w:sz w:val="14"/>
                <w:szCs w:val="14"/>
                <w:b w:val="1"/>
                <w:bCs w:val="1"/>
                <w:color w:val="auto"/>
                <w:w w:val="93"/>
              </w:rPr>
              <w:t>Net Change in Unrealized</w:t>
            </w:r>
          </w:p>
        </w:tc>
        <w:tc>
          <w:tcPr>
            <w:tcW w:w="1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tcPr>
          <w:p>
            <w:pPr>
              <w:jc w:val="center"/>
              <w:ind w:right="40"/>
              <w:spacing w:after="0" w:line="151" w:lineRule="exact"/>
              <w:rPr>
                <w:sz w:val="20"/>
                <w:szCs w:val="20"/>
                <w:color w:val="auto"/>
              </w:rPr>
            </w:pPr>
            <w:r>
              <w:rPr>
                <w:rFonts w:ascii="Arial" w:cs="Arial" w:eastAsia="Arial" w:hAnsi="Arial"/>
                <w:sz w:val="14"/>
                <w:szCs w:val="14"/>
                <w:b w:val="1"/>
                <w:bCs w:val="1"/>
                <w:color w:val="auto"/>
                <w:w w:val="93"/>
              </w:rPr>
              <w:t>Net Change in Unrealized</w:t>
            </w:r>
          </w:p>
        </w:tc>
        <w:tc>
          <w:tcPr>
            <w:tcW w:w="0" w:type="dxa"/>
            <w:vAlign w:val="bottom"/>
          </w:tcPr>
          <w:p>
            <w:pPr>
              <w:spacing w:after="0"/>
              <w:rPr>
                <w:sz w:val="1"/>
                <w:szCs w:val="1"/>
                <w:color w:val="auto"/>
              </w:rPr>
            </w:pPr>
          </w:p>
        </w:tc>
      </w:tr>
      <w:tr>
        <w:trPr>
          <w:trHeight w:val="148"/>
        </w:trPr>
        <w:tc>
          <w:tcPr>
            <w:tcW w:w="3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100" w:type="dxa"/>
            <w:vAlign w:val="bottom"/>
            <w:vMerge w:val="restart"/>
          </w:tcPr>
          <w:p>
            <w:pPr>
              <w:spacing w:after="0"/>
              <w:rPr>
                <w:sz w:val="12"/>
                <w:szCs w:val="12"/>
                <w:color w:val="auto"/>
              </w:rPr>
            </w:pPr>
          </w:p>
        </w:tc>
        <w:tc>
          <w:tcPr>
            <w:tcW w:w="2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Appreciation/(Depreciation) For the</w:t>
            </w:r>
          </w:p>
        </w:tc>
        <w:tc>
          <w:tcPr>
            <w:tcW w:w="120" w:type="dxa"/>
            <w:vAlign w:val="bottom"/>
          </w:tcPr>
          <w:p>
            <w:pPr>
              <w:spacing w:after="0"/>
              <w:rPr>
                <w:sz w:val="12"/>
                <w:szCs w:val="12"/>
                <w:color w:val="auto"/>
              </w:rPr>
            </w:pPr>
          </w:p>
        </w:tc>
        <w:tc>
          <w:tcPr>
            <w:tcW w:w="312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Portfolio Company</w:t>
            </w:r>
          </w:p>
        </w:tc>
        <w:tc>
          <w:tcPr>
            <w:tcW w:w="120" w:type="dxa"/>
            <w:vAlign w:val="bottom"/>
            <w:vMerge w:val="restart"/>
          </w:tcPr>
          <w:p>
            <w:pPr>
              <w:spacing w:after="0"/>
              <w:rPr>
                <w:sz w:val="12"/>
                <w:szCs w:val="12"/>
                <w:color w:val="auto"/>
              </w:rPr>
            </w:pPr>
          </w:p>
        </w:tc>
        <w:tc>
          <w:tcPr>
            <w:tcW w:w="2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Appreciation/(Depreciation) For the</w:t>
            </w:r>
          </w:p>
        </w:tc>
        <w:tc>
          <w:tcPr>
            <w:tcW w:w="0" w:type="dxa"/>
            <w:vAlign w:val="bottom"/>
          </w:tcPr>
          <w:p>
            <w:pPr>
              <w:spacing w:after="0"/>
              <w:rPr>
                <w:sz w:val="1"/>
                <w:szCs w:val="1"/>
                <w:color w:val="auto"/>
              </w:rPr>
            </w:pPr>
          </w:p>
        </w:tc>
      </w:tr>
      <w:tr>
        <w:trPr>
          <w:trHeight w:val="192"/>
        </w:trPr>
        <w:tc>
          <w:tcPr>
            <w:tcW w:w="3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2"/>
              </w:rPr>
              <w:t>Six Months Ended June 30, 2020</w:t>
            </w:r>
          </w:p>
        </w:tc>
        <w:tc>
          <w:tcPr>
            <w:tcW w:w="120" w:type="dxa"/>
            <w:vAlign w:val="bottom"/>
            <w:tcBorders>
              <w:bottom w:val="single" w:sz="8" w:color="CCEEFF"/>
            </w:tcBorders>
          </w:tcPr>
          <w:p>
            <w:pPr>
              <w:spacing w:after="0"/>
              <w:rPr>
                <w:sz w:val="16"/>
                <w:szCs w:val="16"/>
                <w:color w:val="auto"/>
              </w:rPr>
            </w:pPr>
          </w:p>
        </w:tc>
        <w:tc>
          <w:tcPr>
            <w:tcW w:w="3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2"/>
              </w:rPr>
              <w:t>Six Months Ended June 30, 2019</w:t>
            </w:r>
          </w:p>
        </w:tc>
        <w:tc>
          <w:tcPr>
            <w:tcW w:w="0" w:type="dxa"/>
            <w:vAlign w:val="bottom"/>
          </w:tcPr>
          <w:p>
            <w:pPr>
              <w:spacing w:after="0"/>
              <w:rPr>
                <w:sz w:val="1"/>
                <w:szCs w:val="1"/>
                <w:color w:val="auto"/>
              </w:rPr>
            </w:pPr>
          </w:p>
        </w:tc>
      </w:tr>
      <w:tr>
        <w:trPr>
          <w:trHeight w:val="256"/>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Coursera, Inc.</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1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16,298,940</w:t>
            </w:r>
          </w:p>
        </w:tc>
        <w:tc>
          <w:tcPr>
            <w:tcW w:w="120" w:type="dxa"/>
            <w:vAlign w:val="bottom"/>
            <w:shd w:val="clear" w:color="auto" w:fill="CCEEFF"/>
          </w:tcPr>
          <w:p>
            <w:pPr>
              <w:spacing w:after="0"/>
              <w:rPr>
                <w:sz w:val="22"/>
                <w:szCs w:val="22"/>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Declara, Inc.</w:t>
            </w:r>
            <w:r>
              <w:rPr>
                <w:rFonts w:ascii="Arial" w:cs="Arial" w:eastAsia="Arial" w:hAnsi="Arial"/>
                <w:sz w:val="21"/>
                <w:szCs w:val="21"/>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12,334,151</w:t>
            </w:r>
          </w:p>
        </w:tc>
        <w:tc>
          <w:tcPr>
            <w:tcW w:w="0" w:type="dxa"/>
            <w:vAlign w:val="bottom"/>
          </w:tcPr>
          <w:p>
            <w:pPr>
              <w:spacing w:after="0"/>
              <w:rPr>
                <w:sz w:val="1"/>
                <w:szCs w:val="1"/>
                <w:color w:val="auto"/>
              </w:rPr>
            </w:pPr>
          </w:p>
        </w:tc>
      </w:tr>
      <w:tr>
        <w:trPr>
          <w:trHeight w:val="223"/>
        </w:trPr>
        <w:tc>
          <w:tcPr>
            <w:tcW w:w="3280" w:type="dxa"/>
            <w:vAlign w:val="bottom"/>
            <w:gridSpan w:val="2"/>
          </w:tcPr>
          <w:p>
            <w:pPr>
              <w:ind w:left="20"/>
              <w:spacing w:after="0"/>
              <w:rPr>
                <w:sz w:val="20"/>
                <w:szCs w:val="20"/>
                <w:color w:val="auto"/>
              </w:rPr>
            </w:pPr>
            <w:r>
              <w:rPr>
                <w:rFonts w:ascii="Arial" w:cs="Arial" w:eastAsia="Arial" w:hAnsi="Arial"/>
                <w:sz w:val="16"/>
                <w:szCs w:val="16"/>
                <w:color w:val="auto"/>
              </w:rPr>
              <w:t>Course Hero, Inc.</w:t>
            </w:r>
          </w:p>
        </w:tc>
        <w:tc>
          <w:tcPr>
            <w:tcW w:w="140" w:type="dxa"/>
            <w:vAlign w:val="bottom"/>
          </w:tcPr>
          <w:p>
            <w:pPr>
              <w:spacing w:after="0"/>
              <w:rPr>
                <w:sz w:val="19"/>
                <w:szCs w:val="19"/>
                <w:color w:val="auto"/>
              </w:rPr>
            </w:pPr>
          </w:p>
        </w:tc>
        <w:tc>
          <w:tcPr>
            <w:tcW w:w="2160" w:type="dxa"/>
            <w:vAlign w:val="bottom"/>
          </w:tcPr>
          <w:p>
            <w:pPr>
              <w:jc w:val="right"/>
              <w:ind w:right="60"/>
              <w:spacing w:after="0"/>
              <w:rPr>
                <w:sz w:val="20"/>
                <w:szCs w:val="20"/>
                <w:color w:val="auto"/>
              </w:rPr>
            </w:pPr>
            <w:r>
              <w:rPr>
                <w:rFonts w:ascii="Arial" w:cs="Arial" w:eastAsia="Arial" w:hAnsi="Arial"/>
                <w:sz w:val="16"/>
                <w:szCs w:val="16"/>
                <w:color w:val="auto"/>
              </w:rPr>
              <w:t>7,557,022</w:t>
            </w:r>
          </w:p>
        </w:tc>
        <w:tc>
          <w:tcPr>
            <w:tcW w:w="120" w:type="dxa"/>
            <w:vAlign w:val="bottom"/>
          </w:tcPr>
          <w:p>
            <w:pPr>
              <w:spacing w:after="0"/>
              <w:rPr>
                <w:sz w:val="19"/>
                <w:szCs w:val="19"/>
                <w:color w:val="auto"/>
              </w:rPr>
            </w:pPr>
          </w:p>
        </w:tc>
        <w:tc>
          <w:tcPr>
            <w:tcW w:w="3240" w:type="dxa"/>
            <w:vAlign w:val="bottom"/>
            <w:gridSpan w:val="2"/>
          </w:tcPr>
          <w:p>
            <w:pPr>
              <w:spacing w:after="0"/>
              <w:rPr>
                <w:sz w:val="20"/>
                <w:szCs w:val="20"/>
                <w:color w:val="auto"/>
              </w:rPr>
            </w:pPr>
            <w:r>
              <w:rPr>
                <w:rFonts w:ascii="Arial" w:cs="Arial" w:eastAsia="Arial" w:hAnsi="Arial"/>
                <w:sz w:val="16"/>
                <w:szCs w:val="16"/>
                <w:color w:val="auto"/>
              </w:rPr>
              <w:t>Coursera, Inc.</w:t>
            </w:r>
          </w:p>
        </w:tc>
        <w:tc>
          <w:tcPr>
            <w:tcW w:w="120" w:type="dxa"/>
            <w:vAlign w:val="bottom"/>
          </w:tcPr>
          <w:p>
            <w:pPr>
              <w:spacing w:after="0"/>
              <w:rPr>
                <w:sz w:val="19"/>
                <w:szCs w:val="19"/>
                <w:color w:val="auto"/>
              </w:rPr>
            </w:pPr>
          </w:p>
        </w:tc>
        <w:tc>
          <w:tcPr>
            <w:tcW w:w="2180" w:type="dxa"/>
            <w:vAlign w:val="bottom"/>
          </w:tcPr>
          <w:p>
            <w:pPr>
              <w:jc w:val="right"/>
              <w:ind w:right="60"/>
              <w:spacing w:after="0"/>
              <w:rPr>
                <w:sz w:val="20"/>
                <w:szCs w:val="20"/>
                <w:color w:val="auto"/>
              </w:rPr>
            </w:pPr>
            <w:r>
              <w:rPr>
                <w:rFonts w:ascii="Arial" w:cs="Arial" w:eastAsia="Arial" w:hAnsi="Arial"/>
                <w:sz w:val="16"/>
                <w:szCs w:val="16"/>
                <w:color w:val="auto"/>
              </w:rPr>
              <w:t>7,522,226</w:t>
            </w:r>
          </w:p>
        </w:tc>
        <w:tc>
          <w:tcPr>
            <w:tcW w:w="0" w:type="dxa"/>
            <w:vAlign w:val="bottom"/>
          </w:tcPr>
          <w:p>
            <w:pPr>
              <w:spacing w:after="0"/>
              <w:rPr>
                <w:sz w:val="1"/>
                <w:szCs w:val="1"/>
                <w:color w:val="auto"/>
              </w:rPr>
            </w:pPr>
          </w:p>
        </w:tc>
      </w:tr>
      <w:tr>
        <w:trPr>
          <w:trHeight w:val="33"/>
        </w:trPr>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SharesPost, Inc.</w:t>
            </w:r>
          </w:p>
        </w:tc>
        <w:tc>
          <w:tcPr>
            <w:tcW w:w="14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2,369,329</w:t>
            </w:r>
          </w:p>
        </w:tc>
        <w:tc>
          <w:tcPr>
            <w:tcW w:w="120" w:type="dxa"/>
            <w:vAlign w:val="bottom"/>
            <w:tcBorders>
              <w:bottom w:val="single" w:sz="8" w:color="CCEEFF"/>
            </w:tcBorders>
            <w:shd w:val="clear" w:color="auto" w:fill="CCEEFF"/>
          </w:tcPr>
          <w:p>
            <w:pPr>
              <w:spacing w:after="0"/>
              <w:rPr>
                <w:sz w:val="20"/>
                <w:szCs w:val="20"/>
                <w:color w:val="auto"/>
              </w:rPr>
            </w:pPr>
          </w:p>
        </w:tc>
        <w:tc>
          <w:tcPr>
            <w:tcW w:w="3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Aspiration Partners, Inc.</w:t>
            </w:r>
          </w:p>
        </w:tc>
        <w:tc>
          <w:tcPr>
            <w:tcW w:w="120" w:type="dxa"/>
            <w:vAlign w:val="bottom"/>
            <w:tcBorders>
              <w:bottom w:val="single" w:sz="8" w:color="CCEEFF"/>
            </w:tcBorders>
            <w:shd w:val="clear" w:color="auto" w:fill="CCEEFF"/>
          </w:tcPr>
          <w:p>
            <w:pPr>
              <w:spacing w:after="0"/>
              <w:rPr>
                <w:sz w:val="20"/>
                <w:szCs w:val="20"/>
                <w:color w:val="auto"/>
              </w:rPr>
            </w:pPr>
          </w:p>
        </w:tc>
        <w:tc>
          <w:tcPr>
            <w:tcW w:w="2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5,032,824</w:t>
            </w:r>
          </w:p>
        </w:tc>
        <w:tc>
          <w:tcPr>
            <w:tcW w:w="0" w:type="dxa"/>
            <w:vAlign w:val="bottom"/>
          </w:tcPr>
          <w:p>
            <w:pPr>
              <w:spacing w:after="0"/>
              <w:rPr>
                <w:sz w:val="1"/>
                <w:szCs w:val="1"/>
                <w:color w:val="auto"/>
              </w:rPr>
            </w:pPr>
          </w:p>
        </w:tc>
      </w:tr>
      <w:tr>
        <w:trPr>
          <w:trHeight w:val="224"/>
        </w:trPr>
        <w:tc>
          <w:tcPr>
            <w:tcW w:w="3280" w:type="dxa"/>
            <w:vAlign w:val="bottom"/>
            <w:gridSpan w:val="2"/>
          </w:tcPr>
          <w:p>
            <w:pPr>
              <w:ind w:left="20"/>
              <w:spacing w:after="0"/>
              <w:rPr>
                <w:sz w:val="20"/>
                <w:szCs w:val="20"/>
                <w:color w:val="auto"/>
              </w:rPr>
            </w:pPr>
            <w:r>
              <w:rPr>
                <w:rFonts w:ascii="Arial" w:cs="Arial" w:eastAsia="Arial" w:hAnsi="Arial"/>
                <w:sz w:val="16"/>
                <w:szCs w:val="16"/>
                <w:color w:val="auto"/>
              </w:rPr>
              <w:t>StormWind, LLC</w:t>
            </w:r>
          </w:p>
        </w:tc>
        <w:tc>
          <w:tcPr>
            <w:tcW w:w="140" w:type="dxa"/>
            <w:vAlign w:val="bottom"/>
          </w:tcPr>
          <w:p>
            <w:pPr>
              <w:spacing w:after="0"/>
              <w:rPr>
                <w:sz w:val="19"/>
                <w:szCs w:val="19"/>
                <w:color w:val="auto"/>
              </w:rPr>
            </w:pPr>
          </w:p>
        </w:tc>
        <w:tc>
          <w:tcPr>
            <w:tcW w:w="2160" w:type="dxa"/>
            <w:vAlign w:val="bottom"/>
          </w:tcPr>
          <w:p>
            <w:pPr>
              <w:jc w:val="right"/>
              <w:ind w:right="20"/>
              <w:spacing w:after="0"/>
              <w:rPr>
                <w:sz w:val="20"/>
                <w:szCs w:val="20"/>
                <w:color w:val="auto"/>
              </w:rPr>
            </w:pPr>
            <w:r>
              <w:rPr>
                <w:rFonts w:ascii="Arial" w:cs="Arial" w:eastAsia="Arial" w:hAnsi="Arial"/>
                <w:sz w:val="16"/>
                <w:szCs w:val="16"/>
                <w:color w:val="auto"/>
              </w:rPr>
              <w:t>(1,002,854)</w:t>
            </w:r>
          </w:p>
        </w:tc>
        <w:tc>
          <w:tcPr>
            <w:tcW w:w="120" w:type="dxa"/>
            <w:vAlign w:val="bottom"/>
          </w:tcPr>
          <w:p>
            <w:pPr>
              <w:spacing w:after="0"/>
              <w:rPr>
                <w:sz w:val="19"/>
                <w:szCs w:val="19"/>
                <w:color w:val="auto"/>
              </w:rPr>
            </w:pPr>
          </w:p>
        </w:tc>
        <w:tc>
          <w:tcPr>
            <w:tcW w:w="3240" w:type="dxa"/>
            <w:vAlign w:val="bottom"/>
            <w:gridSpan w:val="2"/>
          </w:tcPr>
          <w:p>
            <w:pPr>
              <w:spacing w:after="0"/>
              <w:rPr>
                <w:sz w:val="20"/>
                <w:szCs w:val="20"/>
                <w:color w:val="auto"/>
              </w:rPr>
            </w:pPr>
            <w:r>
              <w:rPr>
                <w:rFonts w:ascii="Arial" w:cs="Arial" w:eastAsia="Arial" w:hAnsi="Arial"/>
                <w:sz w:val="16"/>
                <w:szCs w:val="16"/>
                <w:color w:val="auto"/>
              </w:rPr>
              <w:t>Course Hero, Inc.</w:t>
            </w:r>
          </w:p>
        </w:tc>
        <w:tc>
          <w:tcPr>
            <w:tcW w:w="120" w:type="dxa"/>
            <w:vAlign w:val="bottom"/>
          </w:tcPr>
          <w:p>
            <w:pPr>
              <w:spacing w:after="0"/>
              <w:rPr>
                <w:sz w:val="19"/>
                <w:szCs w:val="19"/>
                <w:color w:val="auto"/>
              </w:rPr>
            </w:pPr>
          </w:p>
        </w:tc>
        <w:tc>
          <w:tcPr>
            <w:tcW w:w="2180" w:type="dxa"/>
            <w:vAlign w:val="bottom"/>
          </w:tcPr>
          <w:p>
            <w:pPr>
              <w:jc w:val="right"/>
              <w:ind w:right="60"/>
              <w:spacing w:after="0"/>
              <w:rPr>
                <w:sz w:val="20"/>
                <w:szCs w:val="20"/>
                <w:color w:val="auto"/>
              </w:rPr>
            </w:pPr>
            <w:r>
              <w:rPr>
                <w:rFonts w:ascii="Arial" w:cs="Arial" w:eastAsia="Arial" w:hAnsi="Arial"/>
                <w:sz w:val="16"/>
                <w:szCs w:val="16"/>
                <w:color w:val="auto"/>
              </w:rPr>
              <w:t>4,662,974</w:t>
            </w:r>
          </w:p>
        </w:tc>
        <w:tc>
          <w:tcPr>
            <w:tcW w:w="0" w:type="dxa"/>
            <w:vAlign w:val="bottom"/>
          </w:tcPr>
          <w:p>
            <w:pPr>
              <w:spacing w:after="0"/>
              <w:rPr>
                <w:sz w:val="1"/>
                <w:szCs w:val="1"/>
                <w:color w:val="auto"/>
              </w:rPr>
            </w:pPr>
          </w:p>
        </w:tc>
      </w:tr>
      <w:tr>
        <w:trPr>
          <w:trHeight w:val="33"/>
        </w:trPr>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Palantir Technologies, Inc.</w:t>
            </w:r>
          </w:p>
        </w:tc>
        <w:tc>
          <w:tcPr>
            <w:tcW w:w="14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(1,039,264)</w:t>
            </w:r>
          </w:p>
        </w:tc>
        <w:tc>
          <w:tcPr>
            <w:tcW w:w="120" w:type="dxa"/>
            <w:vAlign w:val="bottom"/>
            <w:tcBorders>
              <w:bottom w:val="single" w:sz="8" w:color="CCEEFF"/>
            </w:tcBorders>
            <w:shd w:val="clear" w:color="auto" w:fill="CCEEFF"/>
          </w:tcPr>
          <w:p>
            <w:pPr>
              <w:spacing w:after="0"/>
              <w:rPr>
                <w:sz w:val="20"/>
                <w:szCs w:val="20"/>
                <w:color w:val="auto"/>
              </w:rPr>
            </w:pPr>
          </w:p>
        </w:tc>
        <w:tc>
          <w:tcPr>
            <w:tcW w:w="3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Enjoy Technology, Inc.</w:t>
            </w:r>
          </w:p>
        </w:tc>
        <w:tc>
          <w:tcPr>
            <w:tcW w:w="120" w:type="dxa"/>
            <w:vAlign w:val="bottom"/>
            <w:tcBorders>
              <w:bottom w:val="single" w:sz="8" w:color="CCEEFF"/>
            </w:tcBorders>
            <w:shd w:val="clear" w:color="auto" w:fill="CCEEFF"/>
          </w:tcPr>
          <w:p>
            <w:pPr>
              <w:spacing w:after="0"/>
              <w:rPr>
                <w:sz w:val="20"/>
                <w:szCs w:val="20"/>
                <w:color w:val="auto"/>
              </w:rPr>
            </w:pPr>
          </w:p>
        </w:tc>
        <w:tc>
          <w:tcPr>
            <w:tcW w:w="2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3,624,952</w:t>
            </w:r>
          </w:p>
        </w:tc>
        <w:tc>
          <w:tcPr>
            <w:tcW w:w="0" w:type="dxa"/>
            <w:vAlign w:val="bottom"/>
          </w:tcPr>
          <w:p>
            <w:pPr>
              <w:spacing w:after="0"/>
              <w:rPr>
                <w:sz w:val="1"/>
                <w:szCs w:val="1"/>
                <w:color w:val="auto"/>
              </w:rPr>
            </w:pPr>
          </w:p>
        </w:tc>
      </w:tr>
      <w:tr>
        <w:trPr>
          <w:trHeight w:val="223"/>
        </w:trPr>
        <w:tc>
          <w:tcPr>
            <w:tcW w:w="3280" w:type="dxa"/>
            <w:vAlign w:val="bottom"/>
            <w:gridSpan w:val="2"/>
          </w:tcPr>
          <w:p>
            <w:pPr>
              <w:ind w:left="20"/>
              <w:spacing w:after="0"/>
              <w:rPr>
                <w:sz w:val="20"/>
                <w:szCs w:val="20"/>
                <w:color w:val="auto"/>
              </w:rPr>
            </w:pPr>
            <w:r>
              <w:rPr>
                <w:rFonts w:ascii="Arial" w:cs="Arial" w:eastAsia="Arial" w:hAnsi="Arial"/>
                <w:sz w:val="16"/>
                <w:szCs w:val="16"/>
                <w:color w:val="auto"/>
              </w:rPr>
              <w:t>Enjoy, Inc.</w:t>
            </w:r>
          </w:p>
        </w:tc>
        <w:tc>
          <w:tcPr>
            <w:tcW w:w="140" w:type="dxa"/>
            <w:vAlign w:val="bottom"/>
          </w:tcPr>
          <w:p>
            <w:pPr>
              <w:spacing w:after="0"/>
              <w:rPr>
                <w:sz w:val="19"/>
                <w:szCs w:val="19"/>
                <w:color w:val="auto"/>
              </w:rPr>
            </w:pPr>
          </w:p>
        </w:tc>
        <w:tc>
          <w:tcPr>
            <w:tcW w:w="2160" w:type="dxa"/>
            <w:vAlign w:val="bottom"/>
          </w:tcPr>
          <w:p>
            <w:pPr>
              <w:jc w:val="right"/>
              <w:ind w:right="20"/>
              <w:spacing w:after="0"/>
              <w:rPr>
                <w:sz w:val="20"/>
                <w:szCs w:val="20"/>
                <w:color w:val="auto"/>
              </w:rPr>
            </w:pPr>
            <w:r>
              <w:rPr>
                <w:rFonts w:ascii="Arial" w:cs="Arial" w:eastAsia="Arial" w:hAnsi="Arial"/>
                <w:sz w:val="16"/>
                <w:szCs w:val="16"/>
                <w:color w:val="auto"/>
              </w:rPr>
              <w:t>(1,574,359)</w:t>
            </w:r>
          </w:p>
        </w:tc>
        <w:tc>
          <w:tcPr>
            <w:tcW w:w="120" w:type="dxa"/>
            <w:vAlign w:val="bottom"/>
          </w:tcPr>
          <w:p>
            <w:pPr>
              <w:spacing w:after="0"/>
              <w:rPr>
                <w:sz w:val="19"/>
                <w:szCs w:val="19"/>
                <w:color w:val="auto"/>
              </w:rPr>
            </w:pPr>
          </w:p>
        </w:tc>
        <w:tc>
          <w:tcPr>
            <w:tcW w:w="3240" w:type="dxa"/>
            <w:vAlign w:val="bottom"/>
            <w:gridSpan w:val="2"/>
          </w:tcPr>
          <w:p>
            <w:pPr>
              <w:spacing w:after="0"/>
              <w:rPr>
                <w:sz w:val="20"/>
                <w:szCs w:val="20"/>
                <w:color w:val="auto"/>
              </w:rPr>
            </w:pPr>
            <w:r>
              <w:rPr>
                <w:rFonts w:ascii="Arial" w:cs="Arial" w:eastAsia="Arial" w:hAnsi="Arial"/>
                <w:sz w:val="16"/>
                <w:szCs w:val="16"/>
                <w:color w:val="auto"/>
              </w:rPr>
              <w:t>Lyft, Inc.</w:t>
            </w:r>
          </w:p>
        </w:tc>
        <w:tc>
          <w:tcPr>
            <w:tcW w:w="120" w:type="dxa"/>
            <w:vAlign w:val="bottom"/>
          </w:tcPr>
          <w:p>
            <w:pPr>
              <w:spacing w:after="0"/>
              <w:rPr>
                <w:sz w:val="19"/>
                <w:szCs w:val="19"/>
                <w:color w:val="auto"/>
              </w:rPr>
            </w:pPr>
          </w:p>
        </w:tc>
        <w:tc>
          <w:tcPr>
            <w:tcW w:w="2180" w:type="dxa"/>
            <w:vAlign w:val="bottom"/>
          </w:tcPr>
          <w:p>
            <w:pPr>
              <w:jc w:val="right"/>
              <w:ind w:right="60"/>
              <w:spacing w:after="0"/>
              <w:rPr>
                <w:sz w:val="20"/>
                <w:szCs w:val="20"/>
                <w:color w:val="auto"/>
              </w:rPr>
            </w:pPr>
            <w:r>
              <w:rPr>
                <w:rFonts w:ascii="Arial" w:cs="Arial" w:eastAsia="Arial" w:hAnsi="Arial"/>
                <w:sz w:val="16"/>
                <w:szCs w:val="16"/>
                <w:color w:val="auto"/>
              </w:rPr>
              <w:t>3,418,486</w:t>
            </w:r>
          </w:p>
        </w:tc>
        <w:tc>
          <w:tcPr>
            <w:tcW w:w="0" w:type="dxa"/>
            <w:vAlign w:val="bottom"/>
          </w:tcPr>
          <w:p>
            <w:pPr>
              <w:spacing w:after="0"/>
              <w:rPr>
                <w:sz w:val="1"/>
                <w:szCs w:val="1"/>
                <w:color w:val="auto"/>
              </w:rPr>
            </w:pPr>
          </w:p>
        </w:tc>
      </w:tr>
      <w:tr>
        <w:trPr>
          <w:trHeight w:val="33"/>
        </w:trPr>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NestGSV, Inc. (d.b.a. GSV Labs, Inc.)</w:t>
            </w:r>
          </w:p>
        </w:tc>
        <w:tc>
          <w:tcPr>
            <w:tcW w:w="140" w:type="dxa"/>
            <w:vAlign w:val="bottom"/>
            <w:shd w:val="clear" w:color="auto" w:fill="CCEEFF"/>
          </w:tcPr>
          <w:p>
            <w:pPr>
              <w:spacing w:after="0"/>
              <w:rPr>
                <w:sz w:val="22"/>
                <w:szCs w:val="22"/>
                <w:color w:val="auto"/>
              </w:rPr>
            </w:pPr>
          </w:p>
        </w:tc>
        <w:tc>
          <w:tcPr>
            <w:tcW w:w="2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(2,427,101)</w:t>
            </w:r>
          </w:p>
        </w:tc>
        <w:tc>
          <w:tcPr>
            <w:tcW w:w="120" w:type="dxa"/>
            <w:vAlign w:val="bottom"/>
            <w:shd w:val="clear" w:color="auto" w:fill="CCEEFF"/>
          </w:tcPr>
          <w:p>
            <w:pPr>
              <w:spacing w:after="0"/>
              <w:rPr>
                <w:sz w:val="22"/>
                <w:szCs w:val="22"/>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Knewton, Inc.</w:t>
            </w:r>
            <w:r>
              <w:rPr>
                <w:rFonts w:ascii="Arial" w:cs="Arial" w:eastAsia="Arial" w:hAnsi="Arial"/>
                <w:sz w:val="21"/>
                <w:szCs w:val="21"/>
                <w:color w:val="auto"/>
                <w:vertAlign w:val="superscript"/>
              </w:rPr>
              <w:t>(2)</w:t>
            </w:r>
          </w:p>
        </w:tc>
        <w:tc>
          <w:tcPr>
            <w:tcW w:w="120" w:type="dxa"/>
            <w:vAlign w:val="bottom"/>
            <w:shd w:val="clear" w:color="auto" w:fill="CCEEFF"/>
          </w:tcPr>
          <w:p>
            <w:pPr>
              <w:spacing w:after="0"/>
              <w:rPr>
                <w:sz w:val="22"/>
                <w:szCs w:val="22"/>
                <w:color w:val="auto"/>
              </w:rPr>
            </w:pPr>
          </w:p>
        </w:tc>
        <w:tc>
          <w:tcPr>
            <w:tcW w:w="2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2,979,116</w:t>
            </w:r>
          </w:p>
        </w:tc>
        <w:tc>
          <w:tcPr>
            <w:tcW w:w="0" w:type="dxa"/>
            <w:vAlign w:val="bottom"/>
          </w:tcPr>
          <w:p>
            <w:pPr>
              <w:spacing w:after="0"/>
              <w:rPr>
                <w:sz w:val="1"/>
                <w:szCs w:val="1"/>
                <w:color w:val="auto"/>
              </w:rPr>
            </w:pPr>
          </w:p>
        </w:tc>
      </w:tr>
      <w:tr>
        <w:trPr>
          <w:trHeight w:val="224"/>
        </w:trPr>
        <w:tc>
          <w:tcPr>
            <w:tcW w:w="3280" w:type="dxa"/>
            <w:vAlign w:val="bottom"/>
            <w:gridSpan w:val="2"/>
          </w:tcPr>
          <w:p>
            <w:pPr>
              <w:ind w:left="20"/>
              <w:spacing w:after="0"/>
              <w:rPr>
                <w:sz w:val="20"/>
                <w:szCs w:val="20"/>
                <w:color w:val="auto"/>
              </w:rPr>
            </w:pPr>
            <w:r>
              <w:rPr>
                <w:rFonts w:ascii="Arial" w:cs="Arial" w:eastAsia="Arial" w:hAnsi="Arial"/>
                <w:sz w:val="16"/>
                <w:szCs w:val="16"/>
                <w:color w:val="auto"/>
              </w:rPr>
              <w:t>Treehouse Real Estate Investment Trust, Inc.</w:t>
            </w:r>
          </w:p>
        </w:tc>
        <w:tc>
          <w:tcPr>
            <w:tcW w:w="140" w:type="dxa"/>
            <w:vAlign w:val="bottom"/>
          </w:tcPr>
          <w:p>
            <w:pPr>
              <w:spacing w:after="0"/>
              <w:rPr>
                <w:sz w:val="19"/>
                <w:szCs w:val="19"/>
                <w:color w:val="auto"/>
              </w:rPr>
            </w:pPr>
          </w:p>
        </w:tc>
        <w:tc>
          <w:tcPr>
            <w:tcW w:w="2160" w:type="dxa"/>
            <w:vAlign w:val="bottom"/>
          </w:tcPr>
          <w:p>
            <w:pPr>
              <w:jc w:val="right"/>
              <w:ind w:right="20"/>
              <w:spacing w:after="0"/>
              <w:rPr>
                <w:sz w:val="20"/>
                <w:szCs w:val="20"/>
                <w:color w:val="auto"/>
              </w:rPr>
            </w:pPr>
            <w:r>
              <w:rPr>
                <w:rFonts w:ascii="Arial" w:cs="Arial" w:eastAsia="Arial" w:hAnsi="Arial"/>
                <w:sz w:val="16"/>
                <w:szCs w:val="16"/>
                <w:color w:val="auto"/>
              </w:rPr>
              <w:t>(3,103,046)</w:t>
            </w:r>
          </w:p>
        </w:tc>
        <w:tc>
          <w:tcPr>
            <w:tcW w:w="120" w:type="dxa"/>
            <w:vAlign w:val="bottom"/>
          </w:tcPr>
          <w:p>
            <w:pPr>
              <w:spacing w:after="0"/>
              <w:rPr>
                <w:sz w:val="19"/>
                <w:szCs w:val="19"/>
                <w:color w:val="auto"/>
              </w:rPr>
            </w:pPr>
          </w:p>
        </w:tc>
        <w:tc>
          <w:tcPr>
            <w:tcW w:w="3240" w:type="dxa"/>
            <w:vAlign w:val="bottom"/>
            <w:gridSpan w:val="2"/>
          </w:tcPr>
          <w:p>
            <w:pPr>
              <w:spacing w:after="0"/>
              <w:rPr>
                <w:sz w:val="20"/>
                <w:szCs w:val="20"/>
                <w:color w:val="auto"/>
              </w:rPr>
            </w:pPr>
            <w:r>
              <w:rPr>
                <w:rFonts w:ascii="Arial" w:cs="Arial" w:eastAsia="Arial" w:hAnsi="Arial"/>
                <w:sz w:val="16"/>
                <w:szCs w:val="16"/>
                <w:color w:val="auto"/>
              </w:rPr>
              <w:t>Parchment, Inc.</w:t>
            </w:r>
          </w:p>
        </w:tc>
        <w:tc>
          <w:tcPr>
            <w:tcW w:w="120" w:type="dxa"/>
            <w:vAlign w:val="bottom"/>
          </w:tcPr>
          <w:p>
            <w:pPr>
              <w:spacing w:after="0"/>
              <w:rPr>
                <w:sz w:val="19"/>
                <w:szCs w:val="19"/>
                <w:color w:val="auto"/>
              </w:rPr>
            </w:pPr>
          </w:p>
        </w:tc>
        <w:tc>
          <w:tcPr>
            <w:tcW w:w="2180" w:type="dxa"/>
            <w:vAlign w:val="bottom"/>
          </w:tcPr>
          <w:p>
            <w:pPr>
              <w:jc w:val="right"/>
              <w:ind w:right="60"/>
              <w:spacing w:after="0"/>
              <w:rPr>
                <w:sz w:val="20"/>
                <w:szCs w:val="20"/>
                <w:color w:val="auto"/>
              </w:rPr>
            </w:pPr>
            <w:r>
              <w:rPr>
                <w:rFonts w:ascii="Arial" w:cs="Arial" w:eastAsia="Arial" w:hAnsi="Arial"/>
                <w:sz w:val="16"/>
                <w:szCs w:val="16"/>
                <w:color w:val="auto"/>
              </w:rPr>
              <w:t>2,753,731</w:t>
            </w:r>
          </w:p>
        </w:tc>
        <w:tc>
          <w:tcPr>
            <w:tcW w:w="0" w:type="dxa"/>
            <w:vAlign w:val="bottom"/>
          </w:tcPr>
          <w:p>
            <w:pPr>
              <w:spacing w:after="0"/>
              <w:rPr>
                <w:sz w:val="1"/>
                <w:szCs w:val="1"/>
                <w:color w:val="auto"/>
              </w:rPr>
            </w:pPr>
          </w:p>
        </w:tc>
      </w:tr>
      <w:tr>
        <w:trPr>
          <w:trHeight w:val="33"/>
        </w:trPr>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Ozy Media, Inc.</w:t>
            </w:r>
          </w:p>
        </w:tc>
        <w:tc>
          <w:tcPr>
            <w:tcW w:w="14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(4,383,310)</w:t>
            </w:r>
          </w:p>
        </w:tc>
        <w:tc>
          <w:tcPr>
            <w:tcW w:w="120" w:type="dxa"/>
            <w:vAlign w:val="bottom"/>
            <w:tcBorders>
              <w:bottom w:val="single" w:sz="8" w:color="CCEEFF"/>
            </w:tcBorders>
            <w:shd w:val="clear" w:color="auto" w:fill="CCEEFF"/>
          </w:tcPr>
          <w:p>
            <w:pPr>
              <w:spacing w:after="0"/>
              <w:rPr>
                <w:sz w:val="20"/>
                <w:szCs w:val="20"/>
                <w:color w:val="auto"/>
              </w:rPr>
            </w:pPr>
          </w:p>
        </w:tc>
        <w:tc>
          <w:tcPr>
            <w:tcW w:w="3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SharesPost, Inc.</w:t>
            </w:r>
          </w:p>
        </w:tc>
        <w:tc>
          <w:tcPr>
            <w:tcW w:w="120" w:type="dxa"/>
            <w:vAlign w:val="bottom"/>
            <w:tcBorders>
              <w:bottom w:val="single" w:sz="8" w:color="CCEEFF"/>
            </w:tcBorders>
            <w:shd w:val="clear" w:color="auto" w:fill="CCEEFF"/>
          </w:tcPr>
          <w:p>
            <w:pPr>
              <w:spacing w:after="0"/>
              <w:rPr>
                <w:sz w:val="20"/>
                <w:szCs w:val="20"/>
                <w:color w:val="auto"/>
              </w:rPr>
            </w:pPr>
          </w:p>
        </w:tc>
        <w:tc>
          <w:tcPr>
            <w:tcW w:w="2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1,007,656</w:t>
            </w:r>
          </w:p>
        </w:tc>
        <w:tc>
          <w:tcPr>
            <w:tcW w:w="0" w:type="dxa"/>
            <w:vAlign w:val="bottom"/>
          </w:tcPr>
          <w:p>
            <w:pPr>
              <w:spacing w:after="0"/>
              <w:rPr>
                <w:sz w:val="1"/>
                <w:szCs w:val="1"/>
                <w:color w:val="auto"/>
              </w:rPr>
            </w:pPr>
          </w:p>
        </w:tc>
      </w:tr>
      <w:tr>
        <w:trPr>
          <w:trHeight w:val="223"/>
        </w:trPr>
        <w:tc>
          <w:tcPr>
            <w:tcW w:w="3280" w:type="dxa"/>
            <w:vAlign w:val="bottom"/>
            <w:gridSpan w:val="2"/>
          </w:tcPr>
          <w:p>
            <w:pPr>
              <w:ind w:left="20"/>
              <w:spacing w:after="0"/>
              <w:rPr>
                <w:sz w:val="20"/>
                <w:szCs w:val="20"/>
                <w:color w:val="auto"/>
              </w:rPr>
            </w:pPr>
            <w:r>
              <w:rPr>
                <w:rFonts w:ascii="Arial" w:cs="Arial" w:eastAsia="Arial" w:hAnsi="Arial"/>
                <w:sz w:val="16"/>
                <w:szCs w:val="16"/>
                <w:color w:val="auto"/>
              </w:rPr>
              <w:t>Neutron Holdings, Inc. (d/b/a/ Lime)</w:t>
            </w:r>
          </w:p>
        </w:tc>
        <w:tc>
          <w:tcPr>
            <w:tcW w:w="140" w:type="dxa"/>
            <w:vAlign w:val="bottom"/>
          </w:tcPr>
          <w:p>
            <w:pPr>
              <w:spacing w:after="0"/>
              <w:rPr>
                <w:sz w:val="19"/>
                <w:szCs w:val="19"/>
                <w:color w:val="auto"/>
              </w:rPr>
            </w:pPr>
          </w:p>
        </w:tc>
        <w:tc>
          <w:tcPr>
            <w:tcW w:w="2160" w:type="dxa"/>
            <w:vAlign w:val="bottom"/>
          </w:tcPr>
          <w:p>
            <w:pPr>
              <w:jc w:val="right"/>
              <w:ind w:right="20"/>
              <w:spacing w:after="0"/>
              <w:rPr>
                <w:sz w:val="20"/>
                <w:szCs w:val="20"/>
                <w:color w:val="auto"/>
              </w:rPr>
            </w:pPr>
            <w:r>
              <w:rPr>
                <w:rFonts w:ascii="Arial" w:cs="Arial" w:eastAsia="Arial" w:hAnsi="Arial"/>
                <w:sz w:val="16"/>
                <w:szCs w:val="16"/>
                <w:color w:val="auto"/>
              </w:rPr>
              <w:t>(6,515,508)</w:t>
            </w:r>
          </w:p>
        </w:tc>
        <w:tc>
          <w:tcPr>
            <w:tcW w:w="120" w:type="dxa"/>
            <w:vAlign w:val="bottom"/>
          </w:tcPr>
          <w:p>
            <w:pPr>
              <w:spacing w:after="0"/>
              <w:rPr>
                <w:sz w:val="19"/>
                <w:szCs w:val="19"/>
                <w:color w:val="auto"/>
              </w:rPr>
            </w:pPr>
          </w:p>
        </w:tc>
        <w:tc>
          <w:tcPr>
            <w:tcW w:w="3240" w:type="dxa"/>
            <w:vAlign w:val="bottom"/>
            <w:gridSpan w:val="2"/>
          </w:tcPr>
          <w:p>
            <w:pPr>
              <w:spacing w:after="0"/>
              <w:rPr>
                <w:sz w:val="20"/>
                <w:szCs w:val="20"/>
                <w:color w:val="auto"/>
              </w:rPr>
            </w:pPr>
            <w:r>
              <w:rPr>
                <w:rFonts w:ascii="Arial" w:cs="Arial" w:eastAsia="Arial" w:hAnsi="Arial"/>
                <w:sz w:val="16"/>
                <w:szCs w:val="16"/>
                <w:color w:val="auto"/>
              </w:rPr>
              <w:t>A Place for Rover Inc. (f/k/a DogVacay, Inc.)</w:t>
            </w:r>
          </w:p>
        </w:tc>
        <w:tc>
          <w:tcPr>
            <w:tcW w:w="120" w:type="dxa"/>
            <w:vAlign w:val="bottom"/>
          </w:tcPr>
          <w:p>
            <w:pPr>
              <w:spacing w:after="0"/>
              <w:rPr>
                <w:sz w:val="19"/>
                <w:szCs w:val="19"/>
                <w:color w:val="auto"/>
              </w:rPr>
            </w:pPr>
          </w:p>
        </w:tc>
        <w:tc>
          <w:tcPr>
            <w:tcW w:w="2180" w:type="dxa"/>
            <w:vAlign w:val="bottom"/>
          </w:tcPr>
          <w:p>
            <w:pPr>
              <w:jc w:val="right"/>
              <w:ind w:right="20"/>
              <w:spacing w:after="0"/>
              <w:rPr>
                <w:sz w:val="20"/>
                <w:szCs w:val="20"/>
                <w:color w:val="auto"/>
              </w:rPr>
            </w:pPr>
            <w:r>
              <w:rPr>
                <w:rFonts w:ascii="Arial" w:cs="Arial" w:eastAsia="Arial" w:hAnsi="Arial"/>
                <w:sz w:val="16"/>
                <w:szCs w:val="16"/>
                <w:color w:val="auto"/>
              </w:rPr>
              <w:t>(1,038,166)</w:t>
            </w:r>
          </w:p>
        </w:tc>
        <w:tc>
          <w:tcPr>
            <w:tcW w:w="0" w:type="dxa"/>
            <w:vAlign w:val="bottom"/>
          </w:tcPr>
          <w:p>
            <w:pPr>
              <w:spacing w:after="0"/>
              <w:rPr>
                <w:sz w:val="1"/>
                <w:szCs w:val="1"/>
                <w:color w:val="auto"/>
              </w:rPr>
            </w:pPr>
          </w:p>
        </w:tc>
      </w:tr>
      <w:tr>
        <w:trPr>
          <w:trHeight w:val="33"/>
        </w:trPr>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Parchment, Inc.</w:t>
            </w:r>
            <w:r>
              <w:rPr>
                <w:rFonts w:ascii="Arial" w:cs="Arial" w:eastAsia="Arial" w:hAnsi="Arial"/>
                <w:sz w:val="21"/>
                <w:szCs w:val="21"/>
                <w:color w:val="auto"/>
                <w:vertAlign w:val="superscript"/>
              </w:rPr>
              <w:t>(2)</w:t>
            </w:r>
          </w:p>
        </w:tc>
        <w:tc>
          <w:tcPr>
            <w:tcW w:w="140" w:type="dxa"/>
            <w:vAlign w:val="bottom"/>
            <w:shd w:val="clear" w:color="auto" w:fill="CCEEFF"/>
          </w:tcPr>
          <w:p>
            <w:pPr>
              <w:spacing w:after="0"/>
              <w:rPr>
                <w:sz w:val="22"/>
                <w:szCs w:val="22"/>
                <w:color w:val="auto"/>
              </w:rPr>
            </w:pPr>
          </w:p>
        </w:tc>
        <w:tc>
          <w:tcPr>
            <w:tcW w:w="2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(6,895,603)</w:t>
            </w:r>
          </w:p>
        </w:tc>
        <w:tc>
          <w:tcPr>
            <w:tcW w:w="120" w:type="dxa"/>
            <w:vAlign w:val="bottom"/>
            <w:shd w:val="clear" w:color="auto" w:fill="CCEEFF"/>
          </w:tcPr>
          <w:p>
            <w:pPr>
              <w:spacing w:after="0"/>
              <w:rPr>
                <w:sz w:val="22"/>
                <w:szCs w:val="22"/>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CUX, Inc. (d/b/a CorpU)</w:t>
            </w:r>
          </w:p>
        </w:tc>
        <w:tc>
          <w:tcPr>
            <w:tcW w:w="120" w:type="dxa"/>
            <w:vAlign w:val="bottom"/>
            <w:shd w:val="clear" w:color="auto" w:fill="CCEEFF"/>
          </w:tcPr>
          <w:p>
            <w:pPr>
              <w:spacing w:after="0"/>
              <w:rPr>
                <w:sz w:val="22"/>
                <w:szCs w:val="22"/>
                <w:color w:val="auto"/>
              </w:rPr>
            </w:pPr>
          </w:p>
        </w:tc>
        <w:tc>
          <w:tcPr>
            <w:tcW w:w="2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(2,008,440)</w:t>
            </w:r>
          </w:p>
        </w:tc>
        <w:tc>
          <w:tcPr>
            <w:tcW w:w="0" w:type="dxa"/>
            <w:vAlign w:val="bottom"/>
          </w:tcPr>
          <w:p>
            <w:pPr>
              <w:spacing w:after="0"/>
              <w:rPr>
                <w:sz w:val="1"/>
                <w:szCs w:val="1"/>
                <w:color w:val="auto"/>
              </w:rPr>
            </w:pPr>
          </w:p>
        </w:tc>
      </w:tr>
      <w:tr>
        <w:trPr>
          <w:trHeight w:val="224"/>
        </w:trPr>
        <w:tc>
          <w:tcPr>
            <w:tcW w:w="3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40" w:type="dxa"/>
            <w:vAlign w:val="bottom"/>
            <w:gridSpan w:val="2"/>
          </w:tcPr>
          <w:p>
            <w:pPr>
              <w:spacing w:after="0"/>
              <w:rPr>
                <w:sz w:val="20"/>
                <w:szCs w:val="20"/>
                <w:color w:val="auto"/>
              </w:rPr>
            </w:pPr>
            <w:r>
              <w:rPr>
                <w:rFonts w:ascii="Arial" w:cs="Arial" w:eastAsia="Arial" w:hAnsi="Arial"/>
                <w:sz w:val="16"/>
                <w:szCs w:val="16"/>
                <w:color w:val="auto"/>
              </w:rPr>
              <w:t>Ozy Media, Inc.</w:t>
            </w:r>
          </w:p>
        </w:tc>
        <w:tc>
          <w:tcPr>
            <w:tcW w:w="120" w:type="dxa"/>
            <w:vAlign w:val="bottom"/>
          </w:tcPr>
          <w:p>
            <w:pPr>
              <w:spacing w:after="0"/>
              <w:rPr>
                <w:sz w:val="19"/>
                <w:szCs w:val="19"/>
                <w:color w:val="auto"/>
              </w:rPr>
            </w:pPr>
          </w:p>
        </w:tc>
        <w:tc>
          <w:tcPr>
            <w:tcW w:w="2180" w:type="dxa"/>
            <w:vAlign w:val="bottom"/>
          </w:tcPr>
          <w:p>
            <w:pPr>
              <w:jc w:val="right"/>
              <w:ind w:right="20"/>
              <w:spacing w:after="0"/>
              <w:rPr>
                <w:sz w:val="20"/>
                <w:szCs w:val="20"/>
                <w:color w:val="auto"/>
              </w:rPr>
            </w:pPr>
            <w:r>
              <w:rPr>
                <w:rFonts w:ascii="Arial" w:cs="Arial" w:eastAsia="Arial" w:hAnsi="Arial"/>
                <w:sz w:val="16"/>
                <w:szCs w:val="16"/>
                <w:color w:val="auto"/>
              </w:rPr>
              <w:t>(2,522,860)</w:t>
            </w:r>
          </w:p>
        </w:tc>
        <w:tc>
          <w:tcPr>
            <w:tcW w:w="0" w:type="dxa"/>
            <w:vAlign w:val="bottom"/>
          </w:tcPr>
          <w:p>
            <w:pPr>
              <w:spacing w:after="0"/>
              <w:rPr>
                <w:sz w:val="1"/>
                <w:szCs w:val="1"/>
                <w:color w:val="auto"/>
              </w:rPr>
            </w:pPr>
          </w:p>
        </w:tc>
      </w:tr>
      <w:tr>
        <w:trPr>
          <w:trHeight w:val="33"/>
        </w:trPr>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Palantir Technologies, Inc.</w:t>
            </w:r>
          </w:p>
        </w:tc>
        <w:tc>
          <w:tcPr>
            <w:tcW w:w="120" w:type="dxa"/>
            <w:vAlign w:val="bottom"/>
            <w:tcBorders>
              <w:bottom w:val="single" w:sz="8" w:color="CCEEFF"/>
            </w:tcBorders>
            <w:shd w:val="clear" w:color="auto" w:fill="CCEEFF"/>
          </w:tcPr>
          <w:p>
            <w:pPr>
              <w:spacing w:after="0"/>
              <w:rPr>
                <w:sz w:val="20"/>
                <w:szCs w:val="20"/>
                <w:color w:val="auto"/>
              </w:rPr>
            </w:pPr>
          </w:p>
        </w:tc>
        <w:tc>
          <w:tcPr>
            <w:tcW w:w="2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(3,395,100)</w:t>
            </w:r>
          </w:p>
        </w:tc>
        <w:tc>
          <w:tcPr>
            <w:tcW w:w="0" w:type="dxa"/>
            <w:vAlign w:val="bottom"/>
          </w:tcPr>
          <w:p>
            <w:pPr>
              <w:spacing w:after="0"/>
              <w:rPr>
                <w:sz w:val="1"/>
                <w:szCs w:val="1"/>
                <w:color w:val="auto"/>
              </w:rPr>
            </w:pPr>
          </w:p>
        </w:tc>
      </w:tr>
      <w:tr>
        <w:trPr>
          <w:trHeight w:val="223"/>
        </w:trPr>
        <w:tc>
          <w:tcPr>
            <w:tcW w:w="3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40" w:type="dxa"/>
            <w:vAlign w:val="bottom"/>
            <w:gridSpan w:val="2"/>
          </w:tcPr>
          <w:p>
            <w:pPr>
              <w:spacing w:after="0"/>
              <w:rPr>
                <w:sz w:val="20"/>
                <w:szCs w:val="20"/>
                <w:color w:val="auto"/>
              </w:rPr>
            </w:pPr>
            <w:r>
              <w:rPr>
                <w:rFonts w:ascii="Arial" w:cs="Arial" w:eastAsia="Arial" w:hAnsi="Arial"/>
                <w:sz w:val="16"/>
                <w:szCs w:val="16"/>
                <w:color w:val="auto"/>
              </w:rPr>
              <w:t>NestGSV, Inc. (d/b/a GSV Labs, Inc.)</w:t>
            </w:r>
          </w:p>
        </w:tc>
        <w:tc>
          <w:tcPr>
            <w:tcW w:w="120" w:type="dxa"/>
            <w:vAlign w:val="bottom"/>
          </w:tcPr>
          <w:p>
            <w:pPr>
              <w:spacing w:after="0"/>
              <w:rPr>
                <w:sz w:val="19"/>
                <w:szCs w:val="19"/>
                <w:color w:val="auto"/>
              </w:rPr>
            </w:pPr>
          </w:p>
        </w:tc>
        <w:tc>
          <w:tcPr>
            <w:tcW w:w="2180" w:type="dxa"/>
            <w:vAlign w:val="bottom"/>
          </w:tcPr>
          <w:p>
            <w:pPr>
              <w:jc w:val="right"/>
              <w:ind w:right="20"/>
              <w:spacing w:after="0"/>
              <w:rPr>
                <w:sz w:val="20"/>
                <w:szCs w:val="20"/>
                <w:color w:val="auto"/>
              </w:rPr>
            </w:pPr>
            <w:r>
              <w:rPr>
                <w:rFonts w:ascii="Arial" w:cs="Arial" w:eastAsia="Arial" w:hAnsi="Arial"/>
                <w:sz w:val="16"/>
                <w:szCs w:val="16"/>
                <w:color w:val="auto"/>
              </w:rPr>
              <w:t>(3,870,964)</w:t>
            </w:r>
          </w:p>
        </w:tc>
        <w:tc>
          <w:tcPr>
            <w:tcW w:w="0" w:type="dxa"/>
            <w:vAlign w:val="bottom"/>
          </w:tcPr>
          <w:p>
            <w:pPr>
              <w:spacing w:after="0"/>
              <w:rPr>
                <w:sz w:val="1"/>
                <w:szCs w:val="1"/>
                <w:color w:val="auto"/>
              </w:rPr>
            </w:pPr>
          </w:p>
        </w:tc>
      </w:tr>
      <w:tr>
        <w:trPr>
          <w:trHeight w:val="33"/>
        </w:trPr>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StormWind, LLC</w:t>
            </w:r>
          </w:p>
        </w:tc>
        <w:tc>
          <w:tcPr>
            <w:tcW w:w="120" w:type="dxa"/>
            <w:vAlign w:val="bottom"/>
            <w:tcBorders>
              <w:bottom w:val="single" w:sz="8" w:color="CCEEFF"/>
            </w:tcBorders>
            <w:shd w:val="clear" w:color="auto" w:fill="CCEEFF"/>
          </w:tcPr>
          <w:p>
            <w:pPr>
              <w:spacing w:after="0"/>
              <w:rPr>
                <w:sz w:val="20"/>
                <w:szCs w:val="20"/>
                <w:color w:val="auto"/>
              </w:rPr>
            </w:pPr>
          </w:p>
        </w:tc>
        <w:tc>
          <w:tcPr>
            <w:tcW w:w="2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(6,015,388)</w:t>
            </w:r>
          </w:p>
        </w:tc>
        <w:tc>
          <w:tcPr>
            <w:tcW w:w="0" w:type="dxa"/>
            <w:vAlign w:val="bottom"/>
          </w:tcPr>
          <w:p>
            <w:pPr>
              <w:spacing w:after="0"/>
              <w:rPr>
                <w:sz w:val="1"/>
                <w:szCs w:val="1"/>
                <w:color w:val="auto"/>
              </w:rPr>
            </w:pPr>
          </w:p>
        </w:tc>
      </w:tr>
      <w:tr>
        <w:trPr>
          <w:trHeight w:val="257"/>
        </w:trPr>
        <w:tc>
          <w:tcPr>
            <w:tcW w:w="3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40" w:type="dxa"/>
            <w:vAlign w:val="bottom"/>
            <w:gridSpan w:val="2"/>
          </w:tcPr>
          <w:p>
            <w:pPr>
              <w:spacing w:after="0"/>
              <w:rPr>
                <w:sz w:val="20"/>
                <w:szCs w:val="20"/>
                <w:color w:val="auto"/>
              </w:rPr>
            </w:pPr>
            <w:r>
              <w:rPr>
                <w:rFonts w:ascii="Arial" w:cs="Arial" w:eastAsia="Arial" w:hAnsi="Arial"/>
                <w:sz w:val="16"/>
                <w:szCs w:val="16"/>
                <w:color w:val="auto"/>
              </w:rPr>
              <w:t>Spotify Technology S.A.</w:t>
            </w:r>
            <w:r>
              <w:rPr>
                <w:rFonts w:ascii="Arial" w:cs="Arial" w:eastAsia="Arial" w:hAnsi="Arial"/>
                <w:sz w:val="21"/>
                <w:szCs w:val="21"/>
                <w:color w:val="auto"/>
                <w:vertAlign w:val="superscript"/>
              </w:rPr>
              <w:t>(2)</w:t>
            </w:r>
          </w:p>
        </w:tc>
        <w:tc>
          <w:tcPr>
            <w:tcW w:w="120" w:type="dxa"/>
            <w:vAlign w:val="bottom"/>
          </w:tcPr>
          <w:p>
            <w:pPr>
              <w:spacing w:after="0"/>
              <w:rPr>
                <w:sz w:val="22"/>
                <w:szCs w:val="22"/>
                <w:color w:val="auto"/>
              </w:rPr>
            </w:pPr>
          </w:p>
        </w:tc>
        <w:tc>
          <w:tcPr>
            <w:tcW w:w="2180" w:type="dxa"/>
            <w:vAlign w:val="bottom"/>
          </w:tcPr>
          <w:p>
            <w:pPr>
              <w:jc w:val="right"/>
              <w:ind w:right="20"/>
              <w:spacing w:after="0"/>
              <w:rPr>
                <w:sz w:val="20"/>
                <w:szCs w:val="20"/>
                <w:color w:val="auto"/>
              </w:rPr>
            </w:pPr>
            <w:r>
              <w:rPr>
                <w:rFonts w:ascii="Arial" w:cs="Arial" w:eastAsia="Arial" w:hAnsi="Arial"/>
                <w:sz w:val="16"/>
                <w:szCs w:val="16"/>
                <w:color w:val="auto"/>
              </w:rPr>
              <w:t>(16,711,276)</w:t>
            </w:r>
          </w:p>
        </w:tc>
        <w:tc>
          <w:tcPr>
            <w:tcW w:w="0" w:type="dxa"/>
            <w:vAlign w:val="bottom"/>
          </w:tcPr>
          <w:p>
            <w:pPr>
              <w:spacing w:after="0"/>
              <w:rPr>
                <w:sz w:val="1"/>
                <w:szCs w:val="1"/>
                <w:color w:val="auto"/>
              </w:rPr>
            </w:pPr>
          </w:p>
        </w:tc>
      </w:tr>
      <w:tr>
        <w:trPr>
          <w:trHeight w:val="257"/>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(3)</w:t>
            </w:r>
          </w:p>
        </w:tc>
        <w:tc>
          <w:tcPr>
            <w:tcW w:w="140" w:type="dxa"/>
            <w:vAlign w:val="bottom"/>
            <w:tcBorders>
              <w:bottom w:val="single" w:sz="8" w:color="auto"/>
            </w:tcBorders>
            <w:shd w:val="clear" w:color="auto" w:fill="CCEEFF"/>
          </w:tcPr>
          <w:p>
            <w:pPr>
              <w:spacing w:after="0"/>
              <w:rPr>
                <w:sz w:val="22"/>
                <w:szCs w:val="22"/>
                <w:color w:val="auto"/>
              </w:rPr>
            </w:pPr>
          </w:p>
        </w:tc>
        <w:tc>
          <w:tcPr>
            <w:tcW w:w="2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(427,985)</w:t>
            </w:r>
          </w:p>
        </w:tc>
        <w:tc>
          <w:tcPr>
            <w:tcW w:w="120" w:type="dxa"/>
            <w:vAlign w:val="bottom"/>
            <w:shd w:val="clear" w:color="auto" w:fill="CCEEFF"/>
          </w:tcPr>
          <w:p>
            <w:pPr>
              <w:spacing w:after="0"/>
              <w:rPr>
                <w:sz w:val="22"/>
                <w:szCs w:val="22"/>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(3)</w:t>
            </w:r>
          </w:p>
        </w:tc>
        <w:tc>
          <w:tcPr>
            <w:tcW w:w="120" w:type="dxa"/>
            <w:vAlign w:val="bottom"/>
            <w:tcBorders>
              <w:bottom w:val="single" w:sz="8" w:color="auto"/>
            </w:tcBorders>
            <w:shd w:val="clear" w:color="auto" w:fill="CCEEFF"/>
          </w:tcPr>
          <w:p>
            <w:pPr>
              <w:spacing w:after="0"/>
              <w:rPr>
                <w:sz w:val="22"/>
                <w:szCs w:val="22"/>
                <w:color w:val="auto"/>
              </w:rPr>
            </w:pPr>
          </w:p>
        </w:tc>
        <w:tc>
          <w:tcPr>
            <w:tcW w:w="21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485,509</w:t>
            </w:r>
          </w:p>
        </w:tc>
        <w:tc>
          <w:tcPr>
            <w:tcW w:w="0" w:type="dxa"/>
            <w:vAlign w:val="bottom"/>
          </w:tcPr>
          <w:p>
            <w:pPr>
              <w:spacing w:after="0"/>
              <w:rPr>
                <w:sz w:val="1"/>
                <w:szCs w:val="1"/>
                <w:color w:val="auto"/>
              </w:rPr>
            </w:pPr>
          </w:p>
        </w:tc>
      </w:tr>
      <w:tr>
        <w:trPr>
          <w:trHeight w:val="244"/>
        </w:trPr>
        <w:tc>
          <w:tcPr>
            <w:tcW w:w="328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2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(1,143,739)</w:t>
            </w:r>
          </w:p>
        </w:tc>
        <w:tc>
          <w:tcPr>
            <w:tcW w:w="120" w:type="dxa"/>
            <w:vAlign w:val="bottom"/>
          </w:tcPr>
          <w:p>
            <w:pPr>
              <w:spacing w:after="0"/>
              <w:rPr>
                <w:sz w:val="21"/>
                <w:szCs w:val="21"/>
                <w:color w:val="auto"/>
              </w:rPr>
            </w:pPr>
          </w:p>
        </w:tc>
        <w:tc>
          <w:tcPr>
            <w:tcW w:w="3240" w:type="dxa"/>
            <w:vAlign w:val="bottom"/>
            <w:gridSpan w:val="2"/>
          </w:tcPr>
          <w:p>
            <w:pPr>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2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8,259,431</w:t>
            </w:r>
          </w:p>
        </w:tc>
        <w:tc>
          <w:tcPr>
            <w:tcW w:w="0" w:type="dxa"/>
            <w:vAlign w:val="bottom"/>
          </w:tcPr>
          <w:p>
            <w:pPr>
              <w:spacing w:after="0"/>
              <w:rPr>
                <w:sz w:val="1"/>
                <w:szCs w:val="1"/>
                <w:color w:val="auto"/>
              </w:rPr>
            </w:pPr>
          </w:p>
        </w:tc>
      </w:tr>
      <w:tr>
        <w:trPr>
          <w:trHeight w:val="27"/>
        </w:trPr>
        <w:tc>
          <w:tcPr>
            <w:tcW w:w="3180" w:type="dxa"/>
            <w:vAlign w:val="bottom"/>
            <w:vMerge w:val="restart"/>
          </w:tcPr>
          <w:p>
            <w:pPr>
              <w:spacing w:after="0"/>
              <w:rPr>
                <w:sz w:val="20"/>
                <w:szCs w:val="20"/>
                <w:color w:val="auto"/>
              </w:rPr>
            </w:pPr>
            <w:r>
              <w:rPr>
                <w:rFonts w:ascii="Arial" w:cs="Arial" w:eastAsia="Arial" w:hAnsi="Arial"/>
                <w:sz w:val="14"/>
                <w:szCs w:val="14"/>
                <w:color w:val="auto"/>
              </w:rPr>
              <w:t>_____________________</w:t>
            </w:r>
          </w:p>
        </w:tc>
        <w:tc>
          <w:tcPr>
            <w:tcW w:w="100" w:type="dxa"/>
            <w:vAlign w:val="bottom"/>
            <w:vMerge w:val="restart"/>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31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80" w:hanging="472"/>
        <w:spacing w:after="0"/>
        <w:tabs>
          <w:tab w:leader="none" w:pos="4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change in unrealized appreciation/depreciation reflected for these investments resulted from writing off an investment that was previously reduced in value to zero.</w:t>
      </w:r>
    </w:p>
    <w:p>
      <w:pPr>
        <w:spacing w:after="0" w:line="1" w:lineRule="exact"/>
        <w:rPr>
          <w:rFonts w:ascii="Arial" w:cs="Arial" w:eastAsia="Arial" w:hAnsi="Arial"/>
          <w:sz w:val="14"/>
          <w:szCs w:val="14"/>
          <w:color w:val="auto"/>
        </w:rPr>
      </w:pPr>
    </w:p>
    <w:p>
      <w:pPr>
        <w:ind w:left="500" w:hanging="492"/>
        <w:spacing w:after="0" w:line="241" w:lineRule="auto"/>
        <w:tabs>
          <w:tab w:leader="none" w:pos="492"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change in unrealized appreciation/(depreciation) reflected for these investments resulted from the full or partial sale or write-off of the investment, which resulted in the reversal of previously accrued unrealized appreciation/(depreciation), as applicable.</w:t>
      </w:r>
    </w:p>
    <w:p>
      <w:pPr>
        <w:ind w:left="500" w:hanging="492"/>
        <w:spacing w:after="0" w:line="255" w:lineRule="auto"/>
        <w:tabs>
          <w:tab w:leader="none" w:pos="492" w:val="left"/>
        </w:tabs>
        <w:numPr>
          <w:ilvl w:val="0"/>
          <w:numId w:val="40"/>
        </w:numPr>
        <w:rPr>
          <w:rFonts w:ascii="Arial" w:cs="Arial" w:eastAsia="Arial" w:hAnsi="Arial"/>
          <w:sz w:val="14"/>
          <w:szCs w:val="14"/>
          <w:color w:val="auto"/>
        </w:rPr>
      </w:pPr>
      <w:r>
        <w:rPr>
          <w:rFonts w:ascii="Arial" w:cs="Arial" w:eastAsia="Arial" w:hAnsi="Arial"/>
          <w:sz w:val="14"/>
          <w:szCs w:val="14"/>
          <w:color w:val="auto"/>
        </w:rPr>
        <w:t>“Other” represents investments (including U.S. Treasury bills) for which individual change in unrealized appreciation/(depreciation) was less than $1.0 million for the six months ended June 30, 2020 and 2019.</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Activity</w:t>
      </w:r>
    </w:p>
    <w:p>
      <w:pPr>
        <w:spacing w:after="0" w:line="252" w:lineRule="exact"/>
        <w:rPr>
          <w:sz w:val="20"/>
          <w:szCs w:val="20"/>
          <w:color w:val="auto"/>
        </w:rPr>
      </w:pPr>
    </w:p>
    <w:p>
      <w:pPr>
        <w:jc w:val="both"/>
        <w:ind w:firstLine="364"/>
        <w:spacing w:after="0" w:line="277" w:lineRule="auto"/>
        <w:rPr>
          <w:sz w:val="20"/>
          <w:szCs w:val="20"/>
          <w:color w:val="auto"/>
        </w:rPr>
      </w:pPr>
      <w:r>
        <w:rPr>
          <w:rFonts w:ascii="Arial" w:cs="Arial" w:eastAsia="Arial" w:hAnsi="Arial"/>
          <w:sz w:val="18"/>
          <w:szCs w:val="18"/>
          <w:color w:val="auto"/>
        </w:rPr>
        <w:t>Please refer to “Note 12—Subsequent Events” to our condensed consolidated financial statements as of June 30, 2020 for details regarding activity in our investment portfolio from July 1, 2020 through August 6, 2020.</w:t>
      </w:r>
    </w:p>
    <w:p>
      <w:pPr>
        <w:spacing w:after="0" w:line="197"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As the COVID-19 situation continues to evolve, we are maintaining close communications with our portfolio companies to proactively assess and manage potential risks across our investment portfolio.</w:t>
      </w:r>
    </w:p>
    <w:p>
      <w:pPr>
        <w:spacing w:after="0" w:line="197" w:lineRule="exact"/>
        <w:rPr>
          <w:sz w:val="20"/>
          <w:szCs w:val="20"/>
          <w:color w:val="auto"/>
        </w:rPr>
      </w:pPr>
    </w:p>
    <w:p>
      <w:pPr>
        <w:jc w:val="both"/>
        <w:ind w:firstLine="364"/>
        <w:spacing w:after="0" w:line="275" w:lineRule="auto"/>
        <w:rPr>
          <w:sz w:val="20"/>
          <w:szCs w:val="20"/>
          <w:color w:val="auto"/>
        </w:rPr>
      </w:pPr>
      <w:r>
        <w:rPr>
          <w:rFonts w:ascii="Arial" w:cs="Arial" w:eastAsia="Arial" w:hAnsi="Arial"/>
          <w:sz w:val="17"/>
          <w:szCs w:val="17"/>
          <w:color w:val="auto"/>
        </w:rPr>
        <w:t>We are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us. Equity investments made through the secondary market may involve making deposits in escrow accounts until the applicable closing conditions are satisfied, at which time the escrow accounts will close and such equity investments will be effectuated.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July 29, 2020, the Company’s Board of Directors declared a dividend of $0.15 per share payable on August 25, 2020 to stockholders of record as of the close of business on August 11, 2020. The dividend will be paid in cash.</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22" w:right="339" w:bottom="1440" w:gutter="0" w:footer="0" w:header="0"/>
        </w:sectPr>
      </w:pPr>
    </w:p>
    <w:bookmarkStart w:id="64" w:name="page65"/>
    <w:bookmarkEnd w:id="64"/>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4.75% Convertible Senior Notes due 2023</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From July 1, 2020 through August 6, 2020, the Company issued 169,442 shares of its common stock upon the conversion of $1,730,000 in aggregate principal amount of the 4.75% Convertible Senior Notes due 2023.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w:t>
      </w:r>
    </w:p>
    <w:p>
      <w:pPr>
        <w:spacing w:after="0" w:line="25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On July 29, 2020, the Company entered into an At-the-Market Sales Agreement, dated July 29, 2020 (the “Sales Agreement”), with BTIG, LLC, JMP Securities LLC and Ladenburg Thalmann &amp; Co., Inc. (collectively, the “Agents”). Under the Sales Agreement, the Company may, but has no obligation to, issue and sell up to $50,000,000 in aggregate amount of shares of its common stock (the “Shares”) from time to time through the Agents or to them as principal for their own account. The Company intends to use the net proceeds from this “at-the-market” offering to make investments in portfolio companies in accordance with its investment objective and strategy and for general corporate purposes.</w:t>
      </w:r>
    </w:p>
    <w:p>
      <w:pPr>
        <w:spacing w:after="0" w:line="20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Sales of the Shares, if any, will be made pursuant to the prospectus supplement, dated July 29, 2020 (the “Prospectus Supplement”), as may be supplemented from time to time, and the base prospectus, dated July 27, 2020, by any method that is deemed to be an “at-the-market” offering as defined in Rule 415 under the Securities Act of 1933, as amended, including sales made directly on the Nasdaq Capital Market or sales made to or through a market maker other than on an exchange, at market prices prevailing at the time of sale, at prices related to prevailing market prices or at other negotiated prices. Actual sales in this “at-the-market” offering will depend on a variety of factors to be determined by the Company from time to time.</w:t>
      </w:r>
    </w:p>
    <w:p>
      <w:pPr>
        <w:spacing w:after="0" w:line="18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Agents will receive a commission from the Company equal to up to 2.0% of the gross sales price of any Shares sold through the Agents under the Sales Agreement and reimbursement of certain expenses. The Sales Agreement contains customary representations, warranties and agreements of the Company, conditions to closing, indemnification rights and obligations of the parties and termination provisions.</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From July 29, 2020 through August 6, 2020, the Company issued and sold 305,469 Shares under this “at-the-market” offering for gross proceeds of approximately $3,937,500 million and net proceeds of approximately $3,858,750 million, after deducting commissions to the Agents on the Shares sold and offering expenses. As a result, as of August 6, 2020, up to approximately $46.1 million in aggregate amount of the Shares remain available for sale under this “at-the-market” offering.</w:t>
      </w:r>
    </w:p>
    <w:p>
      <w:pPr>
        <w:spacing w:after="0" w:line="21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Further details regarding the Sales Agreement and the “at-the-market” offering are set forth in the Prospectus Supplement filed with the SEC on July 30, 2020. The foregoing description of the Sales Agreement is not complete and is qualified in its entirety by reference to the full text of the Sales Agreement, a copy of which is attached as Exhibit 10.1 to the Company’s Current Report on Form 8-K filed with the SEC on August 3, 2020.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5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Company has been closely monitoring the COVID-19 pandemic, its broader impact on the global economy and the more recent impacts on the U.S. economy. Subsequent to June 30, 2020, the global outbreak of the COVID-19 pandemic, and the related effect on the U.S. and global economies, may have adverse consequences for the business operations of some of the Company’s portfolio companies and, as a result, may have adverse effects on the Company’s operations. The ultimate economic fallout from the pandemic, and the long-term impact on economies, markets, industries and individual issuers, remain uncertain. The operational and financial performance of the issuers of securities in which the Company invests depends on future developments, including the duration and spread of the outbreak, and such uncertainty may in turn adversely affect the value and liquidity of the Company’s investments and negatively impact the Company’s performance.</w:t>
      </w:r>
    </w:p>
    <w:p>
      <w:pPr>
        <w:spacing w:after="0" w:line="204"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As of August 6, 2020, there is no indication of a reportable subsequent event impacting the Company’s financial statements for the three months ended June 30, 2020. The Company continues to observe and respond to the evolving COVID-19 environment and its potential impact on areas across its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ind w:firstLine="364"/>
        <w:spacing w:after="0" w:line="279" w:lineRule="auto"/>
        <w:rPr>
          <w:sz w:val="20"/>
          <w:szCs w:val="20"/>
          <w:color w:val="auto"/>
        </w:rPr>
      </w:pPr>
      <w:r>
        <w:rPr>
          <w:rFonts w:ascii="Arial" w:cs="Arial" w:eastAsia="Arial" w:hAnsi="Arial"/>
          <w:sz w:val="17"/>
          <w:szCs w:val="17"/>
          <w:color w:val="auto"/>
        </w:rPr>
        <w:t>Our liquidity and capital resources are generated primarily from the sales of our investments. Our $12.0 million Credit Facility. matured and expired on May 31, 2019 and no amounts were outstanding under the Credit Facility as of such date. See "Note 10 - Debt Capital Activities." In addition, on March 28, 2018, we issued $40.0 million aggregate principal amount of 4.75% Convertible Senior Notes due 2023, as discussed further below and in “Note 10— Debt Capital Activities” to our condensed consolidated financial statements as of June 30, 2020.</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22" w:right="339" w:bottom="1440" w:gutter="0" w:footer="0" w:header="0"/>
        </w:sectPr>
      </w:pPr>
    </w:p>
    <w:bookmarkStart w:id="65" w:name="page66"/>
    <w:bookmarkEnd w:id="65"/>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364"/>
        <w:spacing w:after="0" w:line="308" w:lineRule="auto"/>
        <w:rPr>
          <w:sz w:val="20"/>
          <w:szCs w:val="20"/>
          <w:color w:val="auto"/>
        </w:rPr>
      </w:pPr>
      <w:r>
        <w:rPr>
          <w:rFonts w:ascii="Arial" w:cs="Arial" w:eastAsia="Arial" w:hAnsi="Arial"/>
          <w:sz w:val="17"/>
          <w:szCs w:val="17"/>
          <w:color w:val="auto"/>
        </w:rPr>
        <w:t>Our primary uses of cash are to make investments, pay our operating expenses, and make distributions to our stockholders. For the six months ended June 30, 2020, our operating expenses were $8,165,218. For the six months ended June 30, 2019, our operating expenses were $2,900,731.</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Cash Reserves and Liquid Securities</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December 31, 2019</w:t>
            </w:r>
          </w:p>
        </w:tc>
      </w:tr>
      <w:tr>
        <w:trPr>
          <w:trHeight w:val="236"/>
        </w:trPr>
        <w:tc>
          <w:tcPr>
            <w:tcW w:w="7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23,285,073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44,861,263</w:t>
            </w:r>
          </w:p>
        </w:tc>
      </w:tr>
      <w:tr>
        <w:trPr>
          <w:trHeight w:val="224"/>
        </w:trPr>
        <w:tc>
          <w:tcPr>
            <w:tcW w:w="7360" w:type="dxa"/>
            <w:vAlign w:val="bottom"/>
            <w:gridSpan w:val="2"/>
          </w:tcPr>
          <w:p>
            <w:pPr>
              <w:ind w:left="20"/>
              <w:spacing w:after="0"/>
              <w:rPr>
                <w:sz w:val="20"/>
                <w:szCs w:val="20"/>
                <w:color w:val="auto"/>
              </w:rPr>
            </w:pPr>
            <w:r>
              <w:rPr>
                <w:rFonts w:ascii="Arial" w:cs="Arial" w:eastAsia="Arial" w:hAnsi="Arial"/>
                <w:sz w:val="16"/>
                <w:szCs w:val="16"/>
                <w:color w:val="auto"/>
              </w:rPr>
              <w:t>Securities of publicly traded portfolio companies</w:t>
            </w:r>
          </w:p>
        </w:tc>
        <w:tc>
          <w:tcPr>
            <w:tcW w:w="300" w:type="dxa"/>
            <w:vAlign w:val="bottom"/>
          </w:tcPr>
          <w:p>
            <w:pPr>
              <w:spacing w:after="0"/>
              <w:rPr>
                <w:sz w:val="19"/>
                <w:szCs w:val="19"/>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660" w:type="dxa"/>
            <w:vAlign w:val="bottom"/>
          </w:tcPr>
          <w:p>
            <w:pPr>
              <w:jc w:val="right"/>
              <w:ind w:right="61"/>
              <w:spacing w:after="0"/>
              <w:rPr>
                <w:sz w:val="20"/>
                <w:szCs w:val="20"/>
                <w:color w:val="auto"/>
              </w:rPr>
            </w:pPr>
            <w:r>
              <w:rPr>
                <w:rFonts w:ascii="Arial" w:cs="Arial" w:eastAsia="Arial" w:hAnsi="Arial"/>
                <w:sz w:val="16"/>
                <w:szCs w:val="16"/>
                <w:color w:val="auto"/>
              </w:rPr>
              <w:t>—</w:t>
            </w:r>
          </w:p>
        </w:tc>
      </w:tr>
      <w:tr>
        <w:trPr>
          <w:trHeight w:val="33"/>
        </w:trPr>
        <w:tc>
          <w:tcPr>
            <w:tcW w:w="7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72"/>
        </w:trPr>
        <w:tc>
          <w:tcPr>
            <w:tcW w:w="7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Cash Reserves and Liquid Securities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23,285,073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44,861,263</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-368300</wp:posOffset>
            </wp:positionV>
            <wp:extent cx="459486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594860" cy="171450"/>
                    </a:xfrm>
                    <a:prstGeom prst="rect">
                      <a:avLst/>
                    </a:prstGeom>
                    <a:noFill/>
                  </pic:spPr>
                </pic:pic>
              </a:graphicData>
            </a:graphic>
          </wp:anchor>
        </w:drawing>
      </w:r>
    </w:p>
    <w:p>
      <w:pPr>
        <w:spacing w:after="0" w:line="303"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During the six months ended June 30, 2020, cash decreased to $23,285,073 from $44,861,263 at the beginning of the year. The decrease in cash was primarily due to cash used to purchase investments, pay dividends, repurchase our common stock under the Share Repurchase Program, make interest payments related to our 4.75% Convertible Senior Notes due 2023, and pay operating expenses offset by proceeds from the sale of our investment in Parchment Inc. and other escrow receipts.</w:t>
      </w:r>
    </w:p>
    <w:p>
      <w:pPr>
        <w:spacing w:after="0" w:line="2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Currently, we believe we have ample liquidity to support our near-term capital requirements. As the impact of the COVID-19 continues to unfold and consistent with past and current practices, we will continue to evaluate our overall liquidity position and take proactive steps to maintain the appropriate liquidity position based upon the current circumstances.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our significant contractual payment obligations as of June 30, 2020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34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6"/>
                <w:szCs w:val="16"/>
                <w:b w:val="1"/>
                <w:bCs w:val="1"/>
                <w:color w:val="auto"/>
                <w:w w:val="91"/>
              </w:rPr>
              <w:t xml:space="preserve">Payments Due By Period </w:t>
            </w:r>
            <w:r>
              <w:rPr>
                <w:rFonts w:ascii="Arial" w:cs="Arial" w:eastAsia="Arial" w:hAnsi="Arial"/>
                <w:sz w:val="16"/>
                <w:szCs w:val="16"/>
                <w:b w:val="1"/>
                <w:bCs w:val="1"/>
                <w:i w:val="1"/>
                <w:iCs w:val="1"/>
                <w:color w:val="auto"/>
                <w:w w:val="91"/>
              </w:rPr>
              <w:t>( in millions)</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2"/>
        </w:trPr>
        <w:tc>
          <w:tcPr>
            <w:tcW w:w="3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Less than</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6"/>
                <w:szCs w:val="16"/>
                <w:b w:val="1"/>
                <w:bCs w:val="1"/>
                <w:color w:val="auto"/>
              </w:rPr>
              <w:t>More than</w:t>
            </w:r>
          </w:p>
        </w:tc>
      </w:tr>
      <w:tr>
        <w:trPr>
          <w:trHeight w:val="210"/>
        </w:trPr>
        <w:tc>
          <w:tcPr>
            <w:tcW w:w="36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Total</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5"/>
              </w:rPr>
              <w:t>1 year</w:t>
            </w:r>
          </w:p>
        </w:tc>
        <w:tc>
          <w:tcPr>
            <w:tcW w:w="24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1–3 years</w:t>
            </w:r>
          </w:p>
        </w:tc>
        <w:tc>
          <w:tcPr>
            <w:tcW w:w="24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3–5 years</w:t>
            </w:r>
          </w:p>
        </w:tc>
        <w:tc>
          <w:tcPr>
            <w:tcW w:w="220" w:type="dxa"/>
            <w:vAlign w:val="bottom"/>
          </w:tcPr>
          <w:p>
            <w:pPr>
              <w:spacing w:after="0"/>
              <w:rPr>
                <w:sz w:val="18"/>
                <w:szCs w:val="18"/>
                <w:color w:val="auto"/>
              </w:rPr>
            </w:pPr>
          </w:p>
        </w:tc>
        <w:tc>
          <w:tcPr>
            <w:tcW w:w="1220" w:type="dxa"/>
            <w:vAlign w:val="bottom"/>
          </w:tcPr>
          <w:p>
            <w:pPr>
              <w:ind w:left="260"/>
              <w:spacing w:after="0"/>
              <w:rPr>
                <w:sz w:val="20"/>
                <w:szCs w:val="20"/>
                <w:color w:val="auto"/>
              </w:rPr>
            </w:pPr>
            <w:r>
              <w:rPr>
                <w:rFonts w:ascii="Arial" w:cs="Arial" w:eastAsia="Arial" w:hAnsi="Arial"/>
                <w:sz w:val="16"/>
                <w:szCs w:val="16"/>
                <w:b w:val="1"/>
                <w:bCs w:val="1"/>
                <w:color w:val="auto"/>
              </w:rPr>
              <w:t>5 years</w:t>
            </w:r>
          </w:p>
        </w:tc>
      </w:tr>
      <w:tr>
        <w:trPr>
          <w:trHeight w:val="33"/>
        </w:trPr>
        <w:tc>
          <w:tcPr>
            <w:tcW w:w="36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Payable for securities purchased</w:t>
            </w:r>
            <w:r>
              <w:rPr>
                <w:rFonts w:ascii="Arial" w:cs="Arial" w:eastAsia="Arial" w:hAnsi="Arial"/>
                <w:sz w:val="21"/>
                <w:szCs w:val="21"/>
                <w:color w:val="auto"/>
                <w:vertAlign w:val="superscript"/>
              </w:rPr>
              <w:t>(1)</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89.5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89.5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ind w:left="900"/>
              <w:spacing w:after="0"/>
              <w:rPr>
                <w:sz w:val="20"/>
                <w:szCs w:val="20"/>
                <w:color w:val="auto"/>
              </w:rPr>
            </w:pPr>
            <w:r>
              <w:rPr>
                <w:rFonts w:ascii="Arial" w:cs="Arial" w:eastAsia="Arial" w:hAnsi="Arial"/>
                <w:sz w:val="16"/>
                <w:szCs w:val="16"/>
                <w:color w:val="auto"/>
              </w:rPr>
              <w:t>—</w:t>
            </w:r>
          </w:p>
        </w:tc>
      </w:tr>
      <w:tr>
        <w:trPr>
          <w:trHeight w:val="257"/>
        </w:trPr>
        <w:tc>
          <w:tcPr>
            <w:tcW w:w="3660" w:type="dxa"/>
            <w:vAlign w:val="bottom"/>
          </w:tcPr>
          <w:p>
            <w:pPr>
              <w:ind w:left="20"/>
              <w:spacing w:after="0"/>
              <w:rPr>
                <w:sz w:val="20"/>
                <w:szCs w:val="20"/>
                <w:color w:val="auto"/>
              </w:rPr>
            </w:pPr>
            <w:r>
              <w:rPr>
                <w:rFonts w:ascii="Arial" w:cs="Arial" w:eastAsia="Arial" w:hAnsi="Arial"/>
                <w:sz w:val="16"/>
                <w:szCs w:val="16"/>
                <w:color w:val="auto"/>
              </w:rPr>
              <w:t>Convertible Senior Notes</w:t>
            </w:r>
            <w:r>
              <w:rPr>
                <w:rFonts w:ascii="Arial" w:cs="Arial" w:eastAsia="Arial" w:hAnsi="Arial"/>
                <w:sz w:val="21"/>
                <w:szCs w:val="21"/>
                <w:color w:val="auto"/>
                <w:vertAlign w:val="superscript"/>
              </w:rPr>
              <w:t>(2)</w:t>
            </w:r>
          </w:p>
        </w:tc>
        <w:tc>
          <w:tcPr>
            <w:tcW w:w="900" w:type="dxa"/>
            <w:vAlign w:val="bottom"/>
          </w:tcPr>
          <w:p>
            <w:pPr>
              <w:spacing w:after="0"/>
              <w:rPr>
                <w:sz w:val="22"/>
                <w:szCs w:val="22"/>
                <w:color w:val="auto"/>
              </w:rPr>
            </w:pPr>
          </w:p>
        </w:tc>
        <w:tc>
          <w:tcPr>
            <w:tcW w:w="520" w:type="dxa"/>
            <w:vAlign w:val="bottom"/>
          </w:tcPr>
          <w:p>
            <w:pPr>
              <w:jc w:val="right"/>
              <w:ind w:right="59"/>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220" w:type="dxa"/>
            <w:vAlign w:val="bottom"/>
          </w:tcPr>
          <w:p>
            <w:pPr>
              <w:ind w:left="900"/>
              <w:spacing w:after="0"/>
              <w:rPr>
                <w:sz w:val="20"/>
                <w:szCs w:val="20"/>
                <w:color w:val="auto"/>
              </w:rPr>
            </w:pPr>
            <w:r>
              <w:rPr>
                <w:rFonts w:ascii="Arial" w:cs="Arial" w:eastAsia="Arial" w:hAnsi="Arial"/>
                <w:sz w:val="16"/>
                <w:szCs w:val="16"/>
                <w:color w:val="auto"/>
              </w:rPr>
              <w:t>—</w:t>
            </w:r>
          </w:p>
        </w:tc>
      </w:tr>
      <w:tr>
        <w:trPr>
          <w:trHeight w:val="257"/>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 liability</w:t>
            </w:r>
          </w:p>
        </w:tc>
        <w:tc>
          <w:tcPr>
            <w:tcW w:w="9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w:t>
            </w:r>
          </w:p>
        </w:tc>
      </w:tr>
      <w:tr>
        <w:trPr>
          <w:trHeight w:val="247"/>
        </w:trPr>
        <w:tc>
          <w:tcPr>
            <w:tcW w:w="366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90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130.3</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89.7</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40.4</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6"/>
                <w:szCs w:val="16"/>
                <w:color w:val="auto"/>
              </w:rPr>
              <w:t>—</w:t>
            </w:r>
          </w:p>
        </w:tc>
      </w:tr>
      <w:tr>
        <w:trPr>
          <w:trHeight w:val="24"/>
        </w:trPr>
        <w:tc>
          <w:tcPr>
            <w:tcW w:w="36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w:t>
      </w:r>
    </w:p>
    <w:p>
      <w:pPr>
        <w:spacing w:after="0" w:line="13" w:lineRule="exact"/>
        <w:rPr>
          <w:sz w:val="20"/>
          <w:szCs w:val="20"/>
          <w:color w:val="auto"/>
        </w:rPr>
      </w:pPr>
    </w:p>
    <w:p>
      <w:pPr>
        <w:ind w:left="500" w:hanging="492"/>
        <w:spacing w:after="0" w:line="260" w:lineRule="auto"/>
        <w:tabs>
          <w:tab w:leader="none" w:pos="492" w:val="left"/>
        </w:tabs>
        <w:numPr>
          <w:ilvl w:val="0"/>
          <w:numId w:val="41"/>
        </w:numPr>
        <w:rPr>
          <w:rFonts w:ascii="Arial" w:cs="Arial" w:eastAsia="Arial" w:hAnsi="Arial"/>
          <w:sz w:val="13"/>
          <w:szCs w:val="13"/>
          <w:color w:val="auto"/>
        </w:rPr>
      </w:pPr>
      <w:r>
        <w:rPr>
          <w:rFonts w:ascii="Arial" w:cs="Arial" w:eastAsia="Arial" w:hAnsi="Arial"/>
          <w:sz w:val="13"/>
          <w:szCs w:val="13"/>
          <w:color w:val="auto"/>
        </w:rPr>
        <w:t>“Payable for securities purchased” relates to the purchase of U.S. Treasury bills on margin and repurchase of our common stock under the Share Repurchase Program. This balance was subsequently repaid in early July 2020, when the $100.0 million United States Treasury bill matured and the $10.5 million margin deposit that we posted as collateral was returned.</w:t>
      </w:r>
    </w:p>
    <w:p>
      <w:pPr>
        <w:ind w:left="500" w:hanging="492"/>
        <w:spacing w:after="0" w:line="255" w:lineRule="auto"/>
        <w:tabs>
          <w:tab w:leader="none" w:pos="492"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balance shown for the "Convertible Senior Notes" reflects the principal balance payable to investors for the 4.75% Convertible Senior Notes due 2023 as of June 30, 2020. Refer to “Note 10—Debt Capital Activities” to our condensed consolidated financial statements as of June 30, 2020 for more information.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5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During the six months ended June 30, 2020, we repurchased 1,284,565 shares of our common stock pursuant to the Share Repurchase Program. As of June 30, 2020, the dollar value of shares that remained available to be purchased under the Share Repurchase Program was approximately $2.7 million.</w:t>
      </w:r>
    </w:p>
    <w:p>
      <w:pPr>
        <w:spacing w:after="0" w:line="15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Under the Share Repurchase Program, we may repurchase our outstanding common stock in the open market provided that we comply with the prohibitions under our insider trading policies and procedures and the applicable provisions of the 1940 Act and the Securities Exchange Act of 1934, as amended. For more information on the Share Repurchase Program, see " </w:t>
      </w:r>
      <w:r>
        <w:rPr>
          <w:rFonts w:ascii="Arial" w:cs="Arial" w:eastAsia="Arial" w:hAnsi="Arial"/>
          <w:sz w:val="16"/>
          <w:szCs w:val="16"/>
          <w:color w:val="auto"/>
        </w:rPr>
        <w:t>—</w:t>
      </w:r>
      <w:r>
        <w:rPr>
          <w:rFonts w:ascii="Arial" w:cs="Arial" w:eastAsia="Arial" w:hAnsi="Arial"/>
          <w:sz w:val="18"/>
          <w:szCs w:val="18"/>
          <w:color w:val="auto"/>
        </w:rPr>
        <w:t xml:space="preserve"> Recent Developments" and "Part II. Item 2. Unregistered Sales of Equity Securities and Use of Proceeds".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Modified Dutch Auction Tender Offer</w:t>
      </w:r>
    </w:p>
    <w:p>
      <w:pPr>
        <w:spacing w:after="0" w:line="25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On October 21, 2019, the Company commenced a modified “Dutch Auction” tender offer (the “Modified Dutch Auction Tender Offer”) to purchase for cash up to $10.0 million in shares of its common stock from its stockholders at a price per share of not less than $6.00 and not greater than $8.00 in $0.10 increments, using available cash. Upon expiration of the Modified Dutch Auction Tender Offer on November 20, 2019, the Company repurchased 1,449,275 shares, representing 7.6% of its outstanding shares, at a price of $6.90 per share on a pro rata basis, excluding fees and expenses relating to the self-tender offer. The Company has determined that the proration factor for the tender offer was 78.1%.</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240"/>
          </w:cols>
          <w:pgMar w:left="320" w:top="122" w:right="339" w:bottom="1440" w:gutter="0" w:footer="0" w:header="0"/>
          <w:type w:val="continuous"/>
        </w:sectPr>
      </w:pPr>
    </w:p>
    <w:bookmarkStart w:id="66" w:name="page67"/>
    <w:bookmarkEnd w:id="66"/>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 of June 30, 2020, we had no off-balance sheet arrangements, including any risk management of commodity pricing or other hedging practices.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However, we may employ hedging and other risk management techniques in the future.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Issuances &amp; Debt Capital Activities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made no sales of our equity securities during the six months ended June 30, 2020 or the year ended December 31, 2019. See "Recent Developments".</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4.75% Convertible Senior Notes due 2023</w:t>
      </w:r>
    </w:p>
    <w:p>
      <w:pPr>
        <w:spacing w:after="0" w:line="256" w:lineRule="exact"/>
        <w:rPr>
          <w:sz w:val="20"/>
          <w:szCs w:val="20"/>
          <w:color w:val="auto"/>
        </w:rPr>
      </w:pPr>
    </w:p>
    <w:p>
      <w:pPr>
        <w:jc w:val="both"/>
        <w:ind w:firstLine="364"/>
        <w:spacing w:after="0" w:line="257" w:lineRule="auto"/>
        <w:rPr>
          <w:sz w:val="20"/>
          <w:szCs w:val="20"/>
          <w:color w:val="auto"/>
        </w:rPr>
      </w:pPr>
      <w:r>
        <w:rPr>
          <w:rFonts w:ascii="Arial" w:cs="Arial" w:eastAsia="Arial" w:hAnsi="Arial"/>
          <w:sz w:val="18"/>
          <w:szCs w:val="18"/>
          <w:color w:val="auto"/>
        </w:rPr>
        <w:t>On March 28, 2018, we issued $40.0 million aggregate principal amount of 4.75% Convertible Senior Notes due 2023, which bear interest at a fixed rate of 4.75% per year, payable semi-annually in arrears on March 31 and September 30 of each year, commencing on September 30, 2018. We received $39.0 million in proceeds from the offering, net of underwriting discounts and commissions and other offering expenses. The 4.75% Convertible Senior Notes due 2023 mature on March 28, 2023, unless previously repurchased or converted in accordance with their terms. We do not have the right to redeem the 4.75% Convertible Senior Notes due 2023 prior to March 27, 2021.</w:t>
      </w:r>
    </w:p>
    <w:p>
      <w:pPr>
        <w:spacing w:after="0" w:line="21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Refer to “Note 10—Debt Capital Activities” to our condensed consolidated financial statements as of June 30, 2020 for more information regarding the 4.75% Convertible Senior Notes due 2023.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52" w:lineRule="exact"/>
        <w:rPr>
          <w:sz w:val="20"/>
          <w:szCs w:val="20"/>
          <w:color w:val="auto"/>
        </w:rPr>
      </w:pPr>
    </w:p>
    <w:p>
      <w:pPr>
        <w:jc w:val="both"/>
        <w:ind w:firstLine="364"/>
        <w:spacing w:after="0" w:line="263" w:lineRule="auto"/>
        <w:rPr>
          <w:sz w:val="20"/>
          <w:szCs w:val="20"/>
          <w:color w:val="auto"/>
        </w:rPr>
      </w:pPr>
      <w:r>
        <w:rPr>
          <w:rFonts w:ascii="Arial" w:cs="Arial" w:eastAsia="Arial" w:hAnsi="Arial"/>
          <w:sz w:val="18"/>
          <w:szCs w:val="18"/>
          <w:color w:val="auto"/>
        </w:rPr>
        <w:t>The timing and amount of our distributions, if any, will be determined by our Board of Directors and will be declared out of assets legally available for distribution. The following table lists the distributions, including dividends and returns of capital, if any, per share that we have declared since our formation through June 30, 2020. The table is divided by fiscal year according to record date: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20" w:type="dxa"/>
            <w:vAlign w:val="bottom"/>
            <w:gridSpan w:val="2"/>
          </w:tcPr>
          <w:p>
            <w:pPr>
              <w:ind w:left="20"/>
              <w:spacing w:after="0"/>
              <w:rPr>
                <w:sz w:val="20"/>
                <w:szCs w:val="20"/>
                <w:color w:val="auto"/>
              </w:rPr>
            </w:pPr>
            <w:r>
              <w:rPr>
                <w:rFonts w:ascii="Arial" w:cs="Arial" w:eastAsia="Arial" w:hAnsi="Arial"/>
                <w:sz w:val="16"/>
                <w:szCs w:val="16"/>
                <w:b w:val="1"/>
                <w:bCs w:val="1"/>
                <w:color w:val="auto"/>
              </w:rPr>
              <w:t>Date Declared</w:t>
            </w:r>
          </w:p>
        </w:tc>
        <w:tc>
          <w:tcPr>
            <w:tcW w:w="2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Record Date</w:t>
            </w:r>
          </w:p>
        </w:tc>
        <w:tc>
          <w:tcPr>
            <w:tcW w:w="2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Payment Date</w:t>
            </w:r>
          </w:p>
        </w:tc>
        <w:tc>
          <w:tcPr>
            <w:tcW w:w="180" w:type="dxa"/>
            <w:vAlign w:val="bottom"/>
          </w:tcPr>
          <w:p>
            <w:pPr>
              <w:spacing w:after="0"/>
              <w:rPr>
                <w:sz w:val="18"/>
                <w:szCs w:val="18"/>
                <w:color w:val="auto"/>
              </w:rPr>
            </w:pPr>
          </w:p>
        </w:tc>
        <w:tc>
          <w:tcPr>
            <w:tcW w:w="1600" w:type="dxa"/>
            <w:vAlign w:val="bottom"/>
          </w:tcPr>
          <w:p>
            <w:pPr>
              <w:jc w:val="right"/>
              <w:ind w:right="159"/>
              <w:spacing w:after="0"/>
              <w:rPr>
                <w:sz w:val="20"/>
                <w:szCs w:val="20"/>
                <w:color w:val="auto"/>
              </w:rPr>
            </w:pPr>
            <w:r>
              <w:rPr>
                <w:rFonts w:ascii="Arial" w:cs="Arial" w:eastAsia="Arial" w:hAnsi="Arial"/>
                <w:sz w:val="16"/>
                <w:szCs w:val="16"/>
                <w:b w:val="1"/>
                <w:bCs w:val="1"/>
                <w:color w:val="auto"/>
                <w:w w:val="96"/>
              </w:rPr>
              <w:t>Amount per Share</w:t>
            </w:r>
          </w:p>
        </w:tc>
      </w:tr>
      <w:tr>
        <w:trPr>
          <w:trHeight w:val="33"/>
        </w:trPr>
        <w:tc>
          <w:tcPr>
            <w:tcW w:w="4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0"/>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Fiscal 2015:</w:t>
            </w:r>
          </w:p>
        </w:tc>
        <w:tc>
          <w:tcPr>
            <w:tcW w:w="2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r>
      <w:tr>
        <w:trPr>
          <w:trHeight w:val="257"/>
        </w:trPr>
        <w:tc>
          <w:tcPr>
            <w:tcW w:w="4820" w:type="dxa"/>
            <w:vAlign w:val="bottom"/>
            <w:gridSpan w:val="2"/>
          </w:tcPr>
          <w:p>
            <w:pPr>
              <w:ind w:left="180"/>
              <w:spacing w:after="0"/>
              <w:rPr>
                <w:sz w:val="20"/>
                <w:szCs w:val="20"/>
                <w:color w:val="auto"/>
              </w:rPr>
            </w:pPr>
            <w:r>
              <w:rPr>
                <w:rFonts w:ascii="Arial" w:cs="Arial" w:eastAsia="Arial" w:hAnsi="Arial"/>
                <w:sz w:val="16"/>
                <w:szCs w:val="16"/>
                <w:color w:val="auto"/>
              </w:rPr>
              <w:t>November 4, 2015</w:t>
            </w:r>
            <w:r>
              <w:rPr>
                <w:rFonts w:ascii="Arial" w:cs="Arial" w:eastAsia="Arial" w:hAnsi="Arial"/>
                <w:sz w:val="21"/>
                <w:szCs w:val="21"/>
                <w:color w:val="auto"/>
                <w:vertAlign w:val="superscript"/>
              </w:rPr>
              <w:t>(1)</w:t>
            </w:r>
          </w:p>
        </w:tc>
        <w:tc>
          <w:tcPr>
            <w:tcW w:w="234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November 16, 2015</w:t>
            </w:r>
          </w:p>
        </w:tc>
        <w:tc>
          <w:tcPr>
            <w:tcW w:w="224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December 31, 2015</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2.76</w:t>
            </w:r>
          </w:p>
        </w:tc>
      </w:tr>
      <w:tr>
        <w:trPr>
          <w:trHeight w:val="236"/>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Fiscal 2016:</w:t>
            </w:r>
          </w:p>
        </w:tc>
        <w:tc>
          <w:tcPr>
            <w:tcW w:w="2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r>
      <w:tr>
        <w:trPr>
          <w:trHeight w:val="257"/>
        </w:trPr>
        <w:tc>
          <w:tcPr>
            <w:tcW w:w="4820" w:type="dxa"/>
            <w:vAlign w:val="bottom"/>
            <w:gridSpan w:val="2"/>
          </w:tcPr>
          <w:p>
            <w:pPr>
              <w:ind w:left="180"/>
              <w:spacing w:after="0"/>
              <w:rPr>
                <w:sz w:val="20"/>
                <w:szCs w:val="20"/>
                <w:color w:val="auto"/>
              </w:rPr>
            </w:pPr>
            <w:r>
              <w:rPr>
                <w:rFonts w:ascii="Arial" w:cs="Arial" w:eastAsia="Arial" w:hAnsi="Arial"/>
                <w:sz w:val="16"/>
                <w:szCs w:val="16"/>
                <w:color w:val="auto"/>
              </w:rPr>
              <w:t>August 3, 2016</w:t>
            </w:r>
            <w:r>
              <w:rPr>
                <w:rFonts w:ascii="Arial" w:cs="Arial" w:eastAsia="Arial" w:hAnsi="Arial"/>
                <w:sz w:val="21"/>
                <w:szCs w:val="21"/>
                <w:color w:val="auto"/>
                <w:vertAlign w:val="superscript"/>
              </w:rPr>
              <w:t>(2)</w:t>
            </w:r>
          </w:p>
        </w:tc>
        <w:tc>
          <w:tcPr>
            <w:tcW w:w="234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August 16, 2016</w:t>
            </w:r>
          </w:p>
        </w:tc>
        <w:tc>
          <w:tcPr>
            <w:tcW w:w="224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August 24, 2016</w:t>
            </w:r>
          </w:p>
        </w:tc>
        <w:tc>
          <w:tcPr>
            <w:tcW w:w="180" w:type="dxa"/>
            <w:vAlign w:val="bottom"/>
          </w:tcPr>
          <w:p>
            <w:pPr>
              <w:spacing w:after="0"/>
              <w:rPr>
                <w:sz w:val="22"/>
                <w:szCs w:val="22"/>
                <w:color w:val="auto"/>
              </w:rPr>
            </w:pP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0.04</w:t>
            </w:r>
          </w:p>
        </w:tc>
      </w:tr>
      <w:tr>
        <w:trPr>
          <w:trHeight w:val="236"/>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Fiscal 2019:</w:t>
            </w:r>
          </w:p>
        </w:tc>
        <w:tc>
          <w:tcPr>
            <w:tcW w:w="2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r>
      <w:tr>
        <w:trPr>
          <w:trHeight w:val="257"/>
        </w:trPr>
        <w:tc>
          <w:tcPr>
            <w:tcW w:w="4820" w:type="dxa"/>
            <w:vAlign w:val="bottom"/>
            <w:gridSpan w:val="2"/>
          </w:tcPr>
          <w:p>
            <w:pPr>
              <w:ind w:left="180"/>
              <w:spacing w:after="0"/>
              <w:rPr>
                <w:sz w:val="20"/>
                <w:szCs w:val="20"/>
                <w:color w:val="auto"/>
              </w:rPr>
            </w:pPr>
            <w:r>
              <w:rPr>
                <w:rFonts w:ascii="Arial" w:cs="Arial" w:eastAsia="Arial" w:hAnsi="Arial"/>
                <w:sz w:val="16"/>
                <w:szCs w:val="16"/>
                <w:color w:val="auto"/>
              </w:rPr>
              <w:t>November 5, 2019</w:t>
            </w:r>
            <w:r>
              <w:rPr>
                <w:rFonts w:ascii="Arial" w:cs="Arial" w:eastAsia="Arial" w:hAnsi="Arial"/>
                <w:sz w:val="21"/>
                <w:szCs w:val="21"/>
                <w:color w:val="auto"/>
                <w:vertAlign w:val="superscript"/>
              </w:rPr>
              <w:t>(3)</w:t>
            </w:r>
          </w:p>
        </w:tc>
        <w:tc>
          <w:tcPr>
            <w:tcW w:w="234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December 2, 2019</w:t>
            </w:r>
          </w:p>
        </w:tc>
        <w:tc>
          <w:tcPr>
            <w:tcW w:w="224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December 12, 2019</w:t>
            </w:r>
          </w:p>
        </w:tc>
        <w:tc>
          <w:tcPr>
            <w:tcW w:w="180" w:type="dxa"/>
            <w:vAlign w:val="bottom"/>
          </w:tcPr>
          <w:p>
            <w:pPr>
              <w:spacing w:after="0"/>
              <w:rPr>
                <w:sz w:val="22"/>
                <w:szCs w:val="22"/>
                <w:color w:val="auto"/>
              </w:rPr>
            </w:pP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0.20</w:t>
            </w:r>
          </w:p>
        </w:tc>
      </w:tr>
      <w:tr>
        <w:trPr>
          <w:trHeight w:val="257"/>
        </w:trPr>
        <w:tc>
          <w:tcPr>
            <w:tcW w:w="48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December 20, 2019</w:t>
            </w:r>
            <w:r>
              <w:rPr>
                <w:rFonts w:ascii="Arial" w:cs="Arial" w:eastAsia="Arial" w:hAnsi="Arial"/>
                <w:sz w:val="21"/>
                <w:szCs w:val="21"/>
                <w:color w:val="auto"/>
                <w:vertAlign w:val="superscript"/>
              </w:rPr>
              <w:t>(4)</w:t>
            </w:r>
          </w:p>
        </w:tc>
        <w:tc>
          <w:tcPr>
            <w:tcW w:w="23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December 31, 2019</w:t>
            </w:r>
          </w:p>
        </w:tc>
        <w:tc>
          <w:tcPr>
            <w:tcW w:w="22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8"/>
              </w:rPr>
              <w:t>January 15, 2020</w:t>
            </w:r>
          </w:p>
        </w:tc>
        <w:tc>
          <w:tcPr>
            <w:tcW w:w="18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0.12</w:t>
            </w:r>
          </w:p>
        </w:tc>
      </w:tr>
      <w:tr>
        <w:trPr>
          <w:trHeight w:val="247"/>
        </w:trPr>
        <w:tc>
          <w:tcPr>
            <w:tcW w:w="482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w:t>
            </w:r>
          </w:p>
        </w:tc>
        <w:tc>
          <w:tcPr>
            <w:tcW w:w="2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3.12</w:t>
            </w:r>
          </w:p>
        </w:tc>
      </w:tr>
      <w:tr>
        <w:trPr>
          <w:trHeight w:val="24"/>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13" w:lineRule="exact"/>
        <w:rPr>
          <w:sz w:val="20"/>
          <w:szCs w:val="20"/>
          <w:color w:val="auto"/>
        </w:rPr>
      </w:pPr>
    </w:p>
    <w:p>
      <w:pPr>
        <w:ind w:left="340" w:hanging="332"/>
        <w:spacing w:after="0" w:line="241" w:lineRule="auto"/>
        <w:tabs>
          <w:tab w:leader="none" w:pos="256"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approximately 2,860,903 shares of common stock issued in lieu of cash, or approximately 14.8% of our outstanding shares prior to the distribution, as well as cash of $26,358,885. The number of shares of common stock comprising the stock portion was calculated based on a price of $9.425 per share, which equaled the average of the volume weighted-average trading price per share of our common stock on December 28, 29 and 30, 2015. None of the $2.76 per share distribution represented a return of capital.</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Of the total distribution of $887,240 paid on August 24, 2016, $820,753 represented a distribution from realized gains, and $66,487 represented a return of capital.</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100% of the $3,512,849 distribution paid on December 12, 2019 represented a distribution from realized gains. None of the distribution represented a return of capital.</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100% of the $2,107,709 distribution paid on January 15, 2020 represented a distribution from realized gains. None of the distribution represented a return of capital.</w:t>
      </w:r>
    </w:p>
    <w:p>
      <w:pPr>
        <w:spacing w:after="0" w:line="236" w:lineRule="exact"/>
        <w:rPr>
          <w:sz w:val="20"/>
          <w:szCs w:val="20"/>
          <w:color w:val="auto"/>
        </w:rPr>
      </w:pPr>
    </w:p>
    <w:p>
      <w:pPr>
        <w:jc w:val="both"/>
        <w:ind w:firstLine="364"/>
        <w:spacing w:after="0" w:line="257" w:lineRule="auto"/>
        <w:rPr>
          <w:sz w:val="20"/>
          <w:szCs w:val="20"/>
          <w:color w:val="auto"/>
        </w:rPr>
      </w:pPr>
      <w:r>
        <w:rPr>
          <w:rFonts w:ascii="Arial" w:cs="Arial" w:eastAsia="Arial" w:hAnsi="Arial"/>
          <w:sz w:val="18"/>
          <w:szCs w:val="18"/>
          <w:color w:val="auto"/>
        </w:rPr>
        <w:t>We intend to focus on making capital gains-based investments from which we will derive primarily capital gains. As a consequence, we do not anticipate that we will pay distributions on a quarterly basis or become a predictable distributor of distributions, and we expect that our distributions, if any, will be much less consistent than the distributions of other BDCs that primarily make debt investments. If there are earnings or realized capital gains to be distributed, we intend to declare and pay a distribution at least annually. The amount of realized capital gains available for distribution to stockholders will be impacted by our tax status.</w:t>
      </w:r>
    </w:p>
    <w:p>
      <w:pPr>
        <w:spacing w:after="0" w:line="215" w:lineRule="exact"/>
        <w:rPr>
          <w:sz w:val="20"/>
          <w:szCs w:val="20"/>
          <w:color w:val="auto"/>
        </w:rPr>
      </w:pPr>
    </w:p>
    <w:p>
      <w:pPr>
        <w:jc w:val="both"/>
        <w:ind w:firstLine="364"/>
        <w:spacing w:after="0" w:line="277" w:lineRule="auto"/>
        <w:rPr>
          <w:sz w:val="20"/>
          <w:szCs w:val="20"/>
          <w:color w:val="auto"/>
        </w:rPr>
      </w:pPr>
      <w:r>
        <w:rPr>
          <w:rFonts w:ascii="Arial" w:cs="Arial" w:eastAsia="Arial" w:hAnsi="Arial"/>
          <w:sz w:val="18"/>
          <w:szCs w:val="18"/>
          <w:color w:val="auto"/>
        </w:rPr>
        <w:t>Our current intention is to make any future distributions out of assets legally available therefrom in the form of additional shares of our common stock under our dividend reinvestment plan, except in the case of stockholders who elect to receive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22" w:right="339" w:bottom="1440" w:gutter="0" w:footer="0" w:header="0"/>
        </w:sectPr>
      </w:pPr>
    </w:p>
    <w:bookmarkStart w:id="67" w:name="page68"/>
    <w:bookmarkEnd w:id="67"/>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dividends and/or long-term capital gains distributions in cash. Under the dividend reinvestment plan, if a stockholder owns shares of common stock registered in its own name, the stockholder will have all cash distributions (net of any applicable withholding) automatically reinvested in additional shares of common stock unless the stockholder opts out of our dividend reinvestment plan by delivering a written notice to our dividend paying agent prior to the record date of the next dividend or distribution. Any distributions reinvested under the plan will nevertheless be treated as received by the U.S. stockholder for U.S. federal income tax purposes, although no cash distribution has been made. As a result, if a stockholder does not elect to opt out of the dividend reinvestment plan, it will be required to pay applicable federal, state and local taxes on any reinvested dividends even though such stockholder will not receive a corresponding cash distribution. Stockholders that hold shares in the name of a broker or financial intermediary should contact the broker or financial intermediary regarding any election to receive distributions in cash.</w:t>
      </w:r>
    </w:p>
    <w:p>
      <w:pPr>
        <w:spacing w:after="0" w:line="205" w:lineRule="exact"/>
        <w:rPr>
          <w:sz w:val="20"/>
          <w:szCs w:val="20"/>
          <w:color w:val="auto"/>
        </w:rPr>
      </w:pPr>
    </w:p>
    <w:p>
      <w:pPr>
        <w:jc w:val="both"/>
        <w:ind w:firstLine="364"/>
        <w:spacing w:after="0" w:line="291" w:lineRule="auto"/>
        <w:rPr>
          <w:sz w:val="20"/>
          <w:szCs w:val="20"/>
          <w:color w:val="auto"/>
        </w:rPr>
      </w:pPr>
      <w:r>
        <w:rPr>
          <w:rFonts w:ascii="Arial" w:cs="Arial" w:eastAsia="Arial" w:hAnsi="Arial"/>
          <w:sz w:val="16"/>
          <w:szCs w:val="16"/>
          <w:color w:val="auto"/>
        </w:rPr>
        <w:t>So long as we qualify and maintain our tax treatment as a RIC, we generally will not pay corporate-level U.S. federal and state income taxes on any ordinary income or capital gains that we distribute at least annually to our stockholders as dividends. Rather, any tax liability related to income earned by the RIC will represent obligations of our investors and will not be reflected in our consolidated financial statements. See “Note 2—Significant Accounting Policies—</w:t>
      </w:r>
      <w:r>
        <w:rPr>
          <w:rFonts w:ascii="Arial" w:cs="Arial" w:eastAsia="Arial" w:hAnsi="Arial"/>
          <w:sz w:val="16"/>
          <w:szCs w:val="16"/>
          <w:i w:val="1"/>
          <w:iCs w:val="1"/>
          <w:color w:val="auto"/>
        </w:rPr>
        <w:t>U.S. Federal and State Income Taxes</w:t>
      </w:r>
      <w:r>
        <w:rPr>
          <w:rFonts w:ascii="Arial" w:cs="Arial" w:eastAsia="Arial" w:hAnsi="Arial"/>
          <w:sz w:val="16"/>
          <w:szCs w:val="16"/>
          <w:color w:val="auto"/>
        </w:rPr>
        <w:t>” and “Note 9—Income Taxes” to our condensed consolidated financial statements as of June 30, 2020 for more information. The Taxable Subsidiaries included in our consolidated financial statements are taxable subsidiaries, regardless of whether we are taxed as a RIC. These taxable subsidiaries are not consolidated for income tax purposes and may generate income tax expenses as a result of their ownership of the portfolio companies. Such income tax expenses and deferred taxes, if any, will be reflected in our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jc w:val="both"/>
        <w:ind w:firstLine="364"/>
        <w:spacing w:after="0" w:line="291" w:lineRule="auto"/>
        <w:rPr>
          <w:sz w:val="20"/>
          <w:szCs w:val="20"/>
          <w:color w:val="auto"/>
        </w:rPr>
      </w:pPr>
      <w:r>
        <w:rPr>
          <w:rFonts w:ascii="Arial" w:cs="Arial" w:eastAsia="Arial" w:hAnsi="Arial"/>
          <w:sz w:val="16"/>
          <w:szCs w:val="16"/>
          <w:color w:val="auto"/>
        </w:rPr>
        <w:t>Critical accounting policies and practices are the policies that are both most important to the portrayal of our financial condition and results, and require management’s most difficult, subjective, or complex judgments, often as a result of the need to make estimates about the effects of matters that are inherently uncertain. These include estimates of the fair value of our Level 3 investments and other estimates that affect the reported amounts of assets and liabilities as of the date of the consolidated financial statements and the reported amounts of certain revenues and expenses during the reporting period. It is likely that changes in these estimates will occur in the near term. Our estimates are inherently subjective in nature and actual results could differ materially from such estimates. See “Note 2—Significant Accounting Policies” to our condensed consolidated financial statements as of June 30, 2020 for further detail regarding our critical accounting policies and recently issued or adopted accounting pronouncements.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Related-Party Transactions</w:t>
      </w:r>
    </w:p>
    <w:p>
      <w:pPr>
        <w:spacing w:after="0" w:line="25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See “Note 3—Related-Party Arrangements” to our condensed consolidated financial statements as of June 30, 2020 for more information.</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22" w:right="339" w:bottom="1440" w:gutter="0" w:footer="0" w:header="0"/>
        </w:sectPr>
      </w:pPr>
    </w:p>
    <w:bookmarkStart w:id="68" w:name="page69"/>
    <w:bookmarkEnd w:id="68"/>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56" w:lineRule="exact"/>
        <w:rPr>
          <w:sz w:val="20"/>
          <w:szCs w:val="20"/>
          <w:color w:val="auto"/>
        </w:rPr>
      </w:pPr>
    </w:p>
    <w:p>
      <w:pPr>
        <w:jc w:val="both"/>
        <w:ind w:firstLine="364"/>
        <w:spacing w:after="0" w:line="275" w:lineRule="auto"/>
        <w:rPr>
          <w:sz w:val="20"/>
          <w:szCs w:val="20"/>
          <w:color w:val="auto"/>
        </w:rPr>
      </w:pPr>
      <w:r>
        <w:rPr>
          <w:rFonts w:ascii="Arial" w:cs="Arial" w:eastAsia="Arial" w:hAnsi="Arial"/>
          <w:sz w:val="17"/>
          <w:szCs w:val="17"/>
          <w:color w:val="auto"/>
        </w:rPr>
        <w:t>Our equity investments are primarily in growth companies that in many cases have short operating histories and are generally illiquid. In addition to the risk that these companies may fail to achieve their objectives, the price we may receive for these companies in private transactions may be significantly impacted by periods of disruption and instability in the capital markets. While these periods of disruption generally have little actual impact on the operating results of our equity investments, these events may significantly impact the prices that market participants will pay for our equity investments in private transactions. This may have a significant impact on the valuation of our equity investments.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Risk</w:t>
      </w:r>
    </w:p>
    <w:p>
      <w:pPr>
        <w:spacing w:after="0" w:line="25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investments may not have a readily available market price, and we value these investments at fair value as determined in good faith by our Board of Directors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Due to the inherent uncertainty of determining the fair value of investments that do not have a readily available market value, the fair value of our investments may fluctuate from period to period. Because of the inherent uncertainty of valuation, these estimated values may differ significantly from the values that would have been used had a ready market for the investments existed, and it is possible that the difference could be material. In addition, if we were required to liquidate a portfolio investment in a forced or liquidation sale, we may realize amounts that are different from the amounts presented and such differences could be material.</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We are subject to financial market risks, which could include, to the extent we utilize leverage with variable rate structures, changes in interest rates. As we invest primarily in equity rather than debt instruments, we would not expect fluctuations in interest rates to directly impact the return on our portfolio investments, although any significant change in market interest rates could potentially have an adverse effect on the business, financial condition and results of operations of the portfolio companies in which we invest.</w:t>
      </w:r>
    </w:p>
    <w:p>
      <w:pPr>
        <w:spacing w:after="0" w:line="21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June 30, 2020, all of our debt investments and outstanding borrowings bore fixed rates of interest.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jc w:val="both"/>
        <w:ind w:firstLine="364"/>
        <w:spacing w:after="0" w:line="270" w:lineRule="auto"/>
        <w:rPr>
          <w:sz w:val="20"/>
          <w:szCs w:val="20"/>
          <w:color w:val="auto"/>
        </w:rPr>
      </w:pPr>
      <w:r>
        <w:rPr>
          <w:rFonts w:ascii="Arial" w:cs="Arial" w:eastAsia="Arial" w:hAnsi="Arial"/>
          <w:sz w:val="17"/>
          <w:szCs w:val="17"/>
          <w:color w:val="auto"/>
        </w:rPr>
        <w:t>As of June 30, 2020, our management, including our Chief Executive Officer and Chief Financial Officer, evaluated the effectiveness of the design and operation of our disclosure controls and procedures (as defined in Rules 13a-15(e) and 15d-15(e) under the Exchange Act). Based on that evaluation,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by the SEC and that such information is accumulated and communicated to our management, including our Chief Executive Officer and Chief Financial Officer, as appropriate, to allow for timely decisions regarding required disclosure. However, in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cost-benefit relationship of such possible controls and procedures.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ind w:firstLine="364"/>
        <w:spacing w:after="0" w:line="263"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that occurred during the fiscal quarter ended June 30, 2020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22" w:right="339" w:bottom="1440" w:gutter="0" w:footer="0" w:header="0"/>
        </w:sectPr>
      </w:pPr>
    </w:p>
    <w:bookmarkStart w:id="69" w:name="page70"/>
    <w:bookmarkEnd w:id="69"/>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8" w:lineRule="exact"/>
        <w:rPr>
          <w:sz w:val="20"/>
          <w:szCs w:val="20"/>
          <w:color w:val="auto"/>
        </w:rPr>
      </w:pPr>
    </w:p>
    <w:p>
      <w:pPr>
        <w:jc w:val="both"/>
        <w:ind w:firstLine="364"/>
        <w:spacing w:after="0" w:line="342" w:lineRule="auto"/>
        <w:rPr>
          <w:sz w:val="20"/>
          <w:szCs w:val="20"/>
          <w:color w:val="auto"/>
        </w:rPr>
      </w:pPr>
      <w:r>
        <w:rPr>
          <w:rFonts w:ascii="Arial" w:cs="Arial" w:eastAsia="Arial" w:hAnsi="Arial"/>
          <w:sz w:val="16"/>
          <w:szCs w:val="16"/>
          <w:color w:val="auto"/>
        </w:rPr>
        <w:t>From time to time, we are involved in various legal proceedings, lawsuits and claims incidental to the conduct of our business. Our business is also subject to extensive regulation, which may result in regulatory proceedings against us. We are not currently a party to any material legal proceedings.</w:t>
      </w:r>
    </w:p>
    <w:p>
      <w:pPr>
        <w:spacing w:after="0" w:line="151" w:lineRule="exact"/>
        <w:rPr>
          <w:sz w:val="20"/>
          <w:szCs w:val="20"/>
          <w:color w:val="auto"/>
        </w:rPr>
      </w:pPr>
    </w:p>
    <w:p>
      <w:pPr>
        <w:jc w:val="both"/>
        <w:ind w:firstLine="364"/>
        <w:spacing w:after="0" w:line="270" w:lineRule="auto"/>
        <w:rPr>
          <w:sz w:val="20"/>
          <w:szCs w:val="20"/>
          <w:color w:val="auto"/>
        </w:rPr>
      </w:pPr>
      <w:r>
        <w:rPr>
          <w:rFonts w:ascii="Arial" w:cs="Arial" w:eastAsia="Arial" w:hAnsi="Arial"/>
          <w:sz w:val="17"/>
          <w:szCs w:val="17"/>
          <w:color w:val="auto"/>
        </w:rPr>
        <w:t>On May 13, 2020, the complaint filed by Sutter Hill Ventures on March 12, 2020, in the United States District Court in the Northern District of California, captioned, Sutter Hill Ventures, a California limited partnership (Plaintiff) v. Sutter Rock Capital Corp, a Maryland corporation (Defendant) was settled upon mutual agreement by both parties. The complaint alleged that the Defendant infringed on the Plaintiff’s federally-registered service mark SUTTER HILL VENTURES; engaged in unfair competition and false designation of origin under Section 43(a) of the Latham Act; and related claims of unfair competition and trademark infringement under California common law. The Plaintiff sought an injunction on Defendant from using the SUTTER ROCK and SUTTER ROCK CAPITAL marks and trade names, or any other mark or name that it views as similar to SUTTER HILL and SUTTER HILL VENTURES; an unspecified amount of damages and disgorgement of Defendant’s profits; a determination that the alleged infringement was willful, intentional and deliberate, warranting an award to Plaintiff of three times Defendant’s profits and three times Plaintiff’s damages; an award of Plaintiff’s attorney’s fees and cost; and an award of prejudgment and post judgment interest.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Investing in our securities involves a number of significant risks. In addition to the other information contained in this report, you should carefully consider the factors discussed in our annual report on Form 10-K for the fiscal year ended December 31, 2019, filed with the SEC on March 13, 2020, which could materially affect our business, financial condition and/or operating results. Although the risks described below and in our annual report on Form 10-K for the fiscal year ended December 31, 2019 represent the principal risks associated with an investment in us, they are not the only risks we face. Additional risks and uncertainties not currently known to us, or that we currently deem to be immaterial, might materially and adversely affect our business, financial condition and/or operating results. Other than as described below, during the six months ended June 30, 2020, there have been no material changes to the risk factors discussed in "Item 1A. Risk Factors" of Part I of our annual report on Form 10-K for the fiscal year ended December 31, 2019.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could materially and adversely affect our portfolio companies and the results of our operations.</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late 2019 and early 2020, SARS-CoV-2 and COVID-19 emerged in China and spread rapidly across the world, including the U.S. This outbreak has led, and for an unknown period of time will continue to lead, to disruptions in local, regional, national and global markets and economies affected thereby. The spread of COVID-19 has caused quarantines, cancellation of events and travel, business and school shutdowns, reduction in business activity and financial transactions, labor shortages, supply chain interruptions and overall economic and financial market instability. The COVID-19 outbreak may disrupt our operations through its impact on our employees, our portfolio companies and their businesses, and certain industries in which our portfolio companies operate.</w:t>
      </w:r>
    </w:p>
    <w:p>
      <w:pPr>
        <w:spacing w:after="0" w:line="21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This outbreak has resulted in, and until fully resolved is likely to continue to result in, among other things, government imposition of various forms of “stay at home” orders and the closing of “non-essential” businesses, resulting in significant disruption to many businesses including supply chains, demand and practical aspects of their operations, as well as in lay-offs of employees. While these effects are hoped to be temporary, some effects could be persistent or even permanent. Rapidly evolving proposals and/or actions by state and federal governments to address problems being experienced by the markets and by businesses and the economy in general may not necessarily be adequate to address the problems facing impacted businesses. This outbreak and any future outbreaks could have an adverse impact on our portfolio companies and us and on the markets and the economy in general, and that impact could be material.</w:t>
      </w:r>
    </w:p>
    <w:p>
      <w:pPr>
        <w:spacing w:after="0" w:line="22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Further, from an operational perspective, our employees are currently working remotely. An extended period of remote work arrangements could strain our business continuity plans, introduce operational risk, including but not limited to cybersecurity risks, and impair our ability to manage our business. In addition, we are highly dependent on third party service providers for certain communication and information systems. As a result, we rely upon the successful implementation and execution of the business continuity planning of such providers in the current environment. If one or more of these third parties to whom we outsource certain critical business activities experience operational failures as a result of the impacts from the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22" w:right="339" w:bottom="1440" w:gutter="0" w:footer="0" w:header="0"/>
        </w:sectPr>
      </w:pPr>
    </w:p>
    <w:bookmarkStart w:id="70" w:name="page71"/>
    <w:bookmarkEnd w:id="70"/>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spread of COVID-19, or claim that they cannot perform due to a force majeure, it may have a material adverse effect on our business, financial condition, results of operations, liquidity and cash flows.</w:t>
      </w:r>
    </w:p>
    <w:p>
      <w:pPr>
        <w:spacing w:after="0" w:line="19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extent of the impact of the COVID-19 pandemic on our operational and financial performance, including our ability to execute our business strategies and initiatives in the expected time frame, will depend on future developments, including the duration and spread of the pandemic and related restrictions on travel and transportation, all of which are uncertain and cannot be predicted. An extended period of global supply chain and economic disruption could materially affect our business, results of operations, access to sources of liquidity and financial condition.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currently operating in a period of capital markets disruption and economic uncertainty.</w:t>
      </w:r>
    </w:p>
    <w:p>
      <w:pPr>
        <w:spacing w:after="0" w:line="25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U.S. capital markets have experienced extreme volatility and disruption following the global outbreak of COVID-19 that began in early 2020. The global impact of the outbreak is rapidly evolving, and many countries have reacted by instituting quarantines, prohibitions on travel and the closure of offices, businesses, schools, retail stores and other public venues. Businesses are also implementing similar precautionary measures. Such measures, as well as the general uncertainty surrounding the dangers and impact of COVID-19, have created significant disruption in supply chains and economic activity. The impact of COVID- 19 has led to significant volatility and declines in the global public equity markets and it is uncertain how long this volatility will continue. As COVID-19 continues to spread, the potential impacts, including a global, regional or other economic recession, are increasingly uncertain and difficult to assess.Some economists and major investment banks have expressed concern that the continued spread of the virus globally could lead to a world-wide economic downturn.</w:t>
      </w:r>
    </w:p>
    <w:p>
      <w:pPr>
        <w:spacing w:after="0" w:line="21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Disruptions in the capital markets have increased the spread between the yields realized on risk-free and higher risk securities, resulting in illiquidity in parts of the capital markets. These and future market disruptions and/or illiquidity could have an adverse effect on our business, financial condition, results of operations and cash flows. Unfavorable economic conditions could also increase our funding costs, limit our access to the capital markets or result in a decision by lenders not to extend credit to us. These events could limit our investment originations and ability to grow, and have a material negative impact on our operating results and the fair values of our investments.</w:t>
      </w:r>
    </w:p>
    <w:p>
      <w:pPr>
        <w:spacing w:after="0" w:line="21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Additionally, the recent disruption in economic activity caused by the COVID-19 pandemic may have a negative effect on the potential for liquidity events involving our investments. The illiquidity of our investments may make it difficult for us to sell such investments to access capital if required, and as a result, we could realize significantly less than the value at which we have recorded our investments if we were required to sell them for liquidity purposes. An inability to raise or access capital, and any required sale of all or a portion of our investments as a result, could have a material adverse effect on our business, financial condition or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developments in the credit markets may impair our ability to secure debt financing.</w:t>
      </w:r>
    </w:p>
    <w:p>
      <w:pPr>
        <w:spacing w:after="0" w:line="25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past economic downturns, such as the financial crisis in the United States that began in mid-2007 and during other times of extreme market volatility, many commercial banks and other financial institutions stopped lending or significantly curtailed their lending activity. In addition, in an effort to stem losses and reduce their exposure to segments of the economy deemed to be high risk, some financial institutions limited routine refinancing and loan modification transactions and even reviewed the terms of existing facilities to identify bases for accelerating the maturity of existing lending facilities. If these conditions recur, for example as a result of the COVID-19 pandemic, it may be difficult for us to obtain desired financing, including entering into credit facilities, to enhance our liquidity and/or finance the growth of our investments on acceptable economic terms, or at all, which could have an adverse impact on us and our operations.</w:t>
      </w:r>
    </w:p>
    <w:p>
      <w:pPr>
        <w:spacing w:after="0" w:line="22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So far, the COVID-19 pandemic has resulted in, and until fully resolved is likely to continue to result in, among other things, increased draws by borrowers on revolving lines of credit and increased requests by borrowers for amendments, modifications and waivers of their credit agreements to avoid default or change payment terms, increased defaults by such borrowers and/or increased difficulty in obtaining refinancing at the maturity dates of their loans. In addition, the duration and effectiveness of responsive measures implemented by governments and central banks cannot be predicted. The commencement, continuation, or cessation of government and central bank policies and economic stimulus programs, including changes in monetary policy involving interest rate adjustments or governmental policies, may contribute to the development of or result in an increase in market volatility, illiquidity and other adverse effects that could negatively impact the credit markets and the Company.</w:t>
      </w:r>
    </w:p>
    <w:p>
      <w:pPr>
        <w:spacing w:after="0" w:line="20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we are able to consummate a credit facility, but unable to repay amounts outstanding thereunder and are declared in default or are unable to renew or refinance any such credit facility, it would limit our ability to initiate significant originations or to operate our business in the normal course. These situations may arise due to circumstances that we may be unable to</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22" w:right="339" w:bottom="1440" w:gutter="0" w:footer="0" w:header="0"/>
        </w:sectPr>
      </w:pPr>
    </w:p>
    <w:bookmarkStart w:id="71" w:name="page72"/>
    <w:bookmarkEnd w:id="71"/>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control, such as inaccessibility of the credit markets, a severe decline in the value of the U.S. dollar, a further economic downturn or an operational problem that affects third parties or us, and could materially damage our business. Moreover, we are unable to predict when economic and market conditions may become more favorable. Even if such conditions improve broadly and significantly over the long term, adverse conditions in particular sectors of the financial markets could adversely impact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Equity Securities</w:t>
      </w:r>
    </w:p>
    <w:p>
      <w:pPr>
        <w:spacing w:after="0" w:line="25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did not sell any equity securities during the period covered in this report that were not registered under the Securities Act of 1933, as amended.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r>
        <w:rPr>
          <w:rFonts w:ascii="Arial" w:cs="Arial" w:eastAsia="Arial" w:hAnsi="Arial"/>
          <w:sz w:val="23"/>
          <w:szCs w:val="23"/>
          <w:b w:val="1"/>
          <w:bCs w:val="1"/>
          <w:color w:val="auto"/>
          <w:vertAlign w:val="superscript"/>
        </w:rPr>
        <w:t>(1)</w:t>
      </w:r>
    </w:p>
    <w:p>
      <w:pPr>
        <w:spacing w:after="0" w:line="19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Information relating to the Company’s purchases of its common stock during the six months ended June 30, 2020 is as follows:</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100"/>
              <w:spacing w:after="0"/>
              <w:rPr>
                <w:sz w:val="20"/>
                <w:szCs w:val="20"/>
                <w:color w:val="auto"/>
              </w:rPr>
            </w:pPr>
            <w:r>
              <w:rPr>
                <w:rFonts w:ascii="Arial" w:cs="Arial" w:eastAsia="Arial" w:hAnsi="Arial"/>
                <w:sz w:val="14"/>
                <w:szCs w:val="14"/>
                <w:b w:val="1"/>
                <w:bCs w:val="1"/>
                <w:color w:val="auto"/>
                <w:w w:val="93"/>
              </w:rPr>
              <w:t>Approximate</w:t>
            </w: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Dollar Value of</w:t>
            </w: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Shares that May</w:t>
            </w:r>
          </w:p>
        </w:tc>
        <w:tc>
          <w:tcPr>
            <w:tcW w:w="0" w:type="dxa"/>
            <w:vAlign w:val="bottom"/>
          </w:tcPr>
          <w:p>
            <w:pPr>
              <w:spacing w:after="0"/>
              <w:rPr>
                <w:sz w:val="1"/>
                <w:szCs w:val="1"/>
                <w:color w:val="auto"/>
              </w:rPr>
            </w:pPr>
          </w:p>
        </w:tc>
      </w:tr>
      <w:tr>
        <w:trPr>
          <w:trHeight w:val="185"/>
        </w:trPr>
        <w:tc>
          <w:tcPr>
            <w:tcW w:w="4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0"/>
              </w:rPr>
              <w:t>Average</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0"/>
              </w:rPr>
              <w:t>Purchased as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center"/>
              <w:ind w:right="100"/>
              <w:spacing w:after="0"/>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Part of Publicly</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Under the Share</w:t>
            </w:r>
          </w:p>
        </w:tc>
        <w:tc>
          <w:tcPr>
            <w:tcW w:w="0" w:type="dxa"/>
            <w:vAlign w:val="bottom"/>
          </w:tcPr>
          <w:p>
            <w:pPr>
              <w:spacing w:after="0"/>
              <w:rPr>
                <w:sz w:val="1"/>
                <w:szCs w:val="1"/>
                <w:color w:val="auto"/>
              </w:rPr>
            </w:pPr>
          </w:p>
        </w:tc>
      </w:tr>
      <w:tr>
        <w:trPr>
          <w:trHeight w:val="135"/>
        </w:trPr>
        <w:tc>
          <w:tcPr>
            <w:tcW w:w="452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100" w:type="dxa"/>
            <w:vAlign w:val="bottom"/>
            <w:vMerge w:val="restart"/>
          </w:tcPr>
          <w:p>
            <w:pPr>
              <w:spacing w:after="0"/>
              <w:rPr>
                <w:sz w:val="11"/>
                <w:szCs w:val="11"/>
                <w:color w:val="auto"/>
              </w:rPr>
            </w:pP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4"/>
              </w:rPr>
              <w:t>Price Paid</w:t>
            </w:r>
          </w:p>
        </w:tc>
        <w:tc>
          <w:tcPr>
            <w:tcW w:w="1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Announced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jc w:val="center"/>
              <w:ind w:right="100"/>
              <w:spacing w:after="0" w:line="135" w:lineRule="exact"/>
              <w:rPr>
                <w:sz w:val="20"/>
                <w:szCs w:val="20"/>
                <w:color w:val="auto"/>
              </w:rPr>
            </w:pPr>
            <w:r>
              <w:rPr>
                <w:rFonts w:ascii="Arial" w:cs="Arial" w:eastAsia="Arial" w:hAnsi="Arial"/>
                <w:sz w:val="14"/>
                <w:szCs w:val="14"/>
                <w:b w:val="1"/>
                <w:bCs w:val="1"/>
                <w:color w:val="auto"/>
                <w:w w:val="89"/>
              </w:rPr>
              <w:t>Repurchase</w:t>
            </w:r>
          </w:p>
        </w:tc>
        <w:tc>
          <w:tcPr>
            <w:tcW w:w="0" w:type="dxa"/>
            <w:vAlign w:val="bottom"/>
          </w:tcPr>
          <w:p>
            <w:pPr>
              <w:spacing w:after="0"/>
              <w:rPr>
                <w:sz w:val="1"/>
                <w:szCs w:val="1"/>
                <w:color w:val="auto"/>
              </w:rPr>
            </w:pPr>
          </w:p>
        </w:tc>
      </w:tr>
      <w:tr>
        <w:trPr>
          <w:trHeight w:val="188"/>
        </w:trPr>
        <w:tc>
          <w:tcPr>
            <w:tcW w:w="4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Purchased</w:t>
            </w:r>
            <w:r>
              <w:rPr>
                <w:rFonts w:ascii="Arial" w:cs="Arial" w:eastAsia="Arial" w:hAnsi="Arial"/>
                <w:sz w:val="9"/>
                <w:szCs w:val="9"/>
                <w:b w:val="1"/>
                <w:bCs w:val="1"/>
                <w:color w:val="auto"/>
                <w:w w:val="91"/>
              </w:rPr>
              <w:t>(2)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1"/>
              </w:rPr>
              <w:t>Per Share</w:t>
            </w:r>
          </w:p>
        </w:tc>
        <w:tc>
          <w:tcPr>
            <w:tcW w:w="1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Plans or Programs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7"/>
              </w:rPr>
              <w:t>Program</w:t>
            </w:r>
          </w:p>
        </w:tc>
        <w:tc>
          <w:tcPr>
            <w:tcW w:w="0" w:type="dxa"/>
            <w:vAlign w:val="bottom"/>
          </w:tcPr>
          <w:p>
            <w:pPr>
              <w:spacing w:after="0"/>
              <w:rPr>
                <w:sz w:val="1"/>
                <w:szCs w:val="1"/>
                <w:color w:val="auto"/>
              </w:rPr>
            </w:pPr>
          </w:p>
        </w:tc>
      </w:tr>
      <w:tr>
        <w:trPr>
          <w:trHeight w:val="245"/>
        </w:trPr>
        <w:tc>
          <w:tcPr>
            <w:tcW w:w="4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January 1 through January 31, 2020</w:t>
            </w:r>
          </w:p>
        </w:tc>
        <w:tc>
          <w:tcPr>
            <w:tcW w:w="15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18,508</w:t>
            </w:r>
          </w:p>
        </w:tc>
        <w:tc>
          <w:tcPr>
            <w:tcW w:w="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color w:val="auto"/>
              </w:rPr>
              <w:t>4,997,307</w:t>
            </w:r>
          </w:p>
        </w:tc>
        <w:tc>
          <w:tcPr>
            <w:tcW w:w="0" w:type="dxa"/>
            <w:vAlign w:val="bottom"/>
          </w:tcPr>
          <w:p>
            <w:pPr>
              <w:spacing w:after="0"/>
              <w:rPr>
                <w:sz w:val="1"/>
                <w:szCs w:val="1"/>
                <w:color w:val="auto"/>
              </w:rPr>
            </w:pPr>
          </w:p>
        </w:tc>
      </w:tr>
      <w:tr>
        <w:trPr>
          <w:trHeight w:val="243"/>
        </w:trPr>
        <w:tc>
          <w:tcPr>
            <w:tcW w:w="4620" w:type="dxa"/>
            <w:vAlign w:val="bottom"/>
            <w:gridSpan w:val="2"/>
          </w:tcPr>
          <w:p>
            <w:pPr>
              <w:spacing w:after="0"/>
              <w:rPr>
                <w:sz w:val="20"/>
                <w:szCs w:val="20"/>
                <w:color w:val="auto"/>
              </w:rPr>
            </w:pPr>
            <w:r>
              <w:rPr>
                <w:rFonts w:ascii="Arial" w:cs="Arial" w:eastAsia="Arial" w:hAnsi="Arial"/>
                <w:sz w:val="18"/>
                <w:szCs w:val="18"/>
                <w:color w:val="auto"/>
              </w:rPr>
              <w:t>February 1 through February 28, 2020</w:t>
            </w:r>
          </w:p>
        </w:tc>
        <w:tc>
          <w:tcPr>
            <w:tcW w:w="1520" w:type="dxa"/>
            <w:vAlign w:val="bottom"/>
          </w:tcPr>
          <w:p>
            <w:pPr>
              <w:jc w:val="right"/>
              <w:ind w:right="7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7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80"/>
              <w:spacing w:after="0"/>
              <w:rPr>
                <w:sz w:val="20"/>
                <w:szCs w:val="20"/>
                <w:color w:val="auto"/>
              </w:rPr>
            </w:pPr>
            <w:r>
              <w:rPr>
                <w:rFonts w:ascii="Arial" w:cs="Arial" w:eastAsia="Arial" w:hAnsi="Arial"/>
                <w:sz w:val="18"/>
                <w:szCs w:val="18"/>
                <w:color w:val="auto"/>
              </w:rPr>
              <w:t>4,997,307</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March 1 through March 31, 2020</w:t>
            </w:r>
          </w:p>
        </w:tc>
        <w:tc>
          <w:tcPr>
            <w:tcW w:w="15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689,928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689,928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color w:val="auto"/>
              </w:rPr>
              <w:t>6,288,063</w:t>
            </w:r>
          </w:p>
        </w:tc>
        <w:tc>
          <w:tcPr>
            <w:tcW w:w="0" w:type="dxa"/>
            <w:vAlign w:val="bottom"/>
          </w:tcPr>
          <w:p>
            <w:pPr>
              <w:spacing w:after="0"/>
              <w:rPr>
                <w:sz w:val="1"/>
                <w:szCs w:val="1"/>
                <w:color w:val="auto"/>
              </w:rPr>
            </w:pPr>
          </w:p>
        </w:tc>
      </w:tr>
      <w:tr>
        <w:trPr>
          <w:trHeight w:val="243"/>
        </w:trPr>
        <w:tc>
          <w:tcPr>
            <w:tcW w:w="4620" w:type="dxa"/>
            <w:vAlign w:val="bottom"/>
            <w:gridSpan w:val="2"/>
          </w:tcPr>
          <w:p>
            <w:pPr>
              <w:spacing w:after="0"/>
              <w:rPr>
                <w:sz w:val="20"/>
                <w:szCs w:val="20"/>
                <w:color w:val="auto"/>
              </w:rPr>
            </w:pPr>
            <w:r>
              <w:rPr>
                <w:rFonts w:ascii="Arial" w:cs="Arial" w:eastAsia="Arial" w:hAnsi="Arial"/>
                <w:sz w:val="18"/>
                <w:szCs w:val="18"/>
                <w:color w:val="auto"/>
              </w:rPr>
              <w:t>April 1 through April 30, 2020</w:t>
            </w:r>
          </w:p>
        </w:tc>
        <w:tc>
          <w:tcPr>
            <w:tcW w:w="1520" w:type="dxa"/>
            <w:vAlign w:val="bottom"/>
          </w:tcPr>
          <w:p>
            <w:pPr>
              <w:jc w:val="right"/>
              <w:ind w:right="77"/>
              <w:spacing w:after="0"/>
              <w:rPr>
                <w:sz w:val="20"/>
                <w:szCs w:val="20"/>
                <w:color w:val="auto"/>
              </w:rPr>
            </w:pPr>
            <w:r>
              <w:rPr>
                <w:rFonts w:ascii="Arial" w:cs="Arial" w:eastAsia="Arial" w:hAnsi="Arial"/>
                <w:sz w:val="18"/>
                <w:szCs w:val="18"/>
                <w:color w:val="auto"/>
              </w:rPr>
              <w:t>567,437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ind w:left="940"/>
              <w:spacing w:after="0"/>
              <w:rPr>
                <w:sz w:val="20"/>
                <w:szCs w:val="20"/>
                <w:color w:val="auto"/>
              </w:rPr>
            </w:pPr>
            <w:r>
              <w:rPr>
                <w:rFonts w:ascii="Arial" w:cs="Arial" w:eastAsia="Arial" w:hAnsi="Arial"/>
                <w:sz w:val="18"/>
                <w:szCs w:val="18"/>
                <w:color w:val="auto"/>
                <w:w w:val="91"/>
              </w:rPr>
              <w:t>6.07</w:t>
            </w:r>
          </w:p>
        </w:tc>
        <w:tc>
          <w:tcPr>
            <w:tcW w:w="100" w:type="dxa"/>
            <w:vAlign w:val="bottom"/>
          </w:tcPr>
          <w:p>
            <w:pPr>
              <w:spacing w:after="0"/>
              <w:rPr>
                <w:sz w:val="21"/>
                <w:szCs w:val="21"/>
                <w:color w:val="auto"/>
              </w:rPr>
            </w:pPr>
          </w:p>
        </w:tc>
        <w:tc>
          <w:tcPr>
            <w:tcW w:w="1620" w:type="dxa"/>
            <w:vAlign w:val="bottom"/>
          </w:tcPr>
          <w:p>
            <w:pPr>
              <w:jc w:val="right"/>
              <w:ind w:right="78"/>
              <w:spacing w:after="0"/>
              <w:rPr>
                <w:sz w:val="20"/>
                <w:szCs w:val="20"/>
                <w:color w:val="auto"/>
              </w:rPr>
            </w:pPr>
            <w:r>
              <w:rPr>
                <w:rFonts w:ascii="Arial" w:cs="Arial" w:eastAsia="Arial" w:hAnsi="Arial"/>
                <w:sz w:val="18"/>
                <w:szCs w:val="18"/>
                <w:color w:val="auto"/>
              </w:rPr>
              <w:t>567,437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80"/>
              <w:spacing w:after="0"/>
              <w:rPr>
                <w:sz w:val="20"/>
                <w:szCs w:val="20"/>
                <w:color w:val="auto"/>
              </w:rPr>
            </w:pPr>
            <w:r>
              <w:rPr>
                <w:rFonts w:ascii="Arial" w:cs="Arial" w:eastAsia="Arial" w:hAnsi="Arial"/>
                <w:sz w:val="18"/>
                <w:szCs w:val="18"/>
                <w:color w:val="auto"/>
              </w:rPr>
              <w:t>2,846,049</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May 1 through May 31, 2020</w:t>
            </w:r>
          </w:p>
        </w:tc>
        <w:tc>
          <w:tcPr>
            <w:tcW w:w="15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37,640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w w:val="91"/>
              </w:rPr>
              <w:t>6.42</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27,200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color w:val="auto"/>
              </w:rPr>
              <w:t>2,671,455</w:t>
            </w:r>
          </w:p>
        </w:tc>
        <w:tc>
          <w:tcPr>
            <w:tcW w:w="0" w:type="dxa"/>
            <w:vAlign w:val="bottom"/>
          </w:tcPr>
          <w:p>
            <w:pPr>
              <w:spacing w:after="0"/>
              <w:rPr>
                <w:sz w:val="1"/>
                <w:szCs w:val="1"/>
                <w:color w:val="auto"/>
              </w:rPr>
            </w:pPr>
          </w:p>
        </w:tc>
      </w:tr>
      <w:tr>
        <w:trPr>
          <w:trHeight w:val="270"/>
        </w:trPr>
        <w:tc>
          <w:tcPr>
            <w:tcW w:w="46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June 1 through June 30, 2020</w:t>
            </w:r>
            <w:r>
              <w:rPr>
                <w:rFonts w:ascii="Arial" w:cs="Arial" w:eastAsia="Arial" w:hAnsi="Arial"/>
                <w:sz w:val="23"/>
                <w:szCs w:val="23"/>
                <w:color w:val="auto"/>
                <w:vertAlign w:val="superscript"/>
              </w:rPr>
              <w:t>(3)</w:t>
            </w:r>
          </w:p>
        </w:tc>
        <w:tc>
          <w:tcPr>
            <w:tcW w:w="152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CCEEFF"/>
            </w:tcBorders>
          </w:tcPr>
          <w:p>
            <w:pPr>
              <w:spacing w:after="0"/>
              <w:rPr>
                <w:sz w:val="23"/>
                <w:szCs w:val="23"/>
                <w:color w:val="auto"/>
              </w:rPr>
            </w:pPr>
          </w:p>
        </w:tc>
        <w:tc>
          <w:tcPr>
            <w:tcW w:w="1380" w:type="dxa"/>
            <w:vAlign w:val="bottom"/>
            <w:tcBorders>
              <w:bottom w:val="single" w:sz="8" w:color="CCEEFF"/>
            </w:tcBorders>
            <w:gridSpan w:val="2"/>
          </w:tcPr>
          <w:p>
            <w:pPr>
              <w:ind w:left="9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380" w:type="dxa"/>
            <w:vAlign w:val="bottom"/>
            <w:tcBorders>
              <w:bottom w:val="single" w:sz="8" w:color="CCEEFF"/>
            </w:tcBorders>
          </w:tcPr>
          <w:p>
            <w:pPr>
              <w:jc w:val="right"/>
              <w:ind w:right="80"/>
              <w:spacing w:after="0"/>
              <w:rPr>
                <w:sz w:val="20"/>
                <w:szCs w:val="20"/>
                <w:color w:val="auto"/>
              </w:rPr>
            </w:pPr>
            <w:r>
              <w:rPr>
                <w:rFonts w:ascii="Arial" w:cs="Arial" w:eastAsia="Arial" w:hAnsi="Arial"/>
                <w:sz w:val="18"/>
                <w:szCs w:val="18"/>
                <w:color w:val="auto"/>
              </w:rPr>
              <w:t>2,671,455</w:t>
            </w:r>
          </w:p>
        </w:tc>
        <w:tc>
          <w:tcPr>
            <w:tcW w:w="0" w:type="dxa"/>
            <w:vAlign w:val="bottom"/>
          </w:tcPr>
          <w:p>
            <w:pPr>
              <w:spacing w:after="0"/>
              <w:rPr>
                <w:sz w:val="1"/>
                <w:szCs w:val="1"/>
                <w:color w:val="auto"/>
              </w:rPr>
            </w:pPr>
          </w:p>
        </w:tc>
      </w:tr>
      <w:tr>
        <w:trPr>
          <w:trHeight w:val="289"/>
        </w:trPr>
        <w:tc>
          <w:tcPr>
            <w:tcW w:w="4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1,313,513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rPr>
              <w:t>1,284,565</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During the six months ended June 30, 2020, we repurchased 1,284,565 shares of our common stock pursuant to the Share Repurchase Program.</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w:t>
      </w:r>
    </w:p>
    <w:p>
      <w:pPr>
        <w:spacing w:after="0" w:line="8" w:lineRule="exact"/>
        <w:rPr>
          <w:sz w:val="20"/>
          <w:szCs w:val="20"/>
          <w:color w:val="auto"/>
        </w:rPr>
      </w:pPr>
    </w:p>
    <w:p>
      <w:pPr>
        <w:jc w:val="both"/>
        <w:ind w:left="500" w:hanging="492"/>
        <w:spacing w:after="0" w:line="260" w:lineRule="auto"/>
        <w:tabs>
          <w:tab w:leader="none" w:pos="492" w:val="left"/>
        </w:tabs>
        <w:numPr>
          <w:ilvl w:val="0"/>
          <w:numId w:val="43"/>
        </w:numPr>
        <w:rPr>
          <w:rFonts w:ascii="Arial" w:cs="Arial" w:eastAsia="Arial" w:hAnsi="Arial"/>
          <w:sz w:val="13"/>
          <w:szCs w:val="13"/>
          <w:color w:val="auto"/>
        </w:rPr>
      </w:pPr>
      <w:r>
        <w:rPr>
          <w:rFonts w:ascii="Arial" w:cs="Arial" w:eastAsia="Arial" w:hAnsi="Arial"/>
          <w:sz w:val="13"/>
          <w:szCs w:val="13"/>
          <w:color w:val="auto"/>
        </w:rPr>
        <w:t>On August 8, 2017, we announced the $5.0 million discretionary open-market Share Repurchase Program under which our Board of Directors authorized the repurchase of shares of our common stock in the open market until the earlier of (i) August 6, 2018 or (ii) the repurchase of $5.0 million in aggregate amount of our common stock. On November 7, 2017, our Board of Directors authorized an extension of, and an increase in the amount of shares of our common stock that may be repurchased under, the discretionary Share Repurchase Program until the earlier of (i) November 6, 2018 or (ii) the repurchase of $10.0 million in aggregate amount of our common stock. On May 3, 2018, the Company’s Board of Directors authorized an additional $5.0 million increase in the amount of shares of our common stock that may be repurchased under the discretionary Share Repurchase Program until the earlier of (i) November 6, 2018 or (ii) the repurchase of $15.0 million in aggregate amount of our common stock. On November 1, 2018, the Company’s Board of Directors authorized a $5.0 million increase in the amount of shares of the Company’s common stock that may be repurchased under the discretionary Share Repurchase Program until the earlier of (i) October 31, 2019 or (ii) the repurchase of $20.0 million in aggregate amount of the Company’s common stock. On August 5, 2019, our Board of Directors authorized a $5.0 million increase in the amount of shares of our common stock that may be repurchased under the discretionary Share Repurchase Program until the earlier of (i) August 4, 2020 or (ii) the repurchase of $25.0 million in aggregate amount of our common stock. On March 9, 2020, our Board of Directors authorized a $5.0 million increase in the amount of shares of our common stock that may be repurchased under the discretionary Share Repurchase Program until the earlier of (i) March 8, 2021 or (ii) the repurchase of $30.0 million in aggregate amount of our common stock. The timing and number of shares to be repurchased will depend on a number of factors, including market conditions and alternative investment opportunities. The Share Repurchase Program may be suspended, terminated or modified at any time for any reason and does not obligate us to acquire any specific number of shares of our common stock. During the three and six months ended June 30, 2020, the Company repurchased 594,637 shares of the Company’s common stock pursuant to the Share Repurchase Program. As of June 30, 2020, the dollar value of shares that remained available to be purchased by the Company under the Share Repurchase Program was approximately $2.7 million.</w:t>
      </w:r>
    </w:p>
    <w:p>
      <w:pPr>
        <w:ind w:left="480" w:hanging="472"/>
        <w:spacing w:after="0"/>
        <w:tabs>
          <w:tab w:leader="none" w:pos="4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Includes purchases of our common stock made on the open market by or on behalf of any “affiliated purchaser,” as defined in Exchange Act Rule 10b-18(a)(3), of the Company.</w:t>
      </w:r>
    </w:p>
    <w:p>
      <w:pPr>
        <w:spacing w:after="0" w:line="12" w:lineRule="exact"/>
        <w:rPr>
          <w:rFonts w:ascii="Arial" w:cs="Arial" w:eastAsia="Arial" w:hAnsi="Arial"/>
          <w:sz w:val="13"/>
          <w:szCs w:val="13"/>
          <w:color w:val="auto"/>
        </w:rPr>
      </w:pPr>
    </w:p>
    <w:p>
      <w:pPr>
        <w:ind w:left="500" w:hanging="492"/>
        <w:spacing w:after="0" w:line="255" w:lineRule="auto"/>
        <w:tabs>
          <w:tab w:leader="none" w:pos="492" w:val="left"/>
        </w:tabs>
        <w:numPr>
          <w:ilvl w:val="0"/>
          <w:numId w:val="43"/>
        </w:numPr>
        <w:rPr>
          <w:rFonts w:ascii="Arial" w:cs="Arial" w:eastAsia="Arial" w:hAnsi="Arial"/>
          <w:sz w:val="14"/>
          <w:szCs w:val="14"/>
          <w:color w:val="auto"/>
        </w:rPr>
      </w:pPr>
      <w:r>
        <w:rPr>
          <w:rFonts w:ascii="Arial" w:cs="Arial" w:eastAsia="Arial" w:hAnsi="Arial"/>
          <w:sz w:val="14"/>
          <w:szCs w:val="14"/>
          <w:color w:val="auto"/>
        </w:rPr>
        <w:t>Subsequent to quarter-end, through August 6, 2020, we repurchased an additional 0 shares under the Share Repurchase Program for an aggregate purchase price of $0.0 million. As of August 6, 2020, the dollar value of shares that may yet be purchased by us under the Share Repurchase Program is approximately $2.7 million.</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22" w:right="339" w:bottom="1440" w:gutter="0" w:footer="0" w:header="0"/>
        </w:sectPr>
      </w:pPr>
    </w:p>
    <w:bookmarkStart w:id="72" w:name="page73"/>
    <w:bookmarkEnd w:id="72"/>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139"/>
          </w:cols>
          <w:pgMar w:left="320" w:top="122" w:right="1440" w:bottom="1440" w:gutter="0" w:footer="0" w:header="0"/>
        </w:sectPr>
      </w:pPr>
    </w:p>
    <w:bookmarkStart w:id="73" w:name="page74"/>
    <w:bookmarkEnd w:id="73"/>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exhibits are filed as part of this report or hereby incorporated by reference to exhibits previously filed with the SEC:</w:t>
      </w:r>
    </w:p>
    <w:p>
      <w:pPr>
        <w:spacing w:after="0" w:line="144" w:lineRule="exact"/>
        <w:rPr>
          <w:sz w:val="20"/>
          <w:szCs w:val="20"/>
          <w:color w:val="auto"/>
        </w:rPr>
      </w:pPr>
    </w:p>
    <w:tbl>
      <w:tblPr>
        <w:tblLayout w:type="fixed"/>
        <w:tblInd w:w="200" w:type="dxa"/>
        <w:tblCellMar>
          <w:top w:w="0" w:type="dxa"/>
          <w:left w:w="0" w:type="dxa"/>
          <w:bottom w:w="0" w:type="dxa"/>
          <w:right w:w="0" w:type="dxa"/>
        </w:tblCellMar>
      </w:tblPr>
      <w:tr>
        <w:trPr>
          <w:trHeight w:val="270"/>
        </w:trPr>
        <w:tc>
          <w:tcPr>
            <w:tcW w:w="520" w:type="dxa"/>
            <w:vAlign w:val="bottom"/>
          </w:tcPr>
          <w:p>
            <w:pPr>
              <w:jc w:val="center"/>
              <w:ind w:right="130"/>
              <w:spacing w:after="0"/>
              <w:rPr>
                <w:sz w:val="20"/>
                <w:szCs w:val="20"/>
                <w:color w:val="auto"/>
              </w:rPr>
            </w:pPr>
            <w:r>
              <w:rPr>
                <w:rFonts w:ascii="Arial" w:cs="Arial" w:eastAsia="Arial" w:hAnsi="Arial"/>
                <w:sz w:val="18"/>
                <w:szCs w:val="18"/>
                <w:color w:val="auto"/>
                <w:w w:val="87"/>
              </w:rPr>
              <w:t>3.1</w:t>
            </w:r>
          </w:p>
        </w:tc>
        <w:tc>
          <w:tcPr>
            <w:tcW w:w="10400" w:type="dxa"/>
            <w:vAlign w:val="bottom"/>
            <w:gridSpan w:val="6"/>
          </w:tcPr>
          <w:p>
            <w:pPr>
              <w:spacing w:after="0"/>
              <w:rPr>
                <w:rFonts w:ascii="Arial" w:cs="Arial" w:eastAsia="Arial" w:hAnsi="Arial"/>
                <w:sz w:val="18"/>
                <w:szCs w:val="18"/>
                <w:color w:val="0000FF"/>
              </w:rPr>
            </w:pPr>
            <w:hyperlink r:id="rId98">
              <w:r>
                <w:rPr>
                  <w:rFonts w:ascii="Arial" w:cs="Arial" w:eastAsia="Arial" w:hAnsi="Arial"/>
                  <w:sz w:val="18"/>
                  <w:szCs w:val="18"/>
                  <w:u w:val="single" w:color="auto"/>
                  <w:color w:val="0000FF"/>
                </w:rPr>
                <w:t>Articles of Amendment and Restatement</w:t>
              </w:r>
            </w:hyperlink>
            <w:r>
              <w:rPr>
                <w:rFonts w:ascii="Arial" w:cs="Arial" w:eastAsia="Arial" w:hAnsi="Arial"/>
                <w:sz w:val="23"/>
                <w:szCs w:val="23"/>
                <w:color w:val="000000"/>
                <w:vertAlign w:val="superscript"/>
              </w:rPr>
              <w:t>(1)</w:t>
            </w:r>
          </w:p>
        </w:tc>
        <w:tc>
          <w:tcPr>
            <w:tcW w:w="0" w:type="dxa"/>
            <w:vAlign w:val="bottom"/>
          </w:tcPr>
          <w:p>
            <w:pPr>
              <w:spacing w:after="0"/>
              <w:rPr>
                <w:sz w:val="1"/>
                <w:szCs w:val="1"/>
                <w:color w:val="auto"/>
              </w:rPr>
            </w:pPr>
          </w:p>
        </w:tc>
      </w:tr>
      <w:tr>
        <w:trPr>
          <w:trHeight w:val="270"/>
        </w:trPr>
        <w:tc>
          <w:tcPr>
            <w:tcW w:w="520" w:type="dxa"/>
            <w:vAlign w:val="bottom"/>
          </w:tcPr>
          <w:p>
            <w:pPr>
              <w:jc w:val="center"/>
              <w:ind w:right="130"/>
              <w:spacing w:after="0"/>
              <w:rPr>
                <w:sz w:val="20"/>
                <w:szCs w:val="20"/>
                <w:color w:val="auto"/>
              </w:rPr>
            </w:pPr>
            <w:r>
              <w:rPr>
                <w:rFonts w:ascii="Arial" w:cs="Arial" w:eastAsia="Arial" w:hAnsi="Arial"/>
                <w:sz w:val="18"/>
                <w:szCs w:val="18"/>
                <w:color w:val="auto"/>
                <w:w w:val="87"/>
              </w:rPr>
              <w:t>3.2</w:t>
            </w:r>
          </w:p>
        </w:tc>
        <w:tc>
          <w:tcPr>
            <w:tcW w:w="10400" w:type="dxa"/>
            <w:vAlign w:val="bottom"/>
            <w:gridSpan w:val="6"/>
          </w:tcPr>
          <w:p>
            <w:pPr>
              <w:spacing w:after="0"/>
              <w:rPr>
                <w:rFonts w:ascii="Arial" w:cs="Arial" w:eastAsia="Arial" w:hAnsi="Arial"/>
                <w:sz w:val="18"/>
                <w:szCs w:val="18"/>
                <w:color w:val="0000FF"/>
              </w:rPr>
            </w:pPr>
            <w:hyperlink r:id="rId99">
              <w:r>
                <w:rPr>
                  <w:rFonts w:ascii="Arial" w:cs="Arial" w:eastAsia="Arial" w:hAnsi="Arial"/>
                  <w:sz w:val="18"/>
                  <w:szCs w:val="18"/>
                  <w:u w:val="single" w:color="auto"/>
                  <w:color w:val="0000FF"/>
                </w:rPr>
                <w:t>Articles of Amendment</w:t>
              </w:r>
            </w:hyperlink>
            <w:r>
              <w:rPr>
                <w:rFonts w:ascii="Arial" w:cs="Arial" w:eastAsia="Arial" w:hAnsi="Arial"/>
                <w:sz w:val="23"/>
                <w:szCs w:val="23"/>
                <w:color w:val="000000"/>
                <w:vertAlign w:val="superscript"/>
              </w:rPr>
              <w:t>(2)</w:t>
            </w:r>
          </w:p>
        </w:tc>
        <w:tc>
          <w:tcPr>
            <w:tcW w:w="0" w:type="dxa"/>
            <w:vAlign w:val="bottom"/>
          </w:tcPr>
          <w:p>
            <w:pPr>
              <w:spacing w:after="0"/>
              <w:rPr>
                <w:sz w:val="1"/>
                <w:szCs w:val="1"/>
                <w:color w:val="auto"/>
              </w:rPr>
            </w:pPr>
          </w:p>
        </w:tc>
      </w:tr>
      <w:tr>
        <w:trPr>
          <w:trHeight w:val="283"/>
        </w:trPr>
        <w:tc>
          <w:tcPr>
            <w:tcW w:w="520" w:type="dxa"/>
            <w:vAlign w:val="bottom"/>
          </w:tcPr>
          <w:p>
            <w:pPr>
              <w:jc w:val="center"/>
              <w:ind w:right="130"/>
              <w:spacing w:after="0"/>
              <w:rPr>
                <w:sz w:val="20"/>
                <w:szCs w:val="20"/>
                <w:color w:val="auto"/>
              </w:rPr>
            </w:pPr>
            <w:r>
              <w:rPr>
                <w:rFonts w:ascii="Arial" w:cs="Arial" w:eastAsia="Arial" w:hAnsi="Arial"/>
                <w:sz w:val="18"/>
                <w:szCs w:val="18"/>
                <w:color w:val="auto"/>
                <w:w w:val="87"/>
              </w:rPr>
              <w:t>3.3</w:t>
            </w:r>
          </w:p>
        </w:tc>
        <w:tc>
          <w:tcPr>
            <w:tcW w:w="10400" w:type="dxa"/>
            <w:vAlign w:val="bottom"/>
            <w:gridSpan w:val="6"/>
          </w:tcPr>
          <w:p>
            <w:pPr>
              <w:spacing w:after="0"/>
              <w:rPr>
                <w:rFonts w:ascii="Arial" w:cs="Arial" w:eastAsia="Arial" w:hAnsi="Arial"/>
                <w:sz w:val="18"/>
                <w:szCs w:val="18"/>
                <w:color w:val="0000FF"/>
              </w:rPr>
            </w:pPr>
            <w:hyperlink r:id="rId100">
              <w:r>
                <w:rPr>
                  <w:rFonts w:ascii="Arial" w:cs="Arial" w:eastAsia="Arial" w:hAnsi="Arial"/>
                  <w:sz w:val="18"/>
                  <w:szCs w:val="18"/>
                  <w:u w:val="single" w:color="auto"/>
                  <w:color w:val="0000FF"/>
                </w:rPr>
                <w:t>Articles of Amendment</w:t>
              </w:r>
            </w:hyperlink>
            <w:r>
              <w:rPr>
                <w:rFonts w:ascii="Arial" w:cs="Arial" w:eastAsia="Arial" w:hAnsi="Arial"/>
                <w:sz w:val="23"/>
                <w:szCs w:val="23"/>
                <w:color w:val="000000"/>
                <w:vertAlign w:val="superscript"/>
              </w:rPr>
              <w:t>(3)</w:t>
            </w:r>
          </w:p>
        </w:tc>
        <w:tc>
          <w:tcPr>
            <w:tcW w:w="0" w:type="dxa"/>
            <w:vAlign w:val="bottom"/>
          </w:tcPr>
          <w:p>
            <w:pPr>
              <w:spacing w:after="0"/>
              <w:rPr>
                <w:sz w:val="1"/>
                <w:szCs w:val="1"/>
                <w:color w:val="auto"/>
              </w:rPr>
            </w:pPr>
          </w:p>
        </w:tc>
      </w:tr>
      <w:tr>
        <w:trPr>
          <w:trHeight w:val="217"/>
        </w:trPr>
        <w:tc>
          <w:tcPr>
            <w:tcW w:w="520" w:type="dxa"/>
            <w:vAlign w:val="bottom"/>
          </w:tcPr>
          <w:p>
            <w:pPr>
              <w:jc w:val="center"/>
              <w:ind w:right="130"/>
              <w:spacing w:after="0"/>
              <w:rPr>
                <w:sz w:val="20"/>
                <w:szCs w:val="20"/>
                <w:color w:val="auto"/>
              </w:rPr>
            </w:pPr>
            <w:r>
              <w:rPr>
                <w:rFonts w:ascii="Arial" w:cs="Arial" w:eastAsia="Arial" w:hAnsi="Arial"/>
                <w:sz w:val="18"/>
                <w:szCs w:val="18"/>
                <w:color w:val="auto"/>
                <w:w w:val="87"/>
              </w:rPr>
              <w:t>3.4</w:t>
            </w:r>
          </w:p>
        </w:tc>
        <w:tc>
          <w:tcPr>
            <w:tcW w:w="10400" w:type="dxa"/>
            <w:vAlign w:val="bottom"/>
            <w:gridSpan w:val="6"/>
          </w:tcPr>
          <w:p>
            <w:pPr>
              <w:spacing w:after="0" w:line="216" w:lineRule="exact"/>
              <w:rPr>
                <w:rFonts w:ascii="Arial" w:cs="Arial" w:eastAsia="Arial" w:hAnsi="Arial"/>
                <w:sz w:val="18"/>
                <w:szCs w:val="18"/>
                <w:color w:val="0000FF"/>
              </w:rPr>
            </w:pPr>
            <w:hyperlink r:id="rId101">
              <w:r>
                <w:rPr>
                  <w:rFonts w:ascii="Arial" w:cs="Arial" w:eastAsia="Arial" w:hAnsi="Arial"/>
                  <w:sz w:val="18"/>
                  <w:szCs w:val="18"/>
                  <w:color w:val="0000FF"/>
                </w:rPr>
                <w:t>Articles of Amendment</w:t>
              </w:r>
            </w:hyperlink>
            <w:r>
              <w:rPr>
                <w:rFonts w:ascii="Arial" w:cs="Arial" w:eastAsia="Arial" w:hAnsi="Arial"/>
                <w:sz w:val="23"/>
                <w:szCs w:val="23"/>
                <w:color w:val="000000"/>
                <w:vertAlign w:val="superscript"/>
              </w:rPr>
              <w:t>(4)</w:t>
            </w:r>
          </w:p>
        </w:tc>
        <w:tc>
          <w:tcPr>
            <w:tcW w:w="0" w:type="dxa"/>
            <w:vAlign w:val="bottom"/>
          </w:tcPr>
          <w:p>
            <w:pPr>
              <w:spacing w:after="0"/>
              <w:rPr>
                <w:sz w:val="1"/>
                <w:szCs w:val="1"/>
                <w:color w:val="auto"/>
              </w:rPr>
            </w:pPr>
          </w:p>
        </w:tc>
      </w:tr>
      <w:tr>
        <w:trPr>
          <w:trHeight w:val="20"/>
        </w:trPr>
        <w:tc>
          <w:tcPr>
            <w:tcW w:w="520" w:type="dxa"/>
            <w:vAlign w:val="bottom"/>
            <w:vMerge w:val="restart"/>
          </w:tcPr>
          <w:p>
            <w:pPr>
              <w:jc w:val="center"/>
              <w:ind w:right="130"/>
              <w:spacing w:after="0"/>
              <w:rPr>
                <w:sz w:val="20"/>
                <w:szCs w:val="20"/>
                <w:color w:val="auto"/>
              </w:rPr>
            </w:pPr>
            <w:r>
              <w:rPr>
                <w:rFonts w:ascii="Arial" w:cs="Arial" w:eastAsia="Arial" w:hAnsi="Arial"/>
                <w:sz w:val="18"/>
                <w:szCs w:val="18"/>
                <w:color w:val="auto"/>
                <w:w w:val="87"/>
              </w:rPr>
              <w:t>3.5</w:t>
            </w: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520" w:type="dxa"/>
            <w:vAlign w:val="bottom"/>
            <w:vMerge w:val="continue"/>
          </w:tcPr>
          <w:p>
            <w:pPr>
              <w:spacing w:after="0"/>
              <w:rPr>
                <w:sz w:val="24"/>
                <w:szCs w:val="24"/>
                <w:color w:val="auto"/>
              </w:rPr>
            </w:pPr>
          </w:p>
        </w:tc>
        <w:tc>
          <w:tcPr>
            <w:tcW w:w="10400" w:type="dxa"/>
            <w:vAlign w:val="bottom"/>
            <w:gridSpan w:val="6"/>
          </w:tcPr>
          <w:p>
            <w:pPr>
              <w:spacing w:after="0"/>
              <w:rPr>
                <w:rFonts w:ascii="Arial" w:cs="Arial" w:eastAsia="Arial" w:hAnsi="Arial"/>
                <w:sz w:val="18"/>
                <w:szCs w:val="18"/>
                <w:u w:val="single" w:color="auto"/>
                <w:color w:val="0000FF"/>
              </w:rPr>
            </w:pPr>
            <w:hyperlink r:id="rId102">
              <w:r>
                <w:rPr>
                  <w:rFonts w:ascii="Arial" w:cs="Arial" w:eastAsia="Arial" w:hAnsi="Arial"/>
                  <w:sz w:val="18"/>
                  <w:szCs w:val="18"/>
                  <w:u w:val="single" w:color="auto"/>
                  <w:color w:val="0000FF"/>
                </w:rPr>
                <w:t>Second Amended and Restated Bylaws</w:t>
              </w:r>
              <w:r>
                <w:rPr>
                  <w:rFonts w:ascii="Arial" w:cs="Arial" w:eastAsia="Arial" w:hAnsi="Arial"/>
                  <w:sz w:val="23"/>
                  <w:szCs w:val="23"/>
                  <w:u w:val="single" w:color="auto"/>
                  <w:color w:val="0000FF"/>
                  <w:vertAlign w:val="superscript"/>
                </w:rPr>
                <w:t>(4)</w:t>
              </w:r>
            </w:hyperlink>
          </w:p>
        </w:tc>
        <w:tc>
          <w:tcPr>
            <w:tcW w:w="0" w:type="dxa"/>
            <w:vAlign w:val="bottom"/>
          </w:tcPr>
          <w:p>
            <w:pPr>
              <w:spacing w:after="0"/>
              <w:rPr>
                <w:sz w:val="1"/>
                <w:szCs w:val="1"/>
                <w:color w:val="auto"/>
              </w:rPr>
            </w:pPr>
          </w:p>
        </w:tc>
      </w:tr>
      <w:tr>
        <w:trPr>
          <w:trHeight w:val="217"/>
        </w:trPr>
        <w:tc>
          <w:tcPr>
            <w:tcW w:w="520" w:type="dxa"/>
            <w:vAlign w:val="bottom"/>
          </w:tcPr>
          <w:p>
            <w:pPr>
              <w:jc w:val="center"/>
              <w:ind w:right="130"/>
              <w:spacing w:after="0"/>
              <w:rPr>
                <w:sz w:val="20"/>
                <w:szCs w:val="20"/>
                <w:color w:val="auto"/>
              </w:rPr>
            </w:pPr>
            <w:r>
              <w:rPr>
                <w:rFonts w:ascii="Arial" w:cs="Arial" w:eastAsia="Arial" w:hAnsi="Arial"/>
                <w:sz w:val="18"/>
                <w:szCs w:val="18"/>
                <w:color w:val="auto"/>
                <w:w w:val="85"/>
              </w:rPr>
              <w:t>10.1</w:t>
            </w:r>
          </w:p>
        </w:tc>
        <w:tc>
          <w:tcPr>
            <w:tcW w:w="10400" w:type="dxa"/>
            <w:vAlign w:val="bottom"/>
            <w:gridSpan w:val="6"/>
          </w:tcPr>
          <w:p>
            <w:pPr>
              <w:spacing w:after="0" w:line="216" w:lineRule="exact"/>
              <w:rPr>
                <w:rFonts w:ascii="Arial" w:cs="Arial" w:eastAsia="Arial" w:hAnsi="Arial"/>
                <w:sz w:val="18"/>
                <w:szCs w:val="18"/>
                <w:color w:val="0000FF"/>
              </w:rPr>
            </w:pPr>
            <w:r>
              <w:rPr>
                <w:rFonts w:ascii="Arial" w:cs="Arial" w:eastAsia="Arial" w:hAnsi="Arial"/>
                <w:sz w:val="18"/>
                <w:szCs w:val="18"/>
                <w:color w:val="0000FF"/>
              </w:rPr>
              <w:t>SuR</w:t>
            </w:r>
            <w:hyperlink r:id="rId103">
              <w:r>
                <w:rPr>
                  <w:rFonts w:ascii="Arial" w:cs="Arial" w:eastAsia="Arial" w:hAnsi="Arial"/>
                  <w:sz w:val="18"/>
                  <w:szCs w:val="18"/>
                  <w:color w:val="0000FF"/>
                </w:rPr>
                <w:t xml:space="preserve">o </w:t>
              </w:r>
            </w:hyperlink>
            <w:r>
              <w:rPr>
                <w:rFonts w:ascii="Arial" w:cs="Arial" w:eastAsia="Arial" w:hAnsi="Arial"/>
                <w:sz w:val="18"/>
                <w:szCs w:val="18"/>
                <w:color w:val="0000FF"/>
              </w:rPr>
              <w:t xml:space="preserve">Capital </w:t>
            </w:r>
            <w:hyperlink r:id="rId103">
              <w:r>
                <w:rPr>
                  <w:rFonts w:ascii="Arial" w:cs="Arial" w:eastAsia="Arial" w:hAnsi="Arial"/>
                  <w:sz w:val="18"/>
                  <w:szCs w:val="18"/>
                  <w:u w:val="single" w:color="auto"/>
                  <w:color w:val="0000FF"/>
                </w:rPr>
                <w:t xml:space="preserve">Corp. Amended and </w:t>
              </w:r>
            </w:hyperlink>
            <w:r>
              <w:rPr>
                <w:rFonts w:ascii="Arial" w:cs="Arial" w:eastAsia="Arial" w:hAnsi="Arial"/>
                <w:sz w:val="18"/>
                <w:szCs w:val="18"/>
                <w:color w:val="0000FF"/>
              </w:rPr>
              <w:t xml:space="preserve">Restated </w:t>
            </w:r>
            <w:hyperlink r:id="rId103">
              <w:r>
                <w:rPr>
                  <w:rFonts w:ascii="Arial" w:cs="Arial" w:eastAsia="Arial" w:hAnsi="Arial"/>
                  <w:sz w:val="18"/>
                  <w:szCs w:val="18"/>
                  <w:u w:val="single" w:color="auto"/>
                  <w:color w:val="0000FF"/>
                </w:rPr>
                <w:t>2019 Equity Incentive Plan</w:t>
              </w:r>
              <w:r>
                <w:rPr>
                  <w:rFonts w:ascii="Arial" w:cs="Arial" w:eastAsia="Arial" w:hAnsi="Arial"/>
                  <w:sz w:val="23"/>
                  <w:szCs w:val="23"/>
                  <w:u w:val="single" w:color="auto"/>
                  <w:color w:val="0000FF"/>
                  <w:vertAlign w:val="superscript"/>
                </w:rPr>
                <w:t>(5)</w:t>
              </w:r>
            </w:hyperlink>
          </w:p>
        </w:tc>
        <w:tc>
          <w:tcPr>
            <w:tcW w:w="0" w:type="dxa"/>
            <w:vAlign w:val="bottom"/>
          </w:tcPr>
          <w:p>
            <w:pPr>
              <w:spacing w:after="0"/>
              <w:rPr>
                <w:sz w:val="1"/>
                <w:szCs w:val="1"/>
                <w:color w:val="auto"/>
              </w:rPr>
            </w:pPr>
          </w:p>
        </w:tc>
      </w:tr>
      <w:tr>
        <w:trPr>
          <w:trHeight w:val="20"/>
        </w:trPr>
        <w:tc>
          <w:tcPr>
            <w:tcW w:w="520" w:type="dxa"/>
            <w:vAlign w:val="bottom"/>
            <w:vMerge w:val="restart"/>
          </w:tcPr>
          <w:p>
            <w:pPr>
              <w:jc w:val="center"/>
              <w:ind w:right="130"/>
              <w:spacing w:after="0"/>
              <w:rPr>
                <w:sz w:val="20"/>
                <w:szCs w:val="20"/>
                <w:color w:val="auto"/>
              </w:rPr>
            </w:pPr>
            <w:r>
              <w:rPr>
                <w:rFonts w:ascii="Arial" w:cs="Arial" w:eastAsia="Arial" w:hAnsi="Arial"/>
                <w:sz w:val="18"/>
                <w:szCs w:val="18"/>
                <w:color w:val="auto"/>
                <w:w w:val="85"/>
              </w:rPr>
              <w:t>10.2</w:t>
            </w: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520" w:type="dxa"/>
            <w:vAlign w:val="bottom"/>
            <w:vMerge w:val="continue"/>
          </w:tcPr>
          <w:p>
            <w:pPr>
              <w:spacing w:after="0"/>
              <w:rPr>
                <w:sz w:val="24"/>
                <w:szCs w:val="24"/>
                <w:color w:val="auto"/>
              </w:rPr>
            </w:pPr>
          </w:p>
        </w:tc>
        <w:tc>
          <w:tcPr>
            <w:tcW w:w="10400" w:type="dxa"/>
            <w:vAlign w:val="bottom"/>
            <w:gridSpan w:val="6"/>
          </w:tcPr>
          <w:p>
            <w:pPr>
              <w:spacing w:after="0"/>
              <w:rPr>
                <w:rFonts w:ascii="Arial" w:cs="Arial" w:eastAsia="Arial" w:hAnsi="Arial"/>
                <w:sz w:val="18"/>
                <w:szCs w:val="18"/>
                <w:color w:val="0000FF"/>
              </w:rPr>
            </w:pPr>
            <w:hyperlink r:id="rId104">
              <w:r>
                <w:rPr>
                  <w:rFonts w:ascii="Arial" w:cs="Arial" w:eastAsia="Arial" w:hAnsi="Arial"/>
                  <w:sz w:val="18"/>
                  <w:szCs w:val="18"/>
                  <w:u w:val="single" w:color="auto"/>
                  <w:color w:val="0000FF"/>
                </w:rPr>
                <w:t>Form of SuRo Capital</w:t>
              </w:r>
              <w:r>
                <w:rPr>
                  <w:rFonts w:ascii="Arial" w:cs="Arial" w:eastAsia="Arial" w:hAnsi="Arial"/>
                  <w:sz w:val="18"/>
                  <w:szCs w:val="18"/>
                  <w:color w:val="0000FF"/>
                </w:rPr>
                <w:t xml:space="preserve"> </w:t>
              </w:r>
            </w:hyperlink>
            <w:r>
              <w:rPr>
                <w:rFonts w:ascii="Arial" w:cs="Arial" w:eastAsia="Arial" w:hAnsi="Arial"/>
                <w:sz w:val="18"/>
                <w:szCs w:val="18"/>
                <w:color w:val="0000FF"/>
              </w:rPr>
              <w:t>Corp</w:t>
            </w:r>
            <w:hyperlink r:id="rId104">
              <w:r>
                <w:rPr>
                  <w:rFonts w:ascii="Arial" w:cs="Arial" w:eastAsia="Arial" w:hAnsi="Arial"/>
                  <w:sz w:val="18"/>
                  <w:szCs w:val="18"/>
                  <w:u w:val="single" w:color="auto"/>
                  <w:color w:val="0000FF"/>
                </w:rPr>
                <w:t>. Restricted Stock Agreement (Non-Employee Directors)</w:t>
              </w:r>
              <w:r>
                <w:rPr>
                  <w:rFonts w:ascii="Arial" w:cs="Arial" w:eastAsia="Arial" w:hAnsi="Arial"/>
                  <w:sz w:val="23"/>
                  <w:szCs w:val="23"/>
                  <w:u w:val="single" w:color="auto"/>
                  <w:color w:val="0000FF"/>
                  <w:vertAlign w:val="superscript"/>
                </w:rPr>
                <w:t>(5)</w:t>
              </w:r>
            </w:hyperlink>
          </w:p>
        </w:tc>
        <w:tc>
          <w:tcPr>
            <w:tcW w:w="0" w:type="dxa"/>
            <w:vAlign w:val="bottom"/>
          </w:tcPr>
          <w:p>
            <w:pPr>
              <w:spacing w:after="0"/>
              <w:rPr>
                <w:sz w:val="1"/>
                <w:szCs w:val="1"/>
                <w:color w:val="auto"/>
              </w:rPr>
            </w:pPr>
          </w:p>
        </w:tc>
      </w:tr>
      <w:tr>
        <w:trPr>
          <w:trHeight w:val="270"/>
        </w:trPr>
        <w:tc>
          <w:tcPr>
            <w:tcW w:w="520" w:type="dxa"/>
            <w:vAlign w:val="bottom"/>
          </w:tcPr>
          <w:p>
            <w:pPr>
              <w:jc w:val="center"/>
              <w:ind w:right="130"/>
              <w:spacing w:after="0"/>
              <w:rPr>
                <w:sz w:val="20"/>
                <w:szCs w:val="20"/>
                <w:color w:val="auto"/>
              </w:rPr>
            </w:pPr>
            <w:r>
              <w:rPr>
                <w:rFonts w:ascii="Arial" w:cs="Arial" w:eastAsia="Arial" w:hAnsi="Arial"/>
                <w:sz w:val="18"/>
                <w:szCs w:val="18"/>
                <w:color w:val="auto"/>
                <w:w w:val="85"/>
              </w:rPr>
              <w:t>10.3</w:t>
            </w:r>
          </w:p>
        </w:tc>
        <w:tc>
          <w:tcPr>
            <w:tcW w:w="10400" w:type="dxa"/>
            <w:vAlign w:val="bottom"/>
            <w:gridSpan w:val="6"/>
          </w:tcPr>
          <w:p>
            <w:pPr>
              <w:spacing w:after="0"/>
              <w:rPr>
                <w:rFonts w:ascii="Arial" w:cs="Arial" w:eastAsia="Arial" w:hAnsi="Arial"/>
                <w:sz w:val="18"/>
                <w:szCs w:val="18"/>
                <w:u w:val="single" w:color="auto"/>
                <w:color w:val="0000FF"/>
              </w:rPr>
            </w:pPr>
            <w:hyperlink r:id="rId105">
              <w:r>
                <w:rPr>
                  <w:rFonts w:ascii="Arial" w:cs="Arial" w:eastAsia="Arial" w:hAnsi="Arial"/>
                  <w:sz w:val="18"/>
                  <w:szCs w:val="18"/>
                  <w:u w:val="single" w:color="auto"/>
                  <w:color w:val="0000FF"/>
                </w:rPr>
                <w:t>Form of SuRo Capital Corp. Restricted Stock Agreement (Employees and Officers)</w:t>
              </w:r>
              <w:r>
                <w:rPr>
                  <w:rFonts w:ascii="Arial" w:cs="Arial" w:eastAsia="Arial" w:hAnsi="Arial"/>
                  <w:sz w:val="23"/>
                  <w:szCs w:val="23"/>
                  <w:u w:val="single" w:color="auto"/>
                  <w:color w:val="0000FF"/>
                  <w:vertAlign w:val="superscript"/>
                </w:rPr>
                <w:t>(5)</w:t>
              </w:r>
            </w:hyperlink>
          </w:p>
        </w:tc>
        <w:tc>
          <w:tcPr>
            <w:tcW w:w="0" w:type="dxa"/>
            <w:vAlign w:val="bottom"/>
          </w:tcPr>
          <w:p>
            <w:pPr>
              <w:spacing w:after="0"/>
              <w:rPr>
                <w:sz w:val="1"/>
                <w:szCs w:val="1"/>
                <w:color w:val="auto"/>
              </w:rPr>
            </w:pPr>
          </w:p>
        </w:tc>
      </w:tr>
      <w:tr>
        <w:trPr>
          <w:trHeight w:val="257"/>
        </w:trPr>
        <w:tc>
          <w:tcPr>
            <w:tcW w:w="520" w:type="dxa"/>
            <w:vAlign w:val="bottom"/>
          </w:tcPr>
          <w:p>
            <w:pPr>
              <w:jc w:val="center"/>
              <w:ind w:right="130"/>
              <w:spacing w:after="0"/>
              <w:rPr>
                <w:sz w:val="20"/>
                <w:szCs w:val="20"/>
                <w:color w:val="auto"/>
              </w:rPr>
            </w:pPr>
            <w:r>
              <w:rPr>
                <w:rFonts w:ascii="Arial" w:cs="Arial" w:eastAsia="Arial" w:hAnsi="Arial"/>
                <w:sz w:val="18"/>
                <w:szCs w:val="18"/>
                <w:color w:val="auto"/>
                <w:w w:val="85"/>
              </w:rPr>
              <w:t>10.4</w:t>
            </w:r>
          </w:p>
        </w:tc>
        <w:tc>
          <w:tcPr>
            <w:tcW w:w="10400" w:type="dxa"/>
            <w:vAlign w:val="bottom"/>
            <w:gridSpan w:val="6"/>
          </w:tcPr>
          <w:p>
            <w:pPr>
              <w:spacing w:after="0" w:line="256" w:lineRule="exact"/>
              <w:rPr>
                <w:rFonts w:ascii="Arial" w:cs="Arial" w:eastAsia="Arial" w:hAnsi="Arial"/>
                <w:sz w:val="18"/>
                <w:szCs w:val="18"/>
                <w:u w:val="single" w:color="auto"/>
                <w:color w:val="0000FF"/>
              </w:rPr>
            </w:pPr>
            <w:hyperlink r:id="rId106">
              <w:r>
                <w:rPr>
                  <w:rFonts w:ascii="Arial" w:cs="Arial" w:eastAsia="Arial" w:hAnsi="Arial"/>
                  <w:sz w:val="18"/>
                  <w:szCs w:val="18"/>
                  <w:u w:val="single" w:color="auto"/>
                  <w:color w:val="0000FF"/>
                </w:rPr>
                <w:t>Form of SuRo Capital Corp. Non-Qualified Stock Option Award</w:t>
              </w:r>
              <w:r>
                <w:rPr>
                  <w:rFonts w:ascii="Arial" w:cs="Arial" w:eastAsia="Arial" w:hAnsi="Arial"/>
                  <w:sz w:val="23"/>
                  <w:szCs w:val="23"/>
                  <w:u w:val="single" w:color="auto"/>
                  <w:color w:val="0000FF"/>
                  <w:vertAlign w:val="superscript"/>
                </w:rPr>
                <w:t>(5)</w:t>
              </w:r>
            </w:hyperlink>
          </w:p>
        </w:tc>
        <w:tc>
          <w:tcPr>
            <w:tcW w:w="0" w:type="dxa"/>
            <w:vAlign w:val="bottom"/>
          </w:tcPr>
          <w:p>
            <w:pPr>
              <w:spacing w:after="0"/>
              <w:rPr>
                <w:sz w:val="1"/>
                <w:szCs w:val="1"/>
                <w:color w:val="auto"/>
              </w:rPr>
            </w:pPr>
          </w:p>
        </w:tc>
      </w:tr>
      <w:tr>
        <w:trPr>
          <w:trHeight w:val="190"/>
        </w:trPr>
        <w:tc>
          <w:tcPr>
            <w:tcW w:w="520" w:type="dxa"/>
            <w:vAlign w:val="bottom"/>
          </w:tcPr>
          <w:p>
            <w:pPr>
              <w:jc w:val="center"/>
              <w:ind w:right="130"/>
              <w:spacing w:after="0" w:line="170" w:lineRule="exact"/>
              <w:rPr>
                <w:sz w:val="20"/>
                <w:szCs w:val="20"/>
                <w:color w:val="auto"/>
              </w:rPr>
            </w:pPr>
            <w:r>
              <w:rPr>
                <w:rFonts w:ascii="Arial" w:cs="Arial" w:eastAsia="Arial" w:hAnsi="Arial"/>
                <w:sz w:val="18"/>
                <w:szCs w:val="18"/>
                <w:color w:val="auto"/>
                <w:w w:val="85"/>
              </w:rPr>
              <w:t>10.5</w:t>
            </w:r>
          </w:p>
        </w:tc>
        <w:tc>
          <w:tcPr>
            <w:tcW w:w="10400" w:type="dxa"/>
            <w:vAlign w:val="bottom"/>
            <w:gridSpan w:val="6"/>
          </w:tcPr>
          <w:p>
            <w:pPr>
              <w:spacing w:after="0" w:line="170" w:lineRule="exact"/>
              <w:rPr>
                <w:rFonts w:ascii="Arial" w:cs="Arial" w:eastAsia="Arial" w:hAnsi="Arial"/>
                <w:sz w:val="18"/>
                <w:szCs w:val="18"/>
                <w:color w:val="0000FF"/>
                <w:w w:val="91"/>
              </w:rPr>
            </w:pPr>
            <w:hyperlink r:id="rId107">
              <w:r>
                <w:rPr>
                  <w:rFonts w:ascii="Arial" w:cs="Arial" w:eastAsia="Arial" w:hAnsi="Arial"/>
                  <w:sz w:val="18"/>
                  <w:szCs w:val="18"/>
                  <w:u w:val="single" w:color="auto"/>
                  <w:color w:val="0000FF"/>
                  <w:w w:val="91"/>
                </w:rPr>
                <w:t>At-the-Market Sales Agreement dated as of July 29,</w:t>
              </w:r>
              <w:r>
                <w:rPr>
                  <w:rFonts w:ascii="Arial" w:cs="Arial" w:eastAsia="Arial" w:hAnsi="Arial"/>
                  <w:sz w:val="18"/>
                  <w:szCs w:val="18"/>
                  <w:color w:val="0000FF"/>
                  <w:w w:val="91"/>
                </w:rPr>
                <w:t xml:space="preserve"> 2020, </w:t>
              </w:r>
              <w:r>
                <w:rPr>
                  <w:rFonts w:ascii="Arial" w:cs="Arial" w:eastAsia="Arial" w:hAnsi="Arial"/>
                  <w:sz w:val="18"/>
                  <w:szCs w:val="18"/>
                  <w:u w:val="single" w:color="auto"/>
                  <w:color w:val="0000FF"/>
                  <w:w w:val="91"/>
                </w:rPr>
                <w:t>by and</w:t>
              </w:r>
              <w:r>
                <w:rPr>
                  <w:rFonts w:ascii="Arial" w:cs="Arial" w:eastAsia="Arial" w:hAnsi="Arial"/>
                  <w:sz w:val="18"/>
                  <w:szCs w:val="18"/>
                  <w:color w:val="0000FF"/>
                  <w:w w:val="91"/>
                </w:rPr>
                <w:t xml:space="preserve"> among </w:t>
              </w:r>
              <w:r>
                <w:rPr>
                  <w:rFonts w:ascii="Arial" w:cs="Arial" w:eastAsia="Arial" w:hAnsi="Arial"/>
                  <w:sz w:val="18"/>
                  <w:szCs w:val="18"/>
                  <w:u w:val="single" w:color="auto"/>
                  <w:color w:val="0000FF"/>
                  <w:w w:val="91"/>
                </w:rPr>
                <w:t>SuRo Capital Corp., BTIG, LLC, JMP Securities LLC, and</w:t>
              </w:r>
              <w:r>
                <w:rPr>
                  <w:rFonts w:ascii="Arial" w:cs="Arial" w:eastAsia="Arial" w:hAnsi="Arial"/>
                  <w:sz w:val="18"/>
                  <w:szCs w:val="18"/>
                  <w:color w:val="0000FF"/>
                  <w:w w:val="91"/>
                </w:rPr>
                <w:t xml:space="preserve"> Ladenburg</w:t>
              </w:r>
            </w:hyperlink>
          </w:p>
        </w:tc>
        <w:tc>
          <w:tcPr>
            <w:tcW w:w="0" w:type="dxa"/>
            <w:vAlign w:val="bottom"/>
          </w:tcPr>
          <w:p>
            <w:pPr>
              <w:spacing w:after="0"/>
              <w:rPr>
                <w:sz w:val="1"/>
                <w:szCs w:val="1"/>
                <w:color w:val="auto"/>
              </w:rPr>
            </w:pPr>
          </w:p>
        </w:tc>
      </w:tr>
      <w:tr>
        <w:trPr>
          <w:trHeight w:val="156"/>
        </w:trPr>
        <w:tc>
          <w:tcPr>
            <w:tcW w:w="520" w:type="dxa"/>
            <w:vAlign w:val="bottom"/>
            <w:vMerge w:val="restart"/>
          </w:tcPr>
          <w:p>
            <w:pPr>
              <w:jc w:val="center"/>
              <w:ind w:right="130"/>
              <w:spacing w:after="0"/>
              <w:rPr>
                <w:sz w:val="20"/>
                <w:szCs w:val="20"/>
                <w:color w:val="auto"/>
              </w:rPr>
            </w:pPr>
            <w:r>
              <w:rPr>
                <w:rFonts w:ascii="Arial" w:cs="Arial" w:eastAsia="Arial" w:hAnsi="Arial"/>
                <w:sz w:val="18"/>
                <w:szCs w:val="18"/>
                <w:color w:val="auto"/>
                <w:w w:val="85"/>
              </w:rPr>
              <w:t>31.1</w:t>
            </w:r>
          </w:p>
        </w:tc>
        <w:tc>
          <w:tcPr>
            <w:tcW w:w="9720" w:type="dxa"/>
            <w:vAlign w:val="bottom"/>
            <w:gridSpan w:val="4"/>
          </w:tcPr>
          <w:p>
            <w:pPr>
              <w:spacing w:after="0" w:line="156" w:lineRule="exact"/>
              <w:rPr>
                <w:rFonts w:ascii="Arial" w:cs="Arial" w:eastAsia="Arial" w:hAnsi="Arial"/>
                <w:sz w:val="14"/>
                <w:szCs w:val="14"/>
                <w:color w:val="0000FF"/>
              </w:rPr>
            </w:pPr>
            <w:hyperlink r:id="rId107">
              <w:r>
                <w:rPr>
                  <w:rFonts w:ascii="Arial" w:cs="Arial" w:eastAsia="Arial" w:hAnsi="Arial"/>
                  <w:sz w:val="14"/>
                  <w:szCs w:val="14"/>
                  <w:color w:val="0000FF"/>
                </w:rPr>
                <w:t xml:space="preserve">Thalmann </w:t>
              </w:r>
              <w:r>
                <w:rPr>
                  <w:rFonts w:ascii="Arial" w:cs="Arial" w:eastAsia="Arial" w:hAnsi="Arial"/>
                  <w:sz w:val="14"/>
                  <w:szCs w:val="14"/>
                  <w:u w:val="single" w:color="auto"/>
                  <w:color w:val="0000FF"/>
                </w:rPr>
                <w:t>&amp; Co., Inc.</w:t>
              </w:r>
              <w:r>
                <w:rPr>
                  <w:rFonts w:ascii="Arial" w:cs="Arial" w:eastAsia="Arial" w:hAnsi="Arial"/>
                  <w:sz w:val="14"/>
                  <w:szCs w:val="14"/>
                  <w:color w:val="0000FF"/>
                </w:rPr>
                <w:t xml:space="preserve"> </w:t>
              </w:r>
              <w:r>
                <w:rPr>
                  <w:rFonts w:ascii="Arial" w:cs="Arial" w:eastAsia="Arial" w:hAnsi="Arial"/>
                  <w:sz w:val="18"/>
                  <w:szCs w:val="18"/>
                  <w:u w:val="single" w:color="auto"/>
                  <w:color w:val="0000FF"/>
                  <w:vertAlign w:val="superscript"/>
                </w:rPr>
                <w:t>(6)</w:t>
              </w:r>
            </w:hyperlink>
          </w:p>
        </w:tc>
        <w:tc>
          <w:tcPr>
            <w:tcW w:w="6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vMerge w:val="continue"/>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20" w:type="dxa"/>
            <w:vAlign w:val="bottom"/>
            <w:vMerge w:val="continue"/>
          </w:tcPr>
          <w:p>
            <w:pPr>
              <w:spacing w:after="0"/>
              <w:rPr>
                <w:sz w:val="24"/>
                <w:szCs w:val="24"/>
                <w:color w:val="auto"/>
              </w:rPr>
            </w:pPr>
          </w:p>
        </w:tc>
        <w:tc>
          <w:tcPr>
            <w:tcW w:w="10400" w:type="dxa"/>
            <w:vAlign w:val="bottom"/>
            <w:gridSpan w:val="6"/>
          </w:tcPr>
          <w:p>
            <w:pPr>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Certification of Chief Executive Officer pursuant to Rule 13a-14 of the Securities Exchange Act of 1934, as amended*</w:t>
              </w:r>
            </w:hyperlink>
          </w:p>
        </w:tc>
        <w:tc>
          <w:tcPr>
            <w:tcW w:w="0" w:type="dxa"/>
            <w:vAlign w:val="bottom"/>
          </w:tcPr>
          <w:p>
            <w:pPr>
              <w:spacing w:after="0"/>
              <w:rPr>
                <w:sz w:val="1"/>
                <w:szCs w:val="1"/>
                <w:color w:val="auto"/>
              </w:rPr>
            </w:pPr>
          </w:p>
        </w:tc>
      </w:tr>
      <w:tr>
        <w:trPr>
          <w:trHeight w:val="270"/>
        </w:trPr>
        <w:tc>
          <w:tcPr>
            <w:tcW w:w="520" w:type="dxa"/>
            <w:vAlign w:val="bottom"/>
          </w:tcPr>
          <w:p>
            <w:pPr>
              <w:jc w:val="center"/>
              <w:ind w:right="130"/>
              <w:spacing w:after="0"/>
              <w:rPr>
                <w:sz w:val="20"/>
                <w:szCs w:val="20"/>
                <w:color w:val="auto"/>
              </w:rPr>
            </w:pPr>
            <w:r>
              <w:rPr>
                <w:rFonts w:ascii="Arial" w:cs="Arial" w:eastAsia="Arial" w:hAnsi="Arial"/>
                <w:sz w:val="18"/>
                <w:szCs w:val="18"/>
                <w:color w:val="auto"/>
                <w:w w:val="85"/>
              </w:rPr>
              <w:t>31.2</w:t>
            </w:r>
          </w:p>
        </w:tc>
        <w:tc>
          <w:tcPr>
            <w:tcW w:w="10400" w:type="dxa"/>
            <w:vAlign w:val="bottom"/>
            <w:gridSpan w:val="6"/>
          </w:tcPr>
          <w:p>
            <w:pPr>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Certification of Chief Financial Officer pursuant to Rule 13a-14 of the Securities Exchange Act of 1934, as amended*</w:t>
              </w:r>
            </w:hyperlink>
          </w:p>
        </w:tc>
        <w:tc>
          <w:tcPr>
            <w:tcW w:w="0" w:type="dxa"/>
            <w:vAlign w:val="bottom"/>
          </w:tcPr>
          <w:p>
            <w:pPr>
              <w:spacing w:after="0"/>
              <w:rPr>
                <w:sz w:val="1"/>
                <w:szCs w:val="1"/>
                <w:color w:val="auto"/>
              </w:rPr>
            </w:pPr>
          </w:p>
        </w:tc>
      </w:tr>
      <w:tr>
        <w:trPr>
          <w:trHeight w:val="270"/>
        </w:trPr>
        <w:tc>
          <w:tcPr>
            <w:tcW w:w="520" w:type="dxa"/>
            <w:vAlign w:val="bottom"/>
          </w:tcPr>
          <w:p>
            <w:pPr>
              <w:jc w:val="center"/>
              <w:ind w:right="130"/>
              <w:spacing w:after="0"/>
              <w:rPr>
                <w:sz w:val="20"/>
                <w:szCs w:val="20"/>
                <w:color w:val="auto"/>
              </w:rPr>
            </w:pPr>
            <w:r>
              <w:rPr>
                <w:rFonts w:ascii="Arial" w:cs="Arial" w:eastAsia="Arial" w:hAnsi="Arial"/>
                <w:sz w:val="18"/>
                <w:szCs w:val="18"/>
                <w:color w:val="auto"/>
                <w:w w:val="85"/>
              </w:rPr>
              <w:t>32.1</w:t>
            </w:r>
          </w:p>
        </w:tc>
        <w:tc>
          <w:tcPr>
            <w:tcW w:w="10400" w:type="dxa"/>
            <w:vAlign w:val="bottom"/>
            <w:gridSpan w:val="6"/>
          </w:tcPr>
          <w:p>
            <w:pPr>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Certification of Chief Executive Officer pursuant to Section 906 of the Sarbanes-Oxley Act of 2002*</w:t>
              </w:r>
            </w:hyperlink>
          </w:p>
        </w:tc>
        <w:tc>
          <w:tcPr>
            <w:tcW w:w="0" w:type="dxa"/>
            <w:vAlign w:val="bottom"/>
          </w:tcPr>
          <w:p>
            <w:pPr>
              <w:spacing w:after="0"/>
              <w:rPr>
                <w:sz w:val="1"/>
                <w:szCs w:val="1"/>
                <w:color w:val="auto"/>
              </w:rPr>
            </w:pPr>
          </w:p>
        </w:tc>
      </w:tr>
      <w:tr>
        <w:trPr>
          <w:trHeight w:val="270"/>
        </w:trPr>
        <w:tc>
          <w:tcPr>
            <w:tcW w:w="520" w:type="dxa"/>
            <w:vAlign w:val="bottom"/>
          </w:tcPr>
          <w:p>
            <w:pPr>
              <w:jc w:val="center"/>
              <w:ind w:right="130"/>
              <w:spacing w:after="0"/>
              <w:rPr>
                <w:sz w:val="20"/>
                <w:szCs w:val="20"/>
                <w:color w:val="auto"/>
              </w:rPr>
            </w:pPr>
            <w:r>
              <w:rPr>
                <w:rFonts w:ascii="Arial" w:cs="Arial" w:eastAsia="Arial" w:hAnsi="Arial"/>
                <w:sz w:val="18"/>
                <w:szCs w:val="18"/>
                <w:color w:val="auto"/>
                <w:w w:val="85"/>
              </w:rPr>
              <w:t>32.2</w:t>
            </w:r>
          </w:p>
        </w:tc>
        <w:tc>
          <w:tcPr>
            <w:tcW w:w="10400" w:type="dxa"/>
            <w:vAlign w:val="bottom"/>
            <w:gridSpan w:val="6"/>
          </w:tcPr>
          <w:p>
            <w:pPr>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Certification of Chief Financial Officer pursuant to Section 906 of the Sarbanes-Oxley Act of 2002*</w:t>
              </w:r>
            </w:hyperlink>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w:t>
      </w:r>
    </w:p>
    <w:p>
      <w:pPr>
        <w:spacing w:after="0" w:line="27" w:lineRule="exact"/>
        <w:rPr>
          <w:sz w:val="20"/>
          <w:szCs w:val="20"/>
          <w:color w:val="auto"/>
        </w:rPr>
      </w:pPr>
    </w:p>
    <w:p>
      <w:pPr>
        <w:ind w:left="500" w:hanging="492"/>
        <w:spacing w:after="0" w:line="258" w:lineRule="auto"/>
        <w:tabs>
          <w:tab w:leader="none" w:pos="287"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2 to the Registrant’s Registration Statement on Form N-2 (File No. 333-171578) filed on March 30, 2011, and incorporated by reference herein.</w:t>
      </w:r>
    </w:p>
    <w:p>
      <w:pPr>
        <w:ind w:left="500" w:hanging="492"/>
        <w:spacing w:after="0" w:line="250" w:lineRule="auto"/>
        <w:tabs>
          <w:tab w:leader="none" w:pos="291"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Previously filed in connection with the Registrant’s Current Report on Form 8-K (File No. 814-00852) filed on June 1, 2011, and incorporated by reference herein.</w:t>
      </w:r>
    </w:p>
    <w:p>
      <w:pPr>
        <w:ind w:left="500" w:right="20" w:hanging="492"/>
        <w:spacing w:after="0" w:line="250" w:lineRule="auto"/>
        <w:tabs>
          <w:tab w:leader="none" w:pos="282"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Previously filed in connection with the Registrant’s Current Report on Form 8-K (File No. 814-00852) filed on August 1, 2019, and incorporated by reference herein.</w:t>
      </w:r>
    </w:p>
    <w:p>
      <w:pPr>
        <w:ind w:left="500" w:hanging="492"/>
        <w:spacing w:after="0" w:line="250" w:lineRule="auto"/>
        <w:tabs>
          <w:tab w:leader="none" w:pos="285"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Previously filed in conjunction with the Registrant's Current Report on Form 8-K (File No. 814-00852) filed on June 16, 2020, and incorporated by reference herein.</w:t>
      </w:r>
    </w:p>
    <w:p>
      <w:pPr>
        <w:ind w:left="500" w:hanging="492"/>
        <w:spacing w:after="0" w:line="250" w:lineRule="auto"/>
        <w:tabs>
          <w:tab w:leader="none" w:pos="272"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Previously filed in conjunction with the Registrant's Registration Statement on Form S-8 (File No. 333-239662) filed on July 2, 2020, and incorporated by reference herein.</w:t>
      </w:r>
    </w:p>
    <w:p>
      <w:pPr>
        <w:ind w:left="500" w:hanging="492"/>
        <w:spacing w:after="0" w:line="260" w:lineRule="auto"/>
        <w:tabs>
          <w:tab w:leader="none" w:pos="285"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Previously filed in connection with the Registrant's Current Report on Form 8-K (File No. 814-00852) filed on August 3, 2020 and incorporated by reference herein.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22" w:right="339" w:bottom="1440" w:gutter="0" w:footer="0" w:header="0"/>
        </w:sectPr>
      </w:pPr>
    </w:p>
    <w:bookmarkStart w:id="74" w:name="page75"/>
    <w:bookmarkEnd w:id="74"/>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9" w:lineRule="exact"/>
        <w:rPr>
          <w:sz w:val="20"/>
          <w:szCs w:val="20"/>
          <w:color w:val="auto"/>
        </w:rPr>
      </w:pPr>
    </w:p>
    <w:p>
      <w:pPr>
        <w:ind w:left="6040"/>
        <w:spacing w:after="0"/>
        <w:rPr>
          <w:sz w:val="20"/>
          <w:szCs w:val="20"/>
          <w:color w:val="auto"/>
        </w:rPr>
      </w:pPr>
      <w:r>
        <w:rPr>
          <w:rFonts w:ascii="Arial" w:cs="Arial" w:eastAsia="Arial" w:hAnsi="Arial"/>
          <w:sz w:val="18"/>
          <w:szCs w:val="18"/>
          <w:b w:val="1"/>
          <w:bCs w:val="1"/>
          <w:color w:val="auto"/>
        </w:rPr>
        <w:t>SURO CAPITAL CORP.</w:t>
      </w:r>
    </w:p>
    <w:p>
      <w:pPr>
        <w:spacing w:after="0" w:line="337" w:lineRule="exact"/>
        <w:rPr>
          <w:sz w:val="20"/>
          <w:szCs w:val="20"/>
          <w:color w:val="auto"/>
        </w:rPr>
      </w:pPr>
    </w:p>
    <w:p>
      <w:pPr>
        <w:ind w:left="60"/>
        <w:spacing w:after="0"/>
        <w:tabs>
          <w:tab w:leader="none" w:pos="740" w:val="left"/>
          <w:tab w:leader="none" w:pos="5520" w:val="left"/>
          <w:tab w:leader="none" w:pos="60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31750</wp:posOffset>
            </wp:positionV>
            <wp:extent cx="331724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8">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53" w:lineRule="exact"/>
        <w:rPr>
          <w:sz w:val="20"/>
          <w:szCs w:val="20"/>
          <w:color w:val="auto"/>
        </w:rPr>
      </w:pPr>
    </w:p>
    <w:p>
      <w:pPr>
        <w:ind w:left="6040"/>
        <w:spacing w:after="0"/>
        <w:rPr>
          <w:sz w:val="20"/>
          <w:szCs w:val="20"/>
          <w:color w:val="auto"/>
        </w:rPr>
      </w:pPr>
      <w:r>
        <w:rPr>
          <w:rFonts w:ascii="Arial" w:cs="Arial" w:eastAsia="Arial" w:hAnsi="Arial"/>
          <w:sz w:val="18"/>
          <w:szCs w:val="18"/>
          <w:b w:val="1"/>
          <w:bCs w:val="1"/>
          <w:color w:val="auto"/>
        </w:rPr>
        <w:t>Mark D. Klein</w:t>
      </w:r>
    </w:p>
    <w:p>
      <w:pPr>
        <w:spacing w:after="0" w:line="67"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(Principal Executive Officer)</w:t>
      </w:r>
    </w:p>
    <w:p>
      <w:pPr>
        <w:spacing w:after="0" w:line="333" w:lineRule="exact"/>
        <w:rPr>
          <w:sz w:val="20"/>
          <w:szCs w:val="20"/>
          <w:color w:val="auto"/>
        </w:rPr>
      </w:pPr>
    </w:p>
    <w:p>
      <w:pPr>
        <w:ind w:left="60"/>
        <w:spacing w:after="0"/>
        <w:tabs>
          <w:tab w:leader="none" w:pos="740" w:val="left"/>
          <w:tab w:leader="none" w:pos="5520" w:val="left"/>
          <w:tab w:leader="none" w:pos="60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31750</wp:posOffset>
            </wp:positionV>
            <wp:extent cx="331724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9">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53" w:lineRule="exact"/>
        <w:rPr>
          <w:sz w:val="20"/>
          <w:szCs w:val="20"/>
          <w:color w:val="auto"/>
        </w:rPr>
      </w:pPr>
    </w:p>
    <w:p>
      <w:pPr>
        <w:ind w:left="6040"/>
        <w:spacing w:after="0"/>
        <w:rPr>
          <w:sz w:val="20"/>
          <w:szCs w:val="20"/>
          <w:color w:val="auto"/>
        </w:rPr>
      </w:pPr>
      <w:r>
        <w:rPr>
          <w:rFonts w:ascii="Arial" w:cs="Arial" w:eastAsia="Arial" w:hAnsi="Arial"/>
          <w:sz w:val="18"/>
          <w:szCs w:val="18"/>
          <w:b w:val="1"/>
          <w:bCs w:val="1"/>
          <w:color w:val="auto"/>
        </w:rPr>
        <w:t>Allison Green</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Chief Financial Officer, Chief Compliance Officer, Treasurer, and</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Corporate Secretary</w:t>
      </w:r>
    </w:p>
    <w:p>
      <w:pPr>
        <w:spacing w:after="0" w:line="4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780"/>
          </w:cols>
          <w:pgMar w:left="320" w:top="122" w:right="79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of Sutter Rock Capital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under the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Mark D. Klein, certify that:</w:t>
      </w:r>
    </w:p>
    <w:p>
      <w:pPr>
        <w:spacing w:after="0" w:line="252"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SuRo Capital Corp.;</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980" w:hanging="324"/>
        <w:spacing w:after="0" w:line="263" w:lineRule="auto"/>
        <w:tabs>
          <w:tab w:leader="none" w:pos="977"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980" w:hanging="324"/>
        <w:spacing w:after="0" w:line="263" w:lineRule="auto"/>
        <w:tabs>
          <w:tab w:leader="none" w:pos="974"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980" w:right="20" w:hanging="324"/>
        <w:spacing w:after="0" w:line="342" w:lineRule="auto"/>
        <w:tabs>
          <w:tab w:leader="none" w:pos="977"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980" w:hanging="324"/>
        <w:spacing w:after="0" w:line="263" w:lineRule="auto"/>
        <w:tabs>
          <w:tab w:leader="none" w:pos="974"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hanging="324"/>
        <w:spacing w:after="0" w:line="308" w:lineRule="auto"/>
        <w:tabs>
          <w:tab w:leader="none" w:pos="977" w:val="left"/>
        </w:tabs>
        <w:numPr>
          <w:ilvl w:val="1"/>
          <w:numId w:val="4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right="20" w:hanging="324"/>
        <w:spacing w:after="0" w:line="277" w:lineRule="auto"/>
        <w:tabs>
          <w:tab w:leader="none" w:pos="974"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this 6th day of August, 2020.</w:t>
      </w:r>
    </w:p>
    <w:p>
      <w:pPr>
        <w:spacing w:after="0" w:line="158"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Mark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31750</wp:posOffset>
            </wp:positionV>
            <wp:extent cx="141414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0">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Mark D. Klein</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891"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of Sutter Rock Capital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under the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Allison Green, certify that:</w:t>
      </w:r>
    </w:p>
    <w:p>
      <w:pPr>
        <w:spacing w:after="0" w:line="252"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SuRo Capital Corp.;</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980" w:hanging="324"/>
        <w:spacing w:after="0" w:line="263" w:lineRule="auto"/>
        <w:tabs>
          <w:tab w:leader="none" w:pos="977"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980" w:hanging="324"/>
        <w:spacing w:after="0" w:line="263" w:lineRule="auto"/>
        <w:tabs>
          <w:tab w:leader="none" w:pos="974"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980" w:right="20" w:hanging="324"/>
        <w:spacing w:after="0" w:line="342" w:lineRule="auto"/>
        <w:tabs>
          <w:tab w:leader="none" w:pos="977"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980" w:hanging="324"/>
        <w:spacing w:after="0" w:line="263" w:lineRule="auto"/>
        <w:tabs>
          <w:tab w:leader="none" w:pos="974"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hanging="324"/>
        <w:spacing w:after="0" w:line="308" w:lineRule="auto"/>
        <w:tabs>
          <w:tab w:leader="none" w:pos="977" w:val="left"/>
        </w:tabs>
        <w:numPr>
          <w:ilvl w:val="1"/>
          <w:numId w:val="4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right="20" w:hanging="324"/>
        <w:spacing w:after="0" w:line="277" w:lineRule="auto"/>
        <w:tabs>
          <w:tab w:leader="none" w:pos="974"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this 6th day of August, 2020.</w:t>
      </w:r>
    </w:p>
    <w:p>
      <w:pPr>
        <w:spacing w:after="0" w:line="158"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31750</wp:posOffset>
            </wp:positionV>
            <wp:extent cx="1671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1">
                      <a:extLst>
                        <a:ext uri="{28A0092B-C50C-407E-A947-70E740481C1C}"/>
                      </a:extLst>
                    </a:blip>
                    <a:srcRect/>
                    <a:stretch>
                      <a:fillRect/>
                    </a:stretch>
                  </pic:blipFill>
                  <pic:spPr bwMode="auto">
                    <a:xfrm>
                      <a:off x="0" y="0"/>
                      <a:ext cx="1671320" cy="8890"/>
                    </a:xfrm>
                    <a:prstGeom prst="rect">
                      <a:avLst/>
                    </a:prstGeom>
                    <a:noFill/>
                  </pic:spPr>
                </pic:pic>
              </a:graphicData>
            </a:graphic>
          </wp:anchor>
        </w:drawing>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Allison Green</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891"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2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connection with the quarterly report on Form 10-Q for the three and six months ended June 30, 2020 (the “Report”) of SuRo Capital Corp. (the “Registrant”), as filed with the Securities and Exchange Commission on the date hereof, I, Mark D. Klein, the Chief Executive Officer of the Registrant, hereby certify, to the best of my knowledge, that:</w:t>
      </w:r>
    </w:p>
    <w:p>
      <w:pPr>
        <w:spacing w:after="0" w:line="211" w:lineRule="exact"/>
        <w:rPr>
          <w:sz w:val="20"/>
          <w:szCs w:val="20"/>
          <w:color w:val="auto"/>
        </w:rPr>
      </w:pPr>
    </w:p>
    <w:p>
      <w:pPr>
        <w:ind w:left="640" w:hanging="308"/>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640" w:hanging="308"/>
        <w:spacing w:after="0"/>
        <w:tabs>
          <w:tab w:leader="none" w:pos="6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181"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31750</wp:posOffset>
            </wp:positionV>
            <wp:extent cx="3497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2">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53"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Name: Mark D. Klein</w:t>
      </w:r>
    </w:p>
    <w:p>
      <w:pPr>
        <w:spacing w:after="0" w:line="6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Date: August 6, 2020</w:t>
      </w:r>
    </w:p>
    <w:p>
      <w:pPr>
        <w:sectPr>
          <w:pgSz w:w="11900" w:h="16838" w:orient="portrait"/>
          <w:cols w:equalWidth="0" w:num="1">
            <w:col w:w="11240"/>
          </w:cols>
          <w:pgMar w:left="320" w:top="891"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on Form 10-Q for the three and six months ended June 30, 2020 (the “Report”) of SuRo Capital Corp. (the “Registrant”), as filed with the Securities and Exchange Commission on the date hereof, I, Allison Green, the Chief Financial Officer of the Registrant, hereby certify, to the best of my knowledge, that:</w:t>
      </w:r>
    </w:p>
    <w:p>
      <w:pPr>
        <w:spacing w:after="0" w:line="211" w:lineRule="exact"/>
        <w:rPr>
          <w:sz w:val="20"/>
          <w:szCs w:val="20"/>
          <w:color w:val="auto"/>
        </w:rPr>
      </w:pPr>
    </w:p>
    <w:p>
      <w:pPr>
        <w:ind w:left="640" w:hanging="308"/>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640" w:hanging="308"/>
        <w:spacing w:after="0"/>
        <w:tabs>
          <w:tab w:leader="none" w:pos="6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181"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31750</wp:posOffset>
            </wp:positionV>
            <wp:extent cx="348869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3">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53"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Name: Allison Green</w:t>
      </w:r>
    </w:p>
    <w:p>
      <w:pPr>
        <w:spacing w:after="0" w:line="6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Date: August 6, 2020</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1)"/>
      <w:numFmt w:val="decimal"/>
      <w:start w:val="1"/>
    </w:lvl>
  </w:abstractNum>
  <w:abstractNum w:abstractNumId="2">
    <w:nsid w:val="4353D0CD"/>
    <w:multiLevelType w:val="hybridMultilevel"/>
    <w:lvl w:ilvl="0">
      <w:lvlJc w:val="left"/>
      <w:lvlText w:val="(%1)"/>
      <w:numFmt w:val="decimal"/>
      <w:start w:val="1"/>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1)"/>
      <w:numFmt w:val="decimal"/>
      <w:start w:val="1"/>
    </w:lvl>
  </w:abstractNum>
  <w:abstractNum w:abstractNumId="8">
    <w:nsid w:val="836C40E"/>
    <w:multiLevelType w:val="hybridMultilevel"/>
    <w:lvl w:ilvl="0">
      <w:lvlJc w:val="left"/>
      <w:lvlText w:val="(%1)"/>
      <w:numFmt w:val="decimal"/>
      <w:start w:val="7"/>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1)"/>
      <w:numFmt w:val="decimal"/>
      <w:start w:val="1"/>
    </w:lvl>
  </w:abstractNum>
  <w:abstractNum w:abstractNumId="13">
    <w:nsid w:val="7C3DBD3D"/>
    <w:multiLevelType w:val="hybridMultilevel"/>
    <w:lvl w:ilvl="0">
      <w:lvlJc w:val="left"/>
      <w:lvlText w:val="(%1)"/>
      <w:numFmt w:val="decimal"/>
      <w:start w:val="8"/>
    </w:lvl>
  </w:abstractNum>
  <w:abstractNum w:abstractNumId="14">
    <w:nsid w:val="737B8DDC"/>
    <w:multiLevelType w:val="hybridMultilevel"/>
    <w:lvl w:ilvl="0">
      <w:lvlJc w:val="left"/>
      <w:lvlText w:val="%1."/>
      <w:numFmt w:val="decimal"/>
      <w:start w:val="1"/>
    </w:lvl>
  </w:abstractNum>
  <w:abstractNum w:abstractNumId="15">
    <w:nsid w:val="6CEAF087"/>
    <w:multiLevelType w:val="hybridMultilevel"/>
    <w:lvl w:ilvl="0">
      <w:lvlJc w:val="left"/>
      <w:lvlText w:val="%1."/>
      <w:numFmt w:val="decimal"/>
      <w:start w:val="5"/>
    </w:lvl>
  </w:abstractNum>
  <w:abstractNum w:abstractNumId="16">
    <w:nsid w:val="22221A70"/>
    <w:multiLevelType w:val="hybridMultilevel"/>
    <w:lvl w:ilvl="0">
      <w:lvlJc w:val="left"/>
      <w:lvlText w:val="(%1)"/>
      <w:numFmt w:val="decimal"/>
      <w:start w:val="1"/>
    </w:lvl>
  </w:abstractNum>
  <w:abstractNum w:abstractNumId="17">
    <w:nsid w:val="4516DDE9"/>
    <w:multiLevelType w:val="hybridMultilevel"/>
    <w:lvl w:ilvl="0">
      <w:lvlJc w:val="left"/>
      <w:lvlText w:val="(%1)"/>
      <w:numFmt w:val="decimal"/>
      <w:start w:val="1"/>
    </w:lvl>
  </w:abstractNum>
  <w:abstractNum w:abstractNumId="18">
    <w:nsid w:val="3006C83E"/>
    <w:multiLevelType w:val="hybridMultilevel"/>
    <w:lvl w:ilvl="0">
      <w:lvlJc w:val="left"/>
      <w:lvlText w:val="(%1)"/>
      <w:numFmt w:val="decimal"/>
      <w:start w:val="2"/>
    </w:lvl>
  </w:abstractNum>
  <w:abstractNum w:abstractNumId="19">
    <w:nsid w:val="614FD4A1"/>
    <w:multiLevelType w:val="hybridMultilevel"/>
    <w:lvl w:ilvl="0">
      <w:lvlJc w:val="left"/>
      <w:lvlText w:val="(%1)"/>
      <w:numFmt w:val="decimal"/>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1)"/>
      <w:numFmt w:val="decimal"/>
      <w:start w:val="1"/>
    </w:lvl>
  </w:abstractNum>
  <w:abstractNum w:abstractNumId="24">
    <w:nsid w:val="3804823E"/>
    <w:multiLevelType w:val="hybridMultilevel"/>
    <w:lvl w:ilvl="0">
      <w:lvlJc w:val="left"/>
      <w:lvlText w:val="(%1)"/>
      <w:numFmt w:val="decimal"/>
      <w:start w:val="2"/>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1)"/>
      <w:numFmt w:val="decimal"/>
      <w:start w:val="1"/>
    </w:lvl>
  </w:abstractNum>
  <w:abstractNum w:abstractNumId="29">
    <w:nsid w:val="5E884ADC"/>
    <w:multiLevelType w:val="hybridMultilevel"/>
    <w:lvl w:ilvl="0">
      <w:lvlJc w:val="left"/>
      <w:lvlText w:val="(%1)"/>
      <w:numFmt w:val="decimal"/>
      <w:start w:val="5"/>
    </w:lvl>
  </w:abstractNum>
  <w:abstractNum w:abstractNumId="30">
    <w:nsid w:val="51EAD36B"/>
    <w:multiLevelType w:val="hybridMultilevel"/>
    <w:lvl w:ilvl="0">
      <w:lvlJc w:val="left"/>
      <w:lvlText w:val="(%1)"/>
      <w:numFmt w:val="decimal"/>
      <w:start w:val="1"/>
    </w:lvl>
  </w:abstractNum>
  <w:abstractNum w:abstractNumId="31">
    <w:nsid w:val="2D517796"/>
    <w:multiLevelType w:val="hybridMultilevel"/>
    <w:lvl w:ilvl="0">
      <w:lvlJc w:val="left"/>
      <w:lvlText w:val="(%1)"/>
      <w:numFmt w:val="decimal"/>
      <w:start w:val="1"/>
    </w:lvl>
  </w:abstractNum>
  <w:abstractNum w:abstractNumId="32">
    <w:nsid w:val="580BD78F"/>
    <w:multiLevelType w:val="hybridMultilevel"/>
    <w:lvl w:ilvl="0">
      <w:lvlJc w:val="left"/>
      <w:lvlText w:val="(%1)"/>
      <w:numFmt w:val="decimal"/>
      <w:start w:val="1"/>
    </w:lvl>
  </w:abstractNum>
  <w:abstractNum w:abstractNumId="33">
    <w:nsid w:val="153EA438"/>
    <w:multiLevelType w:val="hybridMultilevel"/>
    <w:lvl w:ilvl="0">
      <w:lvlJc w:val="left"/>
      <w:lvlText w:val="(%1)"/>
      <w:numFmt w:val="decimal"/>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1)"/>
      <w:numFmt w:val="decimal"/>
      <w:start w:val="1"/>
    </w:lvl>
  </w:abstractNum>
  <w:abstractNum w:abstractNumId="37">
    <w:nsid w:val="2A487CB0"/>
    <w:multiLevelType w:val="hybridMultilevel"/>
    <w:lvl w:ilvl="0">
      <w:lvlJc w:val="left"/>
      <w:lvlText w:val="(%1)"/>
      <w:numFmt w:val="decimal"/>
      <w:start w:val="1"/>
    </w:lvl>
  </w:abstractNum>
  <w:abstractNum w:abstractNumId="38">
    <w:nsid w:val="1D4ED43B"/>
    <w:multiLevelType w:val="hybridMultilevel"/>
    <w:lvl w:ilvl="0">
      <w:lvlJc w:val="left"/>
      <w:lvlText w:val="(%1)"/>
      <w:numFmt w:val="decimal"/>
      <w:start w:val="1"/>
    </w:lvl>
  </w:abstractNum>
  <w:abstractNum w:abstractNumId="39">
    <w:nsid w:val="725A06FB"/>
    <w:multiLevelType w:val="hybridMultilevel"/>
    <w:lvl w:ilvl="0">
      <w:lvlJc w:val="left"/>
      <w:lvlText w:val="(%1)"/>
      <w:numFmt w:val="decimal"/>
      <w:start w:val="1"/>
    </w:lvl>
  </w:abstractNum>
  <w:abstractNum w:abstractNumId="40">
    <w:nsid w:val="2CD89A32"/>
    <w:multiLevelType w:val="hybridMultilevel"/>
    <w:lvl w:ilvl="0">
      <w:lvlJc w:val="left"/>
      <w:lvlText w:val="(%1)"/>
      <w:numFmt w:val="decimal"/>
      <w:start w:val="1"/>
    </w:lvl>
  </w:abstractNum>
  <w:abstractNum w:abstractNumId="41">
    <w:nsid w:val="57E4CCAF"/>
    <w:multiLevelType w:val="hybridMultilevel"/>
    <w:lvl w:ilvl="0">
      <w:lvlJc w:val="left"/>
      <w:lvlText w:val="(%1)"/>
      <w:numFmt w:val="decimal"/>
      <w:start w:val="1"/>
    </w:lvl>
  </w:abstractNum>
  <w:abstractNum w:abstractNumId="42">
    <w:nsid w:val="7A6D8D3C"/>
    <w:multiLevelType w:val="hybridMultilevel"/>
    <w:lvl w:ilvl="0">
      <w:lvlJc w:val="left"/>
      <w:lvlText w:val="(%1)"/>
      <w:numFmt w:val="decimal"/>
      <w:start w:val="1"/>
    </w:lvl>
  </w:abstractNum>
  <w:abstractNum w:abstractNumId="43">
    <w:nsid w:val="4B588F54"/>
    <w:multiLevelType w:val="hybridMultilevel"/>
    <w:lvl w:ilvl="0">
      <w:lvlJc w:val="left"/>
      <w:lvlText w:val="(%1)"/>
      <w:numFmt w:val="decimal"/>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108" Type="http://schemas.openxmlformats.org/officeDocument/2006/relationships/image" Target="media/image91.png"/><Relationship Id="rId109" Type="http://schemas.openxmlformats.org/officeDocument/2006/relationships/image" Target="media/image92.png"/><Relationship Id="rId110" Type="http://schemas.openxmlformats.org/officeDocument/2006/relationships/image" Target="media/image93.png"/><Relationship Id="rId111" Type="http://schemas.openxmlformats.org/officeDocument/2006/relationships/image" Target="media/image94.png"/><Relationship Id="rId112" Type="http://schemas.openxmlformats.org/officeDocument/2006/relationships/image" Target="media/image95.png"/><Relationship Id="rId113" Type="http://schemas.openxmlformats.org/officeDocument/2006/relationships/image" Target="media/image96.png"/><Relationship Id="rId98" Type="http://schemas.openxmlformats.org/officeDocument/2006/relationships/hyperlink" Target="http://www.sec.gov/Archives/edgar/data/1509470/000113379611000069/k216228_ex99-2a.htm" TargetMode="External"/><Relationship Id="rId99" Type="http://schemas.openxmlformats.org/officeDocument/2006/relationships/hyperlink" Target="http://www.sec.gov/Archives/edgar/data/1509470/000114420411033389/v224342_ex3-1.htm" TargetMode="External"/><Relationship Id="rId100" Type="http://schemas.openxmlformats.org/officeDocument/2006/relationships/hyperlink" Target="http://www.sec.gov/Archives/edgar/data/1509470/000114420419037014/tv526412_ex3-1.htm" TargetMode="External"/><Relationship Id="rId101" Type="http://schemas.openxmlformats.org/officeDocument/2006/relationships/hyperlink" Target="https://www.sec.gov/Archives/edgar/data/1509470/000110465920073783/tm2022743d1_ex3-1.htm" TargetMode="External"/><Relationship Id="rId102" Type="http://schemas.openxmlformats.org/officeDocument/2006/relationships/hyperlink" Target="https://www.sec.gov/Archives/edgar/data/1509470/000110465920073783/tm2022743d1_ex3-2.htm" TargetMode="External"/><Relationship Id="rId103" Type="http://schemas.openxmlformats.org/officeDocument/2006/relationships/hyperlink" Target="https://www.sec.gov/Archives/edgar/data/1509470/000110465920080597/tm2023817d1_ex4-7.htm" TargetMode="External"/><Relationship Id="rId104" Type="http://schemas.openxmlformats.org/officeDocument/2006/relationships/hyperlink" Target="https://www.sec.gov/Archives/edgar/data/1509470/000110465920080597/tm2023817d1_ex4-8.htm" TargetMode="External"/><Relationship Id="rId105" Type="http://schemas.openxmlformats.org/officeDocument/2006/relationships/hyperlink" Target="https://www.sec.gov/Archives/edgar/data/1509470/000110465920080597/tm2023817d1_ex4-9.htm" TargetMode="External"/><Relationship Id="rId106" Type="http://schemas.openxmlformats.org/officeDocument/2006/relationships/hyperlink" Target="https://www.sec.gov/Archives/edgar/data/1509470/000110465920080597/tm2023817d1_ex4-10.htm" TargetMode="External"/><Relationship Id="rId107" Type="http://schemas.openxmlformats.org/officeDocument/2006/relationships/hyperlink" Target="https://www.sec.gov/Archives/edgar/data/1509470/000110465920089216/tm2026282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2020-08-07T05:23:02Z</dcterms:created>
  <dcterms:modified xsi:type="dcterms:W3CDTF">2020-08-07T05:23:02Z</dcterms:modified>
</cp:coreProperties>
</file>