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ind w:left="3700"/>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16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COMMISSION FILE NUMBER: 814-00852</w:t>
      </w:r>
    </w:p>
    <w:p>
      <w:pPr>
        <w:spacing w:after="0" w:line="11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GSV Capital Corp.</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ectPr>
          <w:pgSz w:w="11900" w:h="16838" w:orient="portrait"/>
          <w:cols w:equalWidth="0" w:num="1">
            <w:col w:w="11240"/>
          </w:cols>
          <w:pgMar w:left="240" w:top="229" w:right="419" w:bottom="1440" w:gutter="0" w:footer="0" w:header="0"/>
        </w:sectPr>
      </w:pPr>
    </w:p>
    <w:p>
      <w:pPr>
        <w:spacing w:after="0" w:line="16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27-4443543</w:t>
      </w:r>
    </w:p>
    <w:p>
      <w:pPr>
        <w:spacing w:after="0" w:line="90" w:lineRule="exact"/>
        <w:rPr>
          <w:sz w:val="24"/>
          <w:szCs w:val="24"/>
          <w:color w:val="auto"/>
        </w:rPr>
      </w:pPr>
    </w:p>
    <w:p>
      <w:pPr>
        <w:sectPr>
          <w:pgSz w:w="11900" w:h="16838" w:orient="portrait"/>
          <w:cols w:equalWidth="0" w:num="2">
            <w:col w:w="7460" w:space="720"/>
            <w:col w:w="3060"/>
          </w:cols>
          <w:pgMar w:left="240" w:top="229" w:right="419" w:bottom="1440" w:gutter="0" w:footer="0" w:header="0"/>
          <w:type w:val="continuous"/>
        </w:sectPr>
      </w:pPr>
    </w:p>
    <w:p>
      <w:pPr>
        <w:ind w:left="2180"/>
        <w:spacing w:after="0"/>
        <w:rPr>
          <w:sz w:val="20"/>
          <w:szCs w:val="20"/>
          <w:color w:val="auto"/>
        </w:rPr>
      </w:pPr>
      <w:r>
        <w:rPr>
          <w:rFonts w:ascii="Arial" w:cs="Arial" w:eastAsia="Arial" w:hAnsi="Arial"/>
          <w:sz w:val="13"/>
          <w:szCs w:val="13"/>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58" w:lineRule="exact"/>
        <w:rPr>
          <w:sz w:val="24"/>
          <w:szCs w:val="24"/>
          <w:color w:val="auto"/>
        </w:rPr>
      </w:pPr>
    </w:p>
    <w:p>
      <w:pPr>
        <w:sectPr>
          <w:pgSz w:w="11900" w:h="16838" w:orient="portrait"/>
          <w:cols w:equalWidth="0" w:num="2">
            <w:col w:w="6800" w:space="720"/>
            <w:col w:w="3720"/>
          </w:cols>
          <w:pgMar w:left="240" w:top="229" w:right="419" w:bottom="1440" w:gutter="0" w:footer="0" w:header="0"/>
          <w:type w:val="continuous"/>
        </w:sectPr>
      </w:pPr>
    </w:p>
    <w:p>
      <w:pPr>
        <w:ind w:left="1620"/>
        <w:spacing w:after="0"/>
        <w:rPr>
          <w:sz w:val="20"/>
          <w:szCs w:val="20"/>
          <w:color w:val="auto"/>
        </w:rPr>
      </w:pPr>
      <w:r>
        <w:rPr>
          <w:rFonts w:ascii="Arial" w:cs="Arial" w:eastAsia="Arial" w:hAnsi="Arial"/>
          <w:sz w:val="14"/>
          <w:szCs w:val="14"/>
          <w:b w:val="1"/>
          <w:bCs w:val="1"/>
          <w:color w:val="auto"/>
        </w:rPr>
        <w:t>2925 Woodside Road Woodside,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94062</w:t>
      </w:r>
    </w:p>
    <w:p>
      <w:pPr>
        <w:spacing w:after="0" w:line="79" w:lineRule="exact"/>
        <w:rPr>
          <w:sz w:val="24"/>
          <w:szCs w:val="24"/>
          <w:color w:val="auto"/>
        </w:rPr>
      </w:pPr>
    </w:p>
    <w:p>
      <w:pPr>
        <w:sectPr>
          <w:pgSz w:w="11900" w:h="16838" w:orient="portrait"/>
          <w:cols w:equalWidth="0" w:num="2">
            <w:col w:w="7640" w:space="720"/>
            <w:col w:w="2880"/>
          </w:cols>
          <w:pgMar w:left="240" w:top="229" w:right="419" w:bottom="1440" w:gutter="0" w:footer="0" w:header="0"/>
          <w:type w:val="continuous"/>
        </w:sectPr>
      </w:pPr>
    </w:p>
    <w:p>
      <w:pPr>
        <w:ind w:left="17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75" w:lineRule="exact"/>
        <w:rPr>
          <w:sz w:val="24"/>
          <w:szCs w:val="24"/>
          <w:color w:val="auto"/>
        </w:rPr>
      </w:pPr>
    </w:p>
    <w:p>
      <w:pPr>
        <w:sectPr>
          <w:pgSz w:w="11900" w:h="16838" w:orient="portrait"/>
          <w:cols w:equalWidth="0" w:num="2">
            <w:col w:w="7540" w:space="720"/>
            <w:col w:w="2980"/>
          </w:cols>
          <w:pgMar w:left="240" w:top="229" w:right="41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(650) 235-4769</w:t>
      </w:r>
    </w:p>
    <w:p>
      <w:pPr>
        <w:spacing w:after="0" w:line="6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240" w:top="229" w:right="419" w:bottom="1440" w:gutter="0" w:footer="0" w:header="0"/>
          <w:type w:val="continuous"/>
        </w:sectPr>
      </w:pPr>
    </w:p>
    <w:p>
      <w:pPr>
        <w:spacing w:after="0" w:line="266" w:lineRule="exact"/>
        <w:rPr>
          <w:sz w:val="24"/>
          <w:szCs w:val="24"/>
          <w:color w:val="auto"/>
        </w:rPr>
      </w:pPr>
    </w:p>
    <w:p>
      <w:pPr>
        <w:ind w:right="40" w:firstLine="351"/>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56" w:lineRule="exact"/>
        <w:rPr>
          <w:sz w:val="24"/>
          <w:szCs w:val="24"/>
          <w:color w:val="auto"/>
        </w:rPr>
      </w:pPr>
    </w:p>
    <w:p>
      <w:pPr>
        <w:jc w:val="center"/>
        <w:ind w:right="120"/>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w:t>
      </w:r>
    </w:p>
    <w:p>
      <w:pPr>
        <w:spacing w:after="0" w:line="31" w:lineRule="exact"/>
        <w:rPr>
          <w:sz w:val="24"/>
          <w:szCs w:val="24"/>
          <w:color w:val="auto"/>
        </w:rPr>
      </w:pPr>
    </w:p>
    <w:p>
      <w:pPr>
        <w:ind w:right="120"/>
        <w:spacing w:after="0" w:line="200" w:lineRule="exact"/>
        <w:rPr>
          <w:sz w:val="20"/>
          <w:szCs w:val="20"/>
          <w:color w:val="auto"/>
        </w:rPr>
      </w:pPr>
      <w:r>
        <w:rPr>
          <w:rFonts w:ascii="Arial" w:cs="Arial" w:eastAsia="Arial" w:hAnsi="Arial"/>
          <w:sz w:val="16"/>
          <w:szCs w:val="16"/>
          <w:color w:val="auto"/>
        </w:rPr>
        <w:t xml:space="preserve">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firstLine="35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240" w:top="229" w:right="419" w:bottom="1440" w:gutter="0" w:footer="0" w:header="0"/>
          <w:type w:val="continuous"/>
        </w:sectPr>
      </w:pPr>
    </w:p>
    <w:p>
      <w:pPr>
        <w:spacing w:after="0" w:line="99"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54" w:lineRule="exact"/>
        <w:rPr>
          <w:sz w:val="24"/>
          <w:szCs w:val="24"/>
          <w:color w:val="auto"/>
        </w:rPr>
      </w:pPr>
    </w:p>
    <w:p>
      <w:pPr>
        <w:sectPr>
          <w:pgSz w:w="11900" w:h="16838" w:orient="portrait"/>
          <w:cols w:equalWidth="0" w:num="2">
            <w:col w:w="6180" w:space="720"/>
            <w:col w:w="4340"/>
          </w:cols>
          <w:pgMar w:left="240" w:top="229" w:right="419" w:bottom="1440" w:gutter="0" w:footer="0" w:header="0"/>
          <w:type w:val="continuous"/>
        </w:sectPr>
      </w:pPr>
    </w:p>
    <w:p>
      <w:pPr>
        <w:ind w:left="3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5" w:lineRule="exact"/>
        <w:rPr>
          <w:sz w:val="24"/>
          <w:szCs w:val="24"/>
          <w:color w:val="auto"/>
        </w:rPr>
      </w:pPr>
    </w:p>
    <w:p>
      <w:pPr>
        <w:sectPr>
          <w:pgSz w:w="11900" w:h="16838" w:orient="portrait"/>
          <w:cols w:equalWidth="0" w:num="3">
            <w:col w:w="1920" w:space="40"/>
            <w:col w:w="4220" w:space="720"/>
            <w:col w:w="4340"/>
          </w:cols>
          <w:pgMar w:left="240" w:top="229" w:right="419" w:bottom="1440" w:gutter="0" w:footer="0" w:header="0"/>
          <w:type w:val="continuous"/>
        </w:sectPr>
      </w:pPr>
    </w:p>
    <w:p>
      <w:pPr>
        <w:ind w:left="3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240" w:top="229" w:right="419" w:bottom="1440" w:gutter="0" w:footer="0" w:header="0"/>
          <w:type w:val="continuous"/>
        </w:sectPr>
      </w:pPr>
    </w:p>
    <w:p>
      <w:pPr>
        <w:spacing w:after="0" w:line="99" w:lineRule="exact"/>
        <w:rPr>
          <w:sz w:val="24"/>
          <w:szCs w:val="24"/>
          <w:color w:val="auto"/>
        </w:rPr>
      </w:pPr>
    </w:p>
    <w:p>
      <w:pPr>
        <w:ind w:right="220" w:firstLine="351"/>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issuer had 20,520,290 shares of common stock, $0.01 par value per share, outstanding as of August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29" w:right="419" w:bottom="1440" w:gutter="0" w:footer="0" w:header="0"/>
          <w:type w:val="continuous"/>
        </w:sectPr>
      </w:pPr>
    </w:p>
    <w:bookmarkStart w:id="1" w:name="page2"/>
    <w:bookmarkEnd w:id="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250"/>
        </w:trPr>
        <w:tc>
          <w:tcPr>
            <w:tcW w:w="10740" w:type="dxa"/>
            <w:vAlign w:val="bottom"/>
            <w:tcBorders>
              <w:bottom w:val="single" w:sz="8" w:color="CCEEFF"/>
            </w:tcBorders>
            <w:gridSpan w:val="22"/>
            <w:shd w:val="clear" w:color="auto" w:fill="CCEEFF"/>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 xml:space="preserve">PART I. </w:t>
              </w:r>
            </w:hyperlink>
            <w:r>
              <w:rPr>
                <w:rFonts w:ascii="Arial" w:cs="Arial" w:eastAsia="Arial" w:hAnsi="Arial"/>
                <w:sz w:val="18"/>
                <w:szCs w:val="18"/>
                <w:b w:val="1"/>
                <w:bCs w:val="1"/>
                <w:color w:val="auto"/>
              </w:rPr>
              <w:t>FINANCIAL INFORMATION</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56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Assets and Liabilities as of June 30, 2018 (Unaudited) and December 31, 2017</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60" w:type="dxa"/>
            <w:vAlign w:val="bottom"/>
            <w:gridSpan w:val="17"/>
          </w:tcPr>
          <w:p>
            <w:pPr>
              <w:spacing w:after="0" w:line="202"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for the Three and Six Months Ended June 30, 2018 and 2017 (Unaudited)</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Net Assets for the Six Months Ended June 30, 2018 and 2017 (Unaudited)</w:t>
              </w:r>
            </w:hyperlink>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60" w:type="dxa"/>
            <w:vAlign w:val="bottom"/>
            <w:gridSpan w:val="1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2018 and 2017 (Unaudited)</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560" w:type="dxa"/>
            <w:vAlign w:val="bottom"/>
            <w:gridSpan w:val="17"/>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Schedule of Investments as of June 30, 2018 (Unaudited)</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960" w:type="dxa"/>
            <w:vAlign w:val="bottom"/>
            <w:gridSpan w:val="10"/>
          </w:tcPr>
          <w:p>
            <w:pPr>
              <w:spacing w:after="0" w:line="20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Condensed Consolidated Schedule of Investments as of December 31, 2017</w:t>
              </w:r>
            </w:hyperlink>
          </w:p>
        </w:tc>
        <w:tc>
          <w:tcPr>
            <w:tcW w:w="3600" w:type="dxa"/>
            <w:vAlign w:val="bottom"/>
            <w:gridSpan w:val="7"/>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360" w:type="dxa"/>
            <w:vAlign w:val="bottom"/>
            <w:gridSpan w:val="11"/>
            <w:shd w:val="clear" w:color="auto" w:fill="CCEEFF"/>
          </w:tcPr>
          <w:p>
            <w:pPr>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Notes to Condensed Consolidated Financial Statements as of June 30, 2018 (Unaudited)</w:t>
              </w:r>
            </w:hyperlink>
          </w:p>
        </w:tc>
        <w:tc>
          <w:tcPr>
            <w:tcW w:w="3200" w:type="dxa"/>
            <w:vAlign w:val="bottom"/>
            <w:gridSpan w:val="6"/>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2.</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Item 3.</w:t>
              </w:r>
            </w:hyperlink>
          </w:p>
        </w:tc>
        <w:tc>
          <w:tcPr>
            <w:tcW w:w="9560" w:type="dxa"/>
            <w:vAlign w:val="bottom"/>
            <w:gridSpan w:val="17"/>
            <w:shd w:val="clear" w:color="auto" w:fill="CCEEFF"/>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Quantitative and Qualitative Disclosures About Market Risk</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Item 4.</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740" w:type="dxa"/>
            <w:vAlign w:val="bottom"/>
            <w:tcBorders>
              <w:bottom w:val="single" w:sz="8" w:color="CCEEFF"/>
            </w:tcBorders>
            <w:gridSpan w:val="22"/>
            <w:shd w:val="clear" w:color="auto" w:fill="CCEEFF"/>
          </w:tcPr>
          <w:p>
            <w:pPr>
              <w:ind w:left="40"/>
              <w:spacing w:after="0"/>
              <w:rPr>
                <w:rFonts w:ascii="Arial" w:cs="Arial" w:eastAsia="Arial" w:hAnsi="Arial"/>
                <w:sz w:val="18"/>
                <w:szCs w:val="18"/>
                <w:b w:val="1"/>
                <w:bCs w:val="1"/>
                <w:color w:val="auto"/>
              </w:rPr>
            </w:pPr>
            <w:hyperlink w:anchor="page69">
              <w:r>
                <w:rPr>
                  <w:rFonts w:ascii="Arial" w:cs="Arial" w:eastAsia="Arial" w:hAnsi="Arial"/>
                  <w:sz w:val="18"/>
                  <w:szCs w:val="18"/>
                  <w:b w:val="1"/>
                  <w:bCs w:val="1"/>
                  <w:color w:val="auto"/>
                </w:rPr>
                <w:t xml:space="preserve">PART II. </w:t>
              </w:r>
            </w:hyperlink>
            <w:r>
              <w:rPr>
                <w:rFonts w:ascii="Arial" w:cs="Arial" w:eastAsia="Arial" w:hAnsi="Arial"/>
                <w:sz w:val="18"/>
                <w:szCs w:val="18"/>
                <w:b w:val="1"/>
                <w:bCs w:val="1"/>
                <w:color w:val="auto"/>
              </w:rPr>
              <w:t>OTHER INFORMATION</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1.</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1A.</w:t>
              </w:r>
            </w:hyperlink>
          </w:p>
        </w:tc>
        <w:tc>
          <w:tcPr>
            <w:tcW w:w="9560" w:type="dxa"/>
            <w:vAlign w:val="bottom"/>
            <w:gridSpan w:val="17"/>
            <w:shd w:val="clear" w:color="auto" w:fill="CCEEFF"/>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Risk Factors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2.</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3.</w:t>
              </w:r>
            </w:hyperlink>
          </w:p>
        </w:tc>
        <w:tc>
          <w:tcPr>
            <w:tcW w:w="9560" w:type="dxa"/>
            <w:vAlign w:val="bottom"/>
            <w:gridSpan w:val="17"/>
            <w:shd w:val="clear" w:color="auto" w:fill="CCEEFF"/>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Defaults Upon Senior Securities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4.</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5.</w:t>
              </w:r>
            </w:hyperlink>
          </w:p>
        </w:tc>
        <w:tc>
          <w:tcPr>
            <w:tcW w:w="9560" w:type="dxa"/>
            <w:vAlign w:val="bottom"/>
            <w:gridSpan w:val="17"/>
            <w:shd w:val="clear" w:color="auto" w:fill="CCEEFF"/>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6.</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-3609975</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ASSETS AND LIABILITIES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40" w:type="dxa"/>
            <w:vAlign w:val="bottom"/>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Investments at fair value:</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Non-controlled/non-affiliate investments (cost of $115,469,512 and $137,526,726, respectively)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178,256,152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179,908,234</w:t>
            </w:r>
          </w:p>
        </w:tc>
      </w:tr>
      <w:tr>
        <w:trPr>
          <w:trHeight w:val="237"/>
        </w:trPr>
        <w:tc>
          <w:tcPr>
            <w:tcW w:w="8120" w:type="dxa"/>
            <w:vAlign w:val="bottom"/>
          </w:tcPr>
          <w:p>
            <w:pPr>
              <w:ind w:left="220"/>
              <w:spacing w:after="0"/>
              <w:rPr>
                <w:sz w:val="20"/>
                <w:szCs w:val="20"/>
                <w:color w:val="auto"/>
              </w:rPr>
            </w:pPr>
            <w:r>
              <w:rPr>
                <w:rFonts w:ascii="Arial" w:cs="Arial" w:eastAsia="Arial" w:hAnsi="Arial"/>
                <w:sz w:val="16"/>
                <w:szCs w:val="16"/>
                <w:color w:val="auto"/>
              </w:rPr>
              <w:t>Non-controlled/affiliate investments (cost of $42,212,967 and $41,886,312, respectively)</w:t>
            </w:r>
          </w:p>
        </w:tc>
        <w:tc>
          <w:tcPr>
            <w:tcW w:w="28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8,170,787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16,473,098</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Controlled investments (cost of $22,568,505 and $23,161,314, respectively)</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29,839,622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24,207,161</w:t>
            </w:r>
          </w:p>
        </w:tc>
      </w:tr>
      <w:tr>
        <w:trPr>
          <w:trHeight w:val="217"/>
        </w:trPr>
        <w:tc>
          <w:tcPr>
            <w:tcW w:w="8120" w:type="dxa"/>
            <w:vAlign w:val="bottom"/>
          </w:tcPr>
          <w:p>
            <w:pPr>
              <w:ind w:left="340"/>
              <w:spacing w:after="0"/>
              <w:rPr>
                <w:sz w:val="20"/>
                <w:szCs w:val="20"/>
                <w:color w:val="auto"/>
              </w:rPr>
            </w:pPr>
            <w:r>
              <w:rPr>
                <w:rFonts w:ascii="Arial" w:cs="Arial" w:eastAsia="Arial" w:hAnsi="Arial"/>
                <w:sz w:val="16"/>
                <w:szCs w:val="16"/>
                <w:color w:val="auto"/>
              </w:rPr>
              <w:t>Total Portfolio Investments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216,266,561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220,588,493</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Investments in U.S. Treasury bills (cost of $99,973,483 and $99,985,833, respectively)</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99,986,200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99,994,000</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Investments (cost of $280,224,467 and $302,560,185, respectively)</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316,252,761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320,582,493</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93,485,576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59,838,600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Due from controlled investments</w:t>
            </w:r>
          </w:p>
        </w:tc>
        <w:tc>
          <w:tcPr>
            <w:tcW w:w="2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840</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Escrow proceeds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1,660,279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603,456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and dividends receivable</w:t>
            </w:r>
          </w:p>
        </w:tc>
        <w:tc>
          <w:tcPr>
            <w:tcW w:w="28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285,783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35,141</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88,232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208,983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financing costs</w:t>
            </w:r>
          </w:p>
        </w:tc>
        <w:tc>
          <w:tcPr>
            <w:tcW w:w="28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52,917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413,023</w:t>
            </w: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411,825,548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381,682,536</w:t>
            </w:r>
          </w:p>
        </w:tc>
      </w:tr>
      <w:tr>
        <w:trPr>
          <w:trHeight w:val="217"/>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to GSV Asset Management</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233,005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231,697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559,537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458,203</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incentive fees, net of waiver of incentive fees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8,337,504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9,278,085</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Accrued management fees, net of waiver of management fees</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316,888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424,447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1,268,750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1,056,563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Payable for securities purchased</w:t>
            </w:r>
          </w:p>
        </w:tc>
        <w:tc>
          <w:tcPr>
            <w:tcW w:w="28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89,615,630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89,485,825</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6,247,915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7,602,301</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5.25% Convertible Senior Notes due September 15, 2018</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49,849,273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68,382,549</w:t>
            </w: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4.75% Convertible Senior Notes due March 28, 2023</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38,248,433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Pr>
          <w:p>
            <w:pPr>
              <w:spacing w:after="0"/>
              <w:rPr>
                <w:sz w:val="18"/>
                <w:szCs w:val="18"/>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194,676,935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176,919,670</w:t>
            </w: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 (Notes 7 and 10)</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9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217,148,613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204,762,866</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ASSETS</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20"/>
        </w:trPr>
        <w:tc>
          <w:tcPr>
            <w:tcW w:w="8120" w:type="dxa"/>
            <w:vAlign w:val="bottom"/>
          </w:tcPr>
          <w:p>
            <w:pPr>
              <w:ind w:left="40"/>
              <w:spacing w:after="0"/>
              <w:rPr>
                <w:sz w:val="20"/>
                <w:szCs w:val="20"/>
                <w:color w:val="auto"/>
              </w:rPr>
            </w:pPr>
            <w:r>
              <w:rPr>
                <w:rFonts w:ascii="Arial" w:cs="Arial" w:eastAsia="Arial" w:hAnsi="Arial"/>
                <w:sz w:val="16"/>
                <w:szCs w:val="16"/>
                <w:color w:val="auto"/>
                <w:w w:val="94"/>
              </w:rPr>
              <w:t>Common stock, par value $0.01 per share (100,000,000 authorized; 20,750,913 and 21,246,345 issued and outstanding,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812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207,509</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212,463</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Paid-in capital in excess of par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199,178,414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202,584,012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net investment loss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(14,003,040)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(8,593,717)</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net realized gains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2,328,862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140,100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net unrealized appreciation of investments</w:t>
            </w:r>
          </w:p>
        </w:tc>
        <w:tc>
          <w:tcPr>
            <w:tcW w:w="28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29,436,868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10,420,008</w:t>
            </w: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217,148,613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204,762,866</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Net Asset Value Per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12700</wp:posOffset>
            </wp:positionV>
            <wp:extent cx="2101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-1847850</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-3905885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-5278120</wp:posOffset>
            </wp:positionV>
            <wp:extent cx="5145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-6307455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-130175</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balance references a related-party transaction. Refer to “Note 3—Related-Party Arrangements” for more detail.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of June 30, 2018 and December 31, 2017, the 5.25% Convertible Senior Notes due September 15, 2018 had a face value of $49,982,000 and</w:t>
      </w:r>
    </w:p>
    <w:p>
      <w:pPr>
        <w:spacing w:after="0" w:line="20" w:lineRule="exact"/>
        <w:rPr>
          <w:rFonts w:ascii="Arial" w:cs="Arial" w:eastAsia="Arial" w:hAnsi="Arial"/>
          <w:sz w:val="17"/>
          <w:szCs w:val="17"/>
          <w:color w:val="auto"/>
        </w:rPr>
      </w:pPr>
    </w:p>
    <w:p>
      <w:pPr>
        <w:ind w:left="340" w:right="340"/>
        <w:spacing w:after="0" w:line="323" w:lineRule="auto"/>
        <w:rPr>
          <w:rFonts w:ascii="Arial" w:cs="Arial" w:eastAsia="Arial" w:hAnsi="Arial"/>
          <w:sz w:val="17"/>
          <w:szCs w:val="17"/>
          <w:color w:val="auto"/>
        </w:rPr>
      </w:pPr>
      <w:r>
        <w:rPr>
          <w:rFonts w:ascii="Arial" w:cs="Arial" w:eastAsia="Arial" w:hAnsi="Arial"/>
          <w:sz w:val="16"/>
          <w:szCs w:val="16"/>
          <w:color w:val="auto"/>
        </w:rPr>
        <w:t>$69,000,000, respectively. As of June 30, 2018 and December 31, 2017, the 4.75% Convertible Senior Notes due March 28, 2023 had a face value of $40,000,000 and $0, respectively. Refer to “Note 10—Debt Capital Activities” for a reconciliation of the carrying value to the face value.</w:t>
      </w:r>
    </w:p>
    <w:p>
      <w:pPr>
        <w:sectPr>
          <w:pgSz w:w="11900" w:h="16838" w:orient="portrait"/>
          <w:cols w:equalWidth="0" w:num="1">
            <w:col w:w="11420"/>
          </w:cols>
          <w:pgMar w:left="240" w:top="121"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44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Six Months Ended June 30,</w:t>
            </w:r>
          </w:p>
        </w:tc>
      </w:tr>
      <w:tr>
        <w:trPr>
          <w:trHeight w:val="270"/>
        </w:trPr>
        <w:tc>
          <w:tcPr>
            <w:tcW w:w="596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102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06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23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INVESTMENT INCOME</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Non-controlled/non-affiliate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8,932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8,434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10,612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16,807</w:t>
            </w: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73,096</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Non-controlled/affiliate investments: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221,813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192,372</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126,777</w:t>
            </w:r>
          </w:p>
        </w:tc>
      </w:tr>
      <w:tr>
        <w:trPr>
          <w:trHeight w:val="237"/>
        </w:trPr>
        <w:tc>
          <w:tcPr>
            <w:tcW w:w="5960" w:type="dxa"/>
            <w:vAlign w:val="bottom"/>
          </w:tcPr>
          <w:p>
            <w:pPr>
              <w:ind w:left="380"/>
              <w:spacing w:after="0"/>
              <w:rPr>
                <w:sz w:val="20"/>
                <w:szCs w:val="20"/>
                <w:color w:val="auto"/>
              </w:rPr>
            </w:pPr>
            <w:r>
              <w:rPr>
                <w:rFonts w:ascii="Arial" w:cs="Arial" w:eastAsia="Arial" w:hAnsi="Arial"/>
                <w:sz w:val="16"/>
                <w:szCs w:val="16"/>
                <w:color w:val="auto"/>
              </w:rPr>
              <w:t>Dividend income</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300,000</w:t>
            </w:r>
          </w:p>
        </w:tc>
      </w:tr>
      <w:tr>
        <w:trPr>
          <w:trHeight w:val="33"/>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592,073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709,052</w:t>
            </w:r>
          </w:p>
        </w:tc>
      </w:tr>
      <w:tr>
        <w:trPr>
          <w:trHeight w:val="231"/>
        </w:trPr>
        <w:tc>
          <w:tcPr>
            <w:tcW w:w="596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Management fees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1,286,066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1,359,180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2,609,642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2,813,600</w:t>
            </w:r>
          </w:p>
        </w:tc>
      </w:tr>
      <w:tr>
        <w:trPr>
          <w:trHeight w:val="270"/>
        </w:trPr>
        <w:tc>
          <w:tcPr>
            <w:tcW w:w="5960" w:type="dxa"/>
            <w:vAlign w:val="bottom"/>
          </w:tcPr>
          <w:p>
            <w:pPr>
              <w:ind w:left="40"/>
              <w:spacing w:after="0"/>
              <w:rPr>
                <w:sz w:val="20"/>
                <w:szCs w:val="20"/>
                <w:color w:val="auto"/>
              </w:rPr>
            </w:pPr>
            <w:r>
              <w:rPr>
                <w:rFonts w:ascii="Arial" w:cs="Arial" w:eastAsia="Arial" w:hAnsi="Arial"/>
                <w:sz w:val="16"/>
                <w:szCs w:val="16"/>
                <w:color w:val="auto"/>
              </w:rPr>
              <w:t>Incentive fees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2,588,085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2,430,825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4,059,419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4,148,133</w:t>
            </w: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Costs incurred under Administration Agreement</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397,113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449,110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821,258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980,594</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Directors’ fees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86,250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73,063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155,980</w:t>
            </w: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666,696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964,998</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1,473,695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1,155,060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2,613,758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2,281,833</w:t>
            </w: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148,499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46,490</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160,036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207,716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649,306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360,297</w:t>
            </w:r>
          </w:p>
        </w:tc>
      </w:tr>
      <w:tr>
        <w:trPr>
          <w:trHeight w:val="33"/>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6,344,272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6,423,452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11,741,078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11,751,925</w:t>
            </w:r>
          </w:p>
        </w:tc>
      </w:tr>
      <w:tr>
        <w:trPr>
          <w:trHeight w:val="270"/>
        </w:trPr>
        <w:tc>
          <w:tcPr>
            <w:tcW w:w="5960" w:type="dxa"/>
            <w:vAlign w:val="bottom"/>
          </w:tcPr>
          <w:p>
            <w:pPr>
              <w:ind w:left="220"/>
              <w:spacing w:after="0"/>
              <w:rPr>
                <w:sz w:val="20"/>
                <w:szCs w:val="20"/>
                <w:color w:val="auto"/>
              </w:rPr>
            </w:pPr>
            <w:r>
              <w:rPr>
                <w:rFonts w:ascii="Arial" w:cs="Arial" w:eastAsia="Arial" w:hAnsi="Arial"/>
                <w:sz w:val="16"/>
                <w:szCs w:val="16"/>
                <w:color w:val="auto"/>
              </w:rPr>
              <w:t>Management fee waiver</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(335,403)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(169,898)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(490,347)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(351,700)</w:t>
            </w:r>
          </w:p>
        </w:tc>
      </w:tr>
      <w:tr>
        <w:trPr>
          <w:trHeight w:val="270"/>
        </w:trPr>
        <w:tc>
          <w:tcPr>
            <w:tcW w:w="5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Incentive fee waiver</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5960" w:type="dxa"/>
            <w:vAlign w:val="bottom"/>
          </w:tcPr>
          <w:p>
            <w:pPr>
              <w:ind w:left="180"/>
              <w:spacing w:after="0"/>
              <w:rPr>
                <w:sz w:val="20"/>
                <w:szCs w:val="20"/>
                <w:color w:val="auto"/>
              </w:rPr>
            </w:pPr>
            <w:r>
              <w:rPr>
                <w:rFonts w:ascii="Arial" w:cs="Arial" w:eastAsia="Arial" w:hAnsi="Arial"/>
                <w:sz w:val="16"/>
                <w:szCs w:val="16"/>
                <w:color w:val="auto"/>
              </w:rPr>
              <w:t>Total operating expenses, net of waiver of management and incentive fees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6,008,869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6,253,554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6,250,731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11,400,225</w:t>
            </w: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Investment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(5,416,796)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(5,882,961)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(5,409,323)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(10,691,173)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Realized Gains/(Losses) on Investments: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Non-controlled/non-affiliated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3,363,333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2,587,288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(22,781,750)</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(675,495)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(2,578,909)</w:t>
            </w:r>
          </w:p>
        </w:tc>
      </w:tr>
      <w:tr>
        <w:trPr>
          <w:trHeight w:val="33"/>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Realized Gains/(Losses) on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3,363,333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(671,492)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2,586,608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(25,360,659)</w:t>
            </w: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Realized loss on partial repurchase of 5.25% Convertible Senior Notes due 2018</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(397,846)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Unrealized Appreciation/(Depreciation)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Non-controlled/non-affiliated investments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10,555,021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15,403,432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20,409,685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45,564,382</w:t>
            </w: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Non-controlled/affiliate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(952,635)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(1,687,511)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(8,628,965)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(260,843)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270,209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(963,393)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6,225,269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729,254</w:t>
            </w:r>
          </w:p>
        </w:tc>
      </w:tr>
      <w:tr>
        <w:trPr>
          <w:trHeight w:val="33"/>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Unrealized Appreciation/(Depreciation) of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9,872,595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12,752,528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18,005,989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46,032,793</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Benefit from taxes on unrealized depreciation of investments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1,010,871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1,010,871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Increase in Net Assets Resulting from Operations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8,830,003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6,198,075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15,796,299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9,980,961</w:t>
            </w: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Net Increase in Net Assets Resulting from Operations per Common Share: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0.45</w:t>
            </w: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59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0.44</w:t>
            </w:r>
          </w:p>
        </w:tc>
      </w:tr>
      <w:tr>
        <w:trPr>
          <w:trHeight w:val="231"/>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7"/>
        </w:trPr>
        <w:tc>
          <w:tcPr>
            <w:tcW w:w="5960" w:type="dxa"/>
            <w:vAlign w:val="bottom"/>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20,968,850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22,181,003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21,059,254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22,181,003</w:t>
            </w: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28,866,674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27,932,818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27,796,112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27,932,818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-5727700</wp:posOffset>
            </wp:positionV>
            <wp:extent cx="3773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73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-7460615</wp:posOffset>
            </wp:positionV>
            <wp:extent cx="3773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spacing w:after="0" w:line="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balance references a related-party transaction. Refer to “Note 3—Related-Party Arrangements” for more detail.</w:t>
      </w:r>
    </w:p>
    <w:p>
      <w:pPr>
        <w:spacing w:after="0" w:line="7" w:lineRule="exact"/>
        <w:rPr>
          <w:rFonts w:ascii="Arial" w:cs="Arial" w:eastAsia="Arial" w:hAnsi="Arial"/>
          <w:sz w:val="18"/>
          <w:szCs w:val="18"/>
          <w:color w:val="auto"/>
        </w:rPr>
      </w:pPr>
    </w:p>
    <w:p>
      <w:pPr>
        <w:ind w:left="340" w:right="30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three and six months ended June 30, 2018 and 2017, 0 potentially dilutive common shares were excluded from the weighted-average common shares outstanding for diluted net increase in net assets resulting from operations per common share. Refer to “Note 6—Net Increase in Net Assets Resulting from Operations per Common Share—Basic and Diluted” for further detail.</w:t>
      </w:r>
    </w:p>
    <w:p>
      <w:pPr>
        <w:sectPr>
          <w:pgSz w:w="11900" w:h="16838" w:orient="portrait"/>
          <w:cols w:equalWidth="0" w:num="1">
            <w:col w:w="11420"/>
          </w:cols>
          <w:pgMar w:left="240" w:top="122" w:right="239" w:bottom="1056"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1056" w:gutter="0" w:footer="0" w:header="0"/>
          <w:type w:val="continuous"/>
        </w:sectPr>
      </w:pPr>
    </w:p>
    <w:bookmarkStart w:id="4" w:name="page5"/>
    <w:bookmarkEnd w:id="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NET ASSETS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 Ended June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June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30, 2018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30, 2017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Net Assets Resulting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investment loss</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(5,409,323)</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(10,691,173)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gains/(losses)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(25,360,659)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Realized loss on partial repurchase of 5.25% Convertible Senior Notes due 2018</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(397,846)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appreciation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18,005,989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46,032,793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Benefit from taxes on unrealized depreciation of investments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1,010,871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15,796,299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9,980,961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Change in Net Assets Resulting from Capital Transactions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(3,410,552)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Net Decrease in Net Assets Resulting from Capital Transactions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(3,410,552)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Increase in Net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12,385,747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9,980,961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assets at beginning of year</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204,762,866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192,128,810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at End of Period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217,148,613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202,109,771</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Capital Share Activity</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outstanding at beginning of year</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21,246,345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22,181,003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Shares issued</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repurchased</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Shares Outstanding at End of Period</w:t>
            </w:r>
          </w:p>
        </w:tc>
        <w:tc>
          <w:tcPr>
            <w:tcW w:w="3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20,750,913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22,181,003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-3189605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w:t>
            </w:r>
          </w:p>
        </w:tc>
        <w:tc>
          <w:tcPr>
            <w:tcW w:w="100" w:type="dxa"/>
            <w:vAlign w:val="bottom"/>
          </w:tcPr>
          <w:p>
            <w:pPr>
              <w:spacing w:after="0"/>
              <w:rPr>
                <w:sz w:val="14"/>
                <w:szCs w:val="14"/>
                <w:color w:val="auto"/>
              </w:rPr>
            </w:pPr>
          </w:p>
        </w:tc>
        <w:tc>
          <w:tcPr>
            <w:tcW w:w="158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Six Months Ended June</w:t>
            </w:r>
          </w:p>
        </w:tc>
      </w:tr>
      <w:tr>
        <w:trPr>
          <w:trHeight w:val="192"/>
        </w:trPr>
        <w:tc>
          <w:tcPr>
            <w:tcW w:w="79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30, 2018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30, 2017</w:t>
            </w: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15,796,299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9,980,961</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Adjustments to reconcile net increase in net assets resulting from operations to net cash provided by/(used in) operating</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Net realized (gains)/losses on investments</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(2,586,608)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25,360,659</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unrealized (appreciation)/depreciation of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(18,005,989)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(46,032,793)</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(1,354,386)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discount on 5.25% Convertible Senior Notes due 2018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359,444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430,633</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Amortization of discount on 4.75% Convertible Senior Notes due 2023</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95,051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deferred financing costs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6,824</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Write-off of deferred offering costs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325,248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fixed income security premiums and discounts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(73,873)</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Paid-in-kind-interest</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(209,453)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52,483</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 in: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Portfolio investments</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(209,656)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Treasury bills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(199,943,927)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(160,054,378)</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Proceeds from sales or maturity of investments in:</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Portfolio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25,297,380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U.S. Treasury bills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200,000,000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90,000,000</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operating assets and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Due from controlled investments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120,751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141,386</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Interest and dividends receivable</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(250,642)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(244,154)</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Escrow proceeds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(1,056,823)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900" w:type="dxa"/>
            <w:vAlign w:val="bottom"/>
          </w:tcPr>
          <w:p>
            <w:pPr>
              <w:ind w:left="180"/>
              <w:spacing w:after="0"/>
              <w:rPr>
                <w:sz w:val="20"/>
                <w:szCs w:val="20"/>
                <w:color w:val="auto"/>
              </w:rPr>
            </w:pPr>
            <w:r>
              <w:rPr>
                <w:rFonts w:ascii="Arial" w:cs="Arial" w:eastAsia="Arial" w:hAnsi="Arial"/>
                <w:sz w:val="16"/>
                <w:szCs w:val="16"/>
                <w:color w:val="auto"/>
              </w:rPr>
              <w:t>Due to GSV Asset Management</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(74,218)</w:t>
            </w: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Payable for securities purchased</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129,805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62,985,140</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101,334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(92,553)</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incentive fees</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(940,581)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4,148,133</w:t>
            </w:r>
          </w:p>
        </w:tc>
      </w:tr>
      <w:tr>
        <w:trPr>
          <w:trHeight w:val="270"/>
        </w:trPr>
        <w:tc>
          <w:tcPr>
            <w:tcW w:w="7900" w:type="dxa"/>
            <w:vAlign w:val="bottom"/>
          </w:tcPr>
          <w:p>
            <w:pPr>
              <w:ind w:left="180"/>
              <w:spacing w:after="0"/>
              <w:rPr>
                <w:sz w:val="20"/>
                <w:szCs w:val="20"/>
                <w:color w:val="auto"/>
              </w:rPr>
            </w:pPr>
            <w:r>
              <w:rPr>
                <w:rFonts w:ascii="Arial" w:cs="Arial" w:eastAsia="Arial" w:hAnsi="Arial"/>
                <w:sz w:val="16"/>
                <w:szCs w:val="16"/>
                <w:color w:val="auto"/>
              </w:rPr>
              <w:t>Accrued management fees</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(107,559)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(127,626)</w:t>
            </w: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 payable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212,187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5,166</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by/(Used in) Operating Activities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17,803,179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(13,588,490)</w:t>
            </w:r>
          </w:p>
        </w:tc>
      </w:tr>
      <w:tr>
        <w:trPr>
          <w:trHeight w:val="33"/>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Proceeds from the issuance of 4.75% Convertible Senior Notes due 2023</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40,000,000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(1,846,620)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Repurchases of common stock</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(3,410,552)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5.25% Convertible Senior Notes due 2018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(19,290,565)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Realized loss on partial repurchase of 5.25% Convertible Senior Notes due 2018</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397,846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under credit facility</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8,000,000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credit facility costs</w:t>
            </w:r>
          </w:p>
        </w:tc>
        <w:tc>
          <w:tcPr>
            <w:tcW w:w="1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(100,313)</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offering costs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(41,261)</w:t>
            </w:r>
          </w:p>
        </w:tc>
      </w:tr>
      <w:tr>
        <w:trPr>
          <w:trHeight w:val="217"/>
        </w:trPr>
        <w:tc>
          <w:tcPr>
            <w:tcW w:w="790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15,843,797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7,858,426</w:t>
            </w:r>
          </w:p>
        </w:tc>
      </w:tr>
      <w:tr>
        <w:trPr>
          <w:trHeight w:val="33"/>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Increase/(Decrease) in Cash Balance</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33,646,976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(5,730,064)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Balance at Beginning of Year</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59,838,600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8,332,634</w:t>
            </w:r>
          </w:p>
        </w:tc>
      </w:tr>
      <w:tr>
        <w:trPr>
          <w:trHeight w:val="33"/>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Balance at End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93,485,576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2,602,570</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1,891,542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1,832,654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Taxes paid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492,014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46,490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-1693545</wp:posOffset>
            </wp:positionV>
            <wp:extent cx="50082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08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-7988300</wp:posOffset>
            </wp:positionV>
            <wp:extent cx="50082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03" w:lineRule="exact"/>
        <w:rPr>
          <w:sz w:val="20"/>
          <w:szCs w:val="20"/>
          <w:color w:val="auto"/>
        </w:rPr>
      </w:pPr>
    </w:p>
    <w:p>
      <w:pPr>
        <w:ind w:left="5660" w:right="2700" w:hanging="5652"/>
        <w:spacing w:after="0" w:line="559"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balance references a related-party transaction. Refer to “Note 3—Related-Party Arrangements” for more detail. 4</w:t>
      </w:r>
    </w:p>
    <w:p>
      <w:pPr>
        <w:sectPr>
          <w:pgSz w:w="11900" w:h="16838" w:orient="portrait"/>
          <w:cols w:equalWidth="0" w:num="1">
            <w:col w:w="11420"/>
          </w:cols>
          <w:pgMar w:left="240" w:top="121" w:right="239" w:bottom="693" w:gutter="0" w:footer="0" w:header="0"/>
        </w:sectPr>
      </w:pPr>
    </w:p>
    <w:bookmarkStart w:id="6" w:name="page7"/>
    <w:bookmarkEnd w:id="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17"/>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w:t>
            </w:r>
          </w:p>
        </w:tc>
        <w:tc>
          <w:tcPr>
            <w:tcW w:w="24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660" w:type="dxa"/>
            <w:vAlign w:val="bottom"/>
            <w:gridSpan w:val="17"/>
            <w:vMerge w:val="continue"/>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3660" w:type="dxa"/>
            <w:vAlign w:val="bottom"/>
            <w:tcBorders>
              <w:top w:val="single" w:sz="8" w:color="auto"/>
            </w:tcBorders>
            <w:gridSpan w:val="17"/>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3"/>
                <w:szCs w:val="23"/>
                <w:color w:val="auto"/>
              </w:rPr>
            </w:pPr>
          </w:p>
        </w:tc>
        <w:tc>
          <w:tcPr>
            <w:tcW w:w="2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Stockholm, Sweden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(3)(7)</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On-Demand Music Streaming</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235,360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10,002,084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39,596,966</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Palo Alto,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Data Analysis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35,495,295</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Dropbox, Inc.</w:t>
            </w: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(3)(8)</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Cloud Computing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874,990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13,656,926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25,530,458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2,961,399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14,519,519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18,360,674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Lyft,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Transportation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2,503,585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5,694,949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176,266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1,792,749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7,808,046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4,296,334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13,502,995</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29"/>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Redwood City,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11,298,854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Parchment,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Scottsdale, AZ</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E-Transcript Exchange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4,000,982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5,867,338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DreamBox Learning,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Bellevue,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Education Technology</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7,159,221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1,502,362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3,789,912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3,579,610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758,017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1,894,956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2,260,379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5,684,868</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29"/>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Seattle,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Peer-to-Peer Pet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707,991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2,506,119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4,800,172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Menlo Park,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On-Demand Commerce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4,000,280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3,438,514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879,198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1,002,440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1,035,035</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5,002,720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4,473,549</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23"/>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SugarCRM, Inc.</w:t>
            </w:r>
            <w:r>
              <w:rPr>
                <w:rFonts w:ascii="Arial" w:cs="Arial" w:eastAsia="Arial" w:hAnsi="Arial"/>
                <w:sz w:val="8"/>
                <w:szCs w:val="8"/>
                <w:color w:val="auto"/>
              </w:rPr>
              <w:t>(13)</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Cupertino,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Customer Relationship Manager</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373,134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1,500,723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1,813,267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1,524,799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5,477,236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1,265,583</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6,977,959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3,078,850</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29"/>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Knewton,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3,061,682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Online Marketplace Finance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2,259,716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2,249,999</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(14)</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770,934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123,987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123,349</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2,383,703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2,373,348</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29"/>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Clever,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Education Software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1,799,047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2,000,601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Lytro, Inc.</w:t>
            </w:r>
            <w:r>
              <w:rPr>
                <w:rFonts w:ascii="Arial" w:cs="Arial" w:eastAsia="Arial" w:hAnsi="Arial"/>
                <w:sz w:val="8"/>
                <w:szCs w:val="8"/>
                <w:color w:val="auto"/>
              </w:rPr>
              <w:t>(12)</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shd w:val="clear" w:color="auto" w:fill="CCEEFF"/>
          </w:tcPr>
          <w:p>
            <w:pPr>
              <w:spacing w:after="0"/>
              <w:rPr>
                <w:sz w:val="24"/>
                <w:szCs w:val="24"/>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Light Field Imaging Platform</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159,160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46,427</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Preferred shares, Series C-1</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3,378,379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10,001,216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928,544</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10,503,358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974,971</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23"/>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Computer Software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309,310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791,361</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48710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48710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-2658110</wp:posOffset>
            </wp:positionV>
            <wp:extent cx="48710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-3361055</wp:posOffset>
            </wp:positionV>
            <wp:extent cx="48710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-5788025</wp:posOffset>
            </wp:positionV>
            <wp:extent cx="48710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1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151" w:gutter="0" w:footer="0" w:header="0"/>
          <w:type w:val="continuous"/>
        </w:sectPr>
      </w:pPr>
    </w:p>
    <w:bookmarkStart w:id="7" w:name="page8"/>
    <w:bookmarkEnd w:id="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11"/>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80" w:type="dxa"/>
            <w:vAlign w:val="bottom"/>
          </w:tcPr>
          <w:p>
            <w:pPr>
              <w:spacing w:after="0"/>
              <w:rPr>
                <w:sz w:val="14"/>
                <w:szCs w:val="14"/>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660" w:type="dxa"/>
            <w:vAlign w:val="bottom"/>
            <w:gridSpan w:val="11"/>
            <w:vMerge w:val="continue"/>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80" w:type="dxa"/>
            <w:vAlign w:val="bottom"/>
          </w:tcPr>
          <w:p>
            <w:pPr>
              <w:spacing w:after="0"/>
              <w:rPr>
                <w:sz w:val="16"/>
                <w:szCs w:val="16"/>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Principal</w:t>
            </w: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0" w:type="dxa"/>
            <w:vAlign w:val="bottom"/>
          </w:tcPr>
          <w:p>
            <w:pPr>
              <w:jc w:val="right"/>
              <w:ind w:right="3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gridSpan w:val="11"/>
            <w:shd w:val="clear" w:color="auto" w:fill="CCEEFF"/>
          </w:tcPr>
          <w:p>
            <w:pPr>
              <w:ind w:left="40"/>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tcBorders>
              <w:top w:val="single" w:sz="8" w:color="CCEEFF"/>
            </w:tcBorders>
            <w:shd w:val="clear" w:color="auto" w:fill="CCEEFF"/>
          </w:tcPr>
          <w:p>
            <w:pPr>
              <w:spacing w:after="0"/>
              <w:rPr>
                <w:sz w:val="21"/>
                <w:szCs w:val="21"/>
                <w:color w:val="auto"/>
              </w:rPr>
            </w:pPr>
          </w:p>
        </w:tc>
        <w:tc>
          <w:tcPr>
            <w:tcW w:w="276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Marina Del Rey, CA</w:t>
            </w:r>
          </w:p>
        </w:tc>
        <w:tc>
          <w:tcPr>
            <w:tcW w:w="18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660" w:type="dxa"/>
            <w:vAlign w:val="bottom"/>
            <w:gridSpan w:val="11"/>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Financial Services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540,270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1,001,815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778,311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36"/>
        </w:trPr>
        <w:tc>
          <w:tcPr>
            <w:tcW w:w="3660" w:type="dxa"/>
            <w:vAlign w:val="bottom"/>
            <w:gridSpan w:val="11"/>
            <w:shd w:val="clear" w:color="auto" w:fill="CCEEFF"/>
          </w:tcPr>
          <w:p>
            <w:pPr>
              <w:ind w:left="40"/>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Chicago, IL</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11"/>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Social Data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436,219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1,436,404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586,459</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36"/>
        </w:trPr>
        <w:tc>
          <w:tcPr>
            <w:tcW w:w="3660" w:type="dxa"/>
            <w:vAlign w:val="bottom"/>
            <w:gridSpan w:val="11"/>
            <w:shd w:val="clear" w:color="auto" w:fill="CCEEFF"/>
          </w:tcPr>
          <w:p>
            <w:pPr>
              <w:ind w:left="40"/>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Cambridge, MA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11"/>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Business Education</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517,917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6,150,506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11"/>
            <w:shd w:val="clear" w:color="auto" w:fill="CCEEFF"/>
          </w:tcPr>
          <w:p>
            <w:pPr>
              <w:ind w:left="40"/>
              <w:spacing w:after="0"/>
              <w:rPr>
                <w:sz w:val="20"/>
                <w:szCs w:val="20"/>
                <w:color w:val="auto"/>
              </w:rPr>
            </w:pPr>
            <w:r>
              <w:rPr>
                <w:rFonts w:ascii="Arial" w:cs="Arial" w:eastAsia="Arial" w:hAnsi="Arial"/>
                <w:sz w:val="14"/>
                <w:szCs w:val="14"/>
                <w:color w:val="auto"/>
              </w:rPr>
              <w:t>Promissory Note 1.47% Due 11/9/2021</w:t>
            </w:r>
            <w:r>
              <w:rPr>
                <w:rFonts w:ascii="Arial" w:cs="Arial" w:eastAsia="Arial" w:hAnsi="Arial"/>
                <w:sz w:val="8"/>
                <w:szCs w:val="8"/>
                <w:color w:val="auto"/>
              </w:rPr>
              <w:t>(4)</w:t>
            </w:r>
          </w:p>
        </w:tc>
        <w:tc>
          <w:tcPr>
            <w:tcW w:w="12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2,270,458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2,270,858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20" w:type="dxa"/>
            <w:vAlign w:val="bottom"/>
            <w:gridSpan w:val="10"/>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8,421,364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6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20" w:type="dxa"/>
            <w:vAlign w:val="bottom"/>
            <w:gridSpan w:val="10"/>
          </w:tcPr>
          <w:p>
            <w:pPr>
              <w:ind w:left="14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115,469,512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178,256,152</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82.09%</w:t>
            </w:r>
          </w:p>
        </w:tc>
        <w:tc>
          <w:tcPr>
            <w:tcW w:w="0" w:type="dxa"/>
            <w:vAlign w:val="bottom"/>
          </w:tcPr>
          <w:p>
            <w:pPr>
              <w:spacing w:after="0"/>
              <w:rPr>
                <w:sz w:val="1"/>
                <w:szCs w:val="1"/>
                <w:color w:val="auto"/>
              </w:rPr>
            </w:pPr>
          </w:p>
        </w:tc>
      </w:tr>
      <w:tr>
        <w:trPr>
          <w:trHeight w:val="330"/>
        </w:trPr>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11"/>
          </w:tcPr>
          <w:p>
            <w:pPr>
              <w:ind w:left="40"/>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color w:val="auto"/>
              </w:rPr>
              <w:t>(1)</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660" w:type="dxa"/>
            <w:vAlign w:val="bottom"/>
            <w:gridSpan w:val="11"/>
            <w:shd w:val="clear" w:color="auto" w:fill="CCEEFF"/>
          </w:tcPr>
          <w:p>
            <w:pPr>
              <w:ind w:left="40"/>
              <w:spacing w:after="0"/>
              <w:rPr>
                <w:sz w:val="20"/>
                <w:szCs w:val="20"/>
                <w:color w:val="auto"/>
              </w:rPr>
            </w:pPr>
            <w:r>
              <w:rPr>
                <w:rFonts w:ascii="Arial" w:cs="Arial" w:eastAsia="Arial" w:hAnsi="Arial"/>
                <w:sz w:val="14"/>
                <w:szCs w:val="14"/>
                <w:b w:val="1"/>
                <w:bCs w:val="1"/>
                <w:color w:val="auto"/>
              </w:rPr>
              <w:t>Ozy Media, Inc.</w:t>
            </w:r>
          </w:p>
        </w:tc>
        <w:tc>
          <w:tcPr>
            <w:tcW w:w="12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11"/>
          </w:tcPr>
          <w:p>
            <w:pPr>
              <w:ind w:left="40"/>
              <w:spacing w:after="0"/>
              <w:rPr>
                <w:sz w:val="20"/>
                <w:szCs w:val="20"/>
                <w:color w:val="auto"/>
              </w:rPr>
            </w:pPr>
            <w:r>
              <w:rPr>
                <w:rFonts w:ascii="Arial" w:cs="Arial" w:eastAsia="Arial" w:hAnsi="Arial"/>
                <w:sz w:val="14"/>
                <w:szCs w:val="14"/>
                <w:color w:val="auto"/>
              </w:rPr>
              <w:t>Convertible Promissory Note 5% Due 10/31/2018</w:t>
            </w:r>
            <w:r>
              <w:rPr>
                <w:rFonts w:ascii="Arial" w:cs="Arial" w:eastAsia="Arial" w:hAnsi="Arial"/>
                <w:sz w:val="8"/>
                <w:szCs w:val="8"/>
                <w:color w:val="auto"/>
              </w:rPr>
              <w:t>(11)</w:t>
            </w:r>
          </w:p>
        </w:tc>
        <w:tc>
          <w:tcPr>
            <w:tcW w:w="120" w:type="dxa"/>
            <w:vAlign w:val="bottom"/>
          </w:tcPr>
          <w:p>
            <w:pPr>
              <w:spacing w:after="0"/>
              <w:rPr>
                <w:sz w:val="22"/>
                <w:szCs w:val="22"/>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Digital Media Platform</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2,102,384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2,083,754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3,153,247</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6"/>
        </w:trPr>
        <w:tc>
          <w:tcPr>
            <w:tcW w:w="3660" w:type="dxa"/>
            <w:vAlign w:val="bottom"/>
            <w:gridSpan w:val="11"/>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922,509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1,289,491</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264"/>
        </w:trPr>
        <w:tc>
          <w:tcPr>
            <w:tcW w:w="3660" w:type="dxa"/>
            <w:vAlign w:val="bottom"/>
            <w:gridSpan w:val="11"/>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1,090,909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3,000,200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773,475</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76"/>
        </w:trPr>
        <w:tc>
          <w:tcPr>
            <w:tcW w:w="3660" w:type="dxa"/>
            <w:vAlign w:val="bottom"/>
            <w:gridSpan w:val="11"/>
            <w:shd w:val="clear" w:color="auto" w:fill="CCEEFF"/>
          </w:tcPr>
          <w:p>
            <w:pPr>
              <w:ind w:left="40"/>
              <w:spacing w:after="0"/>
              <w:rPr>
                <w:sz w:val="20"/>
                <w:szCs w:val="20"/>
                <w:color w:val="auto"/>
              </w:rPr>
            </w:pPr>
            <w:r>
              <w:rPr>
                <w:rFonts w:ascii="Arial" w:cs="Arial" w:eastAsia="Arial" w:hAnsi="Arial"/>
                <w:sz w:val="14"/>
                <w:szCs w:val="14"/>
                <w:color w:val="auto"/>
              </w:rPr>
              <w:t>Preferred shares, Series Seed</w:t>
            </w:r>
          </w:p>
        </w:tc>
        <w:tc>
          <w:tcPr>
            <w:tcW w:w="1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128,912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70"/>
        </w:trPr>
        <w:tc>
          <w:tcPr>
            <w:tcW w:w="3660" w:type="dxa"/>
            <w:vAlign w:val="bottom"/>
            <w:gridSpan w:val="11"/>
          </w:tcPr>
          <w:p>
            <w:pPr>
              <w:ind w:left="40"/>
              <w:spacing w:after="0"/>
              <w:rPr>
                <w:sz w:val="20"/>
                <w:szCs w:val="20"/>
                <w:color w:val="auto"/>
              </w:rPr>
            </w:pPr>
            <w:r>
              <w:rPr>
                <w:rFonts w:ascii="Arial" w:cs="Arial" w:eastAsia="Arial" w:hAnsi="Arial"/>
                <w:sz w:val="14"/>
                <w:szCs w:val="14"/>
                <w:color w:val="auto"/>
              </w:rPr>
              <w:t>Common Warrants, Strike Price $0.01, Expiration Date</w:t>
            </w: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20" w:type="dxa"/>
            <w:vAlign w:val="bottom"/>
            <w:gridSpan w:val="2"/>
          </w:tcPr>
          <w:p>
            <w:pPr>
              <w:ind w:left="40"/>
              <w:spacing w:after="0"/>
              <w:rPr>
                <w:sz w:val="20"/>
                <w:szCs w:val="20"/>
                <w:color w:val="auto"/>
              </w:rPr>
            </w:pPr>
            <w:r>
              <w:rPr>
                <w:rFonts w:ascii="Arial" w:cs="Arial" w:eastAsia="Arial" w:hAnsi="Arial"/>
                <w:sz w:val="14"/>
                <w:szCs w:val="14"/>
                <w:color w:val="auto"/>
              </w:rPr>
              <w:t>4/9/2028</w:t>
            </w:r>
            <w:r>
              <w:rPr>
                <w:rFonts w:ascii="Arial" w:cs="Arial" w:eastAsia="Arial" w:hAnsi="Arial"/>
                <w:sz w:val="8"/>
                <w:szCs w:val="8"/>
                <w:color w:val="auto"/>
              </w:rPr>
              <w:t>(11)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34,483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30,647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620" w:type="dxa"/>
            <w:vAlign w:val="bottom"/>
            <w:tcBorders>
              <w:top w:val="single" w:sz="8" w:color="CCEEFF"/>
              <w:bottom w:val="single" w:sz="8" w:color="CCEEFF"/>
            </w:tcBorders>
            <w:gridSpan w:val="10"/>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10,614,600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5,345,125</w:t>
            </w: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29"/>
        </w:trPr>
        <w:tc>
          <w:tcPr>
            <w:tcW w:w="3660" w:type="dxa"/>
            <w:vAlign w:val="bottom"/>
            <w:gridSpan w:val="11"/>
          </w:tcPr>
          <w:p>
            <w:pPr>
              <w:ind w:left="40"/>
              <w:spacing w:after="0"/>
              <w:rPr>
                <w:sz w:val="20"/>
                <w:szCs w:val="20"/>
                <w:color w:val="auto"/>
              </w:rPr>
            </w:pPr>
            <w:r>
              <w:rPr>
                <w:rFonts w:ascii="Arial" w:cs="Arial" w:eastAsia="Arial" w:hAnsi="Arial"/>
                <w:sz w:val="14"/>
                <w:szCs w:val="14"/>
                <w:b w:val="1"/>
                <w:bCs w:val="1"/>
                <w:color w:val="auto"/>
              </w:rPr>
              <w:t>CUX, Inc. (d/b/a CorpU)</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Philadelphia, PA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60" w:type="dxa"/>
            <w:vAlign w:val="bottom"/>
            <w:gridSpan w:val="11"/>
            <w:shd w:val="clear" w:color="auto" w:fill="CCEEFF"/>
          </w:tcPr>
          <w:p>
            <w:pPr>
              <w:ind w:left="40"/>
              <w:spacing w:after="0" w:line="157" w:lineRule="exact"/>
              <w:rPr>
                <w:sz w:val="20"/>
                <w:szCs w:val="20"/>
                <w:color w:val="auto"/>
              </w:rPr>
            </w:pPr>
            <w:r>
              <w:rPr>
                <w:rFonts w:ascii="Arial" w:cs="Arial" w:eastAsia="Arial" w:hAnsi="Arial"/>
                <w:sz w:val="14"/>
                <w:szCs w:val="14"/>
                <w:color w:val="auto"/>
                <w:w w:val="99"/>
              </w:rPr>
              <w:t>Senior Subordinated Convertible Promissory Note 8% Due</w:t>
            </w:r>
          </w:p>
        </w:tc>
        <w:tc>
          <w:tcPr>
            <w:tcW w:w="12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0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99"/>
              </w:rPr>
              <w:t>11/26/2018***</w:t>
            </w:r>
            <w:r>
              <w:rPr>
                <w:rFonts w:ascii="Arial" w:cs="Arial" w:eastAsia="Arial" w:hAnsi="Arial"/>
                <w:sz w:val="8"/>
                <w:szCs w:val="8"/>
                <w:color w:val="auto"/>
                <w:w w:val="99"/>
              </w:rPr>
              <w:t>(6)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Corporate Education</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1,259,712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1,259,712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1,259,712</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264"/>
        </w:trPr>
        <w:tc>
          <w:tcPr>
            <w:tcW w:w="3660" w:type="dxa"/>
            <w:vAlign w:val="bottom"/>
            <w:gridSpan w:val="11"/>
          </w:tcPr>
          <w:p>
            <w:pPr>
              <w:ind w:left="40"/>
              <w:spacing w:after="0"/>
              <w:rPr>
                <w:sz w:val="20"/>
                <w:szCs w:val="20"/>
                <w:color w:val="auto"/>
              </w:rPr>
            </w:pPr>
            <w:r>
              <w:rPr>
                <w:rFonts w:ascii="Arial" w:cs="Arial" w:eastAsia="Arial" w:hAnsi="Arial"/>
                <w:sz w:val="14"/>
                <w:szCs w:val="14"/>
                <w:color w:val="auto"/>
              </w:rPr>
              <w:t>Convertible preferred shares, Series D</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169,033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778,607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848,421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76"/>
        </w:trPr>
        <w:tc>
          <w:tcPr>
            <w:tcW w:w="3660" w:type="dxa"/>
            <w:vAlign w:val="bottom"/>
            <w:gridSpan w:val="11"/>
            <w:shd w:val="clear" w:color="auto" w:fill="CCEEFF"/>
          </w:tcPr>
          <w:p>
            <w:pPr>
              <w:ind w:left="40"/>
              <w:spacing w:after="0"/>
              <w:rPr>
                <w:sz w:val="20"/>
                <w:szCs w:val="20"/>
                <w:color w:val="auto"/>
              </w:rPr>
            </w:pPr>
            <w:r>
              <w:rPr>
                <w:rFonts w:ascii="Arial" w:cs="Arial" w:eastAsia="Arial" w:hAnsi="Arial"/>
                <w:sz w:val="14"/>
                <w:szCs w:val="14"/>
                <w:color w:val="auto"/>
              </w:rPr>
              <w:t>Convertible preferred shares, Series C</w:t>
            </w:r>
          </w:p>
        </w:tc>
        <w:tc>
          <w:tcPr>
            <w:tcW w:w="1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615,763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2,006,077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60" w:type="dxa"/>
            <w:vAlign w:val="bottom"/>
            <w:gridSpan w:val="11"/>
          </w:tcPr>
          <w:p>
            <w:pPr>
              <w:ind w:left="40"/>
              <w:spacing w:after="0" w:line="157" w:lineRule="exact"/>
              <w:rPr>
                <w:sz w:val="20"/>
                <w:szCs w:val="20"/>
                <w:color w:val="auto"/>
              </w:rPr>
            </w:pPr>
            <w:r>
              <w:rPr>
                <w:rFonts w:ascii="Arial" w:cs="Arial" w:eastAsia="Arial" w:hAnsi="Arial"/>
                <w:sz w:val="14"/>
                <w:szCs w:val="14"/>
                <w:color w:val="auto"/>
                <w:w w:val="98"/>
              </w:rPr>
              <w:t>Preferred Warrants Series D, Strike Price $4.59, Expiration</w:t>
            </w: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gridSpan w:val="11"/>
          </w:tcPr>
          <w:p>
            <w:pPr>
              <w:ind w:left="40"/>
              <w:spacing w:after="0"/>
              <w:rPr>
                <w:sz w:val="20"/>
                <w:szCs w:val="20"/>
                <w:color w:val="auto"/>
              </w:rPr>
            </w:pPr>
            <w:r>
              <w:rPr>
                <w:rFonts w:ascii="Arial" w:cs="Arial" w:eastAsia="Arial" w:hAnsi="Arial"/>
                <w:sz w:val="14"/>
                <w:szCs w:val="14"/>
                <w:color w:val="auto"/>
              </w:rPr>
              <w:t>Date 8/1/2018</w:t>
            </w:r>
            <w:r>
              <w:rPr>
                <w:rFonts w:ascii="Arial" w:cs="Arial" w:eastAsia="Arial" w:hAnsi="Arial"/>
                <w:sz w:val="8"/>
                <w:szCs w:val="8"/>
                <w:color w:val="auto"/>
              </w:rPr>
              <w:t>(9)</w:t>
            </w: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16,903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8,282</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shd w:val="clear" w:color="auto" w:fill="CCEEFF"/>
          </w:tcPr>
          <w:p>
            <w:pPr>
              <w:spacing w:after="0"/>
              <w:rPr>
                <w:sz w:val="23"/>
                <w:szCs w:val="23"/>
                <w:color w:val="auto"/>
              </w:rPr>
            </w:pPr>
          </w:p>
        </w:tc>
        <w:tc>
          <w:tcPr>
            <w:tcW w:w="3620" w:type="dxa"/>
            <w:vAlign w:val="bottom"/>
            <w:tcBorders>
              <w:top w:val="single" w:sz="8" w:color="CCEEFF"/>
            </w:tcBorders>
            <w:gridSpan w:val="10"/>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tcBorders>
            <w:shd w:val="clear" w:color="auto" w:fill="CCEEFF"/>
          </w:tcPr>
          <w:p>
            <w:pPr>
              <w:spacing w:after="0"/>
              <w:rPr>
                <w:sz w:val="23"/>
                <w:szCs w:val="23"/>
                <w:color w:val="auto"/>
              </w:rPr>
            </w:pPr>
          </w:p>
        </w:tc>
        <w:tc>
          <w:tcPr>
            <w:tcW w:w="26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4,044,396</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2,116,415</w:t>
            </w:r>
          </w:p>
        </w:tc>
        <w:tc>
          <w:tcPr>
            <w:tcW w:w="12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0.97%</w:t>
            </w:r>
          </w:p>
        </w:tc>
        <w:tc>
          <w:tcPr>
            <w:tcW w:w="0" w:type="dxa"/>
            <w:vAlign w:val="bottom"/>
          </w:tcPr>
          <w:p>
            <w:pPr>
              <w:spacing w:after="0"/>
              <w:rPr>
                <w:sz w:val="1"/>
                <w:szCs w:val="1"/>
                <w:color w:val="auto"/>
              </w:rPr>
            </w:pPr>
          </w:p>
        </w:tc>
      </w:tr>
      <w:tr>
        <w:trPr>
          <w:trHeight w:val="230"/>
        </w:trPr>
        <w:tc>
          <w:tcPr>
            <w:tcW w:w="3660" w:type="dxa"/>
            <w:vAlign w:val="bottom"/>
            <w:gridSpan w:val="11"/>
          </w:tcPr>
          <w:p>
            <w:pPr>
              <w:ind w:left="40"/>
              <w:spacing w:after="0"/>
              <w:rPr>
                <w:sz w:val="20"/>
                <w:szCs w:val="20"/>
                <w:color w:val="auto"/>
              </w:rPr>
            </w:pPr>
            <w:r>
              <w:rPr>
                <w:rFonts w:ascii="Arial" w:cs="Arial" w:eastAsia="Arial" w:hAnsi="Arial"/>
                <w:sz w:val="14"/>
                <w:szCs w:val="14"/>
                <w:b w:val="1"/>
                <w:bCs w:val="1"/>
                <w:color w:val="auto"/>
              </w:rPr>
              <w:t>EdSurge,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Burlingame,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1"/>
            <w:shd w:val="clear" w:color="auto" w:fill="CCEEFF"/>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Education Media Platform</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378,788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501,360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1"/>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494,365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500,801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0"/>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1,002,161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29"/>
        </w:trPr>
        <w:tc>
          <w:tcPr>
            <w:tcW w:w="3660" w:type="dxa"/>
            <w:vAlign w:val="bottom"/>
            <w:gridSpan w:val="11"/>
          </w:tcPr>
          <w:p>
            <w:pPr>
              <w:ind w:left="40"/>
              <w:spacing w:after="0"/>
              <w:rPr>
                <w:sz w:val="20"/>
                <w:szCs w:val="20"/>
                <w:color w:val="auto"/>
              </w:rPr>
            </w:pPr>
            <w:r>
              <w:rPr>
                <w:rFonts w:ascii="Arial" w:cs="Arial" w:eastAsia="Arial" w:hAnsi="Arial"/>
                <w:sz w:val="14"/>
                <w:szCs w:val="14"/>
                <w:b w:val="1"/>
                <w:bCs w:val="1"/>
                <w:color w:val="auto"/>
              </w:rPr>
              <w:t>Maven Research,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1"/>
            <w:shd w:val="clear" w:color="auto" w:fill="CCEEFF"/>
          </w:tcPr>
          <w:p>
            <w:pPr>
              <w:ind w:left="40"/>
              <w:spacing w:after="0"/>
              <w:rPr>
                <w:sz w:val="20"/>
                <w:szCs w:val="20"/>
                <w:color w:val="auto"/>
              </w:rPr>
            </w:pPr>
            <w:r>
              <w:rPr>
                <w:rFonts w:ascii="Arial" w:cs="Arial" w:eastAsia="Arial" w:hAnsi="Arial"/>
                <w:sz w:val="14"/>
                <w:szCs w:val="14"/>
                <w:color w:val="auto"/>
              </w:rPr>
              <w:t>Preferred shares, Series C</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Knowledge Networks</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318,979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2,000,447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190,267</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1"/>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49,505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217,206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18,980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10"/>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2,217,653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209,247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23"/>
        </w:trPr>
        <w:tc>
          <w:tcPr>
            <w:tcW w:w="3660" w:type="dxa"/>
            <w:vAlign w:val="bottom"/>
            <w:gridSpan w:val="11"/>
          </w:tcPr>
          <w:p>
            <w:pPr>
              <w:ind w:left="40"/>
              <w:spacing w:after="0"/>
              <w:rPr>
                <w:sz w:val="20"/>
                <w:szCs w:val="20"/>
                <w:color w:val="auto"/>
              </w:rPr>
            </w:pPr>
            <w:r>
              <w:rPr>
                <w:rFonts w:ascii="Arial" w:cs="Arial" w:eastAsia="Arial" w:hAnsi="Arial"/>
                <w:sz w:val="14"/>
                <w:szCs w:val="14"/>
                <w:b w:val="1"/>
                <w:bCs w:val="1"/>
                <w:color w:val="auto"/>
              </w:rPr>
              <w:t>Curious.com,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Menlo Park,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gridSpan w:val="11"/>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(16)</w:t>
            </w:r>
          </w:p>
        </w:tc>
        <w:tc>
          <w:tcPr>
            <w:tcW w:w="120" w:type="dxa"/>
            <w:vAlign w:val="bottom"/>
            <w:shd w:val="clear" w:color="auto" w:fill="CCEEFF"/>
          </w:tcPr>
          <w:p>
            <w:pPr>
              <w:spacing w:after="0"/>
              <w:rPr>
                <w:sz w:val="24"/>
                <w:szCs w:val="24"/>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3,407,834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12,000,006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660" w:type="dxa"/>
            <w:vAlign w:val="bottom"/>
            <w:gridSpan w:val="11"/>
          </w:tcPr>
          <w:p>
            <w:pPr>
              <w:ind w:left="40"/>
              <w:spacing w:after="0"/>
              <w:rPr>
                <w:sz w:val="20"/>
                <w:szCs w:val="20"/>
                <w:color w:val="auto"/>
              </w:rPr>
            </w:pPr>
            <w:r>
              <w:rPr>
                <w:rFonts w:ascii="Arial" w:cs="Arial" w:eastAsia="Arial" w:hAnsi="Arial"/>
                <w:sz w:val="14"/>
                <w:szCs w:val="14"/>
                <w:b w:val="1"/>
                <w:bCs w:val="1"/>
                <w:color w:val="auto"/>
              </w:rPr>
              <w:t>Declara,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Palo Alto,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1"/>
            <w:shd w:val="clear" w:color="auto" w:fill="CCEEFF"/>
          </w:tcPr>
          <w:p>
            <w:pPr>
              <w:ind w:left="40"/>
              <w:spacing w:after="0"/>
              <w:rPr>
                <w:sz w:val="20"/>
                <w:szCs w:val="20"/>
                <w:color w:val="auto"/>
              </w:rPr>
            </w:pPr>
            <w:r>
              <w:rPr>
                <w:rFonts w:ascii="Arial" w:cs="Arial" w:eastAsia="Arial" w:hAnsi="Arial"/>
                <w:sz w:val="14"/>
                <w:szCs w:val="14"/>
                <w:color w:val="auto"/>
              </w:rPr>
              <w:t>Convertible Promissory Note 12% Due 4/30/2018</w:t>
            </w:r>
            <w:r>
              <w:rPr>
                <w:rFonts w:ascii="Arial" w:cs="Arial" w:eastAsia="Arial" w:hAnsi="Arial"/>
                <w:sz w:val="8"/>
                <w:szCs w:val="8"/>
                <w:color w:val="auto"/>
              </w:rPr>
              <w:t>(4)(10)</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Social Cognitive Learning</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2,327,727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2,334,152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1"/>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10,716,390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9,999,999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620" w:type="dxa"/>
            <w:vAlign w:val="bottom"/>
            <w:gridSpan w:val="10"/>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12,334,151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10"/>
            <w:shd w:val="clear" w:color="auto" w:fill="CCEEFF"/>
          </w:tcPr>
          <w:p>
            <w:pPr>
              <w:ind w:left="140"/>
              <w:spacing w:after="0"/>
              <w:rPr>
                <w:sz w:val="20"/>
                <w:szCs w:val="20"/>
                <w:color w:val="auto"/>
              </w:rPr>
            </w:pPr>
            <w:r>
              <w:rPr>
                <w:rFonts w:ascii="Arial" w:cs="Arial" w:eastAsia="Arial" w:hAnsi="Arial"/>
                <w:sz w:val="14"/>
                <w:szCs w:val="14"/>
                <w:b w:val="1"/>
                <w:bCs w:val="1"/>
                <w:color w:val="auto"/>
              </w:rPr>
              <w:t>Total Non-controlled/Affiliate</w:t>
            </w:r>
          </w:p>
        </w:tc>
        <w:tc>
          <w:tcPr>
            <w:tcW w:w="12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42,212,967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8,170,787</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4073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735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-2289175</wp:posOffset>
            </wp:positionV>
            <wp:extent cx="48539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-2983865</wp:posOffset>
            </wp:positionV>
            <wp:extent cx="40735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735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-4133215</wp:posOffset>
            </wp:positionV>
            <wp:extent cx="4073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vMerge w:val="restart"/>
          </w:tcPr>
          <w:p>
            <w:pPr>
              <w:spacing w:after="0"/>
              <w:rPr>
                <w:sz w:val="14"/>
                <w:szCs w:val="14"/>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80" w:type="dxa"/>
            <w:vAlign w:val="bottom"/>
          </w:tcPr>
          <w:p>
            <w:pPr>
              <w:spacing w:after="0"/>
              <w:rPr>
                <w:sz w:val="14"/>
                <w:szCs w:val="14"/>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of Net Assets</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gridSpan w:val="6"/>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color w:val="auto"/>
              </w:rPr>
              <w:t>(2)</w:t>
            </w: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80" w:type="dxa"/>
            <w:vAlign w:val="bottom"/>
            <w:gridSpan w:val="7"/>
          </w:tcPr>
          <w:p>
            <w:pPr>
              <w:ind w:left="40"/>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Scottsdale, AZ</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Interactive Learning</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2,779,134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4,000,787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8,725,635</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Preferred shares, Series B</w:t>
            </w: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3,279,629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2,019,687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6,000,048</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70"/>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623,474</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gridSpan w:val="6"/>
          </w:tcPr>
          <w:p>
            <w:pPr>
              <w:ind w:left="140"/>
              <w:spacing w:after="0"/>
              <w:rPr>
                <w:sz w:val="20"/>
                <w:szCs w:val="20"/>
                <w:color w:val="auto"/>
              </w:rPr>
            </w:pPr>
            <w:r>
              <w:rPr>
                <w:rFonts w:ascii="Arial" w:cs="Arial" w:eastAsia="Arial" w:hAnsi="Arial"/>
                <w:sz w:val="14"/>
                <w:szCs w:val="14"/>
                <w:color w:val="auto"/>
              </w:rPr>
              <w:t>Total</w:t>
            </w: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6,130,474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15,349,157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229"/>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NestGSV, Inc. (d/b/a GSV Labs,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Redwood City,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Convertible Promissory Note 8% Due 7/31/2018***</w:t>
            </w:r>
            <w:r>
              <w:rPr>
                <w:rFonts w:ascii="Arial" w:cs="Arial" w:eastAsia="Arial" w:hAnsi="Arial"/>
                <w:sz w:val="8"/>
                <w:szCs w:val="8"/>
                <w:color w:val="auto"/>
              </w:rPr>
              <w:t>(15)</w:t>
            </w: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Global Innovation Platform</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560,199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564,079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560,199</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76"/>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A-4</w:t>
            </w: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3,720,424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4,904,498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8,130,273</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Preferred shares, Series A-3</w:t>
            </w: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1,561,625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2,005,730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2,843,860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6"/>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A-2</w:t>
            </w: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450,001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491,694</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Preferred shares, Series A-1</w:t>
            </w: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1,021,778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819,491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76"/>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80" w:type="dxa"/>
            <w:vAlign w:val="bottom"/>
            <w:gridSpan w:val="7"/>
          </w:tcPr>
          <w:p>
            <w:pPr>
              <w:ind w:left="40"/>
              <w:spacing w:after="0" w:line="157" w:lineRule="exact"/>
              <w:rPr>
                <w:sz w:val="20"/>
                <w:szCs w:val="20"/>
                <w:color w:val="auto"/>
              </w:rPr>
            </w:pPr>
            <w:r>
              <w:rPr>
                <w:rFonts w:ascii="Arial" w:cs="Arial" w:eastAsia="Arial" w:hAnsi="Arial"/>
                <w:sz w:val="14"/>
                <w:szCs w:val="14"/>
                <w:color w:val="auto"/>
                <w:w w:val="98"/>
              </w:rPr>
              <w:t>Preferred Warrants Series A-3, Strike Price $1.33, Expiration</w:t>
            </w: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Date 4/4/2019</w:t>
            </w: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105,000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63"/>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w w:val="98"/>
              </w:rPr>
              <w:t>Preferred Warrants Series A-4, Strike Price $1.33, Expiration</w:t>
            </w: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Date 10/6/2019</w:t>
            </w:r>
          </w:p>
        </w:tc>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470,000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57"/>
        </w:trPr>
        <w:tc>
          <w:tcPr>
            <w:tcW w:w="3780" w:type="dxa"/>
            <w:vAlign w:val="bottom"/>
            <w:gridSpan w:val="7"/>
          </w:tcPr>
          <w:p>
            <w:pPr>
              <w:ind w:left="40"/>
              <w:spacing w:after="0" w:line="157" w:lineRule="exact"/>
              <w:rPr>
                <w:sz w:val="20"/>
                <w:szCs w:val="20"/>
                <w:color w:val="auto"/>
              </w:rPr>
            </w:pPr>
            <w:r>
              <w:rPr>
                <w:rFonts w:ascii="Arial" w:cs="Arial" w:eastAsia="Arial" w:hAnsi="Arial"/>
                <w:sz w:val="14"/>
                <w:szCs w:val="14"/>
                <w:color w:val="auto"/>
                <w:w w:val="98"/>
              </w:rPr>
              <w:t>Preferred Warrants Series A-4, Strike Price $1.33, Expiration</w:t>
            </w: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Date 7/18/2021</w:t>
            </w: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267,500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63"/>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Warrants Series B, Strike Price $2.31, Expiration</w:t>
            </w: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Date 11/29/2021</w:t>
            </w:r>
          </w:p>
        </w:tc>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57"/>
        </w:trPr>
        <w:tc>
          <w:tcPr>
            <w:tcW w:w="378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Preferred Warrant Series B, Strike Price $2.31, Expiration</w:t>
            </w: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Borders>
              <w:bottom w:val="single" w:sz="8" w:color="CCEEFF"/>
            </w:tcBorders>
            <w:gridSpan w:val="7"/>
          </w:tcPr>
          <w:p>
            <w:pPr>
              <w:ind w:left="40"/>
              <w:spacing w:after="0"/>
              <w:rPr>
                <w:sz w:val="20"/>
                <w:szCs w:val="20"/>
                <w:color w:val="auto"/>
              </w:rPr>
            </w:pPr>
            <w:r>
              <w:rPr>
                <w:rFonts w:ascii="Arial" w:cs="Arial" w:eastAsia="Arial" w:hAnsi="Arial"/>
                <w:sz w:val="14"/>
                <w:szCs w:val="14"/>
                <w:color w:val="auto"/>
              </w:rPr>
              <w:t>Date 5/29/2022</w:t>
            </w:r>
          </w:p>
        </w:tc>
        <w:tc>
          <w:tcPr>
            <w:tcW w:w="26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125,000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70,379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11,250</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74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9,276,619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13,708,267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223"/>
        </w:trPr>
        <w:tc>
          <w:tcPr>
            <w:tcW w:w="3780" w:type="dxa"/>
            <w:vAlign w:val="bottom"/>
            <w:gridSpan w:val="7"/>
          </w:tcPr>
          <w:p>
            <w:pPr>
              <w:ind w:left="40"/>
              <w:spacing w:after="0"/>
              <w:rPr>
                <w:sz w:val="20"/>
                <w:szCs w:val="20"/>
                <w:color w:val="auto"/>
              </w:rPr>
            </w:pPr>
            <w:r>
              <w:rPr>
                <w:rFonts w:ascii="Arial" w:cs="Arial" w:eastAsia="Arial" w:hAnsi="Arial"/>
                <w:sz w:val="14"/>
                <w:szCs w:val="14"/>
                <w:b w:val="1"/>
                <w:bCs w:val="1"/>
                <w:color w:val="auto"/>
              </w:rPr>
              <w:t>SPBRX, INC. (f/k/a GSV Sustainability Partners, Inc.)</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Woodside,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Class A***</w:t>
            </w:r>
            <w:r>
              <w:rPr>
                <w:rFonts w:ascii="Arial" w:cs="Arial" w:eastAsia="Arial" w:hAnsi="Arial"/>
                <w:sz w:val="8"/>
                <w:szCs w:val="8"/>
                <w:color w:val="auto"/>
              </w:rPr>
              <w:t>(17)</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Clean Technology</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14,300,000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782,198</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Common shares</w:t>
            </w: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620" w:type="dxa"/>
            <w:vAlign w:val="bottom"/>
            <w:tcBorders>
              <w:top w:val="single" w:sz="8" w:color="CCEEFF"/>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tcBorders>
            <w:shd w:val="clear" w:color="auto" w:fill="CCEEFF"/>
          </w:tcPr>
          <w:p>
            <w:pPr>
              <w:spacing w:after="0"/>
              <w:rPr>
                <w:sz w:val="22"/>
                <w:szCs w:val="22"/>
                <w:color w:val="auto"/>
              </w:rPr>
            </w:pPr>
          </w:p>
        </w:tc>
        <w:tc>
          <w:tcPr>
            <w:tcW w:w="26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782,198</w:t>
            </w: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740" w:type="dxa"/>
            <w:vAlign w:val="bottom"/>
            <w:gridSpan w:val="6"/>
            <w:shd w:val="clear" w:color="auto" w:fill="CCEEFF"/>
          </w:tcPr>
          <w:p>
            <w:pPr>
              <w:ind w:left="140"/>
              <w:spacing w:after="0"/>
              <w:rPr>
                <w:sz w:val="20"/>
                <w:szCs w:val="20"/>
                <w:color w:val="auto"/>
              </w:rPr>
            </w:pPr>
            <w:r>
              <w:rPr>
                <w:rFonts w:ascii="Arial" w:cs="Arial" w:eastAsia="Arial" w:hAnsi="Arial"/>
                <w:sz w:val="14"/>
                <w:szCs w:val="14"/>
                <w:b w:val="1"/>
                <w:bCs w:val="1"/>
                <w:color w:val="auto"/>
              </w:rPr>
              <w:t>Total Controlled</w:t>
            </w: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22,568,505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29,839,622</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13.74%</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740" w:type="dxa"/>
            <w:vAlign w:val="bottom"/>
            <w:gridSpan w:val="6"/>
            <w:shd w:val="clear" w:color="auto" w:fill="CCEEFF"/>
          </w:tcPr>
          <w:p>
            <w:pPr>
              <w:ind w:left="140"/>
              <w:spacing w:after="0"/>
              <w:rPr>
                <w:sz w:val="20"/>
                <w:szCs w:val="20"/>
                <w:color w:val="auto"/>
              </w:rPr>
            </w:pPr>
            <w:r>
              <w:rPr>
                <w:rFonts w:ascii="Arial" w:cs="Arial" w:eastAsia="Arial" w:hAnsi="Arial"/>
                <w:sz w:val="14"/>
                <w:szCs w:val="14"/>
                <w:b w:val="1"/>
                <w:bCs w:val="1"/>
                <w:color w:val="auto"/>
              </w:rPr>
              <w:t>Total Portfolio Investments</w:t>
            </w:r>
          </w:p>
        </w:tc>
        <w:tc>
          <w:tcPr>
            <w:tcW w:w="2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180,250,984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216,266,561</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99.59%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U.S. Treasury bills, 0%, due 7/5/2018***</w:t>
            </w:r>
            <w:r>
              <w:rPr>
                <w:rFonts w:ascii="Arial" w:cs="Arial" w:eastAsia="Arial" w:hAnsi="Arial"/>
                <w:sz w:val="8"/>
                <w:szCs w:val="8"/>
                <w:color w:val="auto"/>
              </w:rPr>
              <w:t>(3)</w:t>
            </w: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99,973,483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99,986,200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46.05%</w:t>
            </w:r>
          </w:p>
        </w:tc>
        <w:tc>
          <w:tcPr>
            <w:tcW w:w="0" w:type="dxa"/>
            <w:vAlign w:val="bottom"/>
          </w:tcPr>
          <w:p>
            <w:pPr>
              <w:spacing w:after="0"/>
              <w:rPr>
                <w:sz w:val="1"/>
                <w:szCs w:val="1"/>
                <w:color w:val="auto"/>
              </w:rPr>
            </w:pPr>
          </w:p>
        </w:tc>
      </w:tr>
      <w:tr>
        <w:trPr>
          <w:trHeight w:val="303"/>
        </w:trPr>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40" w:type="dxa"/>
            <w:vAlign w:val="bottom"/>
            <w:tcBorders>
              <w:bottom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gridSpan w:val="7"/>
          </w:tcPr>
          <w:p>
            <w:pPr>
              <w:ind w:left="40"/>
              <w:spacing w:after="0"/>
              <w:rPr>
                <w:sz w:val="20"/>
                <w:szCs w:val="20"/>
                <w:color w:val="auto"/>
              </w:rPr>
            </w:pPr>
            <w:r>
              <w:rPr>
                <w:rFonts w:ascii="Arial" w:cs="Arial" w:eastAsia="Arial" w:hAnsi="Arial"/>
                <w:sz w:val="14"/>
                <w:szCs w:val="14"/>
                <w:b w:val="1"/>
                <w:bCs w:val="1"/>
                <w:color w:val="auto"/>
              </w:rPr>
              <w:t>TOTAL INVESTMENTS</w:t>
            </w: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280,224,467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316,252,761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145.64%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-1783080</wp:posOffset>
            </wp:positionV>
            <wp:extent cx="48539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-2486660</wp:posOffset>
            </wp:positionV>
            <wp:extent cx="48539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w:t>
      </w:r>
    </w:p>
    <w:p>
      <w:pPr>
        <w:ind w:left="500" w:right="20" w:hanging="492"/>
        <w:spacing w:after="0" w:line="281"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portfolio investments are non-control/non-affiliated and non-income-producing, unless otherwise identified. Equity investments are subject to lock-up restrictions upon their initial public offering (“IPO”). The Company’s and GSV Asset Management’s officers and staff, as applicable, may serve on the board of directors of the Company’s portfolio investments. (Refer to “Note 3—Related-Party Arrangements”). All portfolio investments are</w:t>
      </w:r>
    </w:p>
    <w:p>
      <w:pPr>
        <w:ind w:left="500" w:right="40"/>
        <w:spacing w:after="0" w:line="265" w:lineRule="auto"/>
        <w:rPr>
          <w:sz w:val="20"/>
          <w:szCs w:val="20"/>
          <w:color w:val="auto"/>
        </w:rPr>
      </w:pPr>
      <w:r>
        <w:rPr>
          <w:rFonts w:ascii="Arial" w:cs="Arial" w:eastAsia="Arial" w:hAnsi="Arial"/>
          <w:sz w:val="17"/>
          <w:szCs w:val="17"/>
          <w:color w:val="auto"/>
        </w:rPr>
        <w:t>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w:t>
      </w:r>
    </w:p>
    <w:p>
      <w:pPr>
        <w:spacing w:after="0" w:line="1" w:lineRule="exact"/>
        <w:rPr>
          <w:sz w:val="20"/>
          <w:szCs w:val="20"/>
          <w:color w:val="auto"/>
        </w:rPr>
      </w:pPr>
    </w:p>
    <w:p>
      <w:pPr>
        <w:ind w:left="500" w:right="160" w:hanging="492"/>
        <w:spacing w:after="0" w:line="28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Investment Company Act of 1940, as amended (the “1940 Act”). Of GSV Capital Corp.’s total investments as of June 30, 2018, 20.59% of its total investments are non-qualifying assets.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is income-producing.</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2018</w:t>
      </w:r>
    </w:p>
    <w:p>
      <w:pPr>
        <w:spacing w:after="0" w:line="251" w:lineRule="exact"/>
        <w:rPr>
          <w:sz w:val="20"/>
          <w:szCs w:val="20"/>
          <w:color w:val="auto"/>
        </w:rPr>
      </w:pPr>
    </w:p>
    <w:p>
      <w:pPr>
        <w:ind w:left="500" w:hanging="492"/>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86" w:lineRule="exact"/>
        <w:rPr>
          <w:rFonts w:ascii="Arial" w:cs="Arial" w:eastAsia="Arial" w:hAnsi="Arial"/>
          <w:sz w:val="18"/>
          <w:szCs w:val="18"/>
          <w:color w:val="auto"/>
        </w:rPr>
      </w:pPr>
    </w:p>
    <w:p>
      <w:pPr>
        <w:ind w:left="500" w:right="200" w:hanging="492"/>
        <w:spacing w:after="0" w:line="25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 Investments at Fair Value”.</w:t>
      </w:r>
    </w:p>
    <w:p>
      <w:pPr>
        <w:spacing w:after="0" w:line="188"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Denotes an investment considered Level 1 or Level 2 and valued using observable inputs.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June 30, 2018, the investments noted had been placed on non-accrual status.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GSV Capital Corp.’s investments in StormWind, LLC are held through GSV Capital Corp.'s wholly owned subsidiary, GSVC SW Holdings, Inc.</w:t>
      </w:r>
    </w:p>
    <w:p>
      <w:pPr>
        <w:spacing w:after="0" w:line="236" w:lineRule="exact"/>
        <w:rPr>
          <w:rFonts w:ascii="Arial" w:cs="Arial" w:eastAsia="Arial" w:hAnsi="Arial"/>
          <w:sz w:val="17"/>
          <w:szCs w:val="17"/>
          <w:color w:val="auto"/>
        </w:rPr>
      </w:pPr>
    </w:p>
    <w:p>
      <w:pPr>
        <w:ind w:left="500" w:right="4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181" w:lineRule="exact"/>
        <w:rPr>
          <w:rFonts w:ascii="Arial" w:cs="Arial" w:eastAsia="Arial" w:hAnsi="Arial"/>
          <w:sz w:val="18"/>
          <w:szCs w:val="18"/>
          <w:color w:val="auto"/>
        </w:rPr>
      </w:pPr>
    </w:p>
    <w:p>
      <w:pPr>
        <w:ind w:left="500" w:right="240" w:hanging="492"/>
        <w:spacing w:after="0" w:line="302"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March 14, 2018, as disclosed in its Amendment No. 1 to its Form F-1 Registration Statement filed in connection with its direct listing, Spotify Technology S.A. effectuated a 40:1 stock split of its ordinary shares, beneficiary certificates and any other of its outstanding securities. On April 3, 2018, Spotify Technology S.A., registered for resale up to 55,731,480 ordinary shares by the registered shareholders in a direct listing. GSV Capital Corp.'s common shares of Spotify Technology S.A. are considered unrestricted as they are not subject to restriction upon sale.</w:t>
      </w:r>
    </w:p>
    <w:p>
      <w:pPr>
        <w:spacing w:after="0" w:line="154" w:lineRule="exact"/>
        <w:rPr>
          <w:rFonts w:ascii="Arial" w:cs="Arial" w:eastAsia="Arial" w:hAnsi="Arial"/>
          <w:sz w:val="16"/>
          <w:szCs w:val="16"/>
          <w:color w:val="auto"/>
        </w:rPr>
      </w:pPr>
    </w:p>
    <w:p>
      <w:pPr>
        <w:ind w:left="500" w:right="20" w:hanging="492"/>
        <w:spacing w:after="0" w:line="276"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March 7, 2018, as disclosed in its Amendment No. 1 to its Form S-1 Registration Statement filed in connection with its initial public offering, Dropbox, Inc. effectuated a 1:1.5 reverse stock split of its capital stock. On March 23, 2018, Dropbox, Inc. priced its initial public offering for 26,822,409 Class A common shares at a price of $21.00 per share. Dropbox, Inc., also registered for resale up to 9,177,591 Class A common shares by the registered shareholders. At June 30, 2018, GSV Capital Corp. valued Dropbox, Inc. based on its June 30, 2018 closing price, less a 10% liquidity discount, as the Company's shares of common stock in Dropbox, Inc. are restricted until September 19, 2018.</w:t>
      </w:r>
    </w:p>
    <w:p>
      <w:pPr>
        <w:spacing w:after="0" w:line="172" w:lineRule="exact"/>
        <w:rPr>
          <w:rFonts w:ascii="Arial" w:cs="Arial" w:eastAsia="Arial" w:hAnsi="Arial"/>
          <w:sz w:val="17"/>
          <w:szCs w:val="17"/>
          <w:color w:val="auto"/>
        </w:rPr>
      </w:pPr>
    </w:p>
    <w:p>
      <w:pPr>
        <w:ind w:left="500" w:right="100" w:hanging="492"/>
        <w:spacing w:after="0" w:line="342"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w:t>
      </w:r>
    </w:p>
    <w:p>
      <w:pPr>
        <w:spacing w:after="0" w:line="123" w:lineRule="exact"/>
        <w:rPr>
          <w:rFonts w:ascii="Arial" w:cs="Arial" w:eastAsia="Arial" w:hAnsi="Arial"/>
          <w:sz w:val="16"/>
          <w:szCs w:val="16"/>
          <w:color w:val="auto"/>
        </w:rPr>
      </w:pPr>
    </w:p>
    <w:p>
      <w:pPr>
        <w:ind w:left="500" w:right="40" w:hanging="492"/>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maturity date of the convertible promissory note to Declara, Inc. was extended an additional three months to April 30, 2018. On January 31, 2018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186" w:lineRule="exact"/>
        <w:rPr>
          <w:rFonts w:ascii="Arial" w:cs="Arial" w:eastAsia="Arial" w:hAnsi="Arial"/>
          <w:sz w:val="18"/>
          <w:szCs w:val="18"/>
          <w:color w:val="auto"/>
        </w:rPr>
      </w:pPr>
    </w:p>
    <w:p>
      <w:pPr>
        <w:ind w:left="500" w:right="200" w:hanging="492"/>
        <w:spacing w:after="0" w:line="279"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period, Ozy Media, Inc.’s obligations under its financing arrangements with the Company became past due. Effective April 9, 2018, the term of Ozy Media Inc.'s notes were extended through the issuance of a new convertible promissory note, which extended the maturity date of the existing notes to October 31, 2018, or December 31, 2018 if certain conditions are satisfied. In consideration for amending and restating the existing notes, the Company was issued warrants exercisable for 34,483 shares of Ozy Media Inc.'s common stock.</w:t>
      </w:r>
    </w:p>
    <w:p>
      <w:pPr>
        <w:spacing w:after="0" w:line="171" w:lineRule="exact"/>
        <w:rPr>
          <w:rFonts w:ascii="Arial" w:cs="Arial" w:eastAsia="Arial" w:hAnsi="Arial"/>
          <w:sz w:val="17"/>
          <w:szCs w:val="17"/>
          <w:color w:val="auto"/>
        </w:rPr>
      </w:pPr>
    </w:p>
    <w:p>
      <w:pPr>
        <w:jc w:val="both"/>
        <w:ind w:left="500" w:right="60" w:hanging="492"/>
        <w:spacing w:after="0" w:line="342"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March 27, 2018, Lytro, Inc. announced that it was preparing to wind down the company over an unspecified period of time. The fair value of GSV Capital Corp.'s investment in Lytro, Inc as of June 30, 2018 is equal to the amount GSV Capital Corp. expects to recover as a result of the wind down.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2018</w:t>
      </w:r>
    </w:p>
    <w:p>
      <w:pPr>
        <w:spacing w:after="0" w:line="211" w:lineRule="exact"/>
        <w:rPr>
          <w:sz w:val="20"/>
          <w:szCs w:val="20"/>
          <w:color w:val="auto"/>
        </w:rPr>
      </w:pPr>
    </w:p>
    <w:p>
      <w:pPr>
        <w:ind w:left="500" w:right="140" w:hanging="492"/>
        <w:spacing w:after="0" w:line="34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June 14, 2018, SugarCRM, Inc. entered into an agreement to be purchased by AKKR Candy Holdings, Inc. The fair value of GSV Capital Corp.'s investment in SugarCRM, Inc. as of June 30, 2018 is equal to the amount GSV Capital Corp. expects to recover as a result of the transaction.</w:t>
      </w:r>
    </w:p>
    <w:p>
      <w:pPr>
        <w:spacing w:after="0" w:line="123" w:lineRule="exact"/>
        <w:rPr>
          <w:rFonts w:ascii="Arial" w:cs="Arial" w:eastAsia="Arial" w:hAnsi="Arial"/>
          <w:sz w:val="16"/>
          <w:szCs w:val="16"/>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June 15, 2018 GSV Capital Corp. exercised its 770,934 warrants to purchase shares of SharePost, Inc.'s common stock, with a $0.13 strike price.</w:t>
      </w:r>
    </w:p>
    <w:p>
      <w:pPr>
        <w:spacing w:after="0" w:line="248" w:lineRule="exact"/>
        <w:rPr>
          <w:rFonts w:ascii="Arial" w:cs="Arial" w:eastAsia="Arial" w:hAnsi="Arial"/>
          <w:sz w:val="16"/>
          <w:szCs w:val="16"/>
          <w:color w:val="auto"/>
        </w:rPr>
      </w:pPr>
    </w:p>
    <w:p>
      <w:pPr>
        <w:ind w:left="500" w:right="40" w:hanging="492"/>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Effective July 31, 2018, GSV Capital Corp agreed to extend the Convertible Promissory Note to NestGSV, Inc. (d/b/a GSV Labs, Inc.) until December 31, 2018, with a new interest rate of 12%. Previously accrued interest will be capitalized into the principal of the new note.</w:t>
      </w:r>
    </w:p>
    <w:p>
      <w:pPr>
        <w:spacing w:after="0" w:line="146" w:lineRule="exact"/>
        <w:rPr>
          <w:rFonts w:ascii="Arial" w:cs="Arial" w:eastAsia="Arial" w:hAnsi="Arial"/>
          <w:sz w:val="17"/>
          <w:szCs w:val="17"/>
          <w:color w:val="auto"/>
        </w:rPr>
      </w:pPr>
    </w:p>
    <w:p>
      <w:pPr>
        <w:ind w:left="500" w:right="50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June 8, 2018, Curious.com, Inc. completed a recapitalization and issued new Series C preferred shares. In connection with the offering, GSV Capital Corp.'s 3,407,834 Series B preferred shares were converted into common shares.</w:t>
      </w:r>
    </w:p>
    <w:p>
      <w:pPr>
        <w:spacing w:after="0" w:line="170" w:lineRule="exact"/>
        <w:rPr>
          <w:rFonts w:ascii="Arial" w:cs="Arial" w:eastAsia="Arial" w:hAnsi="Arial"/>
          <w:sz w:val="18"/>
          <w:szCs w:val="18"/>
          <w:color w:val="auto"/>
        </w:rPr>
      </w:pPr>
    </w:p>
    <w:p>
      <w:pPr>
        <w:ind w:left="500" w:hanging="492"/>
        <w:spacing w:after="0" w:line="259"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SPBRX, INC. (f/k/a GSV Sustainability Partners, Inc.) preferred shares held by GSV Capital Corp. do not entitle GSV Capital Corp. to a preferred dividend rate. During the six months ended June 30, 2018, SPBRX, INC. declared, and GSV Capital Corp. received, an aggregate of $350,000 in cash distributions. GSV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16"/>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w:t>
            </w:r>
          </w:p>
        </w:tc>
        <w:tc>
          <w:tcPr>
            <w:tcW w:w="24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540" w:type="dxa"/>
            <w:vAlign w:val="bottom"/>
            <w:gridSpan w:val="16"/>
            <w:vMerge w:val="continue"/>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6"/>
        </w:trPr>
        <w:tc>
          <w:tcPr>
            <w:tcW w:w="3540" w:type="dxa"/>
            <w:vAlign w:val="bottom"/>
            <w:tcBorders>
              <w:top w:val="single" w:sz="8" w:color="auto"/>
            </w:tcBorders>
            <w:gridSpan w:val="16"/>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Palo Alto,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Data Analysis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35,075,759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Spotify Technology S.A.**</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Stockholm, Sweden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On-Demand Music Streaming</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10,002,084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30,729,068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2,961,399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14,519,519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18,360,674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Dropbox,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Cloud Computing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552,486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5,015,773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7,524,859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760,000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8,641,153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10,350,837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13,656,926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17,875,696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General Assembly Space,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C</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126,552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2,999,978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5,281,440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133,213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2,999,983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5,559,426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5,999,961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10,840,866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Lyft,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Transportation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2,503,585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4,269,577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176,266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1,792,749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5,853,938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4,296,334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10,123,515</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Redwood City,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Online Education</w:t>
            </w: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10,041,426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Chegg,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Santa Clara,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Online Education Services</w:t>
            </w: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6,008,468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8,160,000</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8"/>
                <w:szCs w:val="8"/>
                <w:color w:val="auto"/>
              </w:rPr>
              <w:t>(4)</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Junior Preferred Stock</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Globally-Focused Private School</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10,014,270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10,151,854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5,908,419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Parchment,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Scottsdale, AZ</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E-Transcript Exchange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4,000,982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5,583,562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Menlo Park,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On-Demand Commerce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4,000,280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3,929,210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879,198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1,002,440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1,190,998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5,002,720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5,120,208</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Knewton,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3,597,034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SugarCRM,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Cupertino,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Customer Relationship Manager</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373,134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1,500,522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1,838,912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1,524,799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5,476,502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1,384,956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6,977,024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3,223,868</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A Place for Rover Inc. (f/k/a DogVacay, Inc.)</w:t>
            </w:r>
            <w:r>
              <w:rPr>
                <w:rFonts w:ascii="Arial" w:cs="Arial" w:eastAsia="Arial" w:hAnsi="Arial"/>
                <w:sz w:val="8"/>
                <w:szCs w:val="8"/>
                <w:color w:val="auto"/>
              </w:rPr>
              <w:t>(7)</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Seattle,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9"/>
              </w:rPr>
              <w:t>Peer-to-Peer Pet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707,991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2,506,119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3,130,348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Online Marketplace Finance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2,259,716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2,249,999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57"/>
        </w:trPr>
        <w:tc>
          <w:tcPr>
            <w:tcW w:w="3540" w:type="dxa"/>
            <w:vAlign w:val="bottom"/>
            <w:gridSpan w:val="16"/>
          </w:tcPr>
          <w:p>
            <w:pPr>
              <w:ind w:left="40"/>
              <w:spacing w:after="0" w:line="157" w:lineRule="exact"/>
              <w:rPr>
                <w:sz w:val="20"/>
                <w:szCs w:val="20"/>
                <w:color w:val="auto"/>
              </w:rPr>
            </w:pPr>
            <w:r>
              <w:rPr>
                <w:rFonts w:ascii="Arial" w:cs="Arial" w:eastAsia="Arial" w:hAnsi="Arial"/>
                <w:sz w:val="14"/>
                <w:szCs w:val="14"/>
                <w:color w:val="auto"/>
              </w:rPr>
              <w:t>Common warrants, $0.13 Strike Price,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gridSpan w:val="15"/>
          </w:tcPr>
          <w:p>
            <w:pPr>
              <w:ind w:left="160"/>
              <w:spacing w:after="0"/>
              <w:rPr>
                <w:sz w:val="20"/>
                <w:szCs w:val="20"/>
                <w:color w:val="auto"/>
              </w:rPr>
            </w:pPr>
            <w:r>
              <w:rPr>
                <w:rFonts w:ascii="Arial" w:cs="Arial" w:eastAsia="Arial" w:hAnsi="Arial"/>
                <w:sz w:val="14"/>
                <w:szCs w:val="14"/>
                <w:color w:val="auto"/>
              </w:rPr>
              <w:t>Expiration Date 6/15/2018</w:t>
            </w: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770,934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23,128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46,256</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50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2,282,844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2,296,255</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-1276985</wp:posOffset>
            </wp:positionV>
            <wp:extent cx="48710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-2323465</wp:posOffset>
            </wp:positionV>
            <wp:extent cx="48710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-4415790</wp:posOffset>
            </wp:positionV>
            <wp:extent cx="48710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-5119370</wp:posOffset>
            </wp:positionV>
            <wp:extent cx="48710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-5822315</wp:posOffset>
            </wp:positionV>
            <wp:extent cx="48710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14"/>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Headquarters/</w:t>
            </w:r>
          </w:p>
        </w:tc>
        <w:tc>
          <w:tcPr>
            <w:tcW w:w="1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of Net Assets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1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DreamBox Learning,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Bellevue, WA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Education Technology</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7,159,221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1,502,362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1,518,176</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758,017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759,088</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2,260,379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2,277,264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Lytro,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tcPr>
          <w:p>
            <w:pPr>
              <w:spacing w:after="0"/>
              <w:rPr>
                <w:sz w:val="22"/>
                <w:szCs w:val="22"/>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Light Field Imaging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159,160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502,081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100,680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C-1</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3,378,379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2,013,587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10,502,083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2,114,267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Clever,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tcPr>
          <w:p>
            <w:pPr>
              <w:spacing w:after="0"/>
              <w:rPr>
                <w:sz w:val="22"/>
                <w:szCs w:val="22"/>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Education Software</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2,000,601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2,000,001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Marina Del Rey,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Financial Services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540,270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1,001,815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1,748,371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Computer Software</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534,162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309,310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791,361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Chicago, IL</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Social Data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436,219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1,436,404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593,702</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Cambridge, MA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Business Education</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517,917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6,150,506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Promissory note 1.47%, Due 11/9/2021</w:t>
            </w:r>
            <w:r>
              <w:rPr>
                <w:rFonts w:ascii="Arial" w:cs="Arial" w:eastAsia="Arial" w:hAnsi="Arial"/>
                <w:sz w:val="8"/>
                <w:szCs w:val="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2,270,458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2,270,858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316,570</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8,421,364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316,570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70"/>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137,526,726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179,908,234</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87.89%</w:t>
            </w:r>
          </w:p>
        </w:tc>
        <w:tc>
          <w:tcPr>
            <w:tcW w:w="0" w:type="dxa"/>
            <w:vAlign w:val="bottom"/>
          </w:tcPr>
          <w:p>
            <w:pPr>
              <w:spacing w:after="0"/>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Curious.com,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Menlo Park,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3,407,834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12,000,006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5,514,077</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Ozy Media,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14"/>
          </w:tcPr>
          <w:p>
            <w:pPr>
              <w:ind w:left="40"/>
              <w:spacing w:after="0" w:line="157" w:lineRule="exact"/>
              <w:rPr>
                <w:sz w:val="20"/>
                <w:szCs w:val="20"/>
                <w:color w:val="auto"/>
              </w:rPr>
            </w:pPr>
            <w:r>
              <w:rPr>
                <w:rFonts w:ascii="Arial" w:cs="Arial" w:eastAsia="Arial" w:hAnsi="Arial"/>
                <w:sz w:val="14"/>
                <w:szCs w:val="14"/>
                <w:color w:val="auto"/>
              </w:rPr>
              <w:t>Convertible Promissory Note 5% Due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0" w:type="dxa"/>
            <w:vAlign w:val="bottom"/>
            <w:gridSpan w:val="6"/>
          </w:tcPr>
          <w:p>
            <w:pPr>
              <w:ind w:left="40"/>
              <w:spacing w:after="0"/>
              <w:rPr>
                <w:sz w:val="20"/>
                <w:szCs w:val="20"/>
                <w:color w:val="auto"/>
              </w:rPr>
            </w:pPr>
            <w:r>
              <w:rPr>
                <w:rFonts w:ascii="Arial" w:cs="Arial" w:eastAsia="Arial" w:hAnsi="Arial"/>
                <w:sz w:val="14"/>
                <w:szCs w:val="14"/>
                <w:color w:val="auto"/>
              </w:rPr>
              <w:t>2/28/2018***</w:t>
            </w:r>
            <w:r>
              <w:rPr>
                <w:rFonts w:ascii="Arial" w:cs="Arial" w:eastAsia="Arial" w:hAnsi="Arial"/>
                <w:sz w:val="8"/>
                <w:szCs w:val="8"/>
                <w:color w:val="auto"/>
              </w:rPr>
              <w:t>(14)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Digital Media Platform</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1,067,639</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Preferred shares, Series B</w:t>
            </w:r>
          </w:p>
        </w:tc>
        <w:tc>
          <w:tcPr>
            <w:tcW w:w="1140" w:type="dxa"/>
            <w:vAlign w:val="bottom"/>
            <w:tcBorders>
              <w:bottom w:val="single" w:sz="8" w:color="CCEEFF"/>
            </w:tcBorders>
            <w:gridSpan w:val="4"/>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922,509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2,367,022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1,090,909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3,000,200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1,419,810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Seed</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236,635</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10,500,199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5,091,106</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CUX, Inc. (d/b/a CorpU)</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Philadelphia, PA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14"/>
          </w:tcPr>
          <w:p>
            <w:pPr>
              <w:ind w:left="40"/>
              <w:spacing w:after="0" w:line="157" w:lineRule="exact"/>
              <w:rPr>
                <w:sz w:val="20"/>
                <w:szCs w:val="20"/>
                <w:color w:val="auto"/>
              </w:rPr>
            </w:pPr>
            <w:r>
              <w:rPr>
                <w:rFonts w:ascii="Arial" w:cs="Arial" w:eastAsia="Arial" w:hAnsi="Arial"/>
                <w:sz w:val="14"/>
                <w:szCs w:val="14"/>
                <w:color w:val="auto"/>
                <w:w w:val="94"/>
              </w:rPr>
              <w:t>Senior Subordinated Convertible Promissory Note 8%, Due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20" w:type="dxa"/>
            <w:vAlign w:val="bottom"/>
            <w:gridSpan w:val="7"/>
          </w:tcPr>
          <w:p>
            <w:pPr>
              <w:ind w:left="40"/>
              <w:spacing w:after="0"/>
              <w:rPr>
                <w:sz w:val="20"/>
                <w:szCs w:val="20"/>
                <w:color w:val="auto"/>
              </w:rPr>
            </w:pPr>
            <w:r>
              <w:rPr>
                <w:rFonts w:ascii="Arial" w:cs="Arial" w:eastAsia="Arial" w:hAnsi="Arial"/>
                <w:sz w:val="14"/>
                <w:szCs w:val="14"/>
                <w:color w:val="auto"/>
                <w:w w:val="99"/>
              </w:rPr>
              <w:t>11/26/2018***</w:t>
            </w:r>
            <w:r>
              <w:rPr>
                <w:rFonts w:ascii="Arial" w:cs="Arial" w:eastAsia="Arial" w:hAnsi="Arial"/>
                <w:sz w:val="8"/>
                <w:szCs w:val="8"/>
                <w:color w:val="auto"/>
                <w:w w:val="99"/>
              </w:rPr>
              <w:t>(6)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Corporate Education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1,259,712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1,259,712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1,259,712</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4"/>
                <w:szCs w:val="14"/>
                <w:color w:val="auto"/>
                <w:shd w:val="clear" w:color="auto" w:fill="CCEEFF"/>
              </w:rPr>
              <w:t>Convertible preferred shares, Series D</w:t>
            </w: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169,033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778,607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989,489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Convertible preferred shares, Series C</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480,184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63"/>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color w:val="auto"/>
                <w:w w:val="95"/>
              </w:rPr>
              <w:t>Preferred Warrants Series D–Strike Price $4.59–Expiration</w:t>
            </w:r>
          </w:p>
        </w:tc>
        <w:tc>
          <w:tcPr>
            <w:tcW w:w="1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color w:val="auto"/>
              </w:rPr>
              <w:t>Date 2/25/2018</w:t>
            </w:r>
            <w:r>
              <w:rPr>
                <w:rFonts w:ascii="Arial" w:cs="Arial" w:eastAsia="Arial" w:hAnsi="Arial"/>
                <w:sz w:val="8"/>
                <w:szCs w:val="8"/>
                <w:color w:val="auto"/>
              </w:rPr>
              <w:t>(15)</w:t>
            </w:r>
          </w:p>
        </w:tc>
        <w:tc>
          <w:tcPr>
            <w:tcW w:w="1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2,366</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tcPr>
          <w:p>
            <w:pPr>
              <w:spacing w:after="0"/>
              <w:rPr>
                <w:sz w:val="22"/>
                <w:szCs w:val="22"/>
                <w:color w:val="auto"/>
              </w:rPr>
            </w:pPr>
          </w:p>
        </w:tc>
        <w:tc>
          <w:tcPr>
            <w:tcW w:w="3500" w:type="dxa"/>
            <w:vAlign w:val="bottom"/>
            <w:tcBorders>
              <w:top w:val="single" w:sz="8" w:color="CCEEFF"/>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bottom w:val="single" w:sz="8" w:color="CCEEFF"/>
            </w:tcBorders>
          </w:tcPr>
          <w:p>
            <w:pPr>
              <w:spacing w:after="0"/>
              <w:rPr>
                <w:sz w:val="22"/>
                <w:szCs w:val="22"/>
                <w:color w:val="auto"/>
              </w:rPr>
            </w:pPr>
          </w:p>
        </w:tc>
        <w:tc>
          <w:tcPr>
            <w:tcW w:w="2740" w:type="dxa"/>
            <w:vAlign w:val="bottom"/>
            <w:tcBorders>
              <w:top w:val="single" w:sz="8" w:color="CCEEFF"/>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940" w:type="dxa"/>
            <w:vAlign w:val="bottom"/>
            <w:tcBorders>
              <w:top w:val="single" w:sz="8" w:color="CCEEFF"/>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4,044,396</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2,731,751</w:t>
            </w:r>
          </w:p>
        </w:tc>
        <w:tc>
          <w:tcPr>
            <w:tcW w:w="1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Declara,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Palo Alto,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14"/>
          </w:tcPr>
          <w:p>
            <w:pPr>
              <w:ind w:left="40"/>
              <w:spacing w:after="0" w:line="157" w:lineRule="exact"/>
              <w:rPr>
                <w:sz w:val="20"/>
                <w:szCs w:val="20"/>
                <w:color w:val="auto"/>
              </w:rPr>
            </w:pPr>
            <w:r>
              <w:rPr>
                <w:rFonts w:ascii="Arial" w:cs="Arial" w:eastAsia="Arial" w:hAnsi="Arial"/>
                <w:sz w:val="14"/>
                <w:szCs w:val="14"/>
                <w:color w:val="auto"/>
              </w:rPr>
              <w:t>Convertible Promissory Note 9% Due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0" w:type="dxa"/>
            <w:vAlign w:val="bottom"/>
            <w:gridSpan w:val="6"/>
          </w:tcPr>
          <w:p>
            <w:pPr>
              <w:ind w:left="40"/>
              <w:spacing w:after="0"/>
              <w:rPr>
                <w:sz w:val="20"/>
                <w:szCs w:val="20"/>
                <w:color w:val="auto"/>
              </w:rPr>
            </w:pPr>
            <w:r>
              <w:rPr>
                <w:rFonts w:ascii="Arial" w:cs="Arial" w:eastAsia="Arial" w:hAnsi="Arial"/>
                <w:sz w:val="14"/>
                <w:szCs w:val="14"/>
                <w:color w:val="auto"/>
                <w:w w:val="95"/>
              </w:rPr>
              <w:t>12/31/2017</w:t>
            </w:r>
            <w:r>
              <w:rPr>
                <w:rFonts w:ascii="Arial" w:cs="Arial" w:eastAsia="Arial" w:hAnsi="Arial"/>
                <w:sz w:val="8"/>
                <w:szCs w:val="8"/>
                <w:color w:val="auto"/>
                <w:w w:val="95"/>
              </w:rPr>
              <w:t>(10)(12)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Social Cognitive Learning</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2,120,658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2,121,898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1,120,329</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9,999,999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382,678</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12,121,897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1,503,007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EdSurge,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Burlingame,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Education Media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378,788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501,360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494,365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500,801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581,917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500" w:type="dxa"/>
            <w:vAlign w:val="bottom"/>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1,002,161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1,081,917</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48539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-1449705</wp:posOffset>
            </wp:positionV>
            <wp:extent cx="48539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-2599055</wp:posOffset>
            </wp:positionV>
            <wp:extent cx="48539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48539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-6457950</wp:posOffset>
            </wp:positionV>
            <wp:extent cx="48539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-7160895</wp:posOffset>
            </wp:positionV>
            <wp:extent cx="48539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-130175</wp:posOffset>
            </wp:positionV>
            <wp:extent cx="23241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vMerge w:val="restart"/>
          </w:tcPr>
          <w:p>
            <w:pPr>
              <w:spacing w:after="0"/>
              <w:rPr>
                <w:sz w:val="14"/>
                <w:szCs w:val="14"/>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Headquarters/</w:t>
            </w:r>
          </w:p>
        </w:tc>
        <w:tc>
          <w:tcPr>
            <w:tcW w:w="1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of Net Assets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7"/>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Maven Research, Inc.</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C</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Knowledge Networks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318,979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2,000,447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501,240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217,206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62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2,217,653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551,240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70"/>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Total Non-controlled/Affiliate</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41,886,312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16,473,098</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8.03%</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color w:val="auto"/>
              </w:rPr>
              <w:t>(2)</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Scottsdale, AZ</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C</w:t>
            </w: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Interactive Learning</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2,779,134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4,000,787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7,223,904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3,279,629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2,019,687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5,804,472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8"/>
          </w:tcPr>
          <w:p>
            <w:pPr>
              <w:ind w:left="40"/>
              <w:spacing w:after="0"/>
              <w:rPr>
                <w:sz w:val="20"/>
                <w:szCs w:val="20"/>
                <w:color w:val="auto"/>
              </w:rPr>
            </w:pPr>
            <w:r>
              <w:rPr>
                <w:rFonts w:ascii="Arial" w:cs="Arial" w:eastAsia="Arial" w:hAnsi="Arial"/>
                <w:sz w:val="14"/>
                <w:szCs w:val="14"/>
                <w:color w:val="auto"/>
              </w:rPr>
              <w:t>Preferred shares, Series A</w:t>
            </w: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366,666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425,342</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6,130,474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13,453,718</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29"/>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NestGSV, Inc. (d/b/a GSV Labs, Inc.)</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Redwood City,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6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Convertible Promissory Note 8% Due</w:t>
            </w:r>
          </w:p>
        </w:tc>
        <w:tc>
          <w:tcPr>
            <w:tcW w:w="2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7/31/2018***</w:t>
            </w:r>
            <w:r>
              <w:rPr>
                <w:rFonts w:ascii="Arial" w:cs="Arial" w:eastAsia="Arial" w:hAnsi="Arial"/>
                <w:sz w:val="8"/>
                <w:szCs w:val="8"/>
                <w:color w:val="auto"/>
              </w:rPr>
              <w:t>(9)</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Global Innovation Platform</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560,199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564,079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560,199</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Unsecured Promissory Note 12% Due</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20" w:type="dxa"/>
            <w:vAlign w:val="bottom"/>
            <w:gridSpan w:val="3"/>
          </w:tcPr>
          <w:p>
            <w:pPr>
              <w:ind w:left="200"/>
              <w:spacing w:after="0"/>
              <w:rPr>
                <w:sz w:val="20"/>
                <w:szCs w:val="20"/>
                <w:color w:val="auto"/>
              </w:rPr>
            </w:pPr>
            <w:r>
              <w:rPr>
                <w:rFonts w:ascii="Arial" w:cs="Arial" w:eastAsia="Arial" w:hAnsi="Arial"/>
                <w:sz w:val="14"/>
                <w:szCs w:val="14"/>
                <w:color w:val="auto"/>
              </w:rPr>
              <w:t>1/15/2018***</w:t>
            </w:r>
            <w:r>
              <w:rPr>
                <w:rFonts w:ascii="Arial" w:cs="Arial" w:eastAsia="Arial" w:hAnsi="Arial"/>
                <w:sz w:val="8"/>
                <w:szCs w:val="8"/>
                <w:color w:val="auto"/>
              </w:rPr>
              <w:t>(8)</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592,129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592,809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592,129</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A-4</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3,720,424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4,904,498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5,390,842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A-3</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1,561,625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2,005,730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1,885,644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A-2</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450,001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326,022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A-1</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1,021,778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543,370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Preferred Warrants Series A-3–Strike Price $1.33–</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7"/>
          </w:tcPr>
          <w:p>
            <w:pPr>
              <w:ind w:left="160"/>
              <w:spacing w:after="0"/>
              <w:rPr>
                <w:sz w:val="20"/>
                <w:szCs w:val="20"/>
                <w:color w:val="auto"/>
              </w:rPr>
            </w:pPr>
            <w:r>
              <w:rPr>
                <w:rFonts w:ascii="Arial" w:cs="Arial" w:eastAsia="Arial" w:hAnsi="Arial"/>
                <w:sz w:val="14"/>
                <w:szCs w:val="14"/>
                <w:color w:val="auto"/>
              </w:rPr>
              <w:t>Expiration Date 4/4/2019</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1,875</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63"/>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Warrants Series A-4–Strike Price $1.33–</w:t>
            </w:r>
          </w:p>
        </w:tc>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620" w:type="dxa"/>
            <w:vAlign w:val="bottom"/>
            <w:gridSpan w:val="7"/>
            <w:shd w:val="clear" w:color="auto" w:fill="CCEEFF"/>
          </w:tcPr>
          <w:p>
            <w:pPr>
              <w:ind w:left="160"/>
              <w:spacing w:after="0"/>
              <w:rPr>
                <w:sz w:val="20"/>
                <w:szCs w:val="20"/>
                <w:color w:val="auto"/>
              </w:rPr>
            </w:pPr>
            <w:r>
              <w:rPr>
                <w:rFonts w:ascii="Arial" w:cs="Arial" w:eastAsia="Arial" w:hAnsi="Arial"/>
                <w:sz w:val="14"/>
                <w:szCs w:val="14"/>
                <w:color w:val="auto"/>
              </w:rPr>
              <w:t>Expiration Date 10/6/2019</w:t>
            </w:r>
          </w:p>
        </w:tc>
        <w:tc>
          <w:tcPr>
            <w:tcW w:w="2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160,000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Preferred Warrants Series A-4–Strike Price $1.33–</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7"/>
          </w:tcPr>
          <w:p>
            <w:pPr>
              <w:ind w:left="160"/>
              <w:spacing w:after="0"/>
              <w:rPr>
                <w:sz w:val="20"/>
                <w:szCs w:val="20"/>
                <w:color w:val="auto"/>
              </w:rPr>
            </w:pPr>
            <w:r>
              <w:rPr>
                <w:rFonts w:ascii="Arial" w:cs="Arial" w:eastAsia="Arial" w:hAnsi="Arial"/>
                <w:sz w:val="14"/>
                <w:szCs w:val="14"/>
                <w:color w:val="auto"/>
              </w:rPr>
              <w:t>Expiration Date 7/18/2021</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102,500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63"/>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w w:val="98"/>
              </w:rPr>
              <w:t>Preferred Warrants Series B–Strike Price $2.31–Expiration</w:t>
            </w:r>
          </w:p>
        </w:tc>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620" w:type="dxa"/>
            <w:vAlign w:val="bottom"/>
            <w:gridSpan w:val="7"/>
            <w:shd w:val="clear" w:color="auto" w:fill="CCEEFF"/>
          </w:tcPr>
          <w:p>
            <w:pPr>
              <w:ind w:left="160"/>
              <w:spacing w:after="0"/>
              <w:rPr>
                <w:sz w:val="20"/>
                <w:szCs w:val="20"/>
                <w:color w:val="auto"/>
              </w:rPr>
            </w:pPr>
            <w:r>
              <w:rPr>
                <w:rFonts w:ascii="Arial" w:cs="Arial" w:eastAsia="Arial" w:hAnsi="Arial"/>
                <w:sz w:val="14"/>
                <w:szCs w:val="14"/>
                <w:color w:val="auto"/>
              </w:rPr>
              <w:t>Date 11/29/2021</w:t>
            </w:r>
            <w:r>
              <w:rPr>
                <w:rFonts w:ascii="Arial" w:cs="Arial" w:eastAsia="Arial" w:hAnsi="Arial"/>
                <w:sz w:val="8"/>
                <w:szCs w:val="8"/>
                <w:color w:val="auto"/>
              </w:rPr>
              <w:t>(13)</w:t>
            </w:r>
          </w:p>
        </w:tc>
        <w:tc>
          <w:tcPr>
            <w:tcW w:w="2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41,000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Preferred Warrant Series B–Strike Price $2.31, Expiration</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gridSpan w:val="7"/>
          </w:tcPr>
          <w:p>
            <w:pPr>
              <w:ind w:left="160"/>
              <w:spacing w:after="0"/>
              <w:rPr>
                <w:sz w:val="20"/>
                <w:szCs w:val="20"/>
                <w:color w:val="auto"/>
              </w:rPr>
            </w:pPr>
            <w:r>
              <w:rPr>
                <w:rFonts w:ascii="Arial" w:cs="Arial" w:eastAsia="Arial" w:hAnsi="Arial"/>
                <w:sz w:val="14"/>
                <w:szCs w:val="14"/>
                <w:color w:val="auto"/>
              </w:rPr>
              <w:t>Date 5/29/2022</w:t>
            </w:r>
            <w:r>
              <w:rPr>
                <w:rFonts w:ascii="Arial" w:cs="Arial" w:eastAsia="Arial" w:hAnsi="Arial"/>
                <w:sz w:val="8"/>
                <w:szCs w:val="8"/>
                <w:color w:val="auto"/>
              </w:rPr>
              <w:t>(8)</w:t>
            </w:r>
          </w:p>
        </w:tc>
        <w:tc>
          <w:tcPr>
            <w:tcW w:w="27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125,000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70,379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80,000</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9,869,428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9,683,581</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29"/>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SPBRX, INC. (f/k/a GSV Sustainability Partners, Inc.)</w:t>
            </w: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Woodside,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Class A***</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Clean Technology</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14,300,000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1,069,862</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Common shares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500" w:type="dxa"/>
            <w:vAlign w:val="bottom"/>
            <w:tcBorders>
              <w:top w:val="single" w:sz="8" w:color="CCEEFF"/>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1,069,862</w:t>
            </w: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8"/>
          </w:tcPr>
          <w:p>
            <w:pPr>
              <w:ind w:left="40"/>
              <w:spacing w:after="0"/>
              <w:rPr>
                <w:sz w:val="20"/>
                <w:szCs w:val="20"/>
                <w:color w:val="auto"/>
              </w:rPr>
            </w:pPr>
            <w:r>
              <w:rPr>
                <w:rFonts w:ascii="Arial" w:cs="Arial" w:eastAsia="Arial" w:hAnsi="Arial"/>
                <w:sz w:val="14"/>
                <w:szCs w:val="14"/>
                <w:b w:val="1"/>
                <w:bCs w:val="1"/>
                <w:color w:val="auto"/>
              </w:rPr>
              <w:t>Total Controlled</w:t>
            </w: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23,161,314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24,207,161</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11.82%</w:t>
            </w:r>
          </w:p>
        </w:tc>
        <w:tc>
          <w:tcPr>
            <w:tcW w:w="0" w:type="dxa"/>
            <w:vAlign w:val="bottom"/>
          </w:tcPr>
          <w:p>
            <w:pPr>
              <w:spacing w:after="0"/>
              <w:rPr>
                <w:sz w:val="1"/>
                <w:szCs w:val="1"/>
                <w:color w:val="auto"/>
              </w:rPr>
            </w:pPr>
          </w:p>
        </w:tc>
      </w:tr>
      <w:tr>
        <w:trPr>
          <w:trHeight w:val="270"/>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Total Portfolio Investments</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202,574,352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220,588,493</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107.74%</w:t>
            </w:r>
          </w:p>
        </w:tc>
        <w:tc>
          <w:tcPr>
            <w:tcW w:w="0" w:type="dxa"/>
            <w:vAlign w:val="bottom"/>
          </w:tcPr>
          <w:p>
            <w:pPr>
              <w:spacing w:after="0"/>
              <w:rPr>
                <w:sz w:val="1"/>
                <w:szCs w:val="1"/>
                <w:color w:val="auto"/>
              </w:rPr>
            </w:pPr>
          </w:p>
        </w:tc>
      </w:tr>
      <w:tr>
        <w:trPr>
          <w:trHeight w:val="230"/>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U.S. Treasury</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4"/>
                <w:szCs w:val="14"/>
                <w:color w:val="auto"/>
              </w:rPr>
              <w:t>U.S. Treasury bills, 0%, due 1/4/2018***</w:t>
            </w:r>
            <w:r>
              <w:rPr>
                <w:rFonts w:ascii="Arial" w:cs="Arial" w:eastAsia="Arial" w:hAnsi="Arial"/>
                <w:sz w:val="8"/>
                <w:szCs w:val="8"/>
                <w:color w:val="auto"/>
              </w:rPr>
              <w:t>(3)</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100,000,000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99,985,833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99,994,000</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48.83%</w:t>
            </w:r>
          </w:p>
        </w:tc>
        <w:tc>
          <w:tcPr>
            <w:tcW w:w="0" w:type="dxa"/>
            <w:vAlign w:val="bottom"/>
          </w:tcPr>
          <w:p>
            <w:pPr>
              <w:spacing w:after="0"/>
              <w:rPr>
                <w:sz w:val="1"/>
                <w:szCs w:val="1"/>
                <w:color w:val="auto"/>
              </w:rPr>
            </w:pPr>
          </w:p>
        </w:tc>
      </w:tr>
      <w:tr>
        <w:trPr>
          <w:trHeight w:val="256"/>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TOTAL INVESTMENTS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302,560,185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320,582,493</w:t>
            </w: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48539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48539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48539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-4561840</wp:posOffset>
            </wp:positionV>
            <wp:extent cx="48539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-5599430</wp:posOffset>
            </wp:positionV>
            <wp:extent cx="48539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03" w:lineRule="exact"/>
        <w:rPr>
          <w:sz w:val="20"/>
          <w:szCs w:val="20"/>
          <w:color w:val="auto"/>
        </w:rPr>
      </w:pPr>
    </w:p>
    <w:p>
      <w:pPr>
        <w:ind w:left="500" w:right="20" w:hanging="492"/>
        <w:spacing w:after="0" w:line="255"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otherwise identified. Equity investments are subject to lock-up restrictions upon their initial public offering (“IPO”).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investments are restricted as to resale, unless otherwise noted, and were valued at fair value as determined in good faith by the Company’s board of directors.</w:t>
      </w:r>
    </w:p>
    <w:p>
      <w:pPr>
        <w:sectPr>
          <w:pgSz w:w="11900" w:h="16838" w:orient="portrait"/>
          <w:cols w:equalWidth="0" w:num="1">
            <w:col w:w="11420"/>
          </w:cols>
          <w:pgMar w:left="240" w:top="122"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ind w:left="500" w:right="60" w:hanging="492"/>
        <w:spacing w:after="0" w:line="34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Investment Company Act of 1940, as amended (the “1940 Act”). Of GSV Capital Corp.’s total portfolio as of December 31, 2017, 12.13% of its total investments are non-qualifying assets.</w:t>
      </w:r>
    </w:p>
    <w:p>
      <w:pPr>
        <w:spacing w:after="0" w:line="164" w:lineRule="exact"/>
        <w:rPr>
          <w:rFonts w:ascii="Arial" w:cs="Arial" w:eastAsia="Arial" w:hAnsi="Arial"/>
          <w:sz w:val="16"/>
          <w:szCs w:val="16"/>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66" w:lineRule="exact"/>
        <w:rPr>
          <w:sz w:val="20"/>
          <w:szCs w:val="20"/>
          <w:color w:val="auto"/>
        </w:rPr>
      </w:pPr>
    </w:p>
    <w:p>
      <w:pPr>
        <w:ind w:left="500" w:right="20" w:hanging="492"/>
        <w:spacing w:after="0" w:line="279"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7"/>
          <w:szCs w:val="17"/>
          <w:i w:val="1"/>
          <w:iCs w:val="1"/>
          <w:color w:val="auto"/>
        </w:rPr>
        <w:t>i.e.</w:t>
      </w:r>
      <w:r>
        <w:rPr>
          <w:rFonts w:ascii="Arial" w:cs="Arial" w:eastAsia="Arial" w:hAnsi="Arial"/>
          <w:sz w:val="17"/>
          <w:szCs w:val="17"/>
          <w:color w:val="auto"/>
        </w:rPr>
        <w:t>, securities with the right to elect directors) of such company. For the Schedule of Investments In, and Advances To, Affiliates, as required by SEC Regulation S-X, Rule 12-14, refer to “Note 4—Investments at Fair Value”.</w:t>
      </w:r>
    </w:p>
    <w:p>
      <w:pPr>
        <w:spacing w:after="0" w:line="171" w:lineRule="exact"/>
        <w:rPr>
          <w:rFonts w:ascii="Arial" w:cs="Arial" w:eastAsia="Arial" w:hAnsi="Arial"/>
          <w:sz w:val="17"/>
          <w:szCs w:val="17"/>
          <w:color w:val="auto"/>
        </w:rPr>
      </w:pPr>
    </w:p>
    <w:p>
      <w:pPr>
        <w:ind w:left="500" w:right="60" w:hanging="492"/>
        <w:spacing w:after="0" w:line="25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8"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Denotes an investment considered Level 1 valued using observable inputs.</w:t>
      </w:r>
    </w:p>
    <w:p>
      <w:pPr>
        <w:spacing w:after="0" w:line="225" w:lineRule="exact"/>
        <w:rPr>
          <w:rFonts w:ascii="Arial" w:cs="Arial" w:eastAsia="Arial" w:hAnsi="Arial"/>
          <w:sz w:val="18"/>
          <w:szCs w:val="18"/>
          <w:color w:val="auto"/>
        </w:rPr>
      </w:pPr>
    </w:p>
    <w:p>
      <w:pPr>
        <w:ind w:left="500" w:right="74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 In January 2018, GSV Capital Corp. sold its entire position in Avenues Global Holdings, LLC.</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GSV Capital Corp.’s investment in StormWind, LLC is held through its wholly owned subsidiary, GSVC SW Holdings, Inc.</w:t>
      </w:r>
    </w:p>
    <w:p>
      <w:pPr>
        <w:spacing w:after="0" w:line="225" w:lineRule="exact"/>
        <w:rPr>
          <w:rFonts w:ascii="Arial" w:cs="Arial" w:eastAsia="Arial" w:hAnsi="Arial"/>
          <w:sz w:val="18"/>
          <w:szCs w:val="18"/>
          <w:color w:val="auto"/>
        </w:rPr>
      </w:pPr>
    </w:p>
    <w:p>
      <w:pPr>
        <w:ind w:left="500" w:right="40" w:hanging="49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181"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29, 2017, A Place for Rover, Inc. acquired DogVacay, Inc. and, pursuant to a plan of reorganization, the Company received common shares of A Place for Rover Inc. in exchange for the Company’s previously held Series B-1 preferred shares of DogVacay, Inc.</w:t>
      </w:r>
    </w:p>
    <w:p>
      <w:pPr>
        <w:spacing w:after="0" w:line="170" w:lineRule="exact"/>
        <w:rPr>
          <w:rFonts w:ascii="Arial" w:cs="Arial" w:eastAsia="Arial" w:hAnsi="Arial"/>
          <w:sz w:val="18"/>
          <w:szCs w:val="18"/>
          <w:color w:val="auto"/>
        </w:rPr>
      </w:pPr>
    </w:p>
    <w:p>
      <w:pPr>
        <w:ind w:left="500" w:right="40" w:hanging="492"/>
        <w:spacing w:after="0" w:line="276"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Refer to “Note 4—Investments at Fair Value.” On November 29, 2017, the maturity date of the unsecured promissory note to NestGSV, Inc. (d/b/a GSV Labs, Inc.) was extended to January 15, 2018. In January 2018, upon its maturity, NestGSV, Inc. (d/b/a GSV Labs, Inc.) repaid the unsecured promissory note, with interest.</w:t>
      </w:r>
    </w:p>
    <w:p>
      <w:pPr>
        <w:spacing w:after="0" w:line="172" w:lineRule="exact"/>
        <w:rPr>
          <w:rFonts w:ascii="Arial" w:cs="Arial" w:eastAsia="Arial" w:hAnsi="Arial"/>
          <w:sz w:val="17"/>
          <w:szCs w:val="17"/>
          <w:color w:val="auto"/>
        </w:rPr>
      </w:pPr>
    </w:p>
    <w:p>
      <w:pPr>
        <w:ind w:left="500" w:hanging="492"/>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July 31, 2017, the maturity date of the convertible promissory note to NestGSV, Inc. (d/b/a GSV Labs, Inc.) was extended to July 31, 2018.</w:t>
      </w:r>
    </w:p>
    <w:p>
      <w:pPr>
        <w:spacing w:after="0" w:line="236" w:lineRule="exact"/>
        <w:rPr>
          <w:rFonts w:ascii="Arial" w:cs="Arial" w:eastAsia="Arial" w:hAnsi="Arial"/>
          <w:sz w:val="17"/>
          <w:szCs w:val="17"/>
          <w:color w:val="auto"/>
        </w:rPr>
      </w:pPr>
    </w:p>
    <w:p>
      <w:pPr>
        <w:ind w:left="500" w:hanging="492"/>
        <w:spacing w:after="0" w:line="259"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July 1, 2017, the maturity date of the convertible promissory note to Declara, Inc. was extended to December 31, 2017. The convertible promissory note was further extended until January 31, 2018. The maturity date of the convertible promissory note to Declara, Inc. was then subsequently extended an additional three months to April 30, 2018. On January 31, 2018 the interest rate on the convertible promissory note increased to 12% per annum (including 365 days for the purposes of accrual).</w:t>
      </w:r>
    </w:p>
    <w:p>
      <w:pPr>
        <w:spacing w:after="0" w:line="186" w:lineRule="exact"/>
        <w:rPr>
          <w:rFonts w:ascii="Arial" w:cs="Arial" w:eastAsia="Arial" w:hAnsi="Arial"/>
          <w:sz w:val="18"/>
          <w:szCs w:val="18"/>
          <w:color w:val="auto"/>
        </w:rPr>
      </w:pPr>
    </w:p>
    <w:p>
      <w:pPr>
        <w:jc w:val="both"/>
        <w:ind w:left="500" w:right="80" w:hanging="49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November 12, 2013, Chegg, Inc. priced its IPO. The lock-up agreement for the Company’s Chegg, Inc. common shares expired on May 11, 2014. As a result, the Company’s Chegg, Inc. common shares are considered unrestricted. As of February 22, 2018, all remaining shares of Chegg, Inc. held by GSV Capital Corp. had been sold.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2" w:right="279" w:bottom="1440" w:gutter="0" w:footer="0" w:header="0"/>
        </w:sectPr>
      </w:pPr>
    </w:p>
    <w:bookmarkStart w:id="15" w:name="page16"/>
    <w:bookmarkEnd w:id="1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2017, the investments noted had been placed on non-accrual status.</w:t>
      </w:r>
    </w:p>
    <w:p>
      <w:pPr>
        <w:spacing w:after="0" w:line="225"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fourth quarter of 2017, NestGSV, Inc. (d/b/a GSV Labs, Inc.) met certain financing qualifications under the Company’s warrant agreement with NestGSV, Inc. (d/b/a GSV Labs, Inc.), and the Company’s Series A-4 warrants with a strike price of $1.33 converted to Series B warrants with a $2.31 strike price.</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Subsequent to period-end, Ozy Media, Inc.’s obligations under its financing arrangements with the Company became past due. The Company and Ozy Media are in the process of renegotiating the terms of the Company’s investment.</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February 23, 2018, CUX, Inc. (d/b/a CorpU) agreed to extend the maturity of the Company’s Series D warrants until August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22" w:right="3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229"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GSV Capital Corp. (the “Company” or “GSV Capital”), formed in September 2010 as a Maryland corporation, is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188" w:lineRule="exact"/>
        <w:rPr>
          <w:sz w:val="20"/>
          <w:szCs w:val="20"/>
          <w:color w:val="auto"/>
        </w:rPr>
      </w:pPr>
    </w:p>
    <w:p>
      <w:pPr>
        <w:ind w:right="20" w:firstLine="351"/>
        <w:spacing w:after="0" w:line="342" w:lineRule="auto"/>
        <w:rPr>
          <w:sz w:val="20"/>
          <w:szCs w:val="20"/>
          <w:color w:val="auto"/>
        </w:rPr>
      </w:pPr>
      <w:r>
        <w:rPr>
          <w:rFonts w:ascii="Arial" w:cs="Arial" w:eastAsia="Arial" w:hAnsi="Arial"/>
          <w:sz w:val="16"/>
          <w:szCs w:val="16"/>
          <w:color w:val="auto"/>
        </w:rPr>
        <w:t>The Company’s date of inception was January 6, 2011, which is the date it commenced its development stage activities. The Company’s common stock is currently listed on the Nasdaq Capital Market under the symbol “GSVC”. The Company began its investment operations during the second quarter of 2011.</w:t>
      </w:r>
    </w:p>
    <w:p>
      <w:pPr>
        <w:spacing w:after="0" w:line="124" w:lineRule="exact"/>
        <w:rPr>
          <w:sz w:val="20"/>
          <w:szCs w:val="20"/>
          <w:color w:val="auto"/>
        </w:rPr>
      </w:pPr>
    </w:p>
    <w:p>
      <w:pPr>
        <w:ind w:right="140" w:firstLine="351"/>
        <w:spacing w:after="0" w:line="276" w:lineRule="auto"/>
        <w:rPr>
          <w:sz w:val="20"/>
          <w:szCs w:val="20"/>
          <w:color w:val="auto"/>
        </w:rPr>
      </w:pPr>
      <w:r>
        <w:rPr>
          <w:rFonts w:ascii="Arial" w:cs="Arial" w:eastAsia="Arial" w:hAnsi="Arial"/>
          <w:sz w:val="17"/>
          <w:szCs w:val="17"/>
          <w:color w:val="auto"/>
        </w:rPr>
        <w:t>The table below displays all the Company’s subsidiaries as of June 30, 2018,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7"/>
          <w:szCs w:val="17"/>
          <w:i w:val="1"/>
          <w:iCs w:val="1"/>
          <w:color w:val="auto"/>
        </w:rPr>
        <w:t>Basis of Consolidation</w:t>
      </w:r>
      <w:r>
        <w:rPr>
          <w:rFonts w:ascii="Arial" w:cs="Arial" w:eastAsia="Arial" w:hAnsi="Arial"/>
          <w:sz w:val="17"/>
          <w:szCs w:val="17"/>
          <w:color w:val="auto"/>
        </w:rPr>
        <w:t>” below for further detail.</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Jurisdiction of</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Formation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GCL</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13,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Subsidiaries below are referred to collectively, as the “GSVC Holdings”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AE Holdings, Inc. (“GAE”)</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AV Holdings, Inc. (“GAV”)</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NG Holdings, Inc. (“GNG”)</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SW Holdings, Inc. (“GSW”)</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WS Holdings, Inc. (“GWS”)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SVDS Holdings, Inc. (“SVDS”)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13, 2013</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51"/>
        <w:spacing w:after="0" w:line="297"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0" w:firstLine="351"/>
        <w:spacing w:after="0" w:line="273" w:lineRule="auto"/>
        <w:rPr>
          <w:sz w:val="20"/>
          <w:szCs w:val="20"/>
          <w:color w:val="auto"/>
        </w:rPr>
      </w:pPr>
      <w:r>
        <w:rPr>
          <w:rFonts w:ascii="Arial" w:cs="Arial" w:eastAsia="Arial" w:hAnsi="Arial"/>
          <w:sz w:val="17"/>
          <w:szCs w:val="17"/>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Services—Investment Companies. In the opinion of management, all adjustments, all of which were of a normal recurring nature, considered necessary for the fair presentation of consolidated financial statements for the interim period have been included.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results of operations for the current interim period are not necessarily indicative of results that ultimately may be achieved for any other interim period or for the year ending December 31, 2018. The interim unaudited condensed consolidated financial statements and notes hereto should be read in conjunction with the audited condensed consolidated financial statements and notes thereto contained in the Company’s annual report on Form 10-K for the year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right="120" w:firstLine="351"/>
        <w:spacing w:after="0" w:line="288" w:lineRule="auto"/>
        <w:rPr>
          <w:sz w:val="20"/>
          <w:szCs w:val="20"/>
          <w:color w:val="auto"/>
        </w:rPr>
      </w:pPr>
      <w:r>
        <w:rPr>
          <w:rFonts w:ascii="Arial" w:cs="Arial" w:eastAsia="Arial" w:hAnsi="Arial"/>
          <w:sz w:val="16"/>
          <w:szCs w:val="16"/>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w:t>
      </w:r>
    </w:p>
    <w:p>
      <w:pPr>
        <w:ind w:right="440"/>
        <w:spacing w:after="0" w:line="261" w:lineRule="auto"/>
        <w:rPr>
          <w:sz w:val="20"/>
          <w:szCs w:val="20"/>
          <w:color w:val="auto"/>
        </w:rPr>
      </w:pPr>
      <w:r>
        <w:rPr>
          <w:rFonts w:ascii="Arial" w:cs="Arial" w:eastAsia="Arial" w:hAnsi="Arial"/>
          <w:sz w:val="18"/>
          <w:szCs w:val="18"/>
          <w:color w:val="auto"/>
        </w:rPr>
        <w:t>Accordingly, the Company’s consolidated financial statements include its accounts and the accounts of the GSVC Holdings and GCL, its wholly-owned subsidiaries. All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160" w:firstLine="351"/>
        <w:spacing w:after="0" w:line="257" w:lineRule="auto"/>
        <w:rPr>
          <w:sz w:val="20"/>
          <w:szCs w:val="20"/>
          <w:color w:val="auto"/>
        </w:rPr>
      </w:pPr>
      <w:r>
        <w:rPr>
          <w:rFonts w:ascii="Arial" w:cs="Arial" w:eastAsia="Arial" w:hAnsi="Arial"/>
          <w:sz w:val="18"/>
          <w:szCs w:val="18"/>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Uncertainties and Risk Factors</w:t>
      </w:r>
    </w:p>
    <w:p>
      <w:pPr>
        <w:spacing w:after="0" w:line="229"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The Company is subject to a number of risks and uncertainties in the nature of its operations, as well as vulnerability due to certain concentrations. Refer to “Management's Discussion and Analysis of Financial Condition and Results of Operations - Forward-Looking Statements" and "Risk Factors” in this quarterly report on Form 10-Q and "Risk Factors" in Part I, Item 1A of the Company's annual report on Form 10-K for the fiscal year ended December 31, 2017 for a detailed discussion of the risks and uncertainties inherent in the nature of the Company’s operations. Refer to “Note 4—Investments at Fair Value” for an overview of the Company’s industry and geographic concentrations.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at Fair Value</w:t>
      </w:r>
    </w:p>
    <w:p>
      <w:pPr>
        <w:spacing w:after="0" w:line="229" w:lineRule="exact"/>
        <w:rPr>
          <w:sz w:val="20"/>
          <w:szCs w:val="20"/>
          <w:color w:val="auto"/>
        </w:rPr>
      </w:pPr>
    </w:p>
    <w:p>
      <w:pPr>
        <w:ind w:right="260" w:firstLine="351"/>
        <w:spacing w:after="0" w:line="277"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70" w:lineRule="exact"/>
        <w:rPr>
          <w:sz w:val="20"/>
          <w:szCs w:val="20"/>
          <w:color w:val="auto"/>
        </w:rPr>
      </w:pPr>
    </w:p>
    <w:p>
      <w:pPr>
        <w:ind w:firstLine="351"/>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4" w:lineRule="exact"/>
        <w:rPr>
          <w:sz w:val="20"/>
          <w:szCs w:val="20"/>
          <w:color w:val="auto"/>
        </w:rPr>
      </w:pPr>
    </w:p>
    <w:p>
      <w:pPr>
        <w:ind w:right="80" w:firstLine="351"/>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—Valuations based on unadjusted quoted prices for identical assets or liabilities in an active market that the Company has the ability to access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162" w:lineRule="exact"/>
        <w:rPr>
          <w:sz w:val="20"/>
          <w:szCs w:val="20"/>
          <w:color w:val="auto"/>
        </w:rPr>
      </w:pPr>
    </w:p>
    <w:p>
      <w:pPr>
        <w:jc w:val="both"/>
        <w:ind w:right="20" w:firstLine="351"/>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—Valuations based on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at the measurement date for substantially the full term of the assets or liabilities.</w:t>
      </w:r>
    </w:p>
    <w:p>
      <w:pPr>
        <w:spacing w:after="0" w:line="176"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—Valuations based on unobservable inputs that reflect management’s best estimate of what market participants would use in pricing the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at the measurement date. Consideration is given to the risk inherent in the valuation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technique and the risk inherent in the inputs to the model. The majority of the Company’s investments are Level 3 investments and are subject to a high degree of judgment and uncertainty in determining fair value.</w:t>
      </w:r>
    </w:p>
    <w:p>
      <w:pPr>
        <w:spacing w:after="0" w:line="170" w:lineRule="exact"/>
        <w:rPr>
          <w:sz w:val="20"/>
          <w:szCs w:val="20"/>
          <w:color w:val="auto"/>
        </w:rPr>
      </w:pPr>
    </w:p>
    <w:p>
      <w:pPr>
        <w:ind w:right="120" w:firstLine="351"/>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8" w:lineRule="exact"/>
        <w:rPr>
          <w:sz w:val="20"/>
          <w:szCs w:val="20"/>
          <w:color w:val="auto"/>
        </w:rPr>
      </w:pPr>
    </w:p>
    <w:p>
      <w:pPr>
        <w:ind w:right="220" w:firstLine="351"/>
        <w:spacing w:after="0" w:line="302" w:lineRule="auto"/>
        <w:rPr>
          <w:sz w:val="20"/>
          <w:szCs w:val="20"/>
          <w:color w:val="auto"/>
        </w:rPr>
      </w:pPr>
      <w:r>
        <w:rPr>
          <w:rFonts w:ascii="Arial" w:cs="Arial" w:eastAsia="Arial" w:hAnsi="Arial"/>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5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3" w:lineRule="exact"/>
        <w:rPr>
          <w:sz w:val="20"/>
          <w:szCs w:val="20"/>
          <w:color w:val="auto"/>
        </w:rPr>
      </w:pPr>
    </w:p>
    <w:p>
      <w:pPr>
        <w:ind w:right="140" w:firstLine="351"/>
        <w:spacing w:after="0" w:line="286"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of the Company’s board of directors (the “Valuation Committee”), does not reliably represent fair value, shall each be valued as follows:</w:t>
      </w:r>
    </w:p>
    <w:p>
      <w:pPr>
        <w:spacing w:after="0" w:line="166" w:lineRule="exact"/>
        <w:rPr>
          <w:sz w:val="20"/>
          <w:szCs w:val="20"/>
          <w:color w:val="auto"/>
        </w:rPr>
      </w:pPr>
    </w:p>
    <w:p>
      <w:pPr>
        <w:ind w:left="660" w:right="3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GSV Asset Management senior management;</w:t>
      </w:r>
    </w:p>
    <w:p>
      <w:pPr>
        <w:spacing w:after="0" w:line="265"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the Valuation Committee to conduct independent appraisals and review GSV Asset Management’s preliminary valuations and make its own independent assessment, for all investments for which there are no readily available market quotations;</w:t>
      </w:r>
    </w:p>
    <w:p>
      <w:pPr>
        <w:spacing w:after="0" w:line="221"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GSV Asset Management and the independent third-party valuation firm; and</w:t>
      </w:r>
    </w:p>
    <w:p>
      <w:pPr>
        <w:spacing w:after="0" w:line="21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211"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6"/>
          <w:szCs w:val="16"/>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2018</w:t>
      </w:r>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which the portfolio company does business, and other relevant factors. The Company assigns a weighting based upon the relevance of each method to determine the fair value of each investment.</w:t>
      </w:r>
    </w:p>
    <w:p>
      <w:pPr>
        <w:spacing w:after="0" w:line="170" w:lineRule="exact"/>
        <w:rPr>
          <w:sz w:val="20"/>
          <w:szCs w:val="20"/>
          <w:color w:val="auto"/>
        </w:rPr>
      </w:pPr>
    </w:p>
    <w:p>
      <w:pPr>
        <w:ind w:right="100" w:firstLine="351"/>
        <w:spacing w:after="0" w:line="279"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7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7" w:lineRule="exact"/>
        <w:rPr>
          <w:sz w:val="20"/>
          <w:szCs w:val="20"/>
          <w:color w:val="auto"/>
        </w:rPr>
      </w:pPr>
    </w:p>
    <w:p>
      <w:pPr>
        <w:ind w:firstLine="351"/>
        <w:spacing w:after="0" w:line="342" w:lineRule="auto"/>
        <w:rPr>
          <w:sz w:val="20"/>
          <w:szCs w:val="20"/>
          <w:color w:val="auto"/>
        </w:rPr>
      </w:pPr>
      <w:r>
        <w:rPr>
          <w:rFonts w:ascii="Arial" w:cs="Arial" w:eastAsia="Arial" w:hAnsi="Arial"/>
          <w:sz w:val="16"/>
          <w:szCs w:val="16"/>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25" w:lineRule="exact"/>
        <w:rPr>
          <w:sz w:val="20"/>
          <w:szCs w:val="20"/>
          <w:color w:val="auto"/>
        </w:rPr>
      </w:pPr>
    </w:p>
    <w:p>
      <w:pPr>
        <w:ind w:right="140" w:firstLine="351"/>
        <w:spacing w:after="0" w:line="293" w:lineRule="auto"/>
        <w:rPr>
          <w:sz w:val="20"/>
          <w:szCs w:val="20"/>
          <w:color w:val="auto"/>
        </w:rPr>
      </w:pPr>
      <w:r>
        <w:rPr>
          <w:rFonts w:ascii="Arial" w:cs="Arial" w:eastAsia="Arial" w:hAnsi="Arial"/>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6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6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The Company’s board of directors will ascribe value to warrants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warrants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June 30, 2018 and December 31, 2017, for details regarding the nature and composition of the Company’s investment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Levelling Policy</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2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w:t>
      </w:r>
      <w:r>
        <w:rPr>
          <w:rFonts w:ascii="Arial" w:cs="Arial" w:eastAsia="Arial" w:hAnsi="Arial"/>
          <w:sz w:val="18"/>
          <w:szCs w:val="18"/>
          <w:i w:val="1"/>
          <w:iCs w:val="1"/>
          <w:color w:val="auto"/>
        </w:rPr>
        <w:t>i.e.</w:t>
      </w:r>
      <w:r>
        <w:rPr>
          <w:rFonts w:ascii="Arial" w:cs="Arial" w:eastAsia="Arial" w:hAnsi="Arial"/>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Financial Instruments</w:t>
      </w:r>
    </w:p>
    <w:p>
      <w:pPr>
        <w:spacing w:after="0" w:line="229" w:lineRule="exact"/>
        <w:rPr>
          <w:sz w:val="20"/>
          <w:szCs w:val="20"/>
          <w:color w:val="auto"/>
        </w:rPr>
      </w:pPr>
    </w:p>
    <w:p>
      <w:pPr>
        <w:ind w:right="400" w:firstLine="351"/>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right="220" w:firstLine="351"/>
        <w:spacing w:after="0" w:line="312" w:lineRule="auto"/>
        <w:rPr>
          <w:sz w:val="20"/>
          <w:szCs w:val="20"/>
          <w:color w:val="auto"/>
        </w:rPr>
      </w:pPr>
      <w:r>
        <w:rPr>
          <w:rFonts w:ascii="Arial" w:cs="Arial" w:eastAsia="Arial" w:hAnsi="Arial"/>
          <w:sz w:val="16"/>
          <w:szCs w:val="16"/>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Proceeds Receivable</w:t>
      </w:r>
    </w:p>
    <w:p>
      <w:pPr>
        <w:spacing w:after="0" w:line="225" w:lineRule="exact"/>
        <w:rPr>
          <w:sz w:val="20"/>
          <w:szCs w:val="20"/>
          <w:color w:val="auto"/>
        </w:rPr>
      </w:pPr>
    </w:p>
    <w:p>
      <w:pPr>
        <w:ind w:firstLine="351"/>
        <w:spacing w:after="0" w:line="271" w:lineRule="auto"/>
        <w:rPr>
          <w:sz w:val="20"/>
          <w:szCs w:val="20"/>
          <w:color w:val="auto"/>
        </w:rPr>
      </w:pPr>
      <w:r>
        <w:rPr>
          <w:rFonts w:ascii="Arial" w:cs="Arial" w:eastAsia="Arial" w:hAnsi="Arial"/>
          <w:sz w:val="17"/>
          <w:szCs w:val="17"/>
          <w:color w:val="auto"/>
        </w:rPr>
        <w:t>During 2017, the Company completed the sale of its investment in JAMF Holdings, Inc. During the three months ended June 30, 2018, the Company completed the sale of its investment in General Assembly Space, Inc. A portion of the proceeds from the sale of these portfolio investments are held in escrow as a recourse for indemnity claims that may arise under the sale agreement. Amounts held in escrow are held at estimated realizable value and included in net realized gains (losses) on investments in the Condensed Consolidated Statements of Operations for the period in which they occurred. Any remaining escrow proceeds balances from these transaction reasonably expected to be received are reflected on the Condensed Consolidated Statement of Assets and Liabilities as escrow proceeds receivable. At June 30, 2018 and December 31, 2017, the Company had $1,660,279 and $603,456, respectively, in escrow proceeds receivable. During the six months ended June 30, 2018, the Company received the remainder of escrow proceeds receivable from the sale of Strategic Data Command, LLC in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ind w:right="80" w:firstLine="351"/>
        <w:spacing w:after="0" w:line="272" w:lineRule="auto"/>
        <w:rPr>
          <w:sz w:val="20"/>
          <w:szCs w:val="20"/>
          <w:color w:val="auto"/>
        </w:rPr>
      </w:pPr>
      <w:r>
        <w:rPr>
          <w:rFonts w:ascii="Arial" w:cs="Arial" w:eastAsia="Arial" w:hAnsi="Arial"/>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As of June 30, 2018, and December 31, 2017, the Company had deferred financing costs of $52,917 and $413,023, respectively, on the Condensed Consolidated Statements of Assets and Liabilities.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 facility costs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51,636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offering costs</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361,387</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Financing Costs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52,917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413,023</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2825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0" w:firstLine="351"/>
        <w:spacing w:after="0" w:line="342" w:lineRule="auto"/>
        <w:rPr>
          <w:sz w:val="20"/>
          <w:szCs w:val="20"/>
          <w:color w:val="auto"/>
        </w:rPr>
      </w:pPr>
      <w:r>
        <w:rPr>
          <w:rFonts w:ascii="Arial" w:cs="Arial" w:eastAsia="Arial" w:hAnsi="Arial"/>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 Costs and Escrow Deposits</w:t>
      </w:r>
    </w:p>
    <w:p>
      <w:pPr>
        <w:spacing w:after="0" w:line="229" w:lineRule="exact"/>
        <w:rPr>
          <w:sz w:val="20"/>
          <w:szCs w:val="20"/>
          <w:color w:val="auto"/>
        </w:rPr>
      </w:pPr>
    </w:p>
    <w:p>
      <w:pPr>
        <w:ind w:right="20" w:firstLine="351"/>
        <w:spacing w:after="0" w:line="302" w:lineRule="auto"/>
        <w:rPr>
          <w:sz w:val="20"/>
          <w:szCs w:val="20"/>
          <w:color w:val="auto"/>
        </w:rPr>
      </w:pPr>
      <w:r>
        <w:rPr>
          <w:rFonts w:ascii="Arial" w:cs="Arial" w:eastAsia="Arial" w:hAnsi="Arial"/>
          <w:sz w:val="16"/>
          <w:szCs w:val="16"/>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and the account is closed. Such transactions would be reflected on the Condensed Consolidated Statement of Assets and Liabilities as escrow deposits. At June 30, 2018 and December 31, 2017, the Company had no escrow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of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Unrealized appreciation or depreciation is calculated as the difference between the fair value of the investment and the cost basis of such investment.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and State Income Taxes</w:t>
      </w:r>
    </w:p>
    <w:p>
      <w:pPr>
        <w:spacing w:after="0" w:line="22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Company meets the Annual Distribution Requirement, but does not distribute (or is not deemed to have distributed) each calendar year a sum of</w:t>
      </w:r>
    </w:p>
    <w:p>
      <w:pPr>
        <w:spacing w:after="0" w:line="46" w:lineRule="exact"/>
        <w:rPr>
          <w:sz w:val="20"/>
          <w:szCs w:val="20"/>
          <w:color w:val="auto"/>
        </w:rPr>
      </w:pPr>
    </w:p>
    <w:p>
      <w:pPr>
        <w:ind w:right="40" w:firstLine="8"/>
        <w:spacing w:after="0" w:line="290"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64"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165" w:lineRule="exact"/>
        <w:rPr>
          <w:sz w:val="20"/>
          <w:szCs w:val="20"/>
          <w:color w:val="auto"/>
        </w:rPr>
      </w:pPr>
    </w:p>
    <w:p>
      <w:pPr>
        <w:ind w:firstLine="351"/>
        <w:spacing w:after="0" w:line="269" w:lineRule="auto"/>
        <w:rPr>
          <w:sz w:val="20"/>
          <w:szCs w:val="20"/>
          <w:color w:val="auto"/>
        </w:rPr>
      </w:pPr>
      <w:r>
        <w:rPr>
          <w:rFonts w:ascii="Arial" w:cs="Arial" w:eastAsia="Arial" w:hAnsi="Arial"/>
          <w:sz w:val="17"/>
          <w:szCs w:val="17"/>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2018</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 —Income Taxes” for further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Information</w:t>
      </w:r>
    </w:p>
    <w:p>
      <w:pPr>
        <w:spacing w:after="0" w:line="229" w:lineRule="exact"/>
        <w:rPr>
          <w:sz w:val="20"/>
          <w:szCs w:val="20"/>
          <w:color w:val="auto"/>
        </w:rPr>
      </w:pPr>
    </w:p>
    <w:p>
      <w:pPr>
        <w:ind w:right="140" w:firstLine="351"/>
        <w:spacing w:after="0" w:line="293" w:lineRule="auto"/>
        <w:rPr>
          <w:sz w:val="20"/>
          <w:szCs w:val="20"/>
          <w:color w:val="auto"/>
        </w:rPr>
      </w:pPr>
      <w:r>
        <w:rPr>
          <w:rFonts w:ascii="Arial" w:cs="Arial" w:eastAsia="Arial" w:hAnsi="Arial"/>
          <w:sz w:val="16"/>
          <w:szCs w:val="16"/>
          <w:color w:val="auto"/>
        </w:rPr>
        <w:t xml:space="preserve">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6"/>
          <w:szCs w:val="16"/>
          <w:i w:val="1"/>
          <w:iCs w:val="1"/>
          <w:color w:val="auto"/>
        </w:rPr>
        <w:t>FASB ASC 260, Earnings Per Share</w:t>
      </w:r>
      <w:r>
        <w:rPr>
          <w:rFonts w:ascii="Arial" w:cs="Arial" w:eastAsia="Arial" w:hAnsi="Arial"/>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In July 2017, the FASB issued ASU 2017-13 which addressed the application of ASU 2014-9,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 it relates to adoption period for entities not otherwise required to adopt the new revenue recognition standard, but whose financial statements or financial information are included in another entity’s filing with the Securities and Exchange Commission (the "SEC"). ASU 2014-9, issued by FASB in May 2014, and related amendments, provide comprehensive guidance for recognizing revenue from contracts with customers. Entities will be able to recognize revenue when the entity transfers promised goods or services to customers in an amount that reflects the consideration to which the entity expects to be entitled to in exchange for those goods or services. The guidance in ASU 2014-9, and the related amendments, is effective for the Company on January 1, 2018. The Company adopted the ASU on January 1, 2018, which did not have a material impact on the Company's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3—RELATED-PARTY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22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The Company has entered into an investment advisory agreement with GSV Asset Management (the “Investment Advisory Agreement”). Under the terms of the agreement, GSV Asset Management is paid a quarterly management fee and an annual incentive fee. GSV Asset Management is controlled by Michael Moe, the Chairman of the Company’s board of directors. Mr. Moe, through his ownership interest in GSV Asset Management, is entitled to a portion of any profits earned by GSV Asset Management in performing its services under the Investment Advisory Agreement. Mr. Moe serves as the principal of GSV Asset Management and manages the business and internal affairs of GSV Asset Management. Mark Klein, the Company’s President and Chief Executive Officer and a member of the Company’s board of directors, or entities with which he is affiliated, receives consulting fees from GSV Asset Management equal to a percentage of each of the base management fee and the incentive fee paid by the Company to GSV Asset Management pursuant to a consulting agreement with GSV Asset Management.</w:t>
      </w:r>
    </w:p>
    <w:p>
      <w:pPr>
        <w:spacing w:after="0" w:line="19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Under the Investment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has, however, adopted an internal policy whereby any fees or compensation received by a manager, partner, officer or employee of GSV Asset Management in exchange for serving as a director of, or providing consulting services to, any of the Company’s portfolio companies will be transferred to the Company, net of any personal taxes incurred, upon such receipt for the benefit of the Company and its stockholders.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Under the terms of the Investment Advisory Agreement, GSV Asset Management is paid a base management fee of 2.00% of gross assets, which is the Company’s total assets reflected on its Condensed Consolidated Statements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16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GSV Asset Management earned $1,286,066 and $2,609,642 in management fees for the three and six months ended June 30, 2018, respectively, and waived $335,403 and $490,347 in management fees for the three and six months ended June 30, 2018, respectively. GSV Asset Management earned $1,359,180 and $2,813,600 in management fees for the three and six months ended June 30, 2017, respectively, and waived $169,898 and $351,700 in management fees for the three and six months ended June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ind w:right="120" w:firstLine="351"/>
        <w:spacing w:after="0" w:line="273" w:lineRule="auto"/>
        <w:rPr>
          <w:sz w:val="20"/>
          <w:szCs w:val="20"/>
          <w:color w:val="auto"/>
        </w:rPr>
      </w:pPr>
      <w:r>
        <w:rPr>
          <w:rFonts w:ascii="Arial" w:cs="Arial" w:eastAsia="Arial" w:hAnsi="Arial"/>
          <w:sz w:val="17"/>
          <w:szCs w:val="17"/>
          <w:color w:val="auto"/>
        </w:rPr>
        <w:t>Under the terms of the Investment Advisory Agreement, GSV Asset Management is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is modified pursuant to the terms of the Waiver Agreement, as further described below.</w:t>
      </w:r>
    </w:p>
    <w:p>
      <w:pPr>
        <w:spacing w:after="0" w:line="178"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The Company is required to accrue incentive fees for all periods as if the Company had fully liquidated its entire investment portfolio at the fair value stated on the Condensed Consolidated Statements of Assets and Liabilities as of June 30, 2018 and December 31, 2017. This accrual considers both the hypothetical liquidation of the Company’s portfolio described previously, as well as the Company’s actual cumulative realized gains and losses since inception, as well any previously paid incentive fees.</w:t>
      </w:r>
    </w:p>
    <w:p>
      <w:pPr>
        <w:spacing w:after="0" w:line="187" w:lineRule="exact"/>
        <w:rPr>
          <w:sz w:val="20"/>
          <w:szCs w:val="20"/>
          <w:color w:val="auto"/>
        </w:rPr>
      </w:pPr>
    </w:p>
    <w:p>
      <w:pPr>
        <w:ind w:right="400" w:firstLine="351"/>
        <w:spacing w:after="0" w:line="279" w:lineRule="auto"/>
        <w:rPr>
          <w:sz w:val="20"/>
          <w:szCs w:val="20"/>
          <w:color w:val="auto"/>
        </w:rPr>
      </w:pPr>
      <w:r>
        <w:rPr>
          <w:rFonts w:ascii="Arial" w:cs="Arial" w:eastAsia="Arial" w:hAnsi="Arial"/>
          <w:sz w:val="17"/>
          <w:szCs w:val="17"/>
          <w:color w:val="auto"/>
        </w:rPr>
        <w:t>For the three and six months ended June 30, 2018, the Company accrued incentive fees of $2,588,085 and $4,059,419, respectively. Pursuant to the Waiver Agreement, on February 2, 2018, GSV Asset Management forfeited $5.0 million of the then accrued incentive fees. For the three and six months ended June 30, 2017, the Company accrued incentive fees of $2,430,825 and $4,148,133, respectively. As of three months ended June 30, 2018, the Company's accrued incentive fee balance due GSV Asset Management was $8,337,504, net of the Waiver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February 2, 2018, GSV Asset Management voluntarily agreed to reduce the fees payable under the Investment Advisory Agreement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Waiver Agreement. The Waiver Agreement is effective February 1, 2018 and changes the fee structure set forth in the Investment Advisory Agreement by:</w:t>
      </w:r>
    </w:p>
    <w:p>
      <w:pPr>
        <w:spacing w:after="0" w:line="32" w:lineRule="exact"/>
        <w:rPr>
          <w:sz w:val="20"/>
          <w:szCs w:val="20"/>
          <w:color w:val="auto"/>
        </w:rPr>
      </w:pPr>
    </w:p>
    <w:p>
      <w:pPr>
        <w:ind w:firstLine="8"/>
        <w:spacing w:after="0" w:line="255"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the Company’s base management fee from 2.00% to 1.75%; and (ii) creating certain high-water marks that must be reached before any incentive fee is paid to GSV Asset Management. In addition to the foregoing changes to the fee structure, GSV Asset Management also agreed to forfeit $5.0 million of previously accrued but unpaid incentive fees.</w:t>
      </w:r>
    </w:p>
    <w:p>
      <w:pPr>
        <w:spacing w:after="0" w:line="190" w:lineRule="exact"/>
        <w:rPr>
          <w:sz w:val="20"/>
          <w:szCs w:val="20"/>
          <w:color w:val="auto"/>
        </w:rPr>
      </w:pPr>
    </w:p>
    <w:p>
      <w:pPr>
        <w:ind w:right="240" w:firstLine="351"/>
        <w:spacing w:after="0" w:line="277" w:lineRule="auto"/>
        <w:rPr>
          <w:sz w:val="20"/>
          <w:szCs w:val="20"/>
          <w:color w:val="auto"/>
        </w:rPr>
      </w:pPr>
      <w:r>
        <w:rPr>
          <w:rFonts w:ascii="Arial" w:cs="Arial" w:eastAsia="Arial" w:hAnsi="Arial"/>
          <w:sz w:val="18"/>
          <w:szCs w:val="18"/>
          <w:color w:val="auto"/>
        </w:rPr>
        <w:t>Pursuant to the Waiver Agreement, effective February 1, 2018, the base management fee is reduced to 1.75% of the Company’s gross assets. The base management fee is calculated based on the average value of the Company’s gross assets at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3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end of the two most recently completed calendar quarters, and appropriately adjusted for any equity or debt capital raises, repurchases or redemptions during the current calendar quarter. The base management fee for any partial month or quarter will be appropriately prorated. In addition, because the Company's 5.25% Convertible Senior Notes mature on September 15, 2018 (the "5.25% Convertible Senior Notes due 2018"), the Company is currently carrying a larger cash balance than it would in the ordinary course of its business. As a result, under the Waiver Agreement, GSV Asset Management has agreed to waive its base management fee on any cash balances effective as of February 1, 2018 until the 5.25% Convertible Senior Notes due 2018 mature, or the date that all the 5.25% Convertible Senior Notes due 2018 have been repurchased or redeemed, whichever is earlier.</w:t>
      </w:r>
    </w:p>
    <w:p>
      <w:pPr>
        <w:spacing w:after="0" w:line="16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Pursuant to the Waiver Agreement, in addition to the “hurdle” feature in the incentive fee, GSV Asset Management has agreed to additional conditions on its ability to receive an incentive fee. Specifically, the Waiver Agreement provides that an incentive fee earned by GSV Asset Management under the Investment Advisory Agreement will be payable to GSV Asset Management only if, at the time that such incentive fee becomes payable under the Investment Advisory Agreement, both the Company’s stock price and its last reported net asset value per share are equal to or greater than $12.55 (the “High-Water Mark”). The High-Water Mark is based upon the volume weighted average price (VWAP) of all the Company’s equity offerings since its initial public offering, less the dollar amount of all dividends paid by the Company since inception. Upon such time that the High-Water Mark is achieved, and GSV Asset Management is paid an incentive fee, a new High-Water Mark will be established. Each new High-Water Mark will be equal to the most recent High-Water Mark, plus 10%. Any High-Water Mark then in effect will be adjusted to reflect any dividends paid by the Company or any stock split effected by the Company.</w:t>
      </w:r>
    </w:p>
    <w:p>
      <w:pPr>
        <w:spacing w:after="0" w:line="197" w:lineRule="exact"/>
        <w:rPr>
          <w:sz w:val="20"/>
          <w:szCs w:val="20"/>
          <w:color w:val="auto"/>
        </w:rPr>
      </w:pPr>
    </w:p>
    <w:p>
      <w:pPr>
        <w:ind w:right="360" w:firstLine="351"/>
        <w:spacing w:after="0" w:line="342" w:lineRule="auto"/>
        <w:rPr>
          <w:sz w:val="20"/>
          <w:szCs w:val="20"/>
          <w:color w:val="auto"/>
        </w:rPr>
      </w:pPr>
      <w:r>
        <w:rPr>
          <w:rFonts w:ascii="Arial" w:cs="Arial" w:eastAsia="Arial" w:hAnsi="Arial"/>
          <w:sz w:val="16"/>
          <w:szCs w:val="16"/>
          <w:color w:val="auto"/>
        </w:rPr>
        <w:t>For the avoidance of doubt, after the effective date of the Waiver Agreement, under no circumstances will the aggregate fees earned by GSV Asset Management in any quarterly period be higher than those aggregate fees that would have been earned prior to the effectiveness of the Waiver Agreement.</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each of June 30, 2018 and December 31, 2017, there were no receivables owed to the Company by GSV Asset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The Company reimburses GSV Capital Service Company an allocable portion of overhead and other expenses in performing its obligations under the Administration Agreement, including a portion of the rent and the compensation of the Company’s President, Principal Financial Officer, Chief Compliance Officer and other staff providing administrative services. While there is no limit on the total amount of expenses the Company may be required to reimburse to GSV Capital Service Company, GSV Capital Service Company will only charge the Company for the actual expenses GSV Capital Service Company incurs on the Company’s behalf, or the Company’s allocable portion thereof, without any profit to GSV Capital Service Company. There were $397,113 and $821,258 in such costs incurred under the Administration Agreement for the three and six months ended June 30, 2018, respectively. There were $449,110 and $980,594 in such costs incurred under the Administration Agreement for the three and six months ended June 30, 2017,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GSV Asset Management</w:t>
      </w:r>
    </w:p>
    <w:p>
      <w:pPr>
        <w:spacing w:after="0" w:line="225" w:lineRule="exact"/>
        <w:rPr>
          <w:sz w:val="20"/>
          <w:szCs w:val="20"/>
          <w:color w:val="auto"/>
        </w:rPr>
      </w:pPr>
    </w:p>
    <w:p>
      <w:pPr>
        <w:ind w:right="20" w:firstLine="351"/>
        <w:spacing w:after="0" w:line="264" w:lineRule="auto"/>
        <w:rPr>
          <w:sz w:val="20"/>
          <w:szCs w:val="20"/>
          <w:color w:val="auto"/>
        </w:rPr>
      </w:pPr>
      <w:r>
        <w:rPr>
          <w:rFonts w:ascii="Arial" w:cs="Arial" w:eastAsia="Arial" w:hAnsi="Arial"/>
          <w:sz w:val="18"/>
          <w:szCs w:val="18"/>
          <w:color w:val="auto"/>
        </w:rPr>
        <w:t>GSV Asset Management wholly owns and controls GSV Capital Service Company, which is a disregarded entity for tax purposes. As of each of June 30, 2018 and December 31, 2017, the Company owed GSV Asset Management $233,005 and $231,697, respectively, primarily for the reimbursement of overhead allocation expenses and travel expenses, pursuant to the Administration Agreement.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Investment Advisory Agreement with GSV Asset Management is in effect. Other than with respect to this limited license, the Company has no legal right to the “GSV” name.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229" w:lineRule="exact"/>
        <w:rPr>
          <w:sz w:val="20"/>
          <w:szCs w:val="20"/>
          <w:color w:val="auto"/>
        </w:rPr>
      </w:pPr>
    </w:p>
    <w:p>
      <w:pPr>
        <w:jc w:val="both"/>
        <w:ind w:right="200" w:firstLine="351"/>
        <w:spacing w:after="0" w:line="297" w:lineRule="auto"/>
        <w:rPr>
          <w:sz w:val="20"/>
          <w:szCs w:val="20"/>
          <w:color w:val="auto"/>
        </w:rPr>
      </w:pPr>
      <w:r>
        <w:rPr>
          <w:rFonts w:ascii="Arial" w:cs="Arial" w:eastAsia="Arial" w:hAnsi="Arial"/>
          <w:sz w:val="16"/>
          <w:szCs w:val="16"/>
          <w:color w:val="auto"/>
        </w:rPr>
        <w:t>Mark Moe, who is the brother of Michael Moe, the Chairman of the Company’s board of directors, serves as Vice President of Business Development, Global Expansion for NestGSV, Inc. (d/b/a GSV Labs, Inc.), one of the Company’s portfolio companies. Diane Flynn, who is the spouse of the Company’s former President, Mark Flynn, served as Chief Marketing Officer of NestGSV, Inc. until her resignation in January 2017. Ron Johnson, the Chief Executive Officer of Enjoy Technology, Inc., one of the Company’s portfolio companies, is the brother-in-law of the Company’s former President, Mark Flynn. As of June 30, 2018, the fair values of the Company’s investments in NestGSV, Inc. and Enjoy Technology, Inc. were $13,708,267 and $4,473,549, respectively.</w:t>
      </w:r>
    </w:p>
    <w:p>
      <w:pPr>
        <w:spacing w:after="0" w:line="158"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In addition, the Company’s executive officers and directors, and the principals of the Company’s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 For example, as of August 8, 2018, GSV Asset Management also manages Coursera@GSV Fund, LP and Coursera@GSV-EDBI Fund, LP, special purpose vehicles each comprised of an underlying investment in the capital stock of Coursera, Inc. (the “Coursera Funds”), GSV@SP, LLC, a special purpose vehicle comprised of an underlying investment in the capital stock of Spotify Technology S.A. (the “GSV@SP Fund”), and GSV@LT, LLC, a special purpose vehicle comprised of an underlying investment in the capital stock of Lyft, Inc. (the “GSV@LT Fund”). GSV Asset Management will likely manage one or more private funds, or series within such private funds, in the future. The Company has no ownership interests in the Coursera Funds, the GSV@SP Fund or the GSV@LT Fund.</w:t>
      </w:r>
    </w:p>
    <w:p>
      <w:pPr>
        <w:spacing w:after="0" w:line="182" w:lineRule="exact"/>
        <w:rPr>
          <w:sz w:val="20"/>
          <w:szCs w:val="20"/>
          <w:color w:val="auto"/>
        </w:rPr>
      </w:pPr>
    </w:p>
    <w:p>
      <w:pPr>
        <w:ind w:firstLine="351"/>
        <w:spacing w:after="0" w:line="269" w:lineRule="auto"/>
        <w:rPr>
          <w:sz w:val="20"/>
          <w:szCs w:val="20"/>
          <w:color w:val="auto"/>
        </w:rPr>
      </w:pPr>
      <w:r>
        <w:rPr>
          <w:rFonts w:ascii="Arial" w:cs="Arial" w:eastAsia="Arial" w:hAnsi="Arial"/>
          <w:sz w:val="17"/>
          <w:szCs w:val="17"/>
          <w:color w:val="auto"/>
        </w:rPr>
        <w:t>The 1940 Act prohibits the Company from making certain negotiated co-investments with affiliates unless it receives an order from the SEC permitting it to do so. To the extent that the Company competes with entities managed by GSV Asset Management or any of its affiliates for one or more investment or disposition opportunities, GSV Asset Management will allocate any such opportunity across the entities for which the opportunity is appropriate, consistent with (1) its internal conflict-resolution and allocation policies, (2) the requirements of the Investment Advisers Act of 1940, and (3) certain restrictions under the 1940 Act regarding co-investments with affiliates. In situations where a particular investment or disposition opportunity is appropriate for both the Company and another entity managed by GSV Asset Management, even where co-investments are permissible under the 1940 Act, GSV Asset Management will first offer any such opportunity in its entirety to the Company. In the event that the size of such investment or disposition opportunity exceeds the Company’s capacity, other funds managed by GSV Asset Management may be offered the opportunity, but only to the extent that the Company and its board of directors have confirmed that any such investment or disposition by an affiliated entity is permissible under the 1940 Act and otherwise in the Company’s best interests. The Company’s Chief Compliance Officer and board of directors will monitor on a quarterly basis any such allocation of investment or disposition opportunities between the Company and any such other funds.</w:t>
      </w:r>
    </w:p>
    <w:p>
      <w:pPr>
        <w:spacing w:after="0" w:line="183" w:lineRule="exact"/>
        <w:rPr>
          <w:sz w:val="20"/>
          <w:szCs w:val="20"/>
          <w:color w:val="auto"/>
        </w:rPr>
      </w:pPr>
    </w:p>
    <w:p>
      <w:pPr>
        <w:ind w:right="100" w:firstLine="351"/>
        <w:spacing w:after="0" w:line="302" w:lineRule="auto"/>
        <w:rPr>
          <w:sz w:val="20"/>
          <w:szCs w:val="20"/>
          <w:color w:val="auto"/>
        </w:rPr>
      </w:pPr>
      <w:r>
        <w:rPr>
          <w:rFonts w:ascii="Arial" w:cs="Arial" w:eastAsia="Arial" w:hAnsi="Arial"/>
          <w:sz w:val="16"/>
          <w:szCs w:val="16"/>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29" w:lineRule="exact"/>
        <w:rPr>
          <w:sz w:val="20"/>
          <w:szCs w:val="20"/>
          <w:color w:val="auto"/>
        </w:rPr>
      </w:pPr>
    </w:p>
    <w:p>
      <w:pPr>
        <w:ind w:right="140" w:firstLine="351"/>
        <w:spacing w:after="0" w:line="279" w:lineRule="auto"/>
        <w:rPr>
          <w:sz w:val="20"/>
          <w:szCs w:val="20"/>
          <w:color w:val="auto"/>
        </w:rPr>
      </w:pPr>
      <w:r>
        <w:rPr>
          <w:rFonts w:ascii="Arial" w:cs="Arial" w:eastAsia="Arial" w:hAnsi="Arial"/>
          <w:sz w:val="17"/>
          <w:szCs w:val="17"/>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June 30, 2018, the Company had 58 positions in 28 portfolio companies. At December 31, 2017, the Company had 63 positions in 31 portfolio companies.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summarize the composition of the Company’s investment portfolio by security type at cost and fair value as of June 30,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3"/>
                <w:szCs w:val="13"/>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30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Assets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11"/>
        </w:trPr>
        <w:tc>
          <w:tcPr>
            <w:tcW w:w="1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43,895,194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42,270,859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53,413,686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86,824,096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103,979,544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103,024,088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134,145,680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120,253,822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Debt Investments</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8,512,555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4,973,158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8,809,356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4,916,578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204,681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871,032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433,997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5"/>
        </w:trPr>
        <w:tc>
          <w:tcPr>
            <w:tcW w:w="19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Private 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156,591,974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151,139,137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196,565,884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212,428,493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Publicly Traded</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95"/>
              </w:rPr>
              <w:t>Portfolio Companies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23,659,010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65,127,424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6,008,468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8,160,000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Portfolio</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180,250,984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216,266,561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202,574,352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220,588,493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5"/>
        </w:trPr>
        <w:tc>
          <w:tcPr>
            <w:tcW w:w="19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Non-Portfolio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Investments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bill</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99,973,483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99,986,200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99,985,833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99,994,000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57"/>
        </w:trPr>
        <w:tc>
          <w:tcPr>
            <w:tcW w:w="190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280,224,467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316,252,761</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302,560,185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320,582,493</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industrial and geographic compositions of the Company’s portfolio at fair value as of June 30, 2018 and December 31, 2017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 June 30, 2018</w:t>
            </w:r>
          </w:p>
        </w:tc>
        <w:tc>
          <w:tcPr>
            <w:tcW w:w="1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As of December 31, 2017</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5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Portfolio</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Net Assets</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Portfolio</w:t>
            </w:r>
          </w:p>
        </w:tc>
        <w:tc>
          <w:tcPr>
            <w:tcW w:w="1520" w:type="dxa"/>
            <w:vAlign w:val="bottom"/>
          </w:tcPr>
          <w:p>
            <w:pPr>
              <w:jc w:val="right"/>
              <w:ind w:right="354"/>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50"/>
        </w:trPr>
        <w:tc>
          <w:tcPr>
            <w:tcW w:w="1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Industry</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Education Technology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65,030,349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90,658,640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Big Data/Cloud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64,104,603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57,678,330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Social/Mobile</w:t>
            </w: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46,503,521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38,528,143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Marketplaces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39,845,890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32,653,518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Sustainability</w:t>
            </w: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782,198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1,069,862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216,266,561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220,588,493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69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-633730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As of June 30, 2018</w:t>
            </w:r>
          </w:p>
        </w:tc>
        <w:tc>
          <w:tcPr>
            <w:tcW w:w="1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As of December 31, 2017</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5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Portfolio</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Net Assets</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Portfolio</w:t>
            </w:r>
          </w:p>
        </w:tc>
        <w:tc>
          <w:tcPr>
            <w:tcW w:w="1520" w:type="dxa"/>
            <w:vAlign w:val="bottom"/>
          </w:tcPr>
          <w:p>
            <w:pPr>
              <w:jc w:val="right"/>
              <w:ind w:right="355"/>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50"/>
        </w:trPr>
        <w:tc>
          <w:tcPr>
            <w:tcW w:w="1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Region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tcPr>
          <w:p>
            <w:pPr>
              <w:ind w:left="40"/>
              <w:spacing w:after="0"/>
              <w:rPr>
                <w:sz w:val="20"/>
                <w:szCs w:val="20"/>
                <w:color w:val="auto"/>
              </w:rPr>
            </w:pPr>
            <w:r>
              <w:rPr>
                <w:rFonts w:ascii="Arial" w:cs="Arial" w:eastAsia="Arial" w:hAnsi="Arial"/>
                <w:sz w:val="18"/>
                <w:szCs w:val="18"/>
                <w:color w:val="auto"/>
              </w:rPr>
              <w:t>West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170,905,039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165,871,083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Mid-west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586,459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593,702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1860" w:type="dxa"/>
            <w:vAlign w:val="bottom"/>
          </w:tcPr>
          <w:p>
            <w:pPr>
              <w:ind w:left="40"/>
              <w:spacing w:after="0"/>
              <w:rPr>
                <w:sz w:val="20"/>
                <w:szCs w:val="20"/>
                <w:color w:val="auto"/>
              </w:rPr>
            </w:pPr>
            <w:r>
              <w:rPr>
                <w:rFonts w:ascii="Arial" w:cs="Arial" w:eastAsia="Arial" w:hAnsi="Arial"/>
                <w:sz w:val="18"/>
                <w:szCs w:val="18"/>
                <w:color w:val="auto"/>
              </w:rPr>
              <w:t>Northeast</w:t>
            </w: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5,178,097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23,394,640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39,596,966</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30,729,068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7"/>
        </w:trPr>
        <w:tc>
          <w:tcPr>
            <w:tcW w:w="18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216,266,561</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220,588,493</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composition of the Company’s industrial themes presented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 Theme</w:t>
            </w:r>
          </w:p>
        </w:tc>
        <w:tc>
          <w:tcPr>
            <w:tcW w:w="120" w:type="dxa"/>
            <w:vAlign w:val="bottom"/>
          </w:tcPr>
          <w:p>
            <w:pPr>
              <w:spacing w:after="0"/>
              <w:rPr>
                <w:sz w:val="16"/>
                <w:szCs w:val="16"/>
                <w:color w:val="auto"/>
              </w:rPr>
            </w:pPr>
          </w:p>
        </w:tc>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Education Technology</w:t>
            </w:r>
          </w:p>
        </w:tc>
        <w:tc>
          <w:tcPr>
            <w:tcW w:w="7640" w:type="dxa"/>
            <w:vAlign w:val="bottom"/>
          </w:tcPr>
          <w:p>
            <w:pPr>
              <w:ind w:left="20"/>
              <w:spacing w:after="0"/>
              <w:rPr>
                <w:sz w:val="20"/>
                <w:szCs w:val="20"/>
                <w:color w:val="auto"/>
              </w:rPr>
            </w:pPr>
            <w:r>
              <w:rPr>
                <w:rFonts w:ascii="Arial" w:cs="Arial" w:eastAsia="Arial" w:hAnsi="Arial"/>
                <w:sz w:val="18"/>
                <w:szCs w:val="18"/>
                <w:color w:val="auto"/>
              </w:rPr>
              <w:t>Business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Computer Software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Corporate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Media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Software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Technology</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E-Transcript Exchange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Globally-Focused Private School</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Interactive Learning</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Online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Online Education Services</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Big Data/Cloud</w:t>
            </w:r>
          </w:p>
        </w:tc>
        <w:tc>
          <w:tcPr>
            <w:tcW w:w="7640" w:type="dxa"/>
            <w:vAlign w:val="bottom"/>
          </w:tcPr>
          <w:p>
            <w:pPr>
              <w:ind w:left="20"/>
              <w:spacing w:after="0"/>
              <w:rPr>
                <w:sz w:val="20"/>
                <w:szCs w:val="20"/>
                <w:color w:val="auto"/>
              </w:rPr>
            </w:pPr>
            <w:r>
              <w:rPr>
                <w:rFonts w:ascii="Arial" w:cs="Arial" w:eastAsia="Arial" w:hAnsi="Arial"/>
                <w:sz w:val="18"/>
                <w:szCs w:val="18"/>
                <w:color w:val="auto"/>
              </w:rPr>
              <w:t>Cloud Computing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Customer Relationship Manager</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Data Analysis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Social Cognitive Learning</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Marketplaces</w:t>
            </w:r>
          </w:p>
        </w:tc>
        <w:tc>
          <w:tcPr>
            <w:tcW w:w="7640" w:type="dxa"/>
            <w:vAlign w:val="bottom"/>
          </w:tcPr>
          <w:p>
            <w:pPr>
              <w:ind w:left="20"/>
              <w:spacing w:after="0"/>
              <w:rPr>
                <w:sz w:val="20"/>
                <w:szCs w:val="20"/>
                <w:color w:val="auto"/>
              </w:rPr>
            </w:pPr>
            <w:r>
              <w:rPr>
                <w:rFonts w:ascii="Arial" w:cs="Arial" w:eastAsia="Arial" w:hAnsi="Arial"/>
                <w:sz w:val="18"/>
                <w:szCs w:val="18"/>
                <w:color w:val="auto"/>
              </w:rPr>
              <w:t>Financial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Global Innovation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Knowledge Networks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Commerce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Transportation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Online Marketplace Finance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Peer-to-Peer Pet Services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Social/Mobile</w:t>
            </w:r>
          </w:p>
        </w:tc>
        <w:tc>
          <w:tcPr>
            <w:tcW w:w="7640" w:type="dxa"/>
            <w:vAlign w:val="bottom"/>
          </w:tcPr>
          <w:p>
            <w:pPr>
              <w:ind w:left="20"/>
              <w:spacing w:after="0"/>
              <w:rPr>
                <w:sz w:val="20"/>
                <w:szCs w:val="20"/>
                <w:color w:val="auto"/>
              </w:rPr>
            </w:pPr>
            <w:r>
              <w:rPr>
                <w:rFonts w:ascii="Arial" w:cs="Arial" w:eastAsia="Arial" w:hAnsi="Arial"/>
                <w:sz w:val="18"/>
                <w:szCs w:val="18"/>
                <w:color w:val="auto"/>
              </w:rPr>
              <w:t>Digital Media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Light Field Imaging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Music Streaming</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Social Data Platform</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Sustainability</w:t>
            </w:r>
          </w:p>
        </w:tc>
        <w:tc>
          <w:tcPr>
            <w:tcW w:w="7640" w:type="dxa"/>
            <w:vAlign w:val="bottom"/>
          </w:tcPr>
          <w:p>
            <w:pPr>
              <w:ind w:left="20"/>
              <w:spacing w:after="0"/>
              <w:rPr>
                <w:sz w:val="20"/>
                <w:szCs w:val="20"/>
                <w:color w:val="auto"/>
              </w:rPr>
            </w:pPr>
            <w:r>
              <w:rPr>
                <w:rFonts w:ascii="Arial" w:cs="Arial" w:eastAsia="Arial" w:hAnsi="Arial"/>
                <w:sz w:val="18"/>
                <w:szCs w:val="18"/>
                <w:color w:val="auto"/>
              </w:rPr>
              <w:t>Clean Technology</w:t>
            </w:r>
          </w:p>
        </w:tc>
      </w:tr>
      <w:tr>
        <w:trPr>
          <w:trHeight w:val="702"/>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Pr>
          <w:p>
            <w:pPr>
              <w:ind w:left="184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29" w:lineRule="exact"/>
        <w:rPr>
          <w:sz w:val="20"/>
          <w:szCs w:val="20"/>
          <w:color w:val="auto"/>
        </w:rPr>
      </w:pPr>
    </w:p>
    <w:p>
      <w:pPr>
        <w:ind w:right="300" w:firstLine="351"/>
        <w:spacing w:after="0" w:line="277"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June 30, 2018 and December 31, 2017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As of June 30, 2018</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42,270,859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42,270,859</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103,024,088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103,024,088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4,973,158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4,973,158</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871,032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871,032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151,139,137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151,139,137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39,596,966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25,530,458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65,127,424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39,596,966</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25,530,458</w:t>
            </w: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151,139,137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216,266,561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99,986,200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99,986,200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139,583,166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25,530,458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151,139,137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316,252,761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As of December 31, 2017</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86,824,096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86,824,096</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120,253,822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120,253,822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4,916,578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4,916,578</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433,997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433,997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212,428,493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212,428,493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8,160,000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8,160,000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8,160,000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212,428,493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220,588,493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99,994,000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99,994,000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108,154,000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212,428,493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320,582,493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-3712845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-3712845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-4064000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-4064000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-4775835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-4775835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accordance with FASB ASC 820, the tables below provide quantitative information about the Company’s fair value measurements of its Level 3 assets as of June 30, 2018 and December 31, 2017.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June 30, 2018 and December 31, 2017. Significant changes in the inputs in isolation would result in a significant change in the fair value measurement, depending on the input and the materiality of the investment. Refer to “Note 2—Significant Accounting Policies—</w:t>
      </w:r>
      <w:r>
        <w:rPr>
          <w:rFonts w:ascii="Arial" w:cs="Arial" w:eastAsia="Arial" w:hAnsi="Arial"/>
          <w:sz w:val="18"/>
          <w:szCs w:val="18"/>
          <w:i w:val="1"/>
          <w:iCs w:val="1"/>
          <w:color w:val="auto"/>
        </w:rPr>
        <w:t>Investments at Fair Value</w:t>
      </w:r>
      <w:r>
        <w:rPr>
          <w:rFonts w:ascii="Arial" w:cs="Arial" w:eastAsia="Arial" w:hAnsi="Arial"/>
          <w:sz w:val="18"/>
          <w:szCs w:val="18"/>
          <w:color w:val="auto"/>
        </w:rPr>
        <w:t>” for more detail.</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June 30, 2018</w:t>
      </w:r>
    </w:p>
    <w:p>
      <w:pPr>
        <w:spacing w:after="0" w:line="61" w:lineRule="exact"/>
        <w:rPr>
          <w:sz w:val="20"/>
          <w:szCs w:val="20"/>
          <w:color w:val="auto"/>
        </w:rPr>
      </w:pPr>
    </w:p>
    <w:tbl>
      <w:tblPr>
        <w:tblLayout w:type="fixed"/>
        <w:tblInd w:w="390" w:type="dxa"/>
        <w:tblCellMar>
          <w:top w:w="0" w:type="dxa"/>
          <w:left w:w="0" w:type="dxa"/>
          <w:bottom w:w="0" w:type="dxa"/>
          <w:right w:w="0" w:type="dxa"/>
        </w:tblCellMar>
      </w:tblPr>
      <w:tr>
        <w:trPr>
          <w:trHeight w:val="166"/>
        </w:trPr>
        <w:tc>
          <w:tcPr>
            <w:tcW w:w="3020" w:type="dxa"/>
            <w:vAlign w:val="bottom"/>
            <w:tcBorders>
              <w:top w:val="single" w:sz="8" w:color="auto"/>
              <w:left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92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68"/>
        </w:trPr>
        <w:tc>
          <w:tcPr>
            <w:tcW w:w="302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Asset</w:t>
            </w:r>
          </w:p>
        </w:tc>
        <w:tc>
          <w:tcPr>
            <w:tcW w:w="1920" w:type="dxa"/>
            <w:vAlign w:val="bottom"/>
            <w:tcBorders>
              <w:right w:val="single" w:sz="8" w:color="auto"/>
            </w:tcBorders>
            <w:vMerge w:val="restart"/>
          </w:tcPr>
          <w:p>
            <w:pPr>
              <w:ind w:left="620"/>
              <w:spacing w:after="0" w:line="149" w:lineRule="exact"/>
              <w:rPr>
                <w:sz w:val="20"/>
                <w:szCs w:val="20"/>
                <w:color w:val="auto"/>
              </w:rPr>
            </w:pPr>
            <w:r>
              <w:rPr>
                <w:rFonts w:ascii="Arial" w:cs="Arial" w:eastAsia="Arial" w:hAnsi="Arial"/>
                <w:sz w:val="14"/>
                <w:szCs w:val="14"/>
                <w:b w:val="1"/>
                <w:bCs w:val="1"/>
                <w:color w:val="auto"/>
              </w:rPr>
              <w:t>Fair Value</w:t>
            </w:r>
          </w:p>
        </w:tc>
        <w:tc>
          <w:tcPr>
            <w:tcW w:w="19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Approach/</w:t>
            </w:r>
          </w:p>
        </w:tc>
        <w:tc>
          <w:tcPr>
            <w:tcW w:w="19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Unobservable Inputs</w:t>
            </w:r>
            <w:r>
              <w:rPr>
                <w:rFonts w:ascii="Arial" w:cs="Arial" w:eastAsia="Arial" w:hAnsi="Arial"/>
                <w:sz w:val="8"/>
                <w:szCs w:val="8"/>
                <w:b w:val="1"/>
                <w:bCs w:val="1"/>
                <w:color w:val="auto"/>
                <w:w w:val="94"/>
              </w:rPr>
              <w:t>(2)</w:t>
            </w:r>
          </w:p>
        </w:tc>
        <w:tc>
          <w:tcPr>
            <w:tcW w:w="1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20" w:type="dxa"/>
            <w:vAlign w:val="bottom"/>
            <w:tcBorders>
              <w:left w:val="single" w:sz="8" w:color="auto"/>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05"/>
        </w:trPr>
        <w:tc>
          <w:tcPr>
            <w:tcW w:w="302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020" w:type="dxa"/>
            <w:vAlign w:val="bottom"/>
            <w:tcBorders>
              <w:left w:val="single" w:sz="8" w:color="auto"/>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vMerge w:val="continue"/>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02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 in</w:t>
            </w: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9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vMerge w:val="continue"/>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020" w:type="dxa"/>
            <w:vAlign w:val="bottom"/>
            <w:tcBorders>
              <w:left w:val="single" w:sz="8" w:color="auto"/>
              <w:right w:val="single" w:sz="8" w:color="auto"/>
            </w:tcBorders>
            <w:vMerge w:val="continue"/>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$42,270,859</w:t>
            </w:r>
          </w:p>
        </w:tc>
        <w:tc>
          <w:tcPr>
            <w:tcW w:w="192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1.42x - 2.02x (1.98x)</w:t>
            </w:r>
          </w:p>
        </w:tc>
        <w:tc>
          <w:tcPr>
            <w:tcW w:w="0" w:type="dxa"/>
            <w:vAlign w:val="bottom"/>
          </w:tcPr>
          <w:p>
            <w:pPr>
              <w:spacing w:after="0"/>
              <w:rPr>
                <w:sz w:val="1"/>
                <w:szCs w:val="1"/>
                <w:color w:val="auto"/>
              </w:rPr>
            </w:pPr>
          </w:p>
        </w:tc>
      </w:tr>
      <w:tr>
        <w:trPr>
          <w:trHeight w:val="127"/>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020" w:type="dxa"/>
            <w:vAlign w:val="bottom"/>
            <w:tcBorders>
              <w:left w:val="single" w:sz="8" w:color="auto"/>
              <w:right w:val="single" w:sz="8" w:color="auto"/>
            </w:tcBorders>
            <w:vMerge w:val="continue"/>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Liquidation value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49"/>
        </w:trPr>
        <w:tc>
          <w:tcPr>
            <w:tcW w:w="3020" w:type="dxa"/>
            <w:vAlign w:val="bottom"/>
            <w:tcBorders>
              <w:left w:val="single" w:sz="8" w:color="auto"/>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20" w:type="dxa"/>
            <w:vAlign w:val="bottom"/>
            <w:tcBorders>
              <w:left w:val="single" w:sz="8" w:color="auto"/>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25"/>
                <w:szCs w:val="25"/>
                <w:color w:val="auto"/>
                <w:w w:val="89"/>
                <w:vertAlign w:val="superscript"/>
              </w:rPr>
              <w:t>(2)</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222"/>
        </w:trPr>
        <w:tc>
          <w:tcPr>
            <w:tcW w:w="302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2.6x (2.6x)</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20" w:type="dxa"/>
            <w:vAlign w:val="bottom"/>
            <w:tcBorders>
              <w:left w:val="single" w:sz="8" w:color="auto"/>
              <w:right w:val="single" w:sz="8" w:color="auto"/>
            </w:tcBorders>
            <w:vMerge w:val="continue"/>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$103,024,088</w:t>
            </w:r>
          </w:p>
        </w:tc>
        <w:tc>
          <w:tcPr>
            <w:tcW w:w="19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1.52x - 5.41x (3.59x)</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20" w:type="dxa"/>
            <w:vAlign w:val="bottom"/>
            <w:tcBorders>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020" w:type="dxa"/>
            <w:vAlign w:val="bottom"/>
            <w:tcBorders>
              <w:left w:val="single" w:sz="8" w:color="auto"/>
              <w:right w:val="single" w:sz="8" w:color="auto"/>
            </w:tcBorders>
            <w:vMerge w:val="continue"/>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restart"/>
          </w:tcPr>
          <w:p>
            <w:pPr>
              <w:jc w:val="center"/>
              <w:spacing w:after="0" w:line="264" w:lineRule="exact"/>
              <w:rPr>
                <w:sz w:val="20"/>
                <w:szCs w:val="20"/>
                <w:color w:val="auto"/>
              </w:rPr>
            </w:pPr>
            <w:r>
              <w:rPr>
                <w:rFonts w:ascii="Arial" w:cs="Arial" w:eastAsia="Arial" w:hAnsi="Arial"/>
                <w:sz w:val="18"/>
                <w:szCs w:val="18"/>
                <w:color w:val="auto"/>
                <w:w w:val="90"/>
              </w:rPr>
              <w:t>Discounted cash flow</w:t>
            </w:r>
            <w:r>
              <w:rPr>
                <w:rFonts w:ascii="Arial" w:cs="Arial" w:eastAsia="Arial" w:hAnsi="Arial"/>
                <w:sz w:val="25"/>
                <w:szCs w:val="25"/>
                <w:color w:val="auto"/>
                <w:w w:val="90"/>
                <w:vertAlign w:val="superscript"/>
              </w:rPr>
              <w:t>(2)</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81"/>
        </w:trPr>
        <w:tc>
          <w:tcPr>
            <w:tcW w:w="30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vMerge w:val="continue"/>
          </w:tcPr>
          <w:p>
            <w:pPr>
              <w:spacing w:after="0"/>
              <w:rPr>
                <w:sz w:val="15"/>
                <w:szCs w:val="15"/>
                <w:color w:val="auto"/>
              </w:rPr>
            </w:pPr>
          </w:p>
        </w:tc>
        <w:tc>
          <w:tcPr>
            <w:tcW w:w="1920" w:type="dxa"/>
            <w:vAlign w:val="bottom"/>
            <w:tcBorders>
              <w:bottom w:val="single" w:sz="8" w:color="auto"/>
              <w:right w:val="single" w:sz="8" w:color="auto"/>
            </w:tcBorders>
            <w:vMerge w:val="continue"/>
          </w:tcPr>
          <w:p>
            <w:pPr>
              <w:spacing w:after="0"/>
              <w:rPr>
                <w:sz w:val="15"/>
                <w:szCs w:val="15"/>
                <w:color w:val="auto"/>
              </w:rPr>
            </w:pPr>
          </w:p>
        </w:tc>
        <w:tc>
          <w:tcPr>
            <w:tcW w:w="19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1.66x - 5.73x (3.46x)</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1.42x - 2.32x (1.92x)</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$4,973,158</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3.30x - 5.73x (3.42x)</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020" w:type="dxa"/>
            <w:vAlign w:val="bottom"/>
            <w:tcBorders>
              <w:left w:val="single" w:sz="8" w:color="auto"/>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Liquidation value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49"/>
        </w:trPr>
        <w:tc>
          <w:tcPr>
            <w:tcW w:w="3020" w:type="dxa"/>
            <w:vAlign w:val="bottom"/>
            <w:tcBorders>
              <w:left w:val="single" w:sz="8" w:color="auto"/>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2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Term to expiration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0.1-3.0 (1.9)</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Warrants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$871,032</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(Years)</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Borders>
              <w:left w:val="single" w:sz="8" w:color="auto"/>
              <w:right w:val="single" w:sz="8" w:color="auto"/>
            </w:tcBorders>
            <w:vMerge w:val="continue"/>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Volatility</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33.1%-38.6% (36.8%)</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16" w:lineRule="exact"/>
        <w:rPr>
          <w:sz w:val="20"/>
          <w:szCs w:val="20"/>
          <w:color w:val="auto"/>
        </w:rPr>
      </w:pPr>
    </w:p>
    <w:p>
      <w:pPr>
        <w:ind w:left="660" w:right="100" w:hanging="652"/>
        <w:spacing w:after="0" w:line="27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of June 30, 2018,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2018</w:t>
      </w:r>
    </w:p>
    <w:p>
      <w:pPr>
        <w:spacing w:after="0" w:line="346" w:lineRule="exact"/>
        <w:rPr>
          <w:sz w:val="20"/>
          <w:szCs w:val="20"/>
          <w:color w:val="auto"/>
        </w:rPr>
      </w:pPr>
    </w:p>
    <w:p>
      <w:pPr>
        <w:ind w:left="660" w:right="60" w:hanging="652"/>
        <w:spacing w:after="0" w:line="288"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2017</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2900" w:type="dxa"/>
            <w:vAlign w:val="bottom"/>
            <w:tcBorders>
              <w:top w:val="single" w:sz="8" w:color="auto"/>
              <w:left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2500" w:type="dxa"/>
            <w:vAlign w:val="bottom"/>
            <w:tcBorders>
              <w:top w:val="single" w:sz="8" w:color="auto"/>
              <w:right w:val="single" w:sz="8" w:color="auto"/>
            </w:tcBorders>
          </w:tcPr>
          <w:p>
            <w:pPr>
              <w:spacing w:after="0"/>
              <w:rPr>
                <w:sz w:val="14"/>
                <w:szCs w:val="14"/>
                <w:color w:val="auto"/>
              </w:rPr>
            </w:pPr>
          </w:p>
        </w:tc>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68"/>
        </w:trPr>
        <w:tc>
          <w:tcPr>
            <w:tcW w:w="290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Asset</w:t>
            </w:r>
          </w:p>
        </w:tc>
        <w:tc>
          <w:tcPr>
            <w:tcW w:w="1820" w:type="dxa"/>
            <w:vAlign w:val="bottom"/>
            <w:tcBorders>
              <w:right w:val="single" w:sz="8" w:color="auto"/>
            </w:tcBorders>
            <w:vMerge w:val="restart"/>
          </w:tcPr>
          <w:p>
            <w:pPr>
              <w:ind w:left="580"/>
              <w:spacing w:after="0" w:line="149" w:lineRule="exact"/>
              <w:rPr>
                <w:sz w:val="20"/>
                <w:szCs w:val="20"/>
                <w:color w:val="auto"/>
              </w:rPr>
            </w:pPr>
            <w:r>
              <w:rPr>
                <w:rFonts w:ascii="Arial" w:cs="Arial" w:eastAsia="Arial" w:hAnsi="Arial"/>
                <w:sz w:val="14"/>
                <w:szCs w:val="14"/>
                <w:b w:val="1"/>
                <w:bCs w:val="1"/>
                <w:color w:val="auto"/>
              </w:rPr>
              <w:t>Fair Value</w:t>
            </w:r>
          </w:p>
        </w:tc>
        <w:tc>
          <w:tcPr>
            <w:tcW w:w="20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Approach/</w:t>
            </w:r>
          </w:p>
        </w:tc>
        <w:tc>
          <w:tcPr>
            <w:tcW w:w="25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Unobservable Inputs</w:t>
            </w:r>
            <w:r>
              <w:rPr>
                <w:rFonts w:ascii="Arial" w:cs="Arial" w:eastAsia="Arial" w:hAnsi="Arial"/>
                <w:sz w:val="8"/>
                <w:szCs w:val="8"/>
                <w:b w:val="1"/>
                <w:bCs w:val="1"/>
                <w:color w:val="auto"/>
                <w:w w:val="94"/>
              </w:rPr>
              <w:t>(2)</w:t>
            </w: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90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05"/>
        </w:trPr>
        <w:tc>
          <w:tcPr>
            <w:tcW w:w="2900" w:type="dxa"/>
            <w:vAlign w:val="bottom"/>
            <w:tcBorders>
              <w:left w:val="single" w:sz="8" w:color="auto"/>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900" w:type="dxa"/>
            <w:vAlign w:val="bottom"/>
            <w:tcBorders>
              <w:left w:val="single" w:sz="8" w:color="auto"/>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900" w:type="dxa"/>
            <w:vAlign w:val="bottom"/>
            <w:tcBorders>
              <w:left w:val="single" w:sz="8" w:color="auto"/>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 transactions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2.03x–7.08x (5.70x)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in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$86,824,096</w:t>
            </w: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1"/>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820" w:type="dxa"/>
            <w:vAlign w:val="bottom"/>
            <w:tcBorders>
              <w:right w:val="single" w:sz="8" w:color="auto"/>
            </w:tcBorders>
            <w:vMerge w:val="continue"/>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900" w:type="dxa"/>
            <w:vAlign w:val="bottom"/>
            <w:tcBorders>
              <w:left w:val="single" w:sz="8" w:color="auto"/>
              <w:right w:val="single" w:sz="8" w:color="auto"/>
            </w:tcBorders>
            <w:vMerge w:val="continue"/>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continue"/>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900" w:type="dxa"/>
            <w:vAlign w:val="bottom"/>
            <w:tcBorders>
              <w:left w:val="single" w:sz="8" w:color="auto"/>
              <w:right w:val="single" w:sz="8" w:color="auto"/>
            </w:tcBorders>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2500" w:type="dxa"/>
            <w:vAlign w:val="bottom"/>
            <w:tcBorders>
              <w:right w:val="single" w:sz="8" w:color="auto"/>
            </w:tcBorders>
            <w:vMerge w:val="continue"/>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900" w:type="dxa"/>
            <w:vAlign w:val="bottom"/>
            <w:tcBorders>
              <w:left w:val="single" w:sz="8" w:color="auto"/>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Long-term revenue</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18"/>
                <w:szCs w:val="18"/>
                <w:color w:val="auto"/>
                <w:w w:val="87"/>
              </w:rPr>
              <w:t>Cash Flow</w:t>
            </w:r>
            <w:r>
              <w:rPr>
                <w:rFonts w:ascii="Arial" w:cs="Arial" w:eastAsia="Arial" w:hAnsi="Arial"/>
                <w:sz w:val="25"/>
                <w:szCs w:val="25"/>
                <w:color w:val="auto"/>
                <w:w w:val="87"/>
                <w:vertAlign w:val="superscript"/>
              </w:rPr>
              <w:t>(2)</w:t>
            </w:r>
          </w:p>
        </w:tc>
        <w:tc>
          <w:tcPr>
            <w:tcW w:w="2500" w:type="dxa"/>
            <w:vAlign w:val="bottom"/>
            <w:tcBorders>
              <w:right w:val="single" w:sz="8" w:color="auto"/>
            </w:tcBorders>
            <w:vMerge w:val="continue"/>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 (0.0)%</w:t>
            </w: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6"/>
              </w:rPr>
              <w:t>growth</w:t>
            </w:r>
          </w:p>
        </w:tc>
        <w:tc>
          <w:tcPr>
            <w:tcW w:w="2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 transactions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1.91x–7.08x (3.80x)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EBIT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27.8x (27.8x)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Preferred stock in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$120,253,822</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41"/>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820" w:type="dxa"/>
            <w:vAlign w:val="bottom"/>
            <w:tcBorders>
              <w:right w:val="single" w:sz="8" w:color="auto"/>
            </w:tcBorders>
            <w:vMerge w:val="continue"/>
          </w:tcPr>
          <w:p>
            <w:pPr>
              <w:spacing w:after="0"/>
              <w:rPr>
                <w:sz w:val="3"/>
                <w:szCs w:val="3"/>
                <w:color w:val="auto"/>
              </w:rPr>
            </w:pPr>
          </w:p>
        </w:tc>
        <w:tc>
          <w:tcPr>
            <w:tcW w:w="2060" w:type="dxa"/>
            <w:vAlign w:val="bottom"/>
            <w:tcBorders>
              <w:right w:val="single" w:sz="8" w:color="auto"/>
            </w:tcBorders>
            <w:vMerge w:val="continue"/>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9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Long-term revenue</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900" w:type="dxa"/>
            <w:vAlign w:val="bottom"/>
            <w:tcBorders>
              <w:left w:val="single" w:sz="8" w:color="auto"/>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2060" w:type="dxa"/>
            <w:vAlign w:val="bottom"/>
            <w:tcBorders>
              <w:right w:val="single" w:sz="8" w:color="auto"/>
            </w:tcBorders>
            <w:vMerge w:val="restart"/>
          </w:tcPr>
          <w:p>
            <w:pPr>
              <w:jc w:val="center"/>
              <w:spacing w:after="0" w:line="217" w:lineRule="exact"/>
              <w:rPr>
                <w:sz w:val="20"/>
                <w:szCs w:val="20"/>
                <w:color w:val="auto"/>
              </w:rPr>
            </w:pPr>
            <w:r>
              <w:rPr>
                <w:rFonts w:ascii="Arial" w:cs="Arial" w:eastAsia="Arial" w:hAnsi="Arial"/>
                <w:sz w:val="18"/>
                <w:szCs w:val="18"/>
                <w:color w:val="auto"/>
                <w:w w:val="87"/>
              </w:rPr>
              <w:t>Cash Flow</w:t>
            </w:r>
            <w:r>
              <w:rPr>
                <w:rFonts w:ascii="Arial" w:cs="Arial" w:eastAsia="Arial" w:hAnsi="Arial"/>
                <w:sz w:val="25"/>
                <w:szCs w:val="25"/>
                <w:color w:val="auto"/>
                <w:w w:val="87"/>
                <w:vertAlign w:val="superscript"/>
              </w:rPr>
              <w:t>(2)</w:t>
            </w:r>
          </w:p>
        </w:tc>
        <w:tc>
          <w:tcPr>
            <w:tcW w:w="2500" w:type="dxa"/>
            <w:vAlign w:val="bottom"/>
            <w:tcBorders>
              <w:right w:val="single" w:sz="8" w:color="auto"/>
            </w:tcBorders>
            <w:vMerge w:val="continue"/>
          </w:tcPr>
          <w:p>
            <w:pPr>
              <w:spacing w:after="0"/>
              <w:rPr>
                <w:sz w:val="8"/>
                <w:szCs w:val="8"/>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0.0% (0.0)%</w:t>
            </w:r>
          </w:p>
        </w:tc>
        <w:tc>
          <w:tcPr>
            <w:tcW w:w="0" w:type="dxa"/>
            <w:vAlign w:val="bottom"/>
          </w:tcPr>
          <w:p>
            <w:pPr>
              <w:spacing w:after="0"/>
              <w:rPr>
                <w:sz w:val="1"/>
                <w:szCs w:val="1"/>
                <w:color w:val="auto"/>
              </w:rPr>
            </w:pPr>
          </w:p>
        </w:tc>
      </w:tr>
      <w:tr>
        <w:trPr>
          <w:trHeight w:val="122"/>
        </w:trPr>
        <w:tc>
          <w:tcPr>
            <w:tcW w:w="29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6"/>
              </w:rPr>
              <w:t>growth</w:t>
            </w:r>
          </w:p>
        </w:tc>
        <w:tc>
          <w:tcPr>
            <w:tcW w:w="2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2.28x–4.60x (3.23x)</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$4,916,578</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3.04x–4.60x (3.84x)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Warrants</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$433,997</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Term to expiration (Years)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0.2-3.0 (2.2)</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vMerge w:val="continue"/>
          </w:tcPr>
          <w:p>
            <w:pPr>
              <w:spacing w:after="0"/>
              <w:rPr>
                <w:sz w:val="2"/>
                <w:szCs w:val="2"/>
                <w:color w:val="auto"/>
              </w:rPr>
            </w:pPr>
          </w:p>
        </w:tc>
        <w:tc>
          <w:tcPr>
            <w:tcW w:w="1820" w:type="dxa"/>
            <w:vAlign w:val="bottom"/>
            <w:tcBorders>
              <w:right w:val="single" w:sz="8" w:color="auto"/>
            </w:tcBorders>
            <w:vMerge w:val="continue"/>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Volatility</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18.8%–51.6% (36.5)%</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121" w:right="2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346" w:lineRule="exact"/>
        <w:rPr>
          <w:sz w:val="20"/>
          <w:szCs w:val="20"/>
          <w:color w:val="auto"/>
        </w:rPr>
      </w:pPr>
    </w:p>
    <w:p>
      <w:pPr>
        <w:ind w:left="660" w:right="80" w:hanging="652"/>
        <w:spacing w:after="0" w:line="27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of December 31, 2017,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64" w:lineRule="exact"/>
        <w:rPr>
          <w:rFonts w:ascii="Arial" w:cs="Arial" w:eastAsia="Arial" w:hAnsi="Arial"/>
          <w:sz w:val="17"/>
          <w:szCs w:val="17"/>
          <w:color w:val="auto"/>
        </w:rPr>
      </w:pPr>
    </w:p>
    <w:p>
      <w:pPr>
        <w:ind w:left="660" w:right="40" w:hanging="652"/>
        <w:spacing w:after="0" w:line="288"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six months ended June 30, 2018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Six Months Ended June 30, 2018</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30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Fair Value as of December 31, 2017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86,824,096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120,253,822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4,916,578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433,997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212,428,493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Transfers out of Level 3</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(41,707,506)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(7,734,804)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(49,442,310)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Purchases, capitalized fees and interest</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102,294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283,991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419,109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Sales/Maturity of investments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(4,785,659)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(10,470,159)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(592,129)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(15,847,947)</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Exercises and conversions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5,537,205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(5,514,077)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fixed income security</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premiums and discounts</w:t>
            </w: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Realized gains/(losses)</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1,784,975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(2,682,375)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(898,080)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included 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(5,484,546)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9,169,504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353,381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429,516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4,467,855</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as of June 30, 2018</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42,270,859</w:t>
            </w:r>
          </w:p>
        </w:tc>
        <w:tc>
          <w:tcPr>
            <w:tcW w:w="12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103,024,088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4,973,158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871,032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151,139,137</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Level 3 investments still</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(3,552,704)</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6,997,587</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352,701</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452,644</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4,250,228</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held as of June 30, 2018</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 During the six months ended June 30, 2018, the Company’s portfolio investments had the following corporate actions which are reflected above:</w:t>
      </w:r>
    </w:p>
    <w:p>
      <w:pPr>
        <w:spacing w:after="0" w:line="26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Borders>
              <w:bottom w:val="single" w:sz="8" w:color="CCEEFF"/>
            </w:tcBorders>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Conversion from</w:t>
            </w:r>
          </w:p>
        </w:tc>
        <w:tc>
          <w:tcPr>
            <w:tcW w:w="120" w:type="dxa"/>
            <w:vAlign w:val="bottom"/>
            <w:tcBorders>
              <w:bottom w:val="single" w:sz="8" w:color="CCEEFF"/>
            </w:tcBorders>
          </w:tcPr>
          <w:p>
            <w:pPr>
              <w:spacing w:after="0"/>
              <w:rPr>
                <w:sz w:val="16"/>
                <w:szCs w:val="16"/>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Conversion to</w:t>
            </w:r>
          </w:p>
        </w:tc>
      </w:tr>
      <w:tr>
        <w:trPr>
          <w:trHeight w:val="250"/>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Dropbox, Inc.</w:t>
            </w:r>
          </w:p>
        </w:tc>
        <w:tc>
          <w:tcPr>
            <w:tcW w:w="4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Preferred shares, Series A-1 &amp; Common shares</w:t>
            </w:r>
          </w:p>
        </w:tc>
        <w:tc>
          <w:tcPr>
            <w:tcW w:w="3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Public Common Shares (Level 2)</w:t>
            </w:r>
          </w:p>
        </w:tc>
      </w:tr>
      <w:tr>
        <w:trPr>
          <w:trHeight w:val="243"/>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Spotify Technology S.A.</w:t>
            </w:r>
          </w:p>
        </w:tc>
        <w:tc>
          <w:tcPr>
            <w:tcW w:w="48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Common shares</w:t>
            </w: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Public Common Shares (Level 1)</w:t>
            </w: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43"/>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Curious.com, Inc.</w:t>
            </w:r>
          </w:p>
        </w:tc>
        <w:tc>
          <w:tcPr>
            <w:tcW w:w="4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Preferred shares, Series B</w:t>
            </w:r>
          </w:p>
        </w:tc>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Common shares</w:t>
            </w:r>
          </w:p>
        </w:tc>
      </w:tr>
      <w:tr>
        <w:trPr>
          <w:trHeight w:val="27"/>
        </w:trPr>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-522605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-522605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340" w:right="7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investments includes escrow proceeds receivable of approximately $1.5 million from the sale of the Company’s investments in General Assembly Space,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2017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 2017</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40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4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Fair Value as of December 31, 2016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83,074,410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162,238,879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7,821,948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150,904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253,286,141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(2,184,565)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(4,369,130)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Purchases, capitalized fees and interest</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60,649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126,824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226,449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484,301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Sales of investments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(17,986,251)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(45,369,628)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(63,426,258)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Realized gains/(losses)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(10,440,384)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9,433,159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(335,688)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(1,374,843)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9"/>
              </w:rPr>
              <w:t xml:space="preserve">Exercises, conversions and assignments </w:t>
            </w:r>
            <w:r>
              <w:rPr>
                <w:rFonts w:ascii="Arial" w:cs="Arial" w:eastAsia="Arial" w:hAnsi="Arial"/>
                <w:sz w:val="25"/>
                <w:szCs w:val="25"/>
                <w:color w:val="auto"/>
                <w:w w:val="99"/>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2,506,119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(2,506,119)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Amortization of fixed income security</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premiums and discounts</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139,544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139,544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change in unrealized depreciation included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31,794,118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(2,865,296)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27,688,736</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as of December 31, 2017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86,824,096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120,253,822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4,916,578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433,997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212,428,493</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Level 3 investments still</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10,742,585</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(12,221,603)</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(3,170,869)</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212,714</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(4,437,173)</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held as of December 31, 2017</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(1) During year ended December 31, 2017, the Company’s portfolio investments had the following corporate actions which are reflected above:</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Portfolio Company</w:t>
            </w: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Transfer from</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229"/>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A Place for Rover Inc. (f/k/a DogVacay, Inc.)</w:t>
            </w:r>
          </w:p>
        </w:tc>
        <w:tc>
          <w:tcPr>
            <w:tcW w:w="16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shd w:val="clear" w:color="auto" w:fill="CCEEFF"/>
              </w:rPr>
              <w:t>Preferred shares, Series B-1</w:t>
            </w:r>
          </w:p>
        </w:tc>
        <w:tc>
          <w:tcPr>
            <w:tcW w:w="1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shd w:val="clear" w:color="auto" w:fill="CCEEFF"/>
              </w:rPr>
              <w:t>Common shares</w:t>
            </w:r>
          </w:p>
        </w:tc>
      </w:tr>
      <w:tr>
        <w:trPr>
          <w:trHeight w:val="41"/>
        </w:trPr>
        <w:tc>
          <w:tcPr>
            <w:tcW w:w="36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-179705</wp:posOffset>
            </wp:positionV>
            <wp:extent cx="946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-179705</wp:posOffset>
            </wp:positionV>
            <wp:extent cx="102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4" w:lineRule="exact"/>
        <w:rPr>
          <w:sz w:val="20"/>
          <w:szCs w:val="20"/>
          <w:color w:val="auto"/>
        </w:rPr>
      </w:pPr>
    </w:p>
    <w:p>
      <w:pPr>
        <w:ind w:left="340" w:right="10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investments includes escrow proceeds receivable of $603,456 from the sale of the Company’s investments in JAMF Holdings Inc. and Strategic Data Command, LLC.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9" w:lineRule="exact"/>
        <w:rPr>
          <w:sz w:val="20"/>
          <w:szCs w:val="20"/>
          <w:color w:val="auto"/>
        </w:rPr>
      </w:pPr>
    </w:p>
    <w:p>
      <w:pPr>
        <w:ind w:right="160" w:firstLine="351"/>
        <w:spacing w:after="0" w:line="277" w:lineRule="auto"/>
        <w:rPr>
          <w:sz w:val="20"/>
          <w:szCs w:val="20"/>
          <w:color w:val="auto"/>
        </w:rPr>
      </w:pPr>
      <w:r>
        <w:rPr>
          <w:rFonts w:ascii="Arial" w:cs="Arial" w:eastAsia="Arial" w:hAnsi="Arial"/>
          <w:sz w:val="18"/>
          <w:szCs w:val="18"/>
          <w:color w:val="auto"/>
        </w:rPr>
        <w:t>Transactions during the six months ended June 30, 2018 involving the Company’s controlled investments and non-controlled/affiliate investments were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98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2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Dividends</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at June 30,</w:t>
            </w:r>
          </w:p>
        </w:tc>
        <w:tc>
          <w:tcPr>
            <w:tcW w:w="100" w:type="dxa"/>
            <w:vAlign w:val="bottom"/>
          </w:tcPr>
          <w:p>
            <w:pPr>
              <w:spacing w:after="0"/>
              <w:rPr>
                <w:sz w:val="12"/>
                <w:szCs w:val="12"/>
                <w:color w:val="auto"/>
              </w:rPr>
            </w:pPr>
          </w:p>
        </w:tc>
        <w:tc>
          <w:tcPr>
            <w:tcW w:w="840" w:type="dxa"/>
            <w:vAlign w:val="bottom"/>
          </w:tcPr>
          <w:p>
            <w:pPr>
              <w:jc w:val="right"/>
              <w:ind w:right="166"/>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8"/>
              </w:rPr>
              <w:t>Quantity</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2"/>
        </w:trPr>
        <w:tc>
          <w:tcPr>
            <w:tcW w:w="2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6"/>
                <w:szCs w:val="16"/>
                <w:b w:val="1"/>
                <w:bCs w:val="1"/>
                <w:color w:val="auto"/>
              </w:rPr>
              <w:t>CONTROLLED INVESTMENTS*</w:t>
            </w:r>
            <w:r>
              <w:rPr>
                <w:rFonts w:ascii="Arial" w:cs="Arial" w:eastAsia="Arial" w:hAnsi="Arial"/>
                <w:sz w:val="21"/>
                <w:szCs w:val="21"/>
                <w:b w:val="1"/>
                <w:bCs w:val="1"/>
                <w:color w:val="auto"/>
                <w:vertAlign w:val="superscript"/>
              </w:rPr>
              <w:t>(2)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Inc.)–Convertible Promissory</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760" w:type="dxa"/>
            <w:vAlign w:val="bottom"/>
            <w:gridSpan w:val="3"/>
          </w:tcPr>
          <w:p>
            <w:pPr>
              <w:ind w:left="400"/>
              <w:spacing w:after="0" w:line="239" w:lineRule="exact"/>
              <w:rPr>
                <w:sz w:val="20"/>
                <w:szCs w:val="20"/>
                <w:color w:val="auto"/>
              </w:rPr>
            </w:pPr>
            <w:r>
              <w:rPr>
                <w:rFonts w:ascii="Arial" w:cs="Arial" w:eastAsia="Arial" w:hAnsi="Arial"/>
                <w:sz w:val="16"/>
                <w:szCs w:val="16"/>
                <w:color w:val="auto"/>
              </w:rPr>
              <w:t>Note 8% Due 7/31/2018***</w:t>
            </w:r>
            <w:r>
              <w:rPr>
                <w:rFonts w:ascii="Arial" w:cs="Arial" w:eastAsia="Arial" w:hAnsi="Arial"/>
                <w:sz w:val="21"/>
                <w:szCs w:val="21"/>
                <w:color w:val="auto"/>
                <w:vertAlign w:val="superscript"/>
              </w:rPr>
              <w:t>(10)</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560,199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22,532</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560,199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w w:val="96"/>
              </w:rPr>
              <w:t>560,199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w w:val="97"/>
              </w:rPr>
              <w:t>Inc.)–Unsecured Promissory Note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ind w:left="400"/>
              <w:spacing w:after="0" w:line="239" w:lineRule="exact"/>
              <w:rPr>
                <w:sz w:val="20"/>
                <w:szCs w:val="20"/>
                <w:color w:val="auto"/>
              </w:rPr>
            </w:pPr>
            <w:r>
              <w:rPr>
                <w:rFonts w:ascii="Arial" w:cs="Arial" w:eastAsia="Arial" w:hAnsi="Arial"/>
                <w:sz w:val="16"/>
                <w:szCs w:val="16"/>
                <w:color w:val="auto"/>
              </w:rPr>
              <w:t>12% Due 1/15/2018***</w:t>
            </w:r>
            <w:r>
              <w:rPr>
                <w:rFonts w:ascii="Arial" w:cs="Arial" w:eastAsia="Arial" w:hAnsi="Arial"/>
                <w:sz w:val="21"/>
                <w:szCs w:val="21"/>
                <w:color w:val="auto"/>
                <w:vertAlign w:val="superscript"/>
              </w:rPr>
              <w:t>(8)</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592,129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(592,129)</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24,901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1,152,328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7"/>
              </w:rPr>
              <w:t>(592,129)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w w:val="96"/>
              </w:rPr>
              <w:t>560,199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24,901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1,152,328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(592,129)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6"/>
              </w:rPr>
              <w:t>560,199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Clean Technology</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SPBRX, INC. (f/k/a GSV</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Sustainability Partners, Inc.)–</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760" w:type="dxa"/>
            <w:vAlign w:val="bottom"/>
            <w:gridSpan w:val="3"/>
          </w:tcPr>
          <w:p>
            <w:pPr>
              <w:ind w:left="240"/>
              <w:spacing w:after="0" w:line="239" w:lineRule="exact"/>
              <w:rPr>
                <w:sz w:val="20"/>
                <w:szCs w:val="20"/>
                <w:color w:val="auto"/>
              </w:rPr>
            </w:pPr>
            <w:r>
              <w:rPr>
                <w:rFonts w:ascii="Arial" w:cs="Arial" w:eastAsia="Arial" w:hAnsi="Arial"/>
                <w:sz w:val="16"/>
                <w:szCs w:val="16"/>
                <w:color w:val="auto"/>
              </w:rPr>
              <w:t>Preferred shares, Class A***</w:t>
            </w:r>
            <w:r>
              <w:rPr>
                <w:rFonts w:ascii="Arial" w:cs="Arial" w:eastAsia="Arial" w:hAnsi="Arial"/>
                <w:sz w:val="21"/>
                <w:szCs w:val="21"/>
                <w:color w:val="auto"/>
                <w:vertAlign w:val="superscript"/>
              </w:rPr>
              <w:t>(12)</w:t>
            </w:r>
          </w:p>
        </w:tc>
        <w:tc>
          <w:tcPr>
            <w:tcW w:w="840" w:type="dxa"/>
            <w:vAlign w:val="bottom"/>
            <w:gridSpan w:val="2"/>
          </w:tcPr>
          <w:p>
            <w:pPr>
              <w:ind w:left="40"/>
              <w:spacing w:after="0"/>
              <w:rPr>
                <w:sz w:val="20"/>
                <w:szCs w:val="20"/>
                <w:color w:val="auto"/>
              </w:rPr>
            </w:pPr>
            <w:r>
              <w:rPr>
                <w:rFonts w:ascii="Arial" w:cs="Arial" w:eastAsia="Arial" w:hAnsi="Arial"/>
                <w:sz w:val="16"/>
                <w:szCs w:val="16"/>
                <w:color w:val="auto"/>
                <w:w w:val="97"/>
              </w:rPr>
              <w:t>14,300,000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w w:val="93"/>
              </w:rPr>
              <w:t>350,000</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1,069,862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(287,664)</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w w:val="96"/>
              </w:rPr>
              <w:t>782,198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Inc.)–Preferred stock Series A-4</w:t>
            </w:r>
          </w:p>
        </w:tc>
        <w:tc>
          <w:tcPr>
            <w:tcW w:w="840" w:type="dxa"/>
            <w:vAlign w:val="bottom"/>
            <w:gridSpan w:val="2"/>
          </w:tcPr>
          <w:p>
            <w:pPr>
              <w:jc w:val="right"/>
              <w:ind w:right="23"/>
              <w:spacing w:after="0"/>
              <w:rPr>
                <w:sz w:val="20"/>
                <w:szCs w:val="20"/>
                <w:color w:val="auto"/>
              </w:rPr>
            </w:pPr>
            <w:r>
              <w:rPr>
                <w:rFonts w:ascii="Arial" w:cs="Arial" w:eastAsia="Arial" w:hAnsi="Arial"/>
                <w:sz w:val="16"/>
                <w:szCs w:val="16"/>
                <w:color w:val="auto"/>
              </w:rPr>
              <w:t>3,720,424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5,390,842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5"/>
              </w:rPr>
              <w:t>2,739,431</w:t>
            </w:r>
          </w:p>
        </w:tc>
        <w:tc>
          <w:tcPr>
            <w:tcW w:w="1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8,130,273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Inc.)–Preferred stock Series A-3</w:t>
            </w:r>
          </w:p>
        </w:tc>
        <w:tc>
          <w:tcPr>
            <w:tcW w:w="840" w:type="dxa"/>
            <w:vAlign w:val="bottom"/>
            <w:tcBorders>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1,561,625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1,885,644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958,216</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2,843,860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Inc.)–Preferred stock Series A-2</w:t>
            </w:r>
          </w:p>
        </w:tc>
        <w:tc>
          <w:tcPr>
            <w:tcW w:w="12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450,001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326,022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165,672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w w:val="96"/>
              </w:rPr>
              <w:t>491,694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Inc.)–Preferred stock Series A-1</w:t>
            </w:r>
          </w:p>
        </w:tc>
        <w:tc>
          <w:tcPr>
            <w:tcW w:w="840" w:type="dxa"/>
            <w:vAlign w:val="bottom"/>
            <w:tcBorders>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543,370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276,121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6"/>
              </w:rPr>
              <w:t>819,491</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8,145,878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5"/>
              </w:rPr>
              <w:t>4,139,440</w:t>
            </w:r>
          </w:p>
        </w:tc>
        <w:tc>
          <w:tcPr>
            <w:tcW w:w="120" w:type="dxa"/>
            <w:vAlign w:val="bottom"/>
          </w:tcPr>
          <w:p>
            <w:pPr>
              <w:spacing w:after="0"/>
              <w:rPr>
                <w:sz w:val="20"/>
                <w:szCs w:val="20"/>
                <w:color w:val="auto"/>
              </w:rPr>
            </w:pPr>
          </w:p>
        </w:tc>
        <w:tc>
          <w:tcPr>
            <w:tcW w:w="8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w w:val="99"/>
              </w:rPr>
              <w:t>12,285,318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-3966210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6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40" w:type="dxa"/>
            <w:vAlign w:val="bottom"/>
          </w:tcPr>
          <w:p>
            <w:pPr>
              <w:jc w:val="right"/>
              <w:ind w:right="16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2018</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Interactive Learning</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ind w:left="280"/>
              <w:spacing w:after="0"/>
              <w:rPr>
                <w:sz w:val="20"/>
                <w:szCs w:val="20"/>
                <w:color w:val="auto"/>
              </w:rPr>
            </w:pPr>
            <w:r>
              <w:rPr>
                <w:rFonts w:ascii="Arial" w:cs="Arial" w:eastAsia="Arial" w:hAnsi="Arial"/>
                <w:sz w:val="16"/>
                <w:szCs w:val="16"/>
                <w:color w:val="auto"/>
                <w:w w:val="99"/>
              </w:rPr>
              <w:t>StormWind, LLC–Preferred shares,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8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Series C</w:t>
            </w:r>
            <w:r>
              <w:rPr>
                <w:rFonts w:ascii="Arial" w:cs="Arial" w:eastAsia="Arial" w:hAnsi="Arial"/>
                <w:sz w:val="21"/>
                <w:szCs w:val="21"/>
                <w:color w:val="auto"/>
                <w:vertAlign w:val="superscript"/>
              </w:rPr>
              <w:t>(3)</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2,779,134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7,223,904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w w:val="92"/>
              </w:rPr>
              <w:t>1,501,731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8,725,635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20"/>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StormWind, LLC–Preferred shares,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8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Series B</w:t>
            </w:r>
            <w:r>
              <w:rPr>
                <w:rFonts w:ascii="Arial" w:cs="Arial" w:eastAsia="Arial" w:hAnsi="Arial"/>
                <w:sz w:val="21"/>
                <w:szCs w:val="21"/>
                <w:color w:val="auto"/>
                <w:vertAlign w:val="superscript"/>
              </w:rPr>
              <w:t>(3)</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2"/>
              </w:rPr>
              <w:t>3,279,629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5,804,472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195,576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6,000,048</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20"/>
        </w:trPr>
        <w:tc>
          <w:tcPr>
            <w:tcW w:w="2780" w:type="dxa"/>
            <w:vAlign w:val="bottom"/>
            <w:gridSpan w:val="2"/>
          </w:tcPr>
          <w:p>
            <w:pPr>
              <w:ind w:left="280"/>
              <w:spacing w:after="0"/>
              <w:rPr>
                <w:sz w:val="20"/>
                <w:szCs w:val="20"/>
                <w:color w:val="auto"/>
              </w:rPr>
            </w:pPr>
            <w:r>
              <w:rPr>
                <w:rFonts w:ascii="Arial" w:cs="Arial" w:eastAsia="Arial" w:hAnsi="Arial"/>
                <w:sz w:val="16"/>
                <w:szCs w:val="16"/>
                <w:color w:val="auto"/>
                <w:w w:val="99"/>
              </w:rPr>
              <w:t>StormWind, LLC–Preferred shares,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80" w:type="dxa"/>
            <w:vAlign w:val="bottom"/>
            <w:tcBorders>
              <w:bottom w:val="single" w:sz="8" w:color="CCEEFF"/>
            </w:tcBorders>
            <w:gridSpan w:val="2"/>
          </w:tcPr>
          <w:p>
            <w:pPr>
              <w:ind w:left="280"/>
              <w:spacing w:after="0" w:line="239" w:lineRule="exact"/>
              <w:rPr>
                <w:sz w:val="20"/>
                <w:szCs w:val="20"/>
                <w:color w:val="auto"/>
              </w:rPr>
            </w:pPr>
            <w:r>
              <w:rPr>
                <w:rFonts w:ascii="Arial" w:cs="Arial" w:eastAsia="Arial" w:hAnsi="Arial"/>
                <w:sz w:val="16"/>
                <w:szCs w:val="16"/>
                <w:color w:val="auto"/>
              </w:rPr>
              <w:t>Series A</w:t>
            </w:r>
            <w:r>
              <w:rPr>
                <w:rFonts w:ascii="Arial" w:cs="Arial" w:eastAsia="Arial" w:hAnsi="Arial"/>
                <w:sz w:val="21"/>
                <w:szCs w:val="21"/>
                <w:color w:val="auto"/>
                <w:vertAlign w:val="superscript"/>
              </w:rPr>
              <w:t>(3)</w:t>
            </w:r>
          </w:p>
        </w:tc>
        <w:tc>
          <w:tcPr>
            <w:tcW w:w="7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366,666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425,342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198,132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623,474</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Interactive Learning</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13,453,718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2"/>
              </w:rPr>
              <w:t>1,895,439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7"/>
              </w:rPr>
              <w:t>15,349,157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37"/>
        </w:trPr>
        <w:tc>
          <w:tcPr>
            <w:tcW w:w="27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w w:val="93"/>
              </w:rPr>
              <w:t>350,000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87"/>
              </w:rPr>
              <w:t>22,669,458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w w:val="92"/>
              </w:rPr>
              <w:t>5,747,215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87"/>
              </w:rPr>
              <w:t>28,416,673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80" w:type="dxa"/>
            <w:vAlign w:val="bottom"/>
            <w:gridSpan w:val="2"/>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8"/>
              </w:rPr>
              <w:t>Inc.)–Preferred Warrant Series A-3,</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$1.33, Expiration Date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4/4/2019</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187,500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103,125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105,000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20"/>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NestGSV, Inc. (d/b/a GSV Labs,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280"/>
              <w:spacing w:after="0"/>
              <w:rPr>
                <w:sz w:val="20"/>
                <w:szCs w:val="20"/>
                <w:color w:val="auto"/>
              </w:rPr>
            </w:pPr>
            <w:r>
              <w:rPr>
                <w:rFonts w:ascii="Arial" w:cs="Arial" w:eastAsia="Arial" w:hAnsi="Arial"/>
                <w:sz w:val="16"/>
                <w:szCs w:val="16"/>
                <w:color w:val="auto"/>
                <w:w w:val="98"/>
              </w:rPr>
              <w:t>Inc.)–Preferred Warrant Series A-4,</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Strike Price $1.33, Expiration Date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280"/>
              <w:spacing w:after="0"/>
              <w:rPr>
                <w:sz w:val="20"/>
                <w:szCs w:val="20"/>
                <w:color w:val="auto"/>
              </w:rPr>
            </w:pPr>
            <w:r>
              <w:rPr>
                <w:rFonts w:ascii="Arial" w:cs="Arial" w:eastAsia="Arial" w:hAnsi="Arial"/>
                <w:sz w:val="16"/>
                <w:szCs w:val="16"/>
                <w:color w:val="auto"/>
              </w:rPr>
              <w:t>10/6/2019</w:t>
            </w:r>
          </w:p>
        </w:tc>
        <w:tc>
          <w:tcPr>
            <w:tcW w:w="12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310,000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470,000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8"/>
              </w:rPr>
              <w:t>Inc.)–Preferred Warrant Series A-4,</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$1.33, Expiration Date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7/18/2021</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102,500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165,000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267,500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20"/>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NestGSV, Inc. (d/b/a GSV Labs,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Inc.)–Preferred Warrant Series B,</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Strike Price $2.31, Expiration Date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280"/>
              <w:spacing w:after="0"/>
              <w:rPr>
                <w:sz w:val="20"/>
                <w:szCs w:val="20"/>
                <w:color w:val="auto"/>
              </w:rPr>
            </w:pPr>
            <w:r>
              <w:rPr>
                <w:rFonts w:ascii="Arial" w:cs="Arial" w:eastAsia="Arial" w:hAnsi="Arial"/>
                <w:sz w:val="16"/>
                <w:szCs w:val="16"/>
                <w:color w:val="auto"/>
              </w:rPr>
              <w:t>11/29/2021</w:t>
            </w:r>
          </w:p>
        </w:tc>
        <w:tc>
          <w:tcPr>
            <w:tcW w:w="12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Inc.)–Preferred Warrant Series B,</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$2.31, Expiration Date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5/29/2022</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1"/>
        </w:trPr>
        <w:tc>
          <w:tcPr>
            <w:tcW w:w="278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Global Innovation Platform</w:t>
            </w:r>
          </w:p>
        </w:tc>
        <w:tc>
          <w:tcPr>
            <w:tcW w:w="760" w:type="dxa"/>
            <w:vAlign w:val="bottom"/>
            <w:tcBorders>
              <w:top w:val="single" w:sz="8" w:color="CCEEFF"/>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385,375</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477,375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862,750</w:t>
            </w:r>
          </w:p>
        </w:tc>
        <w:tc>
          <w:tcPr>
            <w:tcW w:w="100" w:type="dxa"/>
            <w:vAlign w:val="bottom"/>
          </w:tcPr>
          <w:p>
            <w:pPr>
              <w:spacing w:after="0"/>
              <w:rPr>
                <w:sz w:val="20"/>
                <w:szCs w:val="2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Warrants</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385,375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477,375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862,750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37"/>
        </w:trPr>
        <w:tc>
          <w:tcPr>
            <w:tcW w:w="27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Clean Technology</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SPBRX, INC. (f/k/a GSV</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Sustainability Partners, Inc.)–</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Common shares</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-5586730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Dividends</w:t>
            </w: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6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Quantity</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Gains/(Losses)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Gains/(Losses)</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6"/>
                <w:szCs w:val="16"/>
                <w:color w:val="auto"/>
              </w:rPr>
            </w:pPr>
          </w:p>
        </w:tc>
        <w:tc>
          <w:tcPr>
            <w:tcW w:w="860" w:type="dxa"/>
            <w:vAlign w:val="bottom"/>
          </w:tcPr>
          <w:p>
            <w:pPr>
              <w:jc w:val="right"/>
              <w:ind w:right="16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620" w:type="dxa"/>
            <w:vAlign w:val="bottom"/>
            <w:tcBorders>
              <w:top w:val="single" w:sz="8" w:color="auto"/>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NestGSV, Inc. (d/b/a GSV Labs,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Inc.)–Common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Common Stock</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tcBorders>
              <w:top w:val="single" w:sz="8" w:color="CCEEFF"/>
            </w:tcBorders>
            <w:gridSpan w:val="3"/>
          </w:tcPr>
          <w:p>
            <w:pPr>
              <w:ind w:left="40"/>
              <w:spacing w:after="0"/>
              <w:rPr>
                <w:sz w:val="20"/>
                <w:szCs w:val="20"/>
                <w:color w:val="auto"/>
              </w:rPr>
            </w:pPr>
            <w:r>
              <w:rPr>
                <w:rFonts w:ascii="Arial" w:cs="Arial" w:eastAsia="Arial" w:hAnsi="Arial"/>
                <w:sz w:val="16"/>
                <w:szCs w:val="16"/>
                <w:b w:val="1"/>
                <w:bCs w:val="1"/>
                <w:color w:val="auto"/>
              </w:rPr>
              <w:t>TOTAL CONTROLLED</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b w:val="1"/>
                <w:bCs w:val="1"/>
                <w:color w:val="auto"/>
                <w:w w:val="93"/>
              </w:rPr>
              <w:t>374,901</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7"/>
              </w:rPr>
              <w:t>24,207,161</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vMerge w:val="restart"/>
          </w:tcPr>
          <w:p>
            <w:pPr>
              <w:ind w:left="4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vMerge w:val="restart"/>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7"/>
              </w:rPr>
              <w:t>(592,129)</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(680)</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95"/>
              </w:rPr>
              <w:t>6,225,270</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29,839,622</w:t>
            </w:r>
          </w:p>
        </w:tc>
        <w:tc>
          <w:tcPr>
            <w:tcW w:w="100" w:type="dxa"/>
            <w:vAlign w:val="bottom"/>
            <w:vMerge w:val="restart"/>
          </w:tcPr>
          <w:p>
            <w:pPr>
              <w:spacing w:after="0"/>
              <w:rPr>
                <w:sz w:val="18"/>
                <w:szCs w:val="18"/>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13.74%</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gridSpan w:val="3"/>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7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6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8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620" w:type="dxa"/>
            <w:vAlign w:val="bottom"/>
            <w:tcBorders>
              <w:left w:val="single" w:sz="8" w:color="CCEEFF"/>
            </w:tcBorders>
            <w:gridSpan w:val="3"/>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NON-CONTROLLED/AFFILIATE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CCEEFF"/>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tcBorders>
              <w:left w:val="single" w:sz="8" w:color="CCEEFF"/>
            </w:tcBorders>
            <w:gridSpan w:val="3"/>
            <w:shd w:val="clear" w:color="auto" w:fill="CCEEFF"/>
          </w:tcPr>
          <w:p>
            <w:pPr>
              <w:ind w:left="40"/>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220" w:type="dxa"/>
            <w:vAlign w:val="bottom"/>
            <w:tcBorders>
              <w:top w:val="single" w:sz="8" w:color="auto"/>
              <w:left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620" w:type="dxa"/>
            <w:vAlign w:val="bottom"/>
            <w:gridSpan w:val="3"/>
          </w:tcPr>
          <w:p>
            <w:pPr>
              <w:ind w:left="40"/>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CUX, Inc. (d/b/a CorpU)–Senior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Subordinated Convertible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Promissory Note 8% Due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11/26/2018***</w:t>
            </w:r>
            <w:r>
              <w:rPr>
                <w:rFonts w:ascii="Arial" w:cs="Arial" w:eastAsia="Arial" w:hAnsi="Arial"/>
                <w:sz w:val="21"/>
                <w:szCs w:val="21"/>
                <w:color w:val="auto"/>
                <w:vertAlign w:val="superscript"/>
              </w:rPr>
              <w:t>(4)</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87"/>
              </w:rPr>
              <w:t>1,259,712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49,974</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1,259,712</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1,259,712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Ozy Media, Inc.–Convertible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Promissory Note 5% Due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ind w:left="280"/>
              <w:spacing w:after="0" w:line="239" w:lineRule="exact"/>
              <w:rPr>
                <w:sz w:val="20"/>
                <w:szCs w:val="20"/>
                <w:color w:val="auto"/>
              </w:rPr>
            </w:pPr>
            <w:r>
              <w:rPr>
                <w:rFonts w:ascii="Arial" w:cs="Arial" w:eastAsia="Arial" w:hAnsi="Arial"/>
                <w:sz w:val="16"/>
                <w:szCs w:val="16"/>
                <w:color w:val="auto"/>
                <w:w w:val="94"/>
              </w:rPr>
              <w:t>10/31/2018</w:t>
            </w:r>
            <w:r>
              <w:rPr>
                <w:rFonts w:ascii="Arial" w:cs="Arial" w:eastAsia="Arial" w:hAnsi="Arial"/>
                <w:sz w:val="21"/>
                <w:szCs w:val="21"/>
                <w:color w:val="auto"/>
                <w:w w:val="94"/>
                <w:vertAlign w:val="superscript"/>
              </w:rPr>
              <w:t>(7)</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87"/>
              </w:rPr>
              <w:t>2,102,384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196,469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1,067,639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114,401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(30,647)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5"/>
              </w:rPr>
              <w:t>2,001,854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3,153,247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20"/>
        </w:trPr>
        <w:tc>
          <w:tcPr>
            <w:tcW w:w="262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7"/>
              </w:rPr>
              <w:t>Ozy Media, Inc.–Promissory Note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tcBorders>
              <w:left w:val="single" w:sz="8" w:color="CCEEFF"/>
            </w:tcBorders>
            <w:gridSpan w:val="3"/>
            <w:shd w:val="clear" w:color="auto" w:fill="CCEEFF"/>
          </w:tcPr>
          <w:p>
            <w:pPr>
              <w:ind w:left="280"/>
              <w:spacing w:after="0" w:line="239" w:lineRule="exact"/>
              <w:rPr>
                <w:sz w:val="20"/>
                <w:szCs w:val="20"/>
                <w:color w:val="auto"/>
              </w:rPr>
            </w:pPr>
            <w:r>
              <w:rPr>
                <w:rFonts w:ascii="Arial" w:cs="Arial" w:eastAsia="Arial" w:hAnsi="Arial"/>
                <w:sz w:val="16"/>
                <w:szCs w:val="16"/>
                <w:color w:val="auto"/>
              </w:rPr>
              <w:t>10% Due 2/12/2018***</w:t>
            </w:r>
            <w:r>
              <w:rPr>
                <w:rFonts w:ascii="Arial" w:cs="Arial" w:eastAsia="Arial" w:hAnsi="Arial"/>
                <w:sz w:val="21"/>
                <w:szCs w:val="21"/>
                <w:color w:val="auto"/>
                <w:vertAlign w:val="superscript"/>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2,384</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(100,000)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620" w:type="dxa"/>
            <w:vAlign w:val="bottom"/>
            <w:gridSpan w:val="3"/>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198,853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1,067,639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214,401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7"/>
              </w:rPr>
              <w:t>(130,647)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5"/>
              </w:rPr>
              <w:t>2,001,854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3,153,247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Declara, Inc.–Convertible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Promissory Note 12% Due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ind w:left="280"/>
              <w:spacing w:after="0" w:line="239" w:lineRule="exact"/>
              <w:rPr>
                <w:sz w:val="20"/>
                <w:szCs w:val="20"/>
                <w:color w:val="auto"/>
              </w:rPr>
            </w:pPr>
            <w:r>
              <w:rPr>
                <w:rFonts w:ascii="Arial" w:cs="Arial" w:eastAsia="Arial" w:hAnsi="Arial"/>
                <w:sz w:val="16"/>
                <w:szCs w:val="16"/>
                <w:color w:val="auto"/>
                <w:w w:val="87"/>
              </w:rPr>
              <w:t>4/30/2018</w:t>
            </w:r>
            <w:r>
              <w:rPr>
                <w:rFonts w:ascii="Arial" w:cs="Arial" w:eastAsia="Arial" w:hAnsi="Arial"/>
                <w:sz w:val="21"/>
                <w:szCs w:val="21"/>
                <w:color w:val="auto"/>
                <w:w w:val="87"/>
                <w:vertAlign w:val="superscript"/>
              </w:rPr>
              <w:t>(6)(9)</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87"/>
              </w:rPr>
              <w:t>2,327,727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207,069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1,120,329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212,254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7"/>
              </w:rPr>
              <w:t>(1,332,583)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3"/>
              </w:rPr>
              <w:t>455,896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3,447,680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426,655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(130,647)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669,271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4,412,959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37"/>
        </w:trPr>
        <w:tc>
          <w:tcPr>
            <w:tcW w:w="2620" w:type="dxa"/>
            <w:vAlign w:val="bottom"/>
            <w:gridSpan w:val="3"/>
          </w:tcPr>
          <w:p>
            <w:pPr>
              <w:ind w:left="4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CUX, Inc. (d/b/a CorpU)–</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Convertible preferred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Series 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169,033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989,489</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(141,068)</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848,421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2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CUX, Inc. (d/b/a CorpU)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Convertible preferred shares,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20" w:type="dxa"/>
            <w:vAlign w:val="bottom"/>
            <w:tcBorders>
              <w:left w:val="single" w:sz="8" w:color="CCEEFF"/>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Series C</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615,763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480,184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(480,184)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620" w:type="dxa"/>
            <w:vAlign w:val="bottom"/>
            <w:tcBorders>
              <w:top w:val="single" w:sz="8" w:color="CCEEFF"/>
            </w:tcBorders>
            <w:gridSpan w:val="3"/>
          </w:tcPr>
          <w:p>
            <w:pPr>
              <w:ind w:left="180"/>
              <w:spacing w:after="0"/>
              <w:rPr>
                <w:sz w:val="20"/>
                <w:szCs w:val="20"/>
                <w:color w:val="auto"/>
              </w:rPr>
            </w:pPr>
            <w:r>
              <w:rPr>
                <w:rFonts w:ascii="Arial" w:cs="Arial" w:eastAsia="Arial" w:hAnsi="Arial"/>
                <w:sz w:val="16"/>
                <w:szCs w:val="16"/>
                <w:i w:val="1"/>
                <w:iCs w:val="1"/>
                <w:color w:val="auto"/>
              </w:rPr>
              <w:t>Total Corporate Education</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00" w:type="dxa"/>
            <w:vAlign w:val="bottom"/>
            <w:tcBorders>
              <w:top w:val="single" w:sz="8" w:color="CCEEFF"/>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1,469,673</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(621,252)</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848,421</w:t>
            </w:r>
          </w:p>
        </w:tc>
        <w:tc>
          <w:tcPr>
            <w:tcW w:w="96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Declara, Inc.–Preferred 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Series A</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10,716,390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382,678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(382,678)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-5749925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c>
          <w:tcPr>
            <w:tcW w:w="86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at June 30,</w:t>
            </w:r>
          </w:p>
        </w:tc>
        <w:tc>
          <w:tcPr>
            <w:tcW w:w="86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Education Media Platform</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EdSurge, Inc.–Preferred shares,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Series A-1</w:t>
            </w:r>
          </w:p>
        </w:tc>
        <w:tc>
          <w:tcPr>
            <w:tcW w:w="740" w:type="dxa"/>
            <w:vAlign w:val="bottom"/>
          </w:tcPr>
          <w:p>
            <w:pPr>
              <w:jc w:val="right"/>
              <w:spacing w:after="0"/>
              <w:rPr>
                <w:sz w:val="20"/>
                <w:szCs w:val="20"/>
                <w:color w:val="auto"/>
              </w:rPr>
            </w:pPr>
            <w:r>
              <w:rPr>
                <w:rFonts w:ascii="Arial" w:cs="Arial" w:eastAsia="Arial" w:hAnsi="Arial"/>
                <w:sz w:val="16"/>
                <w:szCs w:val="16"/>
                <w:color w:val="auto"/>
              </w:rPr>
              <w:t>378,788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EdSurge, Inc.–Preferred shares,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Series A</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494,365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581,917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(331,917)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1"/>
        </w:trPr>
        <w:tc>
          <w:tcPr>
            <w:tcW w:w="2680" w:type="dxa"/>
            <w:vAlign w:val="bottom"/>
            <w:tcBorders>
              <w:top w:val="single" w:sz="8" w:color="CCEEFF"/>
            </w:tcBorders>
          </w:tcPr>
          <w:p>
            <w:pPr>
              <w:ind w:left="180"/>
              <w:spacing w:after="0"/>
              <w:rPr>
                <w:sz w:val="20"/>
                <w:szCs w:val="20"/>
                <w:color w:val="auto"/>
              </w:rPr>
            </w:pPr>
            <w:r>
              <w:rPr>
                <w:rFonts w:ascii="Arial" w:cs="Arial" w:eastAsia="Arial" w:hAnsi="Arial"/>
                <w:sz w:val="16"/>
                <w:szCs w:val="16"/>
                <w:i w:val="1"/>
                <w:iCs w:val="1"/>
                <w:color w:val="auto"/>
              </w:rPr>
              <w:t>Total Education Media Platform</w:t>
            </w:r>
          </w:p>
        </w:tc>
        <w:tc>
          <w:tcPr>
            <w:tcW w:w="120" w:type="dxa"/>
            <w:vAlign w:val="bottom"/>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1,081,917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(581,917)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Maven Research, Inc.–Preferred</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shares, Series C</w:t>
            </w:r>
          </w:p>
        </w:tc>
        <w:tc>
          <w:tcPr>
            <w:tcW w:w="740" w:type="dxa"/>
            <w:vAlign w:val="bottom"/>
          </w:tcPr>
          <w:p>
            <w:pPr>
              <w:jc w:val="right"/>
              <w:spacing w:after="0"/>
              <w:rPr>
                <w:sz w:val="20"/>
                <w:szCs w:val="20"/>
                <w:color w:val="auto"/>
              </w:rPr>
            </w:pPr>
            <w:r>
              <w:rPr>
                <w:rFonts w:ascii="Arial" w:cs="Arial" w:eastAsia="Arial" w:hAnsi="Arial"/>
                <w:sz w:val="16"/>
                <w:szCs w:val="16"/>
                <w:color w:val="auto"/>
              </w:rPr>
              <w:t>318,979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501,240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(310,973)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190,267</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Maven Research, Inc.–Preferred</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shares, Series B</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18,980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1"/>
        </w:trPr>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7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551,240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(341,993)</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209,247</w:t>
            </w:r>
          </w:p>
        </w:tc>
        <w:tc>
          <w:tcPr>
            <w:tcW w:w="12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OzyMedia, Inc.–Preferred shares,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Series B</w:t>
            </w:r>
          </w:p>
        </w:tc>
        <w:tc>
          <w:tcPr>
            <w:tcW w:w="740" w:type="dxa"/>
            <w:vAlign w:val="bottom"/>
          </w:tcPr>
          <w:p>
            <w:pPr>
              <w:jc w:val="right"/>
              <w:spacing w:after="0"/>
              <w:rPr>
                <w:sz w:val="20"/>
                <w:szCs w:val="20"/>
                <w:color w:val="auto"/>
              </w:rPr>
            </w:pPr>
            <w:r>
              <w:rPr>
                <w:rFonts w:ascii="Arial" w:cs="Arial" w:eastAsia="Arial" w:hAnsi="Arial"/>
                <w:sz w:val="16"/>
                <w:szCs w:val="16"/>
                <w:color w:val="auto"/>
              </w:rPr>
              <w:t>922,509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2,367,022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0"/>
              </w:rPr>
              <w:t>(1,077,531)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1,289,491</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 shares,</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Series A</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1,090,909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1,419,810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(646,335)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773,475</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OzyMedia, Inc.–Preferred shares,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Series Seed</w:t>
            </w:r>
          </w:p>
        </w:tc>
        <w:tc>
          <w:tcPr>
            <w:tcW w:w="74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236,635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(107,723)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128,912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2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4,023,467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(1,831,589)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2,191,878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28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7,508,975</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0"/>
              </w:rPr>
              <w:t>(3,759,429)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3,749,546</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CUX, Inc. (d/b/a CorpU) -Preferred</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warrants, Series D,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80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$4.59, Expiration Date 8/1/2018</w:t>
            </w:r>
            <w:r>
              <w:rPr>
                <w:rFonts w:ascii="Arial" w:cs="Arial" w:eastAsia="Arial" w:hAnsi="Arial"/>
                <w:sz w:val="21"/>
                <w:szCs w:val="21"/>
                <w:color w:val="auto"/>
                <w:vertAlign w:val="superscript"/>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5,916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8,282</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37"/>
        </w:trPr>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8"/>
              </w:rPr>
              <w:t>OzyMedia, Inc.–Common Warrants,</w:t>
            </w: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$0.01, Expiration Date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4/9/2028</w:t>
            </w:r>
            <w:r>
              <w:rPr>
                <w:rFonts w:ascii="Arial" w:cs="Arial" w:eastAsia="Arial" w:hAnsi="Arial"/>
                <w:sz w:val="21"/>
                <w:szCs w:val="21"/>
                <w:color w:val="auto"/>
                <w:vertAlign w:val="superscript"/>
              </w:rPr>
              <w:t>(7)</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30,647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Warrants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2,366</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30,647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(24,731)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8,282</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7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Online Education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Curious.com, Inc.–Common</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0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(11)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3,407,834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5,514,077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(5,514,077)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Common Stock</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5,514,077</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0"/>
              </w:rPr>
              <w:t>(5,514,077)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NON-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CONTROLLED/AFFILIATE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3"/>
              </w:rPr>
              <w:t>455,896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16,473,098</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457,302</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(130,647)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(8,628,966)</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8,170,787</w:t>
            </w: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3.76%</w:t>
            </w:r>
          </w:p>
        </w:tc>
        <w:tc>
          <w:tcPr>
            <w:tcW w:w="0" w:type="dxa"/>
            <w:vAlign w:val="bottom"/>
          </w:tcPr>
          <w:p>
            <w:pPr>
              <w:spacing w:after="0"/>
              <w:rPr>
                <w:sz w:val="1"/>
                <w:szCs w:val="1"/>
                <w:color w:val="auto"/>
              </w:rPr>
            </w:pPr>
          </w:p>
        </w:tc>
      </w:tr>
      <w:tr>
        <w:trPr>
          <w:trHeight w:val="270"/>
        </w:trPr>
        <w:tc>
          <w:tcPr>
            <w:tcW w:w="2680" w:type="dxa"/>
            <w:vAlign w:val="bottom"/>
            <w:tcBorders>
              <w:bottom w:val="single" w:sz="8" w:color="CCEEFF"/>
            </w:tcBorders>
            <w:shd w:val="clear" w:color="auto" w:fill="CCEEFF"/>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6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78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68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7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vMerge w:val="continue"/>
            <w:shd w:val="clear" w:color="auto" w:fill="CCEEFF"/>
          </w:tcPr>
          <w:p>
            <w:pPr>
              <w:spacing w:after="0"/>
              <w:rPr>
                <w:sz w:val="23"/>
                <w:szCs w:val="23"/>
                <w:color w:val="auto"/>
              </w:rPr>
            </w:pPr>
          </w:p>
        </w:tc>
        <w:tc>
          <w:tcPr>
            <w:tcW w:w="140" w:type="dxa"/>
            <w:vAlign w:val="bottom"/>
            <w:tcBorders>
              <w:bottom w:val="single" w:sz="8" w:color="auto"/>
            </w:tcBorders>
            <w:vMerge w:val="continue"/>
            <w:shd w:val="clear" w:color="auto" w:fill="CCEEFF"/>
          </w:tcPr>
          <w:p>
            <w:pPr>
              <w:spacing w:after="0"/>
              <w:rPr>
                <w:sz w:val="23"/>
                <w:szCs w:val="23"/>
                <w:color w:val="auto"/>
              </w:rPr>
            </w:pPr>
          </w:p>
        </w:tc>
        <w:tc>
          <w:tcPr>
            <w:tcW w:w="84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72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-1868805</wp:posOffset>
            </wp:positionV>
            <wp:extent cx="16979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6634480</wp:posOffset>
            </wp:positionH>
            <wp:positionV relativeFrom="paragraph">
              <wp:posOffset>-3163570</wp:posOffset>
            </wp:positionV>
            <wp:extent cx="6172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-3163570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-3163570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-3163570</wp:posOffset>
            </wp:positionV>
            <wp:extent cx="5486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-6088380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27" w:lineRule="exact"/>
        <w:rPr>
          <w:sz w:val="20"/>
          <w:szCs w:val="20"/>
          <w:color w:val="auto"/>
        </w:rPr>
      </w:pPr>
    </w:p>
    <w:p>
      <w:pPr>
        <w:ind w:left="340" w:hanging="332"/>
        <w:spacing w:after="0" w:line="272"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portfolio investments are non-income-producing, unless otherwise identified. Equity investments are subject to lock-up restrictions upon their IPO. Unless otherwise noted, all investments were pledged as collateral under the Credit Facility.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w:t>
      </w:r>
    </w:p>
    <w:p>
      <w:pPr>
        <w:spacing w:after="0" w:line="21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1940 Act.</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66" w:lineRule="exact"/>
        <w:rPr>
          <w:sz w:val="20"/>
          <w:szCs w:val="20"/>
          <w:color w:val="auto"/>
        </w:rPr>
      </w:pPr>
    </w:p>
    <w:p>
      <w:pPr>
        <w:ind w:left="500" w:right="40" w:hanging="49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221" w:lineRule="exact"/>
        <w:rPr>
          <w:rFonts w:ascii="Arial" w:cs="Arial" w:eastAsia="Arial" w:hAnsi="Arial"/>
          <w:sz w:val="18"/>
          <w:szCs w:val="18"/>
          <w:color w:val="auto"/>
        </w:rPr>
      </w:pPr>
    </w:p>
    <w:p>
      <w:pPr>
        <w:ind w:left="500" w:right="240" w:hanging="492"/>
        <w:spacing w:after="0" w:line="259"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86"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GSV Capital Corp.’s investments in StormWind, LLC are held through GSV Capital Corp.'s wholly owned subsidiary, GSVC SW Holdings, Inc.</w:t>
      </w:r>
    </w:p>
    <w:p>
      <w:pPr>
        <w:spacing w:after="0" w:line="277" w:lineRule="exact"/>
        <w:rPr>
          <w:rFonts w:ascii="Arial" w:cs="Arial" w:eastAsia="Arial" w:hAnsi="Arial"/>
          <w:sz w:val="17"/>
          <w:szCs w:val="17"/>
          <w:color w:val="auto"/>
        </w:rPr>
      </w:pPr>
    </w:p>
    <w:p>
      <w:pPr>
        <w:ind w:left="500" w:right="80" w:hanging="49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181" w:lineRule="exact"/>
        <w:rPr>
          <w:rFonts w:ascii="Arial" w:cs="Arial" w:eastAsia="Arial" w:hAnsi="Arial"/>
          <w:sz w:val="18"/>
          <w:szCs w:val="18"/>
          <w:color w:val="auto"/>
        </w:rPr>
      </w:pPr>
    </w:p>
    <w:p>
      <w:pPr>
        <w:ind w:left="500" w:right="140" w:hanging="492"/>
        <w:spacing w:after="0" w:line="34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w:t>
      </w:r>
    </w:p>
    <w:p>
      <w:pPr>
        <w:spacing w:after="0" w:line="164" w:lineRule="exact"/>
        <w:rPr>
          <w:rFonts w:ascii="Arial" w:cs="Arial" w:eastAsia="Arial" w:hAnsi="Arial"/>
          <w:sz w:val="16"/>
          <w:szCs w:val="16"/>
          <w:color w:val="auto"/>
        </w:rPr>
      </w:pPr>
    </w:p>
    <w:p>
      <w:pPr>
        <w:ind w:left="500" w:right="80" w:hanging="492"/>
        <w:spacing w:after="0" w:line="259"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maturity date of the convertible promissory note to Declara, Inc. was extended an additional three months to April 30, 2018. On January 31, 2018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227" w:lineRule="exact"/>
        <w:rPr>
          <w:rFonts w:ascii="Arial" w:cs="Arial" w:eastAsia="Arial" w:hAnsi="Arial"/>
          <w:sz w:val="18"/>
          <w:szCs w:val="18"/>
          <w:color w:val="auto"/>
        </w:rPr>
      </w:pPr>
    </w:p>
    <w:p>
      <w:pPr>
        <w:ind w:left="500" w:right="240" w:hanging="492"/>
        <w:spacing w:after="0" w:line="279"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the period, Ozy Media, Inc.’s obligations under its financing arrangements with the Company became past due. Effective April 9, 2018, the term of Ozy Media Inc.'s notes were extended through the issuance of a new convertible promissory note, which extended the maturity date of the existing notes to October 31, 2018, or December 31, 2018 if certain conditions are satisfied. In consideration for amending and restating the existing notes, the Company was issued warrants exercisable for 34,483 shares of Ozy Media Inc.'s common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54"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January 12, 2018, the unsecured promissory note to NestGSV, Inc. (d/b/a GSV Labs, Inc.) was repaid, with interest.</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June 30, 2018, the investments noted had been placed on non-accrual status.</w:t>
      </w:r>
    </w:p>
    <w:p>
      <w:pPr>
        <w:spacing w:after="0" w:line="22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 July 31, 2018, GSV Capital Corp. agreed to extend the Convertible Promissory Note to NestGSV, Inc. (d/b/a GSV Labs, Inc.) until December 31, 2018, with a new interest rate of 12%. Previously accrued interest will be capitalized into the principal of the new note.</w:t>
      </w:r>
    </w:p>
    <w:p>
      <w:pPr>
        <w:spacing w:after="0" w:line="146" w:lineRule="exact"/>
        <w:rPr>
          <w:rFonts w:ascii="Arial" w:cs="Arial" w:eastAsia="Arial" w:hAnsi="Arial"/>
          <w:sz w:val="17"/>
          <w:szCs w:val="17"/>
          <w:color w:val="auto"/>
        </w:rPr>
      </w:pPr>
    </w:p>
    <w:p>
      <w:pPr>
        <w:ind w:left="500" w:right="50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June 8, 2018, Curious.com, Inc. completed a recapitalization and issued new Series C preferred shares. In connection with the offering, GSV Capital Corp.'s 3,407,834 Series B preferred shares were converted into common shares.</w:t>
      </w:r>
    </w:p>
    <w:p>
      <w:pPr>
        <w:spacing w:after="0" w:line="170" w:lineRule="exact"/>
        <w:rPr>
          <w:rFonts w:ascii="Arial" w:cs="Arial" w:eastAsia="Arial" w:hAnsi="Arial"/>
          <w:sz w:val="18"/>
          <w:szCs w:val="18"/>
          <w:color w:val="auto"/>
        </w:rPr>
      </w:pPr>
    </w:p>
    <w:p>
      <w:pPr>
        <w:ind w:left="500" w:hanging="492"/>
        <w:spacing w:after="0" w:line="2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SPBRX, INC. (f/k/a GSV Sustainability Partners, Inc.) preferred shares held by GSV Capital Corp. do not entitle GSV Capital Corp. to a preferred dividend rate. During the six months ended June 30, 2018, SPBRX, INC. declared, and GSV Capital Corp. received, an aggregate of $350,000 in cash distributions. GSV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54"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Transactions during the year ended December 31, 2017 involving the Company’s controlled investments and non-controlled/affiliate investments were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Purchases,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00" w:type="dxa"/>
            <w:vAlign w:val="bottom"/>
            <w:gridSpan w:val="3"/>
            <w:vMerge w:val="continue"/>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December</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760" w:type="dxa"/>
            <w:vAlign w:val="bottom"/>
          </w:tcPr>
          <w:p>
            <w:pPr>
              <w:jc w:val="right"/>
              <w:ind w:right="126"/>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8"/>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2"/>
        </w:trPr>
        <w:tc>
          <w:tcPr>
            <w:tcW w:w="2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6"/>
                <w:szCs w:val="16"/>
                <w:b w:val="1"/>
                <w:bCs w:val="1"/>
                <w:color w:val="auto"/>
              </w:rPr>
              <w:t>CONTROLLED INVESTMENTS*</w:t>
            </w:r>
            <w:r>
              <w:rPr>
                <w:rFonts w:ascii="Arial" w:cs="Arial" w:eastAsia="Arial" w:hAnsi="Arial"/>
                <w:sz w:val="21"/>
                <w:szCs w:val="21"/>
                <w:b w:val="1"/>
                <w:bCs w:val="1"/>
                <w:color w:val="auto"/>
                <w:vertAlign w:val="superscript"/>
              </w:rPr>
              <w:t>(2)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Inc.)–Convertible Promissory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Note 8% Due 7/31/2018***</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560,199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88,604</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427,900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106,490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25,809</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560,199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w w:val="97"/>
              </w:rPr>
              <w:t>Inc.)–Unsecured Promissory Note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ind w:left="400"/>
              <w:spacing w:after="0" w:line="239" w:lineRule="exact"/>
              <w:rPr>
                <w:sz w:val="20"/>
                <w:szCs w:val="20"/>
                <w:color w:val="auto"/>
              </w:rPr>
            </w:pPr>
            <w:r>
              <w:rPr>
                <w:rFonts w:ascii="Arial" w:cs="Arial" w:eastAsia="Arial" w:hAnsi="Arial"/>
                <w:sz w:val="16"/>
                <w:szCs w:val="16"/>
                <w:color w:val="auto"/>
              </w:rPr>
              <w:t>12% Due 5/29/2017***</w:t>
            </w:r>
            <w:r>
              <w:rPr>
                <w:rFonts w:ascii="Arial" w:cs="Arial" w:eastAsia="Arial" w:hAnsi="Arial"/>
                <w:sz w:val="21"/>
                <w:szCs w:val="21"/>
                <w:color w:val="auto"/>
                <w:vertAlign w:val="superscript"/>
              </w:rPr>
              <w:t>(4)</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50,146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496,725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24,195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(526,000)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w w:val="97"/>
              </w:rPr>
              <w:t>Inc.)–Unsecured Promissory Note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gridSpan w:val="3"/>
          </w:tcPr>
          <w:p>
            <w:pPr>
              <w:ind w:left="400"/>
              <w:spacing w:after="0" w:line="239" w:lineRule="exact"/>
              <w:rPr>
                <w:sz w:val="20"/>
                <w:szCs w:val="20"/>
                <w:color w:val="auto"/>
              </w:rPr>
            </w:pPr>
            <w:r>
              <w:rPr>
                <w:rFonts w:ascii="Arial" w:cs="Arial" w:eastAsia="Arial" w:hAnsi="Arial"/>
                <w:sz w:val="16"/>
                <w:szCs w:val="16"/>
                <w:color w:val="auto"/>
              </w:rPr>
              <w:t>12% Due 1/15/2018***</w:t>
            </w:r>
            <w:r>
              <w:rPr>
                <w:rFonts w:ascii="Arial" w:cs="Arial" w:eastAsia="Arial" w:hAnsi="Arial"/>
                <w:sz w:val="21"/>
                <w:szCs w:val="21"/>
                <w:color w:val="auto"/>
                <w:vertAlign w:val="superscript"/>
              </w:rPr>
              <w:t>(4)</w:t>
            </w:r>
          </w:p>
        </w:tc>
        <w:tc>
          <w:tcPr>
            <w:tcW w:w="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592,129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3"/>
              </w:rPr>
              <w:t>111,089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592,809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592,129</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3"/>
              </w:rPr>
              <w:t>249,839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924,625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723,494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(526,000)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1,152,328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249,839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924,625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723,494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0"/>
              </w:rPr>
              <w:t>(526,000)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30,209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1,152,328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Clean Technology</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SPBRX, INC. (f/k/a GSV</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Sustainability Partners, Inc.)–</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Preferred shares, Class A***</w:t>
            </w:r>
          </w:p>
        </w:tc>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9"/>
              </w:rPr>
              <w:t>14,300,000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3"/>
              </w:rPr>
              <w:t>475,000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4,309,778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(3,239,916)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1,069,862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Inc.)–Preferred stock Series A-4</w:t>
            </w: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3,720,424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2,715,910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2,674,932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5,390,842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Inc.)–Preferred stock Series A-3</w:t>
            </w:r>
          </w:p>
        </w:tc>
        <w:tc>
          <w:tcPr>
            <w:tcW w:w="860" w:type="dxa"/>
            <w:vAlign w:val="bottom"/>
            <w:gridSpan w:val="2"/>
          </w:tcPr>
          <w:p>
            <w:pPr>
              <w:jc w:val="right"/>
              <w:ind w:right="42"/>
              <w:spacing w:after="0"/>
              <w:rPr>
                <w:sz w:val="20"/>
                <w:szCs w:val="20"/>
                <w:color w:val="auto"/>
              </w:rPr>
            </w:pPr>
            <w:r>
              <w:rPr>
                <w:rFonts w:ascii="Arial" w:cs="Arial" w:eastAsia="Arial" w:hAnsi="Arial"/>
                <w:sz w:val="16"/>
                <w:szCs w:val="16"/>
                <w:color w:val="auto"/>
              </w:rPr>
              <w:t>1,561,625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952,591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933,053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1,885,644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Inc.)–Preferred stock Series A-2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450,001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159,522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326,022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Inc.)–Preferred stock Series A-1</w:t>
            </w:r>
          </w:p>
        </w:tc>
        <w:tc>
          <w:tcPr>
            <w:tcW w:w="860" w:type="dxa"/>
            <w:vAlign w:val="bottom"/>
            <w:gridSpan w:val="2"/>
          </w:tcPr>
          <w:p>
            <w:pPr>
              <w:jc w:val="right"/>
              <w:ind w:right="42"/>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270,000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273,370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543,370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4,105,001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4,040,877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8,145,878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Interactive Learning</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StormWind, LLC–Preferred shares,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ind w:left="400"/>
              <w:spacing w:after="0" w:line="239" w:lineRule="exact"/>
              <w:rPr>
                <w:sz w:val="20"/>
                <w:szCs w:val="20"/>
                <w:color w:val="auto"/>
              </w:rPr>
            </w:pPr>
            <w:r>
              <w:rPr>
                <w:rFonts w:ascii="Arial" w:cs="Arial" w:eastAsia="Arial" w:hAnsi="Arial"/>
                <w:sz w:val="16"/>
                <w:szCs w:val="16"/>
                <w:color w:val="auto"/>
              </w:rPr>
              <w:t>Series C</w:t>
            </w:r>
            <w:r>
              <w:rPr>
                <w:rFonts w:ascii="Arial" w:cs="Arial" w:eastAsia="Arial" w:hAnsi="Arial"/>
                <w:sz w:val="21"/>
                <w:szCs w:val="21"/>
                <w:color w:val="auto"/>
                <w:vertAlign w:val="superscript"/>
              </w:rPr>
              <w:t>(3)</w:t>
            </w: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2,779,134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4,650,838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2,573,066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7,223,904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StormWind, LLC–Preferred shares,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Series B</w:t>
            </w:r>
            <w:r>
              <w:rPr>
                <w:rFonts w:ascii="Arial" w:cs="Arial" w:eastAsia="Arial" w:hAnsi="Arial"/>
                <w:sz w:val="21"/>
                <w:szCs w:val="21"/>
                <w:color w:val="auto"/>
                <w:vertAlign w:val="superscript"/>
              </w:rPr>
              <w:t>(3)</w:t>
            </w:r>
          </w:p>
        </w:tc>
        <w:tc>
          <w:tcPr>
            <w:tcW w:w="860" w:type="dxa"/>
            <w:vAlign w:val="bottom"/>
            <w:gridSpan w:val="2"/>
          </w:tcPr>
          <w:p>
            <w:pPr>
              <w:jc w:val="right"/>
              <w:ind w:right="42"/>
              <w:spacing w:after="0"/>
              <w:rPr>
                <w:sz w:val="20"/>
                <w:szCs w:val="20"/>
                <w:color w:val="auto"/>
              </w:rPr>
            </w:pPr>
            <w:r>
              <w:rPr>
                <w:rFonts w:ascii="Arial" w:cs="Arial" w:eastAsia="Arial" w:hAnsi="Arial"/>
                <w:sz w:val="16"/>
                <w:szCs w:val="16"/>
                <w:color w:val="auto"/>
              </w:rPr>
              <w:t>3,279,629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4,470,403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1,334,069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5,804,472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-960120</wp:posOffset>
            </wp:positionV>
            <wp:extent cx="5575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-3413125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-5196840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4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660" w:type="dxa"/>
            <w:vAlign w:val="bottom"/>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Quantity</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Gains/(Losses)</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Gains/(Losses)</w:t>
            </w:r>
          </w:p>
        </w:tc>
        <w:tc>
          <w:tcPr>
            <w:tcW w:w="12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9"/>
        </w:trPr>
        <w:tc>
          <w:tcPr>
            <w:tcW w:w="26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94"/>
              </w:rPr>
              <w:t>StormWind, LLC–Preferred shares,</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CEEFF"/>
          </w:tcPr>
          <w:p>
            <w:pPr>
              <w:ind w:left="440"/>
              <w:spacing w:after="0" w:line="239" w:lineRule="exact"/>
              <w:rPr>
                <w:sz w:val="20"/>
                <w:szCs w:val="20"/>
                <w:color w:val="auto"/>
              </w:rPr>
            </w:pPr>
            <w:r>
              <w:rPr>
                <w:rFonts w:ascii="Arial" w:cs="Arial" w:eastAsia="Arial" w:hAnsi="Arial"/>
                <w:sz w:val="16"/>
                <w:szCs w:val="16"/>
                <w:color w:val="auto"/>
              </w:rPr>
              <w:t>Series A</w:t>
            </w:r>
            <w:r>
              <w:rPr>
                <w:rFonts w:ascii="Arial" w:cs="Arial" w:eastAsia="Arial" w:hAnsi="Arial"/>
                <w:sz w:val="21"/>
                <w:szCs w:val="21"/>
                <w:color w:val="auto"/>
                <w:vertAlign w:val="superscript"/>
              </w:rPr>
              <w:t>(3)</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366,666</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499,796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425,342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31"/>
        </w:trPr>
        <w:tc>
          <w:tcPr>
            <w:tcW w:w="2660" w:type="dxa"/>
            <w:vAlign w:val="bottom"/>
          </w:tcPr>
          <w:p>
            <w:pPr>
              <w:ind w:left="180"/>
              <w:spacing w:after="0"/>
              <w:rPr>
                <w:sz w:val="20"/>
                <w:szCs w:val="20"/>
                <w:color w:val="auto"/>
              </w:rPr>
            </w:pPr>
            <w:r>
              <w:rPr>
                <w:rFonts w:ascii="Arial" w:cs="Arial" w:eastAsia="Arial" w:hAnsi="Arial"/>
                <w:sz w:val="16"/>
                <w:szCs w:val="16"/>
                <w:i w:val="1"/>
                <w:iCs w:val="1"/>
                <w:color w:val="auto"/>
              </w:rPr>
              <w:t>Total Interactive Learning</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9,621,037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5"/>
              </w:rPr>
              <w:t>3,832,681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87"/>
              </w:rPr>
              <w:t>13,453,718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3"/>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18,035,816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4,633,642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22,669,458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Warrants</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60" w:type="dxa"/>
            <w:vAlign w:val="bottom"/>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2"/>
              </w:rPr>
              <w:t>Inc.)–Preferred Warrant Series A-</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8"/>
              </w:rPr>
              <w:t>3–Strike Price $1.33, Expiration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440"/>
              <w:spacing w:after="0"/>
              <w:rPr>
                <w:sz w:val="20"/>
                <w:szCs w:val="20"/>
                <w:color w:val="auto"/>
              </w:rPr>
            </w:pPr>
            <w:r>
              <w:rPr>
                <w:rFonts w:ascii="Arial" w:cs="Arial" w:eastAsia="Arial" w:hAnsi="Arial"/>
                <w:sz w:val="16"/>
                <w:szCs w:val="16"/>
                <w:color w:val="auto"/>
              </w:rPr>
              <w:t>Date 4/4/2019</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187,500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1,875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2"/>
              </w:rPr>
              <w:t>Inc.)–Preferred Warrant Series A-</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8"/>
              </w:rPr>
              <w:t>4–Strike Price $1.33, Expiration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Date 10/6/2019</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500,000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160,000</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20"/>
        </w:trPr>
        <w:tc>
          <w:tcPr>
            <w:tcW w:w="2660" w:type="dxa"/>
            <w:vAlign w:val="bottom"/>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2"/>
              </w:rPr>
              <w:t>Inc.)–Preferred Warrant Series A-</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8"/>
              </w:rPr>
              <w:t>4–Strike Price $1.33, Expiration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440"/>
              <w:spacing w:after="0"/>
              <w:rPr>
                <w:sz w:val="20"/>
                <w:szCs w:val="20"/>
                <w:color w:val="auto"/>
              </w:rPr>
            </w:pPr>
            <w:r>
              <w:rPr>
                <w:rFonts w:ascii="Arial" w:cs="Arial" w:eastAsia="Arial" w:hAnsi="Arial"/>
                <w:sz w:val="16"/>
                <w:szCs w:val="16"/>
                <w:color w:val="auto"/>
              </w:rPr>
              <w:t>Date 7/18/2021</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22,500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102,500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Inc.)–Preferred Warrant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Series B–Strike Price $2.31,</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CEEFF"/>
          </w:tcPr>
          <w:p>
            <w:pPr>
              <w:ind w:left="440"/>
              <w:spacing w:after="0" w:line="239" w:lineRule="exact"/>
              <w:rPr>
                <w:sz w:val="20"/>
                <w:szCs w:val="20"/>
                <w:color w:val="auto"/>
              </w:rPr>
            </w:pPr>
            <w:r>
              <w:rPr>
                <w:rFonts w:ascii="Arial" w:cs="Arial" w:eastAsia="Arial" w:hAnsi="Arial"/>
                <w:sz w:val="16"/>
                <w:szCs w:val="16"/>
                <w:color w:val="auto"/>
              </w:rPr>
              <w:t>Expiration Date 11/29/2021</w:t>
            </w:r>
            <w:r>
              <w:rPr>
                <w:rFonts w:ascii="Arial" w:cs="Arial" w:eastAsia="Arial" w:hAnsi="Arial"/>
                <w:sz w:val="21"/>
                <w:szCs w:val="21"/>
                <w:color w:val="auto"/>
                <w:vertAlign w:val="superscript"/>
              </w:rPr>
              <w:t>(11)</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100,000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41,000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0"/>
        </w:trPr>
        <w:tc>
          <w:tcPr>
            <w:tcW w:w="2660" w:type="dxa"/>
            <w:vAlign w:val="bottom"/>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rPr>
              <w:t>Inc.)–Preferred Warrant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rPr>
              <w:t>Series B–Strike Price $2.31,</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tcBorders>
              <w:bottom w:val="single" w:sz="8" w:color="CCEEFF"/>
            </w:tcBorders>
          </w:tcPr>
          <w:p>
            <w:pPr>
              <w:ind w:left="440"/>
              <w:spacing w:after="0" w:line="239" w:lineRule="exact"/>
              <w:rPr>
                <w:sz w:val="20"/>
                <w:szCs w:val="20"/>
                <w:color w:val="auto"/>
              </w:rPr>
            </w:pPr>
            <w:r>
              <w:rPr>
                <w:rFonts w:ascii="Arial" w:cs="Arial" w:eastAsia="Arial" w:hAnsi="Arial"/>
                <w:sz w:val="16"/>
                <w:szCs w:val="16"/>
                <w:color w:val="auto"/>
              </w:rPr>
              <w:t>Expiration Date 5/29/2022</w:t>
            </w:r>
            <w:r>
              <w:rPr>
                <w:rFonts w:ascii="Arial" w:cs="Arial" w:eastAsia="Arial" w:hAnsi="Arial"/>
                <w:sz w:val="21"/>
                <w:szCs w:val="21"/>
                <w:color w:val="auto"/>
                <w:vertAlign w:val="superscript"/>
              </w:rPr>
              <w:t>(4)</w:t>
            </w:r>
          </w:p>
        </w:tc>
        <w:tc>
          <w:tcPr>
            <w:tcW w:w="880" w:type="dxa"/>
            <w:vAlign w:val="bottom"/>
            <w:tcBorders>
              <w:bottom w:val="single" w:sz="8" w:color="CCEEFF"/>
            </w:tcBorders>
            <w:gridSpan w:val="2"/>
          </w:tcPr>
          <w:p>
            <w:pPr>
              <w:jc w:val="center"/>
              <w:ind w:left="79"/>
              <w:spacing w:after="0"/>
              <w:rPr>
                <w:sz w:val="20"/>
                <w:szCs w:val="20"/>
                <w:color w:val="auto"/>
              </w:rPr>
            </w:pPr>
            <w:r>
              <w:rPr>
                <w:rFonts w:ascii="Arial" w:cs="Arial" w:eastAsia="Arial" w:hAnsi="Arial"/>
                <w:sz w:val="16"/>
                <w:szCs w:val="16"/>
                <w:color w:val="auto"/>
                <w:w w:val="89"/>
              </w:rPr>
              <w:t>125,000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70,379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80,000</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70,379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237,871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385,375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Total Warrants</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77,125</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70,379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237,871</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385,375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6"/>
                <w:szCs w:val="16"/>
                <w:i w:val="1"/>
                <w:iCs w:val="1"/>
                <w:color w:val="auto"/>
              </w:rPr>
              <w:t>Clean Technology</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SPBRX, INC. (f/k/a GSV</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Sustainability Partners, Inc.)–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Common shares</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Inc.)–Common shares</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200,000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Total Common Stock</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CONTROLLED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93"/>
              </w:rPr>
              <w:t>724,839</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7"/>
              </w:rPr>
              <w:t>19,037,566</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793,873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(526,000)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4,901,722</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7"/>
              </w:rPr>
              <w:t>24,207,161</w:t>
            </w: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-5805170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Interest,</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Fees, or</w:t>
            </w:r>
          </w:p>
        </w:tc>
        <w:tc>
          <w:tcPr>
            <w:tcW w:w="98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7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20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760" w:type="dxa"/>
            <w:vAlign w:val="bottom"/>
          </w:tcPr>
          <w:p>
            <w:pPr>
              <w:jc w:val="right"/>
              <w:ind w:right="123"/>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Quantity</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Gains/(Losses)</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Gains/(Losses)</w:t>
            </w:r>
          </w:p>
        </w:tc>
        <w:tc>
          <w:tcPr>
            <w:tcW w:w="12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760" w:type="dxa"/>
            <w:vAlign w:val="bottom"/>
          </w:tcPr>
          <w:p>
            <w:pPr>
              <w:jc w:val="right"/>
              <w:ind w:right="123"/>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9"/>
        </w:trPr>
        <w:tc>
          <w:tcPr>
            <w:tcW w:w="2700" w:type="dxa"/>
            <w:vAlign w:val="bottom"/>
            <w:tcBorders>
              <w:top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NON-CONTROLLED/AFFILIATE</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CUX, Inc. (d/b/a CorpU)–Senior</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Subordinated Convertible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Promissory Note 8%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4"/>
            <w:shd w:val="clear" w:color="auto" w:fill="CCEEFF"/>
          </w:tcPr>
          <w:p>
            <w:pPr>
              <w:ind w:left="440"/>
              <w:spacing w:after="0" w:line="239" w:lineRule="exact"/>
              <w:rPr>
                <w:sz w:val="20"/>
                <w:szCs w:val="20"/>
                <w:color w:val="auto"/>
              </w:rPr>
            </w:pPr>
            <w:r>
              <w:rPr>
                <w:rFonts w:ascii="Arial" w:cs="Arial" w:eastAsia="Arial" w:hAnsi="Arial"/>
                <w:sz w:val="16"/>
                <w:szCs w:val="16"/>
                <w:color w:val="auto"/>
              </w:rPr>
              <w:t>11/26/2018***</w:t>
            </w:r>
            <w:r>
              <w:rPr>
                <w:rFonts w:ascii="Arial" w:cs="Arial" w:eastAsia="Arial" w:hAnsi="Arial"/>
                <w:sz w:val="21"/>
                <w:szCs w:val="21"/>
                <w:color w:val="auto"/>
                <w:vertAlign w:val="superscript"/>
              </w:rPr>
              <w:t>(6)</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1,259,712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93,772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1,166,400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93,312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1,259,712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Ozy Media, Inc.–Convertible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Promissory Note 5%,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4"/>
            <w:shd w:val="clear" w:color="auto" w:fill="CCEEFF"/>
          </w:tcPr>
          <w:p>
            <w:pPr>
              <w:ind w:left="440"/>
              <w:spacing w:after="0" w:line="239" w:lineRule="exact"/>
              <w:rPr>
                <w:sz w:val="20"/>
                <w:szCs w:val="20"/>
                <w:color w:val="auto"/>
              </w:rPr>
            </w:pPr>
            <w:r>
              <w:rPr>
                <w:rFonts w:ascii="Arial" w:cs="Arial" w:eastAsia="Arial" w:hAnsi="Arial"/>
                <w:sz w:val="16"/>
                <w:szCs w:val="16"/>
                <w:color w:val="auto"/>
              </w:rPr>
              <w:t>2/28/2018***</w:t>
            </w:r>
            <w:r>
              <w:rPr>
                <w:rFonts w:ascii="Arial" w:cs="Arial" w:eastAsia="Arial" w:hAnsi="Arial"/>
                <w:sz w:val="21"/>
                <w:szCs w:val="21"/>
                <w:color w:val="auto"/>
                <w:vertAlign w:val="superscript"/>
              </w:rPr>
              <w:t>(12)</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2,000,000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(33,699)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2,000,000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(932,361)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1,067,639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Social Cognitive Learning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Declara, Inc.–Convertible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Promissory Note 9%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80" w:type="dxa"/>
            <w:vAlign w:val="bottom"/>
            <w:gridSpan w:val="3"/>
            <w:shd w:val="clear" w:color="auto" w:fill="CCEEFF"/>
          </w:tcPr>
          <w:p>
            <w:pPr>
              <w:ind w:left="440"/>
              <w:spacing w:after="0" w:line="239" w:lineRule="exact"/>
              <w:rPr>
                <w:sz w:val="20"/>
                <w:szCs w:val="20"/>
                <w:color w:val="auto"/>
              </w:rPr>
            </w:pPr>
            <w:r>
              <w:rPr>
                <w:rFonts w:ascii="Arial" w:cs="Arial" w:eastAsia="Arial" w:hAnsi="Arial"/>
                <w:sz w:val="16"/>
                <w:szCs w:val="16"/>
                <w:color w:val="auto"/>
                <w:w w:val="94"/>
              </w:rPr>
              <w:t>12/31/2017</w:t>
            </w:r>
            <w:r>
              <w:rPr>
                <w:rFonts w:ascii="Arial" w:cs="Arial" w:eastAsia="Arial" w:hAnsi="Arial"/>
                <w:sz w:val="21"/>
                <w:szCs w:val="21"/>
                <w:color w:val="auto"/>
                <w:w w:val="94"/>
                <w:vertAlign w:val="superscript"/>
              </w:rPr>
              <w:t>(8)</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2,120,658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2,827,020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(1,707,931)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1,120,329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Sports Analytics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7"/>
              </w:rPr>
              <w:t>Circle Media (f/k/a S3 Digital Corp.</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(d/b/a S3i))–Promissory Note,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4"/>
            <w:shd w:val="clear" w:color="auto" w:fill="CCEEFF"/>
          </w:tcPr>
          <w:p>
            <w:pPr>
              <w:ind w:left="440"/>
              <w:spacing w:after="0" w:line="239" w:lineRule="exact"/>
              <w:rPr>
                <w:sz w:val="20"/>
                <w:szCs w:val="20"/>
                <w:color w:val="auto"/>
              </w:rPr>
            </w:pPr>
            <w:r>
              <w:rPr>
                <w:rFonts w:ascii="Arial" w:cs="Arial" w:eastAsia="Arial" w:hAnsi="Arial"/>
                <w:sz w:val="16"/>
                <w:szCs w:val="16"/>
                <w:color w:val="auto"/>
              </w:rPr>
              <w:t>12%, 11/17/2017***</w:t>
            </w:r>
            <w:r>
              <w:rPr>
                <w:rFonts w:ascii="Arial" w:cs="Arial" w:eastAsia="Arial" w:hAnsi="Arial"/>
                <w:sz w:val="21"/>
                <w:szCs w:val="21"/>
                <w:color w:val="auto"/>
                <w:vertAlign w:val="superscript"/>
              </w:rPr>
              <w:t>(13)</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26,544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gridSpan w:val="5"/>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59,460</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6,019,964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98,121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(30,408)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0"/>
              </w:rPr>
              <w:t>(2,639,997)</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3,447,680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CUX, Inc. (d/b/a CorpU)–</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Convertible 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Series D</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169,033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775,861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213,628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989,489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3"/>
          </w:tcPr>
          <w:p>
            <w:pPr>
              <w:ind w:left="80"/>
              <w:spacing w:after="0"/>
              <w:rPr>
                <w:sz w:val="20"/>
                <w:szCs w:val="20"/>
                <w:color w:val="auto"/>
              </w:rPr>
            </w:pPr>
            <w:r>
              <w:rPr>
                <w:rFonts w:ascii="Arial" w:cs="Arial" w:eastAsia="Arial" w:hAnsi="Arial"/>
                <w:sz w:val="16"/>
                <w:szCs w:val="16"/>
                <w:color w:val="auto"/>
              </w:rPr>
              <w:t>CUX, Inc. (d/b/a CorpU)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3"/>
          </w:tcPr>
          <w:p>
            <w:pPr>
              <w:ind w:left="240"/>
              <w:spacing w:after="0"/>
              <w:rPr>
                <w:sz w:val="20"/>
                <w:szCs w:val="20"/>
                <w:color w:val="auto"/>
              </w:rPr>
            </w:pPr>
            <w:r>
              <w:rPr>
                <w:rFonts w:ascii="Arial" w:cs="Arial" w:eastAsia="Arial" w:hAnsi="Arial"/>
                <w:sz w:val="16"/>
                <w:szCs w:val="16"/>
                <w:color w:val="auto"/>
              </w:rPr>
              <w:t>Convertible preferred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3"/>
          </w:tcPr>
          <w:p>
            <w:pPr>
              <w:ind w:left="240"/>
              <w:spacing w:after="0"/>
              <w:rPr>
                <w:sz w:val="20"/>
                <w:szCs w:val="20"/>
                <w:color w:val="auto"/>
              </w:rPr>
            </w:pPr>
            <w:r>
              <w:rPr>
                <w:rFonts w:ascii="Arial" w:cs="Arial" w:eastAsia="Arial" w:hAnsi="Arial"/>
                <w:sz w:val="16"/>
                <w:szCs w:val="16"/>
                <w:color w:val="auto"/>
              </w:rPr>
              <w:t>Series 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615,763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1,913,484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(1,433,300)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480,184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6"/>
                <w:szCs w:val="16"/>
                <w:i w:val="1"/>
                <w:iCs w:val="1"/>
                <w:color w:val="auto"/>
              </w:rPr>
              <w:t>Total Corporate Education</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2,689,345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(1,219,672)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1,469,673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Globally-Focused Private School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Whittle Schools, LLC–Preferred</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240"/>
              <w:spacing w:after="0" w:line="239" w:lineRule="exact"/>
              <w:rPr>
                <w:sz w:val="20"/>
                <w:szCs w:val="20"/>
                <w:color w:val="auto"/>
              </w:rPr>
            </w:pPr>
            <w:r>
              <w:rPr>
                <w:rFonts w:ascii="Arial" w:cs="Arial" w:eastAsia="Arial" w:hAnsi="Arial"/>
                <w:sz w:val="16"/>
                <w:szCs w:val="16"/>
                <w:color w:val="auto"/>
              </w:rPr>
              <w:t>shares, Series B</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3,000,000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119,299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(3,000,000)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Online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3"/>
              </w:rPr>
              <w:t>Curious.com, Inc.–Preferred shares,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Series B</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3,407,834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9,984,954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(4,470,877)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5,514,077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Sports Analytics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7"/>
              </w:rPr>
              <w:t>Circle Media (f/k/a S3 Digital Corp.</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(d/b/a S3i))–Preferred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240"/>
              <w:spacing w:after="0" w:line="239" w:lineRule="exact"/>
              <w:rPr>
                <w:sz w:val="20"/>
                <w:szCs w:val="20"/>
                <w:color w:val="auto"/>
              </w:rPr>
            </w:pPr>
            <w:r>
              <w:rPr>
                <w:rFonts w:ascii="Arial" w:cs="Arial" w:eastAsia="Arial" w:hAnsi="Arial"/>
                <w:sz w:val="16"/>
                <w:szCs w:val="16"/>
                <w:color w:val="auto"/>
              </w:rPr>
              <w:t>Series A</w:t>
            </w:r>
            <w:r>
              <w:rPr>
                <w:rFonts w:ascii="Arial" w:cs="Arial" w:eastAsia="Arial" w:hAnsi="Arial"/>
                <w:sz w:val="21"/>
                <w:szCs w:val="21"/>
                <w:color w:val="auto"/>
                <w:vertAlign w:val="superscript"/>
              </w:rPr>
              <w:t>(13)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484,769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(1,777,576)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5"/>
              </w:rPr>
              <w:t>1,292,807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Interest,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Fees, or</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9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2"/>
                <w:szCs w:val="12"/>
                <w:color w:val="auto"/>
              </w:rPr>
            </w:pPr>
          </w:p>
        </w:tc>
        <w:tc>
          <w:tcPr>
            <w:tcW w:w="76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Quantity</w:t>
            </w:r>
          </w:p>
        </w:tc>
        <w:tc>
          <w:tcPr>
            <w:tcW w:w="10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Declara, Inc.–Preferred shares,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Series A</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10,716,390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4,786,654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(4,403,976)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382,678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Education Media Platform</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EdSurge, Inc.–Preferred shares,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Series A-1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378,788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w w:val="99"/>
              </w:rPr>
              <w:t>EdSurge, Inc.–Preferred shares,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ind w:left="440"/>
              <w:spacing w:after="0"/>
              <w:rPr>
                <w:sz w:val="20"/>
                <w:szCs w:val="20"/>
                <w:color w:val="auto"/>
              </w:rPr>
            </w:pPr>
            <w:r>
              <w:rPr>
                <w:rFonts w:ascii="Arial" w:cs="Arial" w:eastAsia="Arial" w:hAnsi="Arial"/>
                <w:sz w:val="16"/>
                <w:szCs w:val="16"/>
                <w:color w:val="auto"/>
              </w:rPr>
              <w:t>Series A</w:t>
            </w:r>
          </w:p>
        </w:tc>
        <w:tc>
          <w:tcPr>
            <w:tcW w:w="820" w:type="dxa"/>
            <w:vAlign w:val="bottom"/>
          </w:tcPr>
          <w:p>
            <w:pPr>
              <w:jc w:val="right"/>
              <w:spacing w:after="0"/>
              <w:rPr>
                <w:sz w:val="20"/>
                <w:szCs w:val="20"/>
                <w:color w:val="auto"/>
              </w:rPr>
            </w:pPr>
            <w:r>
              <w:rPr>
                <w:rFonts w:ascii="Arial" w:cs="Arial" w:eastAsia="Arial" w:hAnsi="Arial"/>
                <w:sz w:val="16"/>
                <w:szCs w:val="16"/>
                <w:color w:val="auto"/>
              </w:rPr>
              <w:t>494,365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588,294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581,917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Education Media Platform</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1,088,294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1,081,917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Education Technology</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Global Education Learning</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(Holdings) Ltd.–Preferred</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shares, Series A**</w:t>
            </w:r>
            <w:r>
              <w:rPr>
                <w:rFonts w:ascii="Arial" w:cs="Arial" w:eastAsia="Arial" w:hAnsi="Arial"/>
                <w:sz w:val="21"/>
                <w:szCs w:val="21"/>
                <w:color w:val="auto"/>
                <w:vertAlign w:val="superscript"/>
              </w:rPr>
              <w:t>(9)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(675,495)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675,495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8"/>
              </w:rPr>
              <w:t>Maven Research,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shares, Series C</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318,979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1,999,998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(1,498,758)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501,240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w w:val="98"/>
              </w:rPr>
              <w:t>Maven Research, Inc.–Preferred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ind w:left="440"/>
              <w:spacing w:after="0"/>
              <w:rPr>
                <w:sz w:val="20"/>
                <w:szCs w:val="20"/>
                <w:color w:val="auto"/>
              </w:rPr>
            </w:pPr>
            <w:r>
              <w:rPr>
                <w:rFonts w:ascii="Arial" w:cs="Arial" w:eastAsia="Arial" w:hAnsi="Arial"/>
                <w:sz w:val="16"/>
                <w:szCs w:val="16"/>
                <w:color w:val="auto"/>
              </w:rPr>
              <w:t>shares, Series B</w:t>
            </w:r>
          </w:p>
        </w:tc>
        <w:tc>
          <w:tcPr>
            <w:tcW w:w="820" w:type="dxa"/>
            <w:vAlign w:val="bottom"/>
          </w:tcPr>
          <w:p>
            <w:pPr>
              <w:jc w:val="right"/>
              <w:spacing w:after="0"/>
              <w:rPr>
                <w:sz w:val="20"/>
                <w:szCs w:val="20"/>
                <w:color w:val="auto"/>
              </w:rPr>
            </w:pPr>
            <w:r>
              <w:rPr>
                <w:rFonts w:ascii="Arial" w:cs="Arial" w:eastAsia="Arial" w:hAnsi="Arial"/>
                <w:sz w:val="16"/>
                <w:szCs w:val="16"/>
                <w:color w:val="auto"/>
              </w:rPr>
              <w:t>49,505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223,763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(173,763)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2,223,761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(1,672,521)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551,240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shares, Series B</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922,509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4,999,999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(2,632,977)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2,367,022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OzyMedia, Inc.–Preferred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ind w:left="440"/>
              <w:spacing w:after="0"/>
              <w:rPr>
                <w:sz w:val="20"/>
                <w:szCs w:val="20"/>
                <w:color w:val="auto"/>
              </w:rPr>
            </w:pPr>
            <w:r>
              <w:rPr>
                <w:rFonts w:ascii="Arial" w:cs="Arial" w:eastAsia="Arial" w:hAnsi="Arial"/>
                <w:sz w:val="16"/>
                <w:szCs w:val="16"/>
                <w:color w:val="auto"/>
              </w:rPr>
              <w:t>shares, Series A</w:t>
            </w:r>
          </w:p>
        </w:tc>
        <w:tc>
          <w:tcPr>
            <w:tcW w:w="820" w:type="dxa"/>
            <w:vAlign w:val="bottom"/>
          </w:tcPr>
          <w:p>
            <w:pPr>
              <w:jc w:val="right"/>
              <w:spacing w:after="0"/>
              <w:rPr>
                <w:sz w:val="20"/>
                <w:szCs w:val="20"/>
                <w:color w:val="auto"/>
              </w:rPr>
            </w:pPr>
            <w:r>
              <w:rPr>
                <w:rFonts w:ascii="Arial" w:cs="Arial" w:eastAsia="Arial" w:hAnsi="Arial"/>
                <w:sz w:val="16"/>
                <w:szCs w:val="16"/>
                <w:color w:val="auto"/>
              </w:rPr>
              <w:t>1,090,909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3,000,000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(1,580,190)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1,419,810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shares, Series Seed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(373,365)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236,635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1"/>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8,609,999</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(4,586,532)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4,023,467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Social Media</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AlwaysOn, Inc.–Preferred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shares, Series A-1</w:t>
            </w:r>
            <w:r>
              <w:rPr>
                <w:rFonts w:ascii="Arial" w:cs="Arial" w:eastAsia="Arial" w:hAnsi="Arial"/>
                <w:sz w:val="21"/>
                <w:szCs w:val="21"/>
                <w:color w:val="auto"/>
                <w:vertAlign w:val="superscript"/>
              </w:rPr>
              <w:t>(10)</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(876,023)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876,023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AlwaysOn,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shares, Series A</w:t>
            </w:r>
            <w:r>
              <w:rPr>
                <w:rFonts w:ascii="Arial" w:cs="Arial" w:eastAsia="Arial" w:hAnsi="Arial"/>
                <w:sz w:val="21"/>
                <w:szCs w:val="21"/>
                <w:color w:val="auto"/>
                <w:vertAlign w:val="superscript"/>
              </w:rPr>
              <w:t>(10)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(1,027,391)</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1,027,391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Social Media</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0"/>
              </w:rPr>
              <w:t>(1,903,414)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1,903,414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32,867,776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119,299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$(3,000,000)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(4,475,784)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(12,488,239)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13,023,052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37"/>
        </w:trPr>
        <w:tc>
          <w:tcPr>
            <w:tcW w:w="2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Big Data Consulting</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Strategic Data Command, LLC–</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Common shares</w:t>
            </w:r>
            <w:r>
              <w:rPr>
                <w:rFonts w:ascii="Arial" w:cs="Arial" w:eastAsia="Arial" w:hAnsi="Arial"/>
                <w:sz w:val="21"/>
                <w:szCs w:val="21"/>
                <w:color w:val="auto"/>
                <w:vertAlign w:val="superscript"/>
              </w:rPr>
              <w:t>(7)</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2,052,555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4"/>
              </w:rPr>
              <w:t>$(2,514,651)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1,524,374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(1,063,278)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Globally-Focused Private School</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Whittle Schools, LLC–Common</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(5)</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1,500,000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59,649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77,097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Common Stock</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3,552,555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60,649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$(4,089,651)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1,462,628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(986,181)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8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Sales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Gains/(Losses)</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80" w:type="dxa"/>
            <w:vAlign w:val="bottom"/>
            <w:gridSpan w:val="2"/>
          </w:tcPr>
          <w:p>
            <w:pPr>
              <w:ind w:left="180"/>
              <w:spacing w:after="0"/>
              <w:rPr>
                <w:sz w:val="20"/>
                <w:szCs w:val="20"/>
                <w:color w:val="auto"/>
              </w:rPr>
            </w:pPr>
            <w:r>
              <w:rPr>
                <w:rFonts w:ascii="Arial" w:cs="Arial" w:eastAsia="Arial" w:hAnsi="Arial"/>
                <w:sz w:val="16"/>
                <w:szCs w:val="16"/>
                <w:i w:val="1"/>
                <w:iCs w:val="1"/>
                <w:color w:val="auto"/>
              </w:rPr>
              <w:t>Sports Analytics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Expiration Date 11/18/2022</w:t>
            </w:r>
            <w:r>
              <w:rPr>
                <w:rFonts w:ascii="Arial" w:cs="Arial" w:eastAsia="Arial" w:hAnsi="Arial"/>
                <w:sz w:val="21"/>
                <w:szCs w:val="21"/>
                <w:color w:val="auto"/>
                <w:vertAlign w:val="superscript"/>
              </w:rPr>
              <w:t>(13)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8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Expiration Date 8/29/2021</w:t>
            </w:r>
            <w:r>
              <w:rPr>
                <w:rFonts w:ascii="Arial" w:cs="Arial" w:eastAsia="Arial" w:hAnsi="Arial"/>
                <w:sz w:val="21"/>
                <w:szCs w:val="21"/>
                <w:color w:val="auto"/>
                <w:vertAlign w:val="superscript"/>
              </w:rPr>
              <w:t>(13)</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Expiration Date 6/26/2021</w:t>
            </w:r>
            <w:r>
              <w:rPr>
                <w:rFonts w:ascii="Arial" w:cs="Arial" w:eastAsia="Arial" w:hAnsi="Arial"/>
                <w:sz w:val="21"/>
                <w:szCs w:val="21"/>
                <w:color w:val="auto"/>
                <w:vertAlign w:val="superscript"/>
              </w:rPr>
              <w:t>(13)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8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Expiration Date 9/30/2020</w:t>
            </w:r>
            <w:r>
              <w:rPr>
                <w:rFonts w:ascii="Arial" w:cs="Arial" w:eastAsia="Arial" w:hAnsi="Arial"/>
                <w:sz w:val="21"/>
                <w:szCs w:val="21"/>
                <w:color w:val="auto"/>
                <w:vertAlign w:val="superscript"/>
              </w:rPr>
              <w:t>(13)</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Circle Media (f/k/a S3 Digital</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Corp. (d/b/a S3i))–Preferred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warrants, $1.00 Strike Price,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80" w:type="dxa"/>
            <w:vAlign w:val="bottom"/>
            <w:tcBorders>
              <w:bottom w:val="single" w:sz="8" w:color="CCEEFF"/>
            </w:tcBorders>
            <w:shd w:val="clear" w:color="auto" w:fill="CCEEFF"/>
          </w:tcPr>
          <w:p>
            <w:pPr>
              <w:ind w:left="440"/>
              <w:spacing w:after="0" w:line="239" w:lineRule="exact"/>
              <w:rPr>
                <w:sz w:val="20"/>
                <w:szCs w:val="20"/>
                <w:color w:val="auto"/>
              </w:rPr>
            </w:pPr>
            <w:r>
              <w:rPr>
                <w:rFonts w:ascii="Arial" w:cs="Arial" w:eastAsia="Arial" w:hAnsi="Arial"/>
                <w:sz w:val="16"/>
                <w:szCs w:val="16"/>
                <w:color w:val="auto"/>
                <w:w w:val="96"/>
              </w:rPr>
              <w:t>Expiration Date 11/21/2017</w:t>
            </w:r>
            <w:r>
              <w:rPr>
                <w:rFonts w:ascii="Arial" w:cs="Arial" w:eastAsia="Arial" w:hAnsi="Arial"/>
                <w:sz w:val="21"/>
                <w:szCs w:val="21"/>
                <w:color w:val="auto"/>
                <w:w w:val="96"/>
                <w:vertAlign w:val="superscript"/>
              </w:rPr>
              <w:t>(13)</w:t>
            </w:r>
          </w:p>
        </w:tc>
        <w:tc>
          <w:tcPr>
            <w:tcW w:w="100" w:type="dxa"/>
            <w:vAlign w:val="bottom"/>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31,354</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68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Sports Analytics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31,930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8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CUX, Inc. (d/b/a CorpU) -</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540"/>
              <w:spacing w:after="0"/>
              <w:rPr>
                <w:sz w:val="20"/>
                <w:szCs w:val="20"/>
                <w:color w:val="auto"/>
              </w:rPr>
            </w:pPr>
            <w:r>
              <w:rPr>
                <w:rFonts w:ascii="Arial" w:cs="Arial" w:eastAsia="Arial" w:hAnsi="Arial"/>
                <w:sz w:val="16"/>
                <w:szCs w:val="16"/>
                <w:color w:val="auto"/>
              </w:rPr>
              <w:t>Preferred warrants, Series 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540"/>
              <w:spacing w:after="0"/>
              <w:rPr>
                <w:sz w:val="20"/>
                <w:szCs w:val="20"/>
                <w:color w:val="auto"/>
              </w:rPr>
            </w:pPr>
            <w:r>
              <w:rPr>
                <w:rFonts w:ascii="Arial" w:cs="Arial" w:eastAsia="Arial" w:hAnsi="Arial"/>
                <w:sz w:val="16"/>
                <w:szCs w:val="16"/>
                <w:color w:val="auto"/>
              </w:rPr>
              <w:t>Strike Price $4.59, Expiration</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80" w:type="dxa"/>
            <w:vAlign w:val="bottom"/>
            <w:gridSpan w:val="2"/>
          </w:tcPr>
          <w:p>
            <w:pPr>
              <w:ind w:left="540"/>
              <w:spacing w:after="0"/>
              <w:rPr>
                <w:sz w:val="20"/>
                <w:szCs w:val="20"/>
                <w:color w:val="auto"/>
              </w:rPr>
            </w:pPr>
            <w:r>
              <w:rPr>
                <w:rFonts w:ascii="Arial" w:cs="Arial" w:eastAsia="Arial" w:hAnsi="Arial"/>
                <w:sz w:val="16"/>
                <w:szCs w:val="16"/>
                <w:color w:val="auto"/>
              </w:rPr>
              <w:t>Date 2/25/2018</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16,903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Social Media</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80" w:type="dxa"/>
            <w:vAlign w:val="bottom"/>
            <w:gridSpan w:val="2"/>
          </w:tcPr>
          <w:p>
            <w:pPr>
              <w:ind w:left="280"/>
              <w:spacing w:after="0"/>
              <w:rPr>
                <w:sz w:val="20"/>
                <w:szCs w:val="20"/>
                <w:color w:val="auto"/>
              </w:rPr>
            </w:pPr>
            <w:r>
              <w:rPr>
                <w:rFonts w:ascii="Arial" w:cs="Arial" w:eastAsia="Arial" w:hAnsi="Arial"/>
                <w:sz w:val="16"/>
                <w:szCs w:val="16"/>
                <w:color w:val="auto"/>
              </w:rPr>
              <w:t>AlwaysOn, Inc.–Preferred</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Warrants Series A, $1.00 strike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 xml:space="preserve">price, expire 1/9/2017 </w:t>
            </w:r>
            <w:r>
              <w:rPr>
                <w:rFonts w:ascii="Arial" w:cs="Arial" w:eastAsia="Arial" w:hAnsi="Arial"/>
                <w:sz w:val="21"/>
                <w:szCs w:val="21"/>
                <w:color w:val="auto"/>
                <w:vertAlign w:val="superscript"/>
              </w:rPr>
              <w:t>(10)</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Warrants</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TOTAL NON-</w:t>
            </w:r>
          </w:p>
        </w:tc>
        <w:tc>
          <w:tcPr>
            <w:tcW w:w="10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CONTROLLED/AFFILIATE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59,460</w:t>
            </w:r>
          </w:p>
        </w:tc>
        <w:tc>
          <w:tcPr>
            <w:tcW w:w="1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42,444,690</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278,069</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0"/>
              </w:rPr>
              <w:t>(7,089,651)</w:t>
            </w:r>
          </w:p>
        </w:tc>
        <w:tc>
          <w:tcPr>
            <w:tcW w:w="10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(3,075,494)</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8"/>
              </w:rPr>
              <w:t>(16,084,516)</w:t>
            </w:r>
          </w:p>
        </w:tc>
        <w:tc>
          <w:tcPr>
            <w:tcW w:w="12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16,473,098</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8.04%</w:t>
            </w:r>
          </w:p>
        </w:tc>
        <w:tc>
          <w:tcPr>
            <w:tcW w:w="0" w:type="dxa"/>
            <w:vAlign w:val="bottom"/>
          </w:tcPr>
          <w:p>
            <w:pPr>
              <w:spacing w:after="0"/>
              <w:rPr>
                <w:sz w:val="1"/>
                <w:szCs w:val="1"/>
                <w:color w:val="auto"/>
              </w:rPr>
            </w:pPr>
          </w:p>
        </w:tc>
      </w:tr>
      <w:tr>
        <w:trPr>
          <w:trHeight w:val="272"/>
        </w:trPr>
        <w:tc>
          <w:tcPr>
            <w:tcW w:w="26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-26035</wp:posOffset>
            </wp:positionV>
            <wp:extent cx="500824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08245" cy="2603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-5205730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____________________</w:t>
      </w:r>
    </w:p>
    <w:p>
      <w:pPr>
        <w:spacing w:after="0" w:line="7" w:lineRule="exact"/>
        <w:rPr>
          <w:sz w:val="20"/>
          <w:szCs w:val="20"/>
          <w:color w:val="auto"/>
        </w:rPr>
      </w:pPr>
    </w:p>
    <w:p>
      <w:pPr>
        <w:ind w:left="340" w:hanging="332"/>
        <w:spacing w:after="0" w:line="25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portfolio investments are non-income-producing, unless otherwise identified. Equity investments are subject to lock-up restrictions upon their IPO. Unless otherwise noted, all investments were pledged as collateral under the Credit Facility. The Company’s and GSV Asset Management’s officers and staff, as applicable, may serve on the board of directors of the Company’s portfolio investments. All portfolio investments are considered Level 3 and valued using unobservable inputs, unless otherwise noted. All investments are restricted as to resale, unless otherwise noted, and were valued at fair value as determined in good faith by the Company’s board of directors.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3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1940 Act.</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66" w:lineRule="exact"/>
        <w:rPr>
          <w:sz w:val="20"/>
          <w:szCs w:val="20"/>
          <w:color w:val="auto"/>
        </w:rPr>
      </w:pPr>
    </w:p>
    <w:p>
      <w:pPr>
        <w:ind w:left="340" w:right="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221"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GSV Capital Corp.’s investment in StormWind, LLC is held through its wholly owned subsidiary, GSVC SW Holdings, Inc.</w:t>
      </w:r>
    </w:p>
    <w:p>
      <w:pPr>
        <w:spacing w:after="0" w:line="265" w:lineRule="exact"/>
        <w:rPr>
          <w:rFonts w:ascii="Arial" w:cs="Arial" w:eastAsia="Arial" w:hAnsi="Arial"/>
          <w:sz w:val="18"/>
          <w:szCs w:val="18"/>
          <w:color w:val="auto"/>
        </w:rPr>
      </w:pPr>
    </w:p>
    <w:p>
      <w:pPr>
        <w:ind w:left="340" w:hanging="332"/>
        <w:spacing w:after="0" w:line="30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On November 29, 2017, the maturity date of the unsecured promissory note to NestGSV, Inc. (d/b/a GSV Labs, Inc.) was extended to January 15, 2018. On January 12, 2018, the unsecured promissory note to NestGSV, Inc. (d/b/a GSV Labs, Inc.) was repaid, with interest.</w:t>
      </w:r>
    </w:p>
    <w:p>
      <w:pPr>
        <w:spacing w:after="0" w:line="194" w:lineRule="exact"/>
        <w:rPr>
          <w:rFonts w:ascii="Arial" w:cs="Arial" w:eastAsia="Arial" w:hAnsi="Arial"/>
          <w:sz w:val="16"/>
          <w:szCs w:val="16"/>
          <w:color w:val="auto"/>
        </w:rPr>
      </w:pPr>
    </w:p>
    <w:p>
      <w:pPr>
        <w:ind w:left="340" w:right="1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 Whittle Schools, LLC is an investment that is collateralized by Avenues Global Holdings, LLC, as well as the personal collateral of Chris Whittle, the former chairman of Avenues Global Holdings, LLC. In November 2017, the Company sold its entire position in Whittle Schools, LLC.</w:t>
      </w:r>
    </w:p>
    <w:p>
      <w:pPr>
        <w:spacing w:after="0" w:line="221"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221" w:lineRule="exact"/>
        <w:rPr>
          <w:rFonts w:ascii="Arial" w:cs="Arial" w:eastAsia="Arial" w:hAnsi="Arial"/>
          <w:sz w:val="18"/>
          <w:szCs w:val="18"/>
          <w:color w:val="auto"/>
        </w:rPr>
      </w:pPr>
    </w:p>
    <w:p>
      <w:pPr>
        <w:ind w:left="340" w:right="76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 In November 2017, the Company sold its entire position in Strategic Data Command, LLC.</w:t>
      </w:r>
    </w:p>
    <w:p>
      <w:pPr>
        <w:spacing w:after="0" w:line="210"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July 1, 2017, the maturity date of the convertible promissory note to Declara, Inc. was extended to December 31, 2017. The convertible promissory note to Declara, Inc. was further extended until January 31, 2018. The maturity date of the convertible promissory note to Declara, Inc. was then subsequently extended an additional three months to April 30, 2018. On January 31, 2018 the interest rate on the convertible promissory note increased to 12% per annum (including 365 days for the purposes of accrual).</w:t>
      </w:r>
    </w:p>
    <w:p>
      <w:pPr>
        <w:spacing w:after="0" w:line="227"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wrote-off its investment in Global Education Learning (Holdings) Ltd. during the three months ended June 30, 2017.</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wrote-off its investment in AlwaysOn, Inc. during the three months ended March 31,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94" w:lineRule="exact"/>
        <w:rPr>
          <w:sz w:val="20"/>
          <w:szCs w:val="20"/>
          <w:color w:val="auto"/>
        </w:rPr>
      </w:pPr>
    </w:p>
    <w:p>
      <w:pPr>
        <w:jc w:val="both"/>
        <w:ind w:left="340" w:right="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fourth quarter of 2017, NestGSV, Inc. (d/b/a GSV Labs, Inc.) met certain financing qualifications under the Company’s warrant agreement with NestGSV, Inc. (d/b/a GSV Labs, Inc.) and the Company’s Series A-4 warrants with a strike price of $1.33 converted to Series B warrants with a $2.31 strike price.</w:t>
      </w:r>
    </w:p>
    <w:p>
      <w:pPr>
        <w:spacing w:after="0" w:line="22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Subsequent to period-end, Ozy Media, Inc.’s obligations under its financing arrangements with the Company became past due. The Company and Ozy Media are in the process of renegotiating the terms of the Company’s investment.</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wrote-off its investment in Circle Media (f/k/a S3 Digital Corp. (d/b/a S3i)) during the three months ended December 31, 2017.</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122" w:right="47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REPURCHASE PROGRAM, EQUITY OFFERINGS AND RELATED EXPENSES</w:t>
      </w:r>
    </w:p>
    <w:p>
      <w:pPr>
        <w:spacing w:after="0" w:line="229" w:lineRule="exact"/>
        <w:rPr>
          <w:sz w:val="20"/>
          <w:szCs w:val="20"/>
          <w:color w:val="auto"/>
        </w:rPr>
      </w:pPr>
    </w:p>
    <w:p>
      <w:pPr>
        <w:ind w:right="20" w:firstLine="351"/>
        <w:spacing w:after="0" w:line="270" w:lineRule="auto"/>
        <w:rPr>
          <w:sz w:val="20"/>
          <w:szCs w:val="20"/>
          <w:color w:val="auto"/>
        </w:rPr>
      </w:pPr>
      <w:r>
        <w:rPr>
          <w:rFonts w:ascii="Arial" w:cs="Arial" w:eastAsia="Arial" w:hAnsi="Arial"/>
          <w:sz w:val="17"/>
          <w:szCs w:val="17"/>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w:t>
      </w:r>
    </w:p>
    <w:p>
      <w:pPr>
        <w:spacing w:after="0" w:line="17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During the three and six months ended June 30, 2018, the Company repurchased 315,625 and 495,432 shares, respectively, of the Company’s common stock pursuant to the Share Repurchase Program for an average share price of $6.87 and $6.88, respectively, or approximately $2.2 million and $3.4 million, respectively, in aggregate. As of June 30, 2018, the dollar value of shares that remained available to be purchased by the Company under the Share Repurchase Program was approximately $6.7 million.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new shares of the Company’s common stock were issued during the three and six months ended June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INCREASE IN NET ASSETS RESULTING FROM OPERATIONS PER COMMON SHARE—BASIC AND DILUTED</w:t>
      </w:r>
    </w:p>
    <w:p>
      <w:pPr>
        <w:spacing w:after="0" w:line="229" w:lineRule="exact"/>
        <w:rPr>
          <w:sz w:val="20"/>
          <w:szCs w:val="20"/>
          <w:color w:val="auto"/>
        </w:rPr>
      </w:pPr>
    </w:p>
    <w:p>
      <w:pPr>
        <w:ind w:right="660" w:firstLine="351"/>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 per common share, pursuant to ASC 260, for the three and six months ended June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3"/>
        </w:trPr>
        <w:tc>
          <w:tcPr>
            <w:tcW w:w="56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Earnings per common share–basic:</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increase in net assets resulting from operations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8,830,003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6,198,075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15,796,299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9,980,961</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Weighted-average common shares–basic</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20,968,850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22,181,003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21,059,254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22,181,003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share–basic</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Earnings per common share–diluted: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increase in net assets resulting from operations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8,830,003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6,198,075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15,796,299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9,980,961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w w:val="98"/>
              </w:rPr>
              <w:t>Adjustment for interest and amortization on 5.25% Convertible Senior</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580" w:type="dxa"/>
            <w:vAlign w:val="bottom"/>
            <w:gridSpan w:val="3"/>
          </w:tcPr>
          <w:p>
            <w:pPr>
              <w:ind w:left="220"/>
              <w:spacing w:after="0"/>
              <w:rPr>
                <w:sz w:val="20"/>
                <w:szCs w:val="20"/>
                <w:color w:val="auto"/>
              </w:rPr>
            </w:pPr>
            <w:r>
              <w:rPr>
                <w:rFonts w:ascii="Arial" w:cs="Arial" w:eastAsia="Arial" w:hAnsi="Arial"/>
                <w:sz w:val="18"/>
                <w:szCs w:val="18"/>
                <w:color w:val="auto"/>
              </w:rPr>
              <w:t>Notes due 2018</w:t>
            </w:r>
          </w:p>
        </w:tc>
        <w:tc>
          <w:tcPr>
            <w:tcW w:w="3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821,585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1,122,020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1,872,253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2,241,884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shd w:val="clear" w:color="auto" w:fill="CCEEFF"/>
          </w:tcPr>
          <w:p>
            <w:pPr>
              <w:spacing w:after="0"/>
              <w:rPr>
                <w:sz w:val="21"/>
                <w:szCs w:val="21"/>
                <w:color w:val="auto"/>
              </w:rPr>
            </w:pPr>
          </w:p>
        </w:tc>
        <w:tc>
          <w:tcPr>
            <w:tcW w:w="5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Adjustment for interest and amortization on 4.75% Convertible Senior</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Notes due 2023</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570,505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589,302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tcBorders>
            <w:gridSpan w:val="4"/>
          </w:tcPr>
          <w:p>
            <w:pPr>
              <w:ind w:left="40"/>
              <w:spacing w:after="0"/>
              <w:rPr>
                <w:sz w:val="20"/>
                <w:szCs w:val="20"/>
                <w:color w:val="auto"/>
              </w:rPr>
            </w:pPr>
            <w:r>
              <w:rPr>
                <w:rFonts w:ascii="Arial" w:cs="Arial" w:eastAsia="Arial" w:hAnsi="Arial"/>
                <w:sz w:val="18"/>
                <w:szCs w:val="18"/>
                <w:color w:val="auto"/>
              </w:rPr>
              <w:t>Net increase in net assets resulting from operations, as adjusted</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10,222,093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7,320,095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18,257,854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12,222,845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shd w:val="clear" w:color="auto" w:fill="CCEEFF"/>
          </w:tcPr>
          <w:p>
            <w:pPr>
              <w:spacing w:after="0"/>
              <w:rPr>
                <w:sz w:val="21"/>
                <w:szCs w:val="21"/>
                <w:color w:val="auto"/>
              </w:rPr>
            </w:pPr>
          </w:p>
        </w:tc>
        <w:tc>
          <w:tcPr>
            <w:tcW w:w="5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Adjustment for dilutive effect of 5.25% Convertible Senior Notes due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7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4,166,480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5,751,815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4,757,803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5,751,815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w w:val="99"/>
              </w:rPr>
              <w:t>Adjustment for dilutive effect of 4.75% Convertible Senior Notes due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26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3,731,344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1,979,055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28,866,674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27,932,818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27,796,112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27,932,818</w:t>
            </w:r>
          </w:p>
        </w:tc>
        <w:tc>
          <w:tcPr>
            <w:tcW w:w="0" w:type="dxa"/>
            <w:vAlign w:val="bottom"/>
          </w:tcPr>
          <w:p>
            <w:pPr>
              <w:spacing w:after="0"/>
              <w:rPr>
                <w:sz w:val="1"/>
                <w:szCs w:val="1"/>
                <w:color w:val="auto"/>
              </w:rPr>
            </w:pPr>
          </w:p>
        </w:tc>
      </w:tr>
      <w:tr>
        <w:trPr>
          <w:trHeight w:val="257"/>
        </w:trPr>
        <w:tc>
          <w:tcPr>
            <w:tcW w:w="5620" w:type="dxa"/>
            <w:vAlign w:val="bottom"/>
            <w:tcBorders>
              <w:top w:val="single" w:sz="8" w:color="CCEEFF"/>
            </w:tcBorders>
            <w:gridSpan w:val="4"/>
          </w:tcPr>
          <w:p>
            <w:pPr>
              <w:ind w:left="40"/>
              <w:spacing w:after="0"/>
              <w:rPr>
                <w:sz w:val="20"/>
                <w:szCs w:val="20"/>
                <w:color w:val="auto"/>
              </w:rPr>
            </w:pPr>
            <w:r>
              <w:rPr>
                <w:rFonts w:ascii="Arial" w:cs="Arial" w:eastAsia="Arial" w:hAnsi="Arial"/>
                <w:sz w:val="18"/>
                <w:szCs w:val="18"/>
                <w:b w:val="1"/>
                <w:bCs w:val="1"/>
                <w:color w:val="auto"/>
              </w:rPr>
              <w:t>Earnings per common share–diluted</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2"/>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46</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229" w:lineRule="exact"/>
        <w:rPr>
          <w:sz w:val="20"/>
          <w:szCs w:val="20"/>
          <w:color w:val="auto"/>
        </w:rPr>
      </w:pPr>
    </w:p>
    <w:p>
      <w:pPr>
        <w:ind w:right="140" w:firstLine="351"/>
        <w:spacing w:after="0" w:line="264"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June 30, 2018 and December 31, 2017, the Company had not entered into any investment agreements that required it to make a future investment in a portfolio company.</w:t>
      </w:r>
    </w:p>
    <w:p>
      <w:pPr>
        <w:spacing w:after="0" w:line="181" w:lineRule="exact"/>
        <w:rPr>
          <w:sz w:val="20"/>
          <w:szCs w:val="20"/>
          <w:color w:val="auto"/>
        </w:rPr>
      </w:pPr>
    </w:p>
    <w:p>
      <w:pPr>
        <w:ind w:right="260" w:firstLine="351"/>
        <w:spacing w:after="0" w:line="302" w:lineRule="auto"/>
        <w:rPr>
          <w:sz w:val="20"/>
          <w:szCs w:val="20"/>
          <w:color w:val="auto"/>
        </w:rPr>
      </w:pPr>
      <w:r>
        <w:rPr>
          <w:rFonts w:ascii="Arial" w:cs="Arial" w:eastAsia="Arial" w:hAnsi="Arial"/>
          <w:sz w:val="16"/>
          <w:szCs w:val="16"/>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8—FINANCIAL HIGHLIGHTS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88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20" w:type="dxa"/>
            <w:vAlign w:val="bottom"/>
          </w:tcPr>
          <w:p>
            <w:pPr>
              <w:spacing w:after="0"/>
              <w:rPr>
                <w:sz w:val="22"/>
                <w:szCs w:val="22"/>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 Basic Share Data</w:t>
            </w:r>
          </w:p>
        </w:tc>
        <w:tc>
          <w:tcPr>
            <w:tcW w:w="4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r>
      <w:tr>
        <w:trPr>
          <w:trHeight w:val="236"/>
        </w:trPr>
        <w:tc>
          <w:tcPr>
            <w:tcW w:w="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 value at beginning of period</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8.66</w:t>
            </w:r>
          </w:p>
        </w:tc>
      </w:tr>
      <w:tr>
        <w:trPr>
          <w:trHeight w:val="270"/>
        </w:trPr>
        <w:tc>
          <w:tcPr>
            <w:tcW w:w="20" w:type="dxa"/>
            <w:vAlign w:val="bottom"/>
          </w:tcPr>
          <w:p>
            <w:pPr>
              <w:spacing w:after="0"/>
              <w:rPr>
                <w:sz w:val="23"/>
                <w:szCs w:val="23"/>
                <w:color w:val="auto"/>
              </w:rPr>
            </w:pPr>
          </w:p>
        </w:tc>
        <w:tc>
          <w:tcPr>
            <w:tcW w:w="4580" w:type="dxa"/>
            <w:vAlign w:val="bottom"/>
          </w:tcPr>
          <w:p>
            <w:pPr>
              <w:ind w:left="160"/>
              <w:spacing w:after="0"/>
              <w:rPr>
                <w:sz w:val="20"/>
                <w:szCs w:val="20"/>
                <w:color w:val="auto"/>
              </w:rPr>
            </w:pPr>
            <w:r>
              <w:rPr>
                <w:rFonts w:ascii="Arial" w:cs="Arial" w:eastAsia="Arial" w:hAnsi="Arial"/>
                <w:sz w:val="16"/>
                <w:szCs w:val="16"/>
                <w:color w:val="auto"/>
              </w:rPr>
              <w:t>Net investment loss</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(0.48)</w:t>
            </w:r>
          </w:p>
        </w:tc>
      </w:tr>
      <w:tr>
        <w:trPr>
          <w:trHeight w:val="270"/>
        </w:trPr>
        <w:tc>
          <w:tcPr>
            <w:tcW w:w="20" w:type="dxa"/>
            <w:vAlign w:val="bottom"/>
          </w:tcPr>
          <w:p>
            <w:pPr>
              <w:spacing w:after="0"/>
              <w:rPr>
                <w:sz w:val="23"/>
                <w:szCs w:val="23"/>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realized gain/(loss) on investments</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(1.14)</w:t>
            </w:r>
          </w:p>
        </w:tc>
      </w:tr>
      <w:tr>
        <w:trPr>
          <w:trHeight w:val="220"/>
        </w:trPr>
        <w:tc>
          <w:tcPr>
            <w:tcW w:w="20" w:type="dxa"/>
            <w:vAlign w:val="bottom"/>
          </w:tcPr>
          <w:p>
            <w:pPr>
              <w:spacing w:after="0"/>
              <w:rPr>
                <w:sz w:val="19"/>
                <w:szCs w:val="19"/>
                <w:color w:val="auto"/>
              </w:rPr>
            </w:pPr>
          </w:p>
        </w:tc>
        <w:tc>
          <w:tcPr>
            <w:tcW w:w="4580" w:type="dxa"/>
            <w:vAlign w:val="bottom"/>
          </w:tcPr>
          <w:p>
            <w:pPr>
              <w:ind w:left="160"/>
              <w:spacing w:after="0"/>
              <w:rPr>
                <w:sz w:val="20"/>
                <w:szCs w:val="20"/>
                <w:color w:val="auto"/>
              </w:rPr>
            </w:pPr>
            <w:r>
              <w:rPr>
                <w:rFonts w:ascii="Arial" w:cs="Arial" w:eastAsia="Arial" w:hAnsi="Arial"/>
                <w:sz w:val="16"/>
                <w:szCs w:val="16"/>
                <w:color w:val="auto"/>
                <w:w w:val="97"/>
              </w:rPr>
              <w:t>Realized loss on partial repurchase of 5.25% Convertible Senior</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580" w:type="dxa"/>
            <w:vAlign w:val="bottom"/>
          </w:tcPr>
          <w:p>
            <w:pPr>
              <w:ind w:left="320"/>
              <w:spacing w:after="0" w:line="239" w:lineRule="exact"/>
              <w:rPr>
                <w:sz w:val="20"/>
                <w:szCs w:val="20"/>
                <w:color w:val="auto"/>
              </w:rPr>
            </w:pPr>
            <w:r>
              <w:rPr>
                <w:rFonts w:ascii="Arial" w:cs="Arial" w:eastAsia="Arial" w:hAnsi="Arial"/>
                <w:sz w:val="16"/>
                <w:szCs w:val="16"/>
                <w:color w:val="auto"/>
              </w:rPr>
              <w:t>Notes due 2018</w:t>
            </w:r>
            <w:r>
              <w:rPr>
                <w:rFonts w:ascii="Arial" w:cs="Arial" w:eastAsia="Arial" w:hAnsi="Arial"/>
                <w:sz w:val="21"/>
                <w:szCs w:val="21"/>
                <w:color w:val="auto"/>
                <w:vertAlign w:val="superscript"/>
              </w:rPr>
              <w:t>(1)</w:t>
            </w:r>
          </w:p>
        </w:tc>
        <w:tc>
          <w:tcPr>
            <w:tcW w:w="4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change in unrealized appreciation/(depreciation) of</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580" w:type="dxa"/>
            <w:vAlign w:val="bottom"/>
            <w:shd w:val="clear" w:color="auto" w:fill="CCEEFF"/>
          </w:tcPr>
          <w:p>
            <w:pPr>
              <w:ind w:left="320"/>
              <w:spacing w:after="0" w:line="239" w:lineRule="exact"/>
              <w:rPr>
                <w:sz w:val="20"/>
                <w:szCs w:val="20"/>
                <w:color w:val="auto"/>
              </w:rPr>
            </w:pPr>
            <w:r>
              <w:rPr>
                <w:rFonts w:ascii="Arial" w:cs="Arial" w:eastAsia="Arial" w:hAnsi="Arial"/>
                <w:sz w:val="16"/>
                <w:szCs w:val="16"/>
                <w:color w:val="auto"/>
              </w:rPr>
              <w:t>investments</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0.47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0.86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2.08</w:t>
            </w:r>
          </w:p>
        </w:tc>
      </w:tr>
      <w:tr>
        <w:trPr>
          <w:trHeight w:val="270"/>
        </w:trPr>
        <w:tc>
          <w:tcPr>
            <w:tcW w:w="20" w:type="dxa"/>
            <w:vAlign w:val="bottom"/>
          </w:tcPr>
          <w:p>
            <w:pPr>
              <w:spacing w:after="0"/>
              <w:rPr>
                <w:sz w:val="23"/>
                <w:szCs w:val="23"/>
                <w:color w:val="auto"/>
              </w:rPr>
            </w:pPr>
          </w:p>
        </w:tc>
        <w:tc>
          <w:tcPr>
            <w:tcW w:w="4580" w:type="dxa"/>
            <w:vAlign w:val="bottom"/>
          </w:tcPr>
          <w:p>
            <w:pPr>
              <w:ind w:left="160"/>
              <w:spacing w:after="0"/>
              <w:rPr>
                <w:sz w:val="20"/>
                <w:szCs w:val="20"/>
                <w:color w:val="auto"/>
              </w:rPr>
            </w:pPr>
            <w:r>
              <w:rPr>
                <w:rFonts w:ascii="Arial" w:cs="Arial" w:eastAsia="Arial" w:hAnsi="Arial"/>
                <w:sz w:val="16"/>
                <w:szCs w:val="16"/>
                <w:color w:val="auto"/>
                <w:w w:val="98"/>
              </w:rPr>
              <w:t>Benefit from taxes on unrealized depreciation of investments</w:t>
            </w:r>
            <w:r>
              <w:rPr>
                <w:rFonts w:ascii="Arial" w:cs="Arial" w:eastAsia="Arial" w:hAnsi="Arial"/>
                <w:sz w:val="21"/>
                <w:szCs w:val="21"/>
                <w:color w:val="auto"/>
                <w:w w:val="98"/>
                <w:vertAlign w:val="superscript"/>
              </w:rPr>
              <w:t>(1)</w:t>
            </w:r>
          </w:p>
        </w:tc>
        <w:tc>
          <w:tcPr>
            <w:tcW w:w="420" w:type="dxa"/>
            <w:vAlign w:val="bottom"/>
          </w:tcPr>
          <w:p>
            <w:pPr>
              <w:spacing w:after="0"/>
              <w:rPr>
                <w:sz w:val="23"/>
                <w:szCs w:val="23"/>
                <w:color w:val="auto"/>
              </w:rPr>
            </w:pP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of common stock</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84"/>
        </w:trPr>
        <w:tc>
          <w:tcPr>
            <w:tcW w:w="20" w:type="dxa"/>
            <w:vAlign w:val="bottom"/>
          </w:tcPr>
          <w:p>
            <w:pPr>
              <w:spacing w:after="0"/>
              <w:rPr>
                <w:sz w:val="24"/>
                <w:szCs w:val="24"/>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asset value at end of period</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9.11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9.11</w:t>
            </w:r>
          </w:p>
        </w:tc>
      </w:tr>
      <w:tr>
        <w:trPr>
          <w:trHeight w:val="224"/>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 share market value at end of period</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4.34</w:t>
            </w:r>
          </w:p>
        </w:tc>
      </w:tr>
      <w:tr>
        <w:trPr>
          <w:trHeight w:val="270"/>
        </w:trPr>
        <w:tc>
          <w:tcPr>
            <w:tcW w:w="2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Total return based on market value</w:t>
            </w:r>
            <w:r>
              <w:rPr>
                <w:rFonts w:ascii="Arial" w:cs="Arial" w:eastAsia="Arial" w:hAnsi="Arial"/>
                <w:sz w:val="21"/>
                <w:szCs w:val="21"/>
                <w:color w:val="auto"/>
                <w:vertAlign w:val="superscript"/>
              </w:rPr>
              <w:t>(2)</w:t>
            </w: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25.87 %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(13.72)%</w:t>
            </w:r>
          </w:p>
        </w:tc>
      </w:tr>
      <w:tr>
        <w:trPr>
          <w:trHeight w:val="270"/>
        </w:trPr>
        <w:tc>
          <w:tcPr>
            <w:tcW w:w="20" w:type="dxa"/>
            <w:vAlign w:val="bottom"/>
          </w:tcPr>
          <w:p>
            <w:pPr>
              <w:spacing w:after="0"/>
              <w:rPr>
                <w:sz w:val="23"/>
                <w:szCs w:val="23"/>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return based on net asset value</w:t>
            </w:r>
            <w:r>
              <w:rPr>
                <w:rFonts w:ascii="Arial" w:cs="Arial" w:eastAsia="Arial" w:hAnsi="Arial"/>
                <w:sz w:val="21"/>
                <w:szCs w:val="21"/>
                <w:color w:val="auto"/>
                <w:vertAlign w:val="superscript"/>
              </w:rPr>
              <w:t>(2)</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5.20 %</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Shares outstanding at end of period</w:t>
            </w:r>
          </w:p>
        </w:tc>
        <w:tc>
          <w:tcPr>
            <w:tcW w:w="420" w:type="dxa"/>
            <w:vAlign w:val="bottom"/>
          </w:tcPr>
          <w:p>
            <w:pPr>
              <w:spacing w:after="0"/>
              <w:rPr>
                <w:sz w:val="20"/>
                <w:szCs w:val="20"/>
                <w:color w:val="auto"/>
              </w:rPr>
            </w:pP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20,750,913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22,181,003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20,750,913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22,181,003</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Ratios/Supplemental Data:</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Net assets at end of period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217,148,613</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202,109,771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217,148,613</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202,109,771</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net assets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210,027,033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196,335,041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207,058,773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193,899,415</w:t>
            </w:r>
          </w:p>
        </w:tc>
      </w:tr>
      <w:tr>
        <w:trPr>
          <w:trHeight w:val="270"/>
        </w:trPr>
        <w:tc>
          <w:tcPr>
            <w:tcW w:w="2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Ratio of gross operating expenses to average net assets</w:t>
            </w:r>
            <w:r>
              <w:rPr>
                <w:rFonts w:ascii="Arial" w:cs="Arial" w:eastAsia="Arial" w:hAnsi="Arial"/>
                <w:sz w:val="21"/>
                <w:szCs w:val="21"/>
                <w:color w:val="auto"/>
                <w:vertAlign w:val="superscript"/>
              </w:rPr>
              <w:t>(3)</w:t>
            </w: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12.25 %</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13.12 %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11.15 %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12.22 %</w:t>
            </w:r>
          </w:p>
        </w:tc>
      </w:tr>
      <w:tr>
        <w:trPr>
          <w:trHeight w:val="270"/>
        </w:trPr>
        <w:tc>
          <w:tcPr>
            <w:tcW w:w="20" w:type="dxa"/>
            <w:vAlign w:val="bottom"/>
          </w:tcPr>
          <w:p>
            <w:pPr>
              <w:spacing w:after="0"/>
              <w:rPr>
                <w:sz w:val="23"/>
                <w:szCs w:val="23"/>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incentive fee waiver to average net assets</w:t>
            </w:r>
            <w:r>
              <w:rPr>
                <w:rFonts w:ascii="Arial" w:cs="Arial" w:eastAsia="Arial" w:hAnsi="Arial"/>
                <w:sz w:val="21"/>
                <w:szCs w:val="21"/>
                <w:color w:val="auto"/>
                <w:vertAlign w:val="superscript"/>
              </w:rPr>
              <w:t>(3)</w:t>
            </w:r>
          </w:p>
        </w:tc>
        <w:tc>
          <w:tcPr>
            <w:tcW w:w="4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3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 %</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20" w:type="dxa"/>
            <w:vAlign w:val="bottom"/>
          </w:tcPr>
          <w:p>
            <w:pPr>
              <w:spacing w:after="0"/>
              <w:rPr>
                <w:sz w:val="23"/>
                <w:szCs w:val="23"/>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Ratio of management fee waiver to average net assets</w:t>
            </w:r>
            <w:r>
              <w:rPr>
                <w:rFonts w:ascii="Arial" w:cs="Arial" w:eastAsia="Arial" w:hAnsi="Arial"/>
                <w:sz w:val="21"/>
                <w:szCs w:val="21"/>
                <w:color w:val="auto"/>
                <w:vertAlign w:val="superscript"/>
              </w:rPr>
              <w:t>(3)</w:t>
            </w: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net operating expenses to average net assets</w:t>
            </w:r>
            <w:r>
              <w:rPr>
                <w:rFonts w:ascii="Arial" w:cs="Arial" w:eastAsia="Arial" w:hAnsi="Arial"/>
                <w:sz w:val="21"/>
                <w:szCs w:val="21"/>
                <w:color w:val="auto"/>
                <w:vertAlign w:val="superscript"/>
              </w:rPr>
              <w:t>(3)</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11.86 %</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line="237" w:lineRule="exact"/>
              <w:rPr>
                <w:sz w:val="20"/>
                <w:szCs w:val="20"/>
                <w:color w:val="auto"/>
              </w:rPr>
            </w:pPr>
            <w:r>
              <w:rPr>
                <w:rFonts w:ascii="Arial" w:cs="Arial" w:eastAsia="Arial" w:hAnsi="Arial"/>
                <w:sz w:val="16"/>
                <w:szCs w:val="16"/>
                <w:color w:val="auto"/>
              </w:rPr>
              <w:t>Ratio of net investment loss to average net assets</w:t>
            </w:r>
            <w:r>
              <w:rPr>
                <w:rFonts w:ascii="Arial" w:cs="Arial" w:eastAsia="Arial" w:hAnsi="Arial"/>
                <w:sz w:val="21"/>
                <w:szCs w:val="21"/>
                <w:color w:val="auto"/>
                <w:vertAlign w:val="superscript"/>
              </w:rPr>
              <w:t>(3)</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(11.12)%</w:t>
            </w: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Portfolio Turnover Ratio</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__________________</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-678180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weighted-average number of shares outstanding for the relevant period.</w:t>
      </w:r>
    </w:p>
    <w:p>
      <w:pPr>
        <w:spacing w:after="0" w:line="7" w:lineRule="exact"/>
        <w:rPr>
          <w:rFonts w:ascii="Arial" w:cs="Arial" w:eastAsia="Arial" w:hAnsi="Arial"/>
          <w:sz w:val="18"/>
          <w:szCs w:val="18"/>
          <w:color w:val="auto"/>
        </w:rPr>
      </w:pPr>
    </w:p>
    <w:p>
      <w:pPr>
        <w:ind w:left="500" w:right="28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spacing w:after="0" w:line="1" w:lineRule="exact"/>
        <w:rPr>
          <w:rFonts w:ascii="Arial" w:cs="Arial" w:eastAsia="Arial" w:hAnsi="Arial"/>
          <w:sz w:val="18"/>
          <w:szCs w:val="18"/>
          <w:color w:val="auto"/>
        </w:rPr>
      </w:pPr>
    </w:p>
    <w:p>
      <w:pPr>
        <w:ind w:left="500" w:right="120" w:hanging="492"/>
        <w:spacing w:after="0" w:line="25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Non-recurring expenses, including the $5.0 million accrued incentive fee forfeiture pursuant to the Waiver Agreement, are not annualized. For the three and six months ended June 30, 2018, the Company excluded $0 and $352,667 of non-recurring expenses, respectively and did</w:t>
      </w:r>
    </w:p>
    <w:p>
      <w:pPr>
        <w:sectPr>
          <w:pgSz w:w="11900" w:h="16838" w:orient="portrait"/>
          <w:cols w:equalWidth="0" w:num="1">
            <w:col w:w="11420"/>
          </w:cols>
          <w:pgMar w:left="240" w:top="122"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annualize the incentive fee waiver. For the three and six months ended June 30, 2017, the Company did not incur any non-recurring expenses.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Because the ratios are calculated for the Company’s common stock taken as a whole, an individual investor’s ratios may vary from these ratios.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9" w:lineRule="exact"/>
        <w:rPr>
          <w:sz w:val="20"/>
          <w:szCs w:val="20"/>
          <w:color w:val="auto"/>
        </w:rPr>
      </w:pPr>
    </w:p>
    <w:p>
      <w:pPr>
        <w:ind w:right="60" w:firstLine="351"/>
        <w:spacing w:after="0" w:line="342"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w:t>
      </w:r>
    </w:p>
    <w:p>
      <w:pPr>
        <w:spacing w:after="0" w:line="12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Due to the Company’s election to be treated as RIC, the associated previously accrued benefits from, and provisions for, taxes from prior periods were reversed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 Typically for a taxable entity, net realized capital gains would generate a provision for taxes; however, as a result of our election to be treated as a RIC, we reversed the previously accrued provisions for taxes on net realized capital gains from prior periods.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192" w:lineRule="exact"/>
        <w:rPr>
          <w:sz w:val="20"/>
          <w:szCs w:val="20"/>
          <w:color w:val="auto"/>
        </w:rPr>
      </w:pPr>
    </w:p>
    <w:p>
      <w:pPr>
        <w:jc w:val="both"/>
        <w:ind w:right="140" w:firstLine="351"/>
        <w:spacing w:after="0" w:line="276"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Arial" w:cs="Arial" w:eastAsia="Arial" w:hAnsi="Arial"/>
          <w:sz w:val="17"/>
          <w:szCs w:val="17"/>
          <w:i w:val="1"/>
          <w:iCs w:val="1"/>
          <w:color w:val="auto"/>
        </w:rPr>
        <w:t>i.e.</w:t>
      </w:r>
      <w:r>
        <w:rPr>
          <w:rFonts w:ascii="Arial" w:cs="Arial" w:eastAsia="Arial" w:hAnsi="Arial"/>
          <w:sz w:val="17"/>
          <w:szCs w:val="17"/>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173" w:lineRule="exact"/>
        <w:rPr>
          <w:sz w:val="20"/>
          <w:szCs w:val="20"/>
          <w:color w:val="auto"/>
        </w:rPr>
      </w:pPr>
    </w:p>
    <w:p>
      <w:pPr>
        <w:ind w:firstLine="351"/>
        <w:spacing w:after="0" w:line="271" w:lineRule="auto"/>
        <w:rPr>
          <w:sz w:val="20"/>
          <w:szCs w:val="20"/>
          <w:color w:val="auto"/>
        </w:rPr>
      </w:pPr>
      <w:r>
        <w:rPr>
          <w:rFonts w:ascii="Arial" w:cs="Arial" w:eastAsia="Arial" w:hAnsi="Arial"/>
          <w:sz w:val="17"/>
          <w:szCs w:val="17"/>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 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w:t>
      </w:r>
    </w:p>
    <w:p>
      <w:pPr>
        <w:spacing w:after="0" w:line="179" w:lineRule="exact"/>
        <w:rPr>
          <w:sz w:val="20"/>
          <w:szCs w:val="20"/>
          <w:color w:val="auto"/>
        </w:rPr>
      </w:pPr>
    </w:p>
    <w:p>
      <w:pPr>
        <w:ind w:right="120" w:firstLine="351"/>
        <w:spacing w:after="0" w:line="297" w:lineRule="auto"/>
        <w:rPr>
          <w:sz w:val="20"/>
          <w:szCs w:val="20"/>
          <w:color w:val="auto"/>
        </w:rPr>
      </w:pPr>
      <w:r>
        <w:rPr>
          <w:rFonts w:ascii="Arial" w:cs="Arial" w:eastAsia="Arial" w:hAnsi="Arial"/>
          <w:sz w:val="16"/>
          <w:szCs w:val="16"/>
          <w:color w:val="auto"/>
        </w:rPr>
        <w:t>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w:t>
      </w:r>
    </w:p>
    <w:p>
      <w:pPr>
        <w:spacing w:after="0" w:line="15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As of June 30, 2018 and December 31, 2017, the Company recorded a deferred tax liability of approximately $6.2 million and $7.6 million, respectively, of which approximately $6.1 million and $6.1 million have been recorded in the event that such gains are recognized by December 31, 2018, and approximately $0.1 million and $1.5 million relate to the difference in the book and tax basis of certain equity investments and net tax operating losses held by the GSVC Holdings.</w:t>
      </w:r>
    </w:p>
    <w:p>
      <w:pPr>
        <w:spacing w:after="0" w:line="187" w:lineRule="exact"/>
        <w:rPr>
          <w:sz w:val="20"/>
          <w:szCs w:val="20"/>
          <w:color w:val="auto"/>
        </w:rPr>
      </w:pPr>
    </w:p>
    <w:p>
      <w:pPr>
        <w:ind w:right="140" w:firstLine="351"/>
        <w:spacing w:after="0" w:line="277" w:lineRule="auto"/>
        <w:rPr>
          <w:sz w:val="20"/>
          <w:szCs w:val="20"/>
          <w:color w:val="auto"/>
        </w:rPr>
      </w:pPr>
      <w:r>
        <w:rPr>
          <w:rFonts w:ascii="Arial" w:cs="Arial" w:eastAsia="Arial" w:hAnsi="Arial"/>
          <w:sz w:val="18"/>
          <w:szCs w:val="18"/>
          <w:color w:val="auto"/>
        </w:rPr>
        <w:t>For U.S. federal and state income tax purposes, a portion of the GSVC Holdings’ net operating loss carryforwards and basis differences may be subject to limitations on annual utilization in case of a change in ownership, as defined by federal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law. The amount of such limitations, if any, has not been determined. Accordingly, the amount of such tax attributes available to offset future profits may be significantly less than the actual amounts of the tax attributes.</w:t>
      </w:r>
    </w:p>
    <w:p>
      <w:pPr>
        <w:spacing w:after="0" w:line="170" w:lineRule="exact"/>
        <w:rPr>
          <w:sz w:val="20"/>
          <w:szCs w:val="20"/>
          <w:color w:val="auto"/>
        </w:rPr>
      </w:pPr>
    </w:p>
    <w:p>
      <w:pPr>
        <w:jc w:val="both"/>
        <w:ind w:right="20" w:firstLine="351"/>
        <w:spacing w:after="0" w:line="312" w:lineRule="auto"/>
        <w:rPr>
          <w:sz w:val="20"/>
          <w:szCs w:val="20"/>
          <w:color w:val="auto"/>
        </w:rPr>
      </w:pPr>
      <w:r>
        <w:rPr>
          <w:rFonts w:ascii="Arial" w:cs="Arial" w:eastAsia="Arial" w:hAnsi="Arial"/>
          <w:sz w:val="16"/>
          <w:szCs w:val="16"/>
          <w:color w:val="auto"/>
        </w:rPr>
        <w:t>The Company and the GSVC Holdings identified their major tax jurisdictions as U.S. federal and California and may be subject to the taxing authorities’ examination for the tax years 2014–2017 and 2013–2017, respectively. Further, the Company and the GSVC Holdings accrue all interest and penalties related to uncertain tax positions as incurred. As of June 30, 2018, there were no interest or penalties incurred related to uncertain tax positions.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 Convertible Senior Notes due 2018</w:t>
      </w:r>
    </w:p>
    <w:p>
      <w:pPr>
        <w:spacing w:after="0" w:line="229" w:lineRule="exact"/>
        <w:rPr>
          <w:sz w:val="20"/>
          <w:szCs w:val="20"/>
          <w:color w:val="auto"/>
        </w:rPr>
      </w:pPr>
    </w:p>
    <w:p>
      <w:pPr>
        <w:ind w:right="40" w:firstLine="351"/>
        <w:spacing w:after="0" w:line="270" w:lineRule="auto"/>
        <w:rPr>
          <w:sz w:val="20"/>
          <w:szCs w:val="20"/>
          <w:color w:val="auto"/>
        </w:rPr>
      </w:pPr>
      <w:r>
        <w:rPr>
          <w:rFonts w:ascii="Arial" w:cs="Arial" w:eastAsia="Arial" w:hAnsi="Arial"/>
          <w:sz w:val="17"/>
          <w:szCs w:val="17"/>
          <w:color w:val="auto"/>
        </w:rPr>
        <w:t>On September 17, 2013, the Company issued $69.0 million aggregate principal amount of convertible senior notes, which bear interest at a fixed rate of 5.25% per year, payable semi-annually in arrears on March 15 and September 15 of each year. The 5.25% Convertible Senior Notes mature on September 15, 2018 (the "5.25% Convertible Senior Notes due 2018"), unless previously repurchased or converted in accordance with their terms. The Company does not have the right to redeem the 5.25% Convertible Senior Notes due 2018 prior to maturity. The indenture governing the 5.25% Convertible Senior Notes due 2018 contains customary financial reporting requirements and contains certain restrictions on mergers, consolidations, and asset sales. The indenture also contains certain events of default, the occurrence of which may lead to the 5.25% Convertible Senior Notes due 2018 being due and payable before their maturity or immediately. The 5.25% Convertible Senior Notes due 2018 are convertible into shares of the Company’s common stock based on a conversion rate of 83.3596 shares of the Company’s common stock per $1,000 of principal amount of the 5.25% Convertible Senior Notes due 2018, which is equivalent to a conversion price of approximately $12.00 per share of common stock.</w:t>
      </w:r>
    </w:p>
    <w:p>
      <w:pPr>
        <w:spacing w:after="0" w:line="182"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On December 15, 2017, the Company announced the commencement of a cash tender offer (the “Tender Offer”) to purchase any and all of its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 tendered and not validly withdrawn pursuant to the Tender Offer. On March 27, 2018, the Company repurchased an additional $14.2 million aggregate principal amount of the outstanding 5.25% Convertible Senior Notes due 2018.</w:t>
      </w:r>
    </w:p>
    <w:p>
      <w:pPr>
        <w:spacing w:after="0" w:line="173" w:lineRule="exact"/>
        <w:rPr>
          <w:sz w:val="20"/>
          <w:szCs w:val="20"/>
          <w:color w:val="auto"/>
        </w:rPr>
      </w:pPr>
    </w:p>
    <w:p>
      <w:pPr>
        <w:ind w:right="220" w:firstLine="351"/>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5.25% Convertible Senior Notes due 2018 to the balance shown on the Condensed Consolidated Statements of Assets and Liabilities.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principal amount of 5.25% Convertible Senior Notes due 2018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49,982,000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69,000,000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Unamortized embedded derivative discount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(111,143)</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deduction of deferred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(506,308)</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5.25% Convertible Senior Notes due 2018 Payable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49,849,273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68,382,549</w:t>
            </w:r>
          </w:p>
        </w:tc>
      </w:tr>
      <w:tr>
        <w:trPr>
          <w:trHeight w:val="27"/>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52825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82"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As of June 30, 2018 and December 31, 2017, the principal amount of the 5.25% Convertible Senior Notes due 2018 exceeded the value of the underlying shares multiplied by the per share closing price of the Company’s common stock.</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The 5.25% Convertible Senior Notes due 2018 are the Company’s senior, unsecured obligations and rank senior in right of payment to any future indebtedness that is expressly subordinated in right of payment to the 5.25% Convertible Senior Notes due 2018, equal in right of payment to the 4.75% Convertible Senior Notes due 2023 (defined below) and any future unsecured indebtedness that is not so subordinated to the 5.25% Convertible Senior Notes due 2018, effectively junior to any existing and future secured indebtedness to the extent of the value of the assets securing such indebtedness, including, without limitation, any borrowings under the Credit Facility (defined below), and structurally junior to all future indebtedness (including trade payables) incurred by the Company’s subsidiaries.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54" w:lineRule="exact"/>
        <w:rPr>
          <w:sz w:val="20"/>
          <w:szCs w:val="20"/>
          <w:color w:val="auto"/>
        </w:rPr>
      </w:pPr>
    </w:p>
    <w:p>
      <w:pPr>
        <w:ind w:firstLine="351"/>
        <w:spacing w:after="0" w:line="271" w:lineRule="auto"/>
        <w:rPr>
          <w:sz w:val="20"/>
          <w:szCs w:val="20"/>
          <w:color w:val="auto"/>
        </w:rPr>
      </w:pPr>
      <w:r>
        <w:rPr>
          <w:rFonts w:ascii="Arial" w:cs="Arial" w:eastAsia="Arial" w:hAnsi="Arial"/>
          <w:sz w:val="17"/>
          <w:szCs w:val="17"/>
          <w:color w:val="auto"/>
        </w:rPr>
        <w:t>The 5.25% Convertible Senior Notes due 2018 contained an interest make-whole payment provision pursuant to which holders who converted their notes prior to September 15, 2016, would receive, in addition to a number of shares of the Company’s common stock calculated at the applicable conversion rate for the principal amount of 5.25% Convertible Senior Notes due 2018 being converted, the cash proceeds from the sale by the escrow agent of the portion of the U.S. Treasury strips in the escrow account that were remaining with respect to any of the first six interest payments that had not been made on the 5.25% Convertible Senior Notes due 2018 being converted. Under FASB ASC 815-10-15-74(a), the interest make-whole payment was considered an embedded derivative and was separated from the host contract, the 5.25% Convertible Senior Notes due 2018, and carried at fair value. The interest make-whole payment provision expired on September 15, 2016 rendering the embedded derivative with no value; however the original value of the embedded derivative of $0.7 million continues to be amortized over the life of the 5.25% Convertible Senior Notes due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March 28, 2018, the Company issued $40.0 million aggregate principal amount of convertible senior notes, which bear interest at a fixed rate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4.75% per year, payable semi-annually in arrears on March 31 and September 30 of each year, commencing on September 30, 2018. The 4.75%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Notes mature on March 28, 2023 (the "4.75% Convertible Senior Notes due 2023"), unless previously repurchased or converted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terms. The Company does not have the right to redeem the 4.75% Convertible Senior Notes due 2023 prior to March 27, 2021. On or after March 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the Company may redeem the 4.75% Convertible Senior Notes due 2023 for cash, in whole or from time to time in part, at the Company’s option if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closing sale price of the Company’s common stock for at least 15 trading days (whether or not consecutive) during the period of any 20 consecutive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trading days is greater than or equal to 150% of the conversion price on each applicable trading day, (ii) no public announcement of a pending, proposed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intended fundamental change has occurred which has not been abandoned, terminated or consummated, and (iii) no event of default under the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governing the 4.75% Convertible Senior Notes due 2023, and no event that with the passage of time or giving of notice would constitute an event of default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such indenture, has occurred or exists.</w:t>
      </w:r>
    </w:p>
    <w:p>
      <w:pPr>
        <w:spacing w:after="0" w:line="21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initial conversion rate for the 4.75% Convertible Senior Notes due 2023 is 93.2836 shares of the Company’s common stock for each $1,000 principal amount of 4.75% Convertible Senior Notes due 2023, which represents an initial conversion price of approximately $10.72 per share.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in the indenture governing the 4.75% Convertible Senior Notes due 2023, occurs prior to the stated maturity date, holders may require the Company 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167"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181" w:lineRule="exact"/>
        <w:rPr>
          <w:sz w:val="20"/>
          <w:szCs w:val="20"/>
          <w:color w:val="auto"/>
        </w:rPr>
      </w:pPr>
    </w:p>
    <w:p>
      <w:pPr>
        <w:ind w:right="240" w:firstLine="351"/>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4.75% Convertible Senior Notes due 2023 to the balance shown on the Condensed Consolidated Statements of Assets and Liabilities.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548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Aggregate principal amount of 4.75% Convertible Senior Notes due 2023</w:t>
            </w:r>
          </w:p>
        </w:tc>
        <w:tc>
          <w:tcPr>
            <w:tcW w:w="3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Direct deduction of deferred debt issuance costs</w:t>
            </w:r>
          </w:p>
        </w:tc>
        <w:tc>
          <w:tcPr>
            <w:tcW w:w="3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(1,751,567)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4.75% Convertible Senior Notes due 2023 Payable</w:t>
            </w:r>
          </w:p>
        </w:tc>
        <w:tc>
          <w:tcPr>
            <w:tcW w:w="3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38,248,433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669"/>
        </w:trPr>
        <w:tc>
          <w:tcPr>
            <w:tcW w:w="5480" w:type="dxa"/>
            <w:vAlign w:val="bottom"/>
          </w:tcPr>
          <w:p>
            <w:pPr>
              <w:spacing w:after="0"/>
              <w:rPr>
                <w:sz w:val="24"/>
                <w:szCs w:val="24"/>
                <w:color w:val="auto"/>
              </w:rPr>
            </w:pPr>
          </w:p>
        </w:tc>
        <w:tc>
          <w:tcPr>
            <w:tcW w:w="2840" w:type="dxa"/>
            <w:vAlign w:val="bottom"/>
          </w:tcPr>
          <w:p>
            <w:pPr>
              <w:jc w:val="right"/>
              <w:ind w:right="2430"/>
              <w:spacing w:after="0"/>
              <w:rPr>
                <w:sz w:val="20"/>
                <w:szCs w:val="20"/>
                <w:color w:val="auto"/>
              </w:rPr>
            </w:pPr>
            <w:r>
              <w:rPr>
                <w:rFonts w:ascii="Arial" w:cs="Arial" w:eastAsia="Arial" w:hAnsi="Arial"/>
                <w:sz w:val="18"/>
                <w:szCs w:val="18"/>
                <w:color w:val="auto"/>
              </w:rPr>
              <w:t>50</w:t>
            </w: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-968375</wp:posOffset>
            </wp:positionV>
            <wp:extent cx="52825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38" w:lineRule="exact"/>
        <w:rPr>
          <w:sz w:val="20"/>
          <w:szCs w:val="20"/>
          <w:color w:val="auto"/>
        </w:rPr>
      </w:pPr>
    </w:p>
    <w:p>
      <w:pPr>
        <w:ind w:right="40" w:firstLine="351"/>
        <w:spacing w:after="0" w:line="277" w:lineRule="auto"/>
        <w:rPr>
          <w:sz w:val="20"/>
          <w:szCs w:val="20"/>
          <w:color w:val="auto"/>
        </w:rPr>
      </w:pPr>
      <w:r>
        <w:rPr>
          <w:rFonts w:ascii="Arial" w:cs="Arial" w:eastAsia="Arial" w:hAnsi="Arial"/>
          <w:sz w:val="18"/>
          <w:szCs w:val="18"/>
          <w:color w:val="auto"/>
        </w:rPr>
        <w:t>As of June 30, 2018 the principal amount of the 4.75% Convertible Senior Notes due 2023 exceeded the value of the underlying shares multiplied by the per share closing price of the Company’s common stock.</w:t>
      </w:r>
    </w:p>
    <w:p>
      <w:pPr>
        <w:spacing w:after="0" w:line="170" w:lineRule="exact"/>
        <w:rPr>
          <w:sz w:val="20"/>
          <w:szCs w:val="20"/>
          <w:color w:val="auto"/>
        </w:rPr>
      </w:pPr>
    </w:p>
    <w:p>
      <w:pPr>
        <w:ind w:right="100" w:firstLine="351"/>
        <w:spacing w:after="0" w:line="271" w:lineRule="auto"/>
        <w:rPr>
          <w:sz w:val="20"/>
          <w:szCs w:val="20"/>
          <w:color w:val="auto"/>
        </w:rPr>
      </w:pPr>
      <w:r>
        <w:rPr>
          <w:rFonts w:ascii="Arial" w:cs="Arial" w:eastAsia="Arial" w:hAnsi="Arial"/>
          <w:sz w:val="17"/>
          <w:szCs w:val="17"/>
          <w:color w:val="auto"/>
        </w:rPr>
        <w:t>The 4.75% Convertible Senior Notes due 2023 are the Company’s general, unsecured, senior obligations and rank senior in right of payment to any future indebtedness that is expressly subordinated in right of payment to the 4.75% Convertible Senior Notes due 2023, equal in right of payment to any existing and future unsecured indebtedness that is not so subordinated to the 4.75% Convertible Senior Notes due 2023, including, without limitation, the 5.25% Convertible Senior Notes due 2018, effectively junior to any future secured indebtedness to the extent of the value of the assets securing such indebtedness, including, without limitation, any borrowings under the Credit Facility (defined below), and structurally junior to all future indebtedness (including trade payables) incurred by the Company’s subsidiaries. For the period from the initial issuance of the 4.75% Convertible Senior Notes due 2023 to, and including, March 27, 2019, the Company has agreed not to incur any indebtedness other than certain permitted debt, including, without limitation, up to $12.0 million in borrowings under the Credit Facility.</w:t>
      </w:r>
    </w:p>
    <w:p>
      <w:pPr>
        <w:spacing w:after="0" w:line="17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connection with the issuance of the 4.75% Convertible Senior Notes due 2023, the Company is required under the terms of the Credit Facility to deposit any proceeds from the 4.75% Convertible Senior Notes due 2023 offering into an account at Western Alliance Bank and is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Alliance Bank Credit Facility</w:t>
      </w:r>
    </w:p>
    <w:p>
      <w:pPr>
        <w:spacing w:after="0" w:line="229"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The Company entered into a Loan and Security Agreement, effective May 31, 2017 and as amended on March 22, 2018 (the “Loan Agreement”), with Western Alliance Bank, pursuant to which Western Alliance Bank agreed to provide the Company with a $12.0 million senior secured revolving credit facility (the “Credit Facility”).</w:t>
      </w:r>
    </w:p>
    <w:p>
      <w:pPr>
        <w:spacing w:after="0" w:line="181" w:lineRule="exact"/>
        <w:rPr>
          <w:sz w:val="20"/>
          <w:szCs w:val="20"/>
          <w:color w:val="auto"/>
        </w:rPr>
      </w:pPr>
    </w:p>
    <w:p>
      <w:pPr>
        <w:ind w:right="100" w:firstLine="351"/>
        <w:spacing w:after="0" w:line="312" w:lineRule="auto"/>
        <w:rPr>
          <w:sz w:val="20"/>
          <w:szCs w:val="20"/>
          <w:color w:val="auto"/>
        </w:rPr>
      </w:pPr>
      <w:r>
        <w:rPr>
          <w:rFonts w:ascii="Arial" w:cs="Arial" w:eastAsia="Arial" w:hAnsi="Arial"/>
          <w:sz w:val="16"/>
          <w:szCs w:val="16"/>
          <w:color w:val="auto"/>
        </w:rPr>
        <w:t>The Credit Facility, among other things, matures on May 31, 2019 and bears interest at a per annum rate equal to the prime rate plus 3.50%. In addition, a facility fee of $60,000 was charged upon closing of the Credit Facility, and the Loan Agreement requires payment of a fee for unused amounts during the revolving period in an amount equal to 0.50% per annum of the average unused portion of the Credit Facility payable quarterly in arrears.</w:t>
      </w:r>
    </w:p>
    <w:p>
      <w:pPr>
        <w:spacing w:after="0" w:line="147" w:lineRule="exact"/>
        <w:rPr>
          <w:sz w:val="20"/>
          <w:szCs w:val="20"/>
          <w:color w:val="auto"/>
        </w:rPr>
      </w:pPr>
    </w:p>
    <w:p>
      <w:pPr>
        <w:ind w:right="60" w:firstLine="351"/>
        <w:spacing w:after="0" w:line="270" w:lineRule="auto"/>
        <w:rPr>
          <w:sz w:val="20"/>
          <w:szCs w:val="20"/>
          <w:color w:val="auto"/>
        </w:rPr>
      </w:pPr>
      <w:r>
        <w:rPr>
          <w:rFonts w:ascii="Arial" w:cs="Arial" w:eastAsia="Arial" w:hAnsi="Arial"/>
          <w:sz w:val="17"/>
          <w:szCs w:val="17"/>
          <w:color w:val="auto"/>
        </w:rPr>
        <w:t>Under the Loan Agreement, the Company has made certain customary representations and warranties and is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$111.0 million in the aggregate through maturity of the 5.25% Convertible Senior Notes due 2018 on September 15, 2018, and $70.0 million in the aggregate thereafter),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business development company status.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 As of June 30, 2018, the Company was in compliance with all covenants of the Credit Facility.</w:t>
      </w:r>
    </w:p>
    <w:p>
      <w:pPr>
        <w:spacing w:after="0" w:line="178" w:lineRule="exact"/>
        <w:rPr>
          <w:sz w:val="20"/>
          <w:szCs w:val="20"/>
          <w:color w:val="auto"/>
        </w:rPr>
      </w:pPr>
    </w:p>
    <w:p>
      <w:pPr>
        <w:ind w:right="780" w:firstLine="351"/>
        <w:spacing w:after="0" w:line="277" w:lineRule="auto"/>
        <w:rPr>
          <w:sz w:val="20"/>
          <w:szCs w:val="20"/>
          <w:color w:val="auto"/>
        </w:rPr>
      </w:pPr>
      <w:r>
        <w:rPr>
          <w:rFonts w:ascii="Arial" w:cs="Arial" w:eastAsia="Arial" w:hAnsi="Arial"/>
          <w:sz w:val="18"/>
          <w:szCs w:val="18"/>
          <w:color w:val="auto"/>
        </w:rPr>
        <w:t>The Credit Facility is secured by substantially all of the Company’s property and assets. As of June 30, 2018, the Company had no borrowings outstanding under the Credit Facility.</w:t>
      </w:r>
    </w:p>
    <w:p>
      <w:pPr>
        <w:spacing w:after="0" w:line="170" w:lineRule="exact"/>
        <w:rPr>
          <w:sz w:val="20"/>
          <w:szCs w:val="20"/>
          <w:color w:val="auto"/>
        </w:rPr>
      </w:pPr>
    </w:p>
    <w:p>
      <w:pPr>
        <w:ind w:right="80" w:firstLine="351"/>
        <w:spacing w:after="0" w:line="277" w:lineRule="auto"/>
        <w:rPr>
          <w:sz w:val="20"/>
          <w:szCs w:val="20"/>
          <w:color w:val="auto"/>
        </w:rPr>
      </w:pPr>
      <w:r>
        <w:rPr>
          <w:rFonts w:ascii="Arial" w:cs="Arial" w:eastAsia="Arial" w:hAnsi="Arial"/>
          <w:sz w:val="18"/>
          <w:szCs w:val="18"/>
          <w:color w:val="auto"/>
        </w:rPr>
        <w:t>For the three and six months ended June 30, 2018, the Company had average borrowings outstanding under the Credit Facility of $0. For the year ended December 31, 2017 the Company had average borrowings outstanding of $460,274.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Activity</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July 1, 2018 through August 8, 2018, the Company closed on investment purchases of $134,405.</w:t>
      </w:r>
    </w:p>
    <w:p>
      <w:pPr>
        <w:spacing w:after="0" w:line="230"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Transaction Date</w:t>
            </w:r>
          </w:p>
        </w:tc>
        <w:tc>
          <w:tcPr>
            <w:tcW w:w="120" w:type="dxa"/>
            <w:vAlign w:val="bottom"/>
            <w:tcBorders>
              <w:bottom w:val="single" w:sz="8" w:color="CCEEFF"/>
            </w:tcBorders>
          </w:tcPr>
          <w:p>
            <w:pPr>
              <w:spacing w:after="0"/>
              <w:rPr>
                <w:sz w:val="16"/>
                <w:szCs w:val="16"/>
                <w:color w:val="auto"/>
              </w:rPr>
            </w:pPr>
          </w:p>
        </w:tc>
        <w:tc>
          <w:tcPr>
            <w:tcW w:w="502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5"/>
              </w:rPr>
              <w:t>Gross Payments</w:t>
            </w:r>
          </w:p>
        </w:tc>
      </w:tr>
      <w:tr>
        <w:trPr>
          <w:trHeight w:val="223"/>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Knewton, Inc.</w:t>
            </w:r>
          </w:p>
        </w:tc>
        <w:tc>
          <w:tcPr>
            <w:tcW w:w="134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7/23/2018</w:t>
            </w:r>
          </w:p>
        </w:tc>
        <w:tc>
          <w:tcPr>
            <w:tcW w:w="1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Unsecured Convertible Promissory Note 8% due 12/31/19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134,405</w:t>
            </w:r>
          </w:p>
        </w:tc>
      </w:tr>
      <w:tr>
        <w:trPr>
          <w:trHeight w:val="33"/>
        </w:trPr>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From July 1, 2018 through August 8, 2018, the Company sold the following investments, net of transaction costs, as shown in the following table:</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vMerge w:val="restart"/>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Transaction</w:t>
            </w:r>
          </w:p>
        </w:tc>
        <w:tc>
          <w:tcPr>
            <w:tcW w:w="142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Shares Sold</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Average Net Share</w:t>
            </w:r>
          </w:p>
        </w:tc>
        <w:tc>
          <w:tcPr>
            <w:tcW w:w="112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w w:val="98"/>
              </w:rPr>
              <w:t>Net Proceeds</w:t>
            </w:r>
            <w:r>
              <w:rPr>
                <w:rFonts w:ascii="Arial" w:cs="Arial" w:eastAsia="Arial" w:hAnsi="Arial"/>
                <w:sz w:val="8"/>
                <w:szCs w:val="8"/>
                <w:b w:val="1"/>
                <w:bCs w:val="1"/>
                <w:color w:val="auto"/>
                <w:w w:val="98"/>
              </w:rPr>
              <w:t>(2)</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45"/>
              <w:spacing w:after="0"/>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8"/>
                <w:szCs w:val="8"/>
                <w:b w:val="1"/>
                <w:bCs w:val="1"/>
                <w:color w:val="auto"/>
                <w:w w:val="95"/>
              </w:rPr>
              <w:t>(1)</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Lytro, Inc.</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8/1/2018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3,537,539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791,596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(9,711,762)</w:t>
            </w:r>
          </w:p>
        </w:tc>
        <w:tc>
          <w:tcPr>
            <w:tcW w:w="0" w:type="dxa"/>
            <w:vAlign w:val="bottom"/>
          </w:tcPr>
          <w:p>
            <w:pPr>
              <w:spacing w:after="0"/>
              <w:rPr>
                <w:sz w:val="1"/>
                <w:szCs w:val="1"/>
                <w:color w:val="auto"/>
              </w:rPr>
            </w:pPr>
          </w:p>
        </w:tc>
      </w:tr>
      <w:tr>
        <w:trPr>
          <w:trHeight w:val="33"/>
        </w:trPr>
        <w:tc>
          <w:tcPr>
            <w:tcW w:w="3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average net share price is the net share price realized after deducting all commissions and fees on the sale(s), if applicable.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proceeds does not reflect escrow amounts expected to be received from the sale of these investments.</w:t>
      </w:r>
    </w:p>
    <w:p>
      <w:pPr>
        <w:spacing w:after="0" w:line="21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July 18, 2018, Dreambox Learning, Inc. entered into a definitive agreement to be acquired by a wholly owned subsidiary of DreamBox Learning Holding, LLC, an entity owned by The Rise Fund Deneb, LP. As a result of the transaction, the Company expects to recover an amount equal to the fair value of its investment in Dreambox Learning, Inc. as of June 30, 2018, less fees and expenses.</w:t>
      </w:r>
    </w:p>
    <w:p>
      <w:pPr>
        <w:spacing w:after="0" w:line="181" w:lineRule="exact"/>
        <w:rPr>
          <w:sz w:val="20"/>
          <w:szCs w:val="20"/>
          <w:color w:val="auto"/>
        </w:rPr>
      </w:pPr>
    </w:p>
    <w:p>
      <w:pPr>
        <w:ind w:firstLine="351"/>
        <w:spacing w:after="0" w:line="276"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180" w:firstLine="351"/>
        <w:spacing w:after="0" w:line="277" w:lineRule="auto"/>
        <w:rPr>
          <w:sz w:val="20"/>
          <w:szCs w:val="20"/>
          <w:color w:val="auto"/>
        </w:rPr>
      </w:pPr>
      <w:r>
        <w:rPr>
          <w:rFonts w:ascii="Arial" w:cs="Arial" w:eastAsia="Arial" w:hAnsi="Arial"/>
          <w:sz w:val="18"/>
          <w:szCs w:val="18"/>
          <w:color w:val="auto"/>
        </w:rPr>
        <w:t>From July 1, 2018 through August 8, 2018, the Company repurchased 230,623 additional shares under the Share Repurchase Program for an aggregate purchase price of $1.6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12—SUPPLEMENTAL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Unconsolidated Subsidiaries</w:t>
      </w:r>
    </w:p>
    <w:p>
      <w:pPr>
        <w:spacing w:after="0" w:line="229"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June 30, 2018, the Company had investments in at least one portfolio company considered to be a significant subsidiary under SEC Regulation S-X Rule 10-01(b)(1) and Regulation S-X Rule 4-08(g). Below is summarized, unaudited, comparative financial information for the Company’s unconsolidated significant subsidiaries.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June 30, 2018</w:t>
      </w:r>
    </w:p>
    <w:p>
      <w:pPr>
        <w:spacing w:after="0" w:line="200" w:lineRule="exact"/>
        <w:rPr>
          <w:sz w:val="20"/>
          <w:szCs w:val="20"/>
          <w:color w:val="auto"/>
        </w:rPr>
      </w:pPr>
    </w:p>
    <w:p>
      <w:pPr>
        <w:spacing w:after="0" w:line="259"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6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Income Statement Data for the Three Months Ended:</w:t>
            </w:r>
          </w:p>
        </w:tc>
        <w:tc>
          <w:tcPr>
            <w:tcW w:w="10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CCEEFF"/>
            </w:tcBorders>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2017</w:t>
            </w:r>
          </w:p>
        </w:tc>
      </w:tr>
      <w:tr>
        <w:trPr>
          <w:trHeight w:val="236"/>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5,245,964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5,643,716</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3,907,598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4,480,824</w:t>
            </w:r>
          </w:p>
        </w:tc>
        <w:tc>
          <w:tcPr>
            <w:tcW w:w="20" w:type="dxa"/>
            <w:vAlign w:val="bottom"/>
          </w:tcPr>
          <w:p>
            <w:pPr>
              <w:spacing w:after="0"/>
              <w:rPr>
                <w:sz w:val="20"/>
                <w:szCs w:val="20"/>
                <w:color w:val="auto"/>
              </w:rPr>
            </w:pPr>
          </w:p>
        </w:tc>
      </w:tr>
      <w:tr>
        <w:trPr>
          <w:trHeight w:val="33"/>
        </w:trPr>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(1,266,805)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(805,219)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Total net loss including net loss attributable to non-controlling interest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(1,266,805)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(1,304,297)</w:t>
            </w:r>
          </w:p>
        </w:tc>
        <w:tc>
          <w:tcPr>
            <w:tcW w:w="20" w:type="dxa"/>
            <w:vAlign w:val="bottom"/>
          </w:tcPr>
          <w:p>
            <w:pPr>
              <w:spacing w:after="0"/>
              <w:rPr>
                <w:sz w:val="20"/>
                <w:szCs w:val="20"/>
                <w:color w:val="auto"/>
              </w:rPr>
            </w:pPr>
          </w:p>
        </w:tc>
      </w:tr>
      <w:tr>
        <w:trPr>
          <w:trHeight w:val="33"/>
        </w:trPr>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615"/>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Data for the Six Months Ended:</w:t>
            </w:r>
          </w:p>
        </w:tc>
        <w:tc>
          <w:tcPr>
            <w:tcW w:w="10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Pr>
          <w:p>
            <w:pPr>
              <w:spacing w:after="0"/>
              <w:rPr>
                <w:sz w:val="24"/>
                <w:szCs w:val="24"/>
                <w:color w:val="auto"/>
              </w:rPr>
            </w:pPr>
          </w:p>
        </w:tc>
      </w:tr>
      <w:tr>
        <w:trPr>
          <w:trHeight w:val="236"/>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10,525,124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11,624,198</w:t>
            </w:r>
          </w:p>
        </w:tc>
        <w:tc>
          <w:tcPr>
            <w:tcW w:w="20" w:type="dxa"/>
            <w:vAlign w:val="bottom"/>
          </w:tcPr>
          <w:p>
            <w:pPr>
              <w:spacing w:after="0"/>
              <w:rPr>
                <w:sz w:val="20"/>
                <w:szCs w:val="20"/>
                <w:color w:val="auto"/>
              </w:rPr>
            </w:pPr>
          </w:p>
        </w:tc>
      </w:tr>
      <w:tr>
        <w:trPr>
          <w:trHeight w:val="237"/>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8,185,315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9,591,580</w:t>
            </w:r>
          </w:p>
        </w:tc>
        <w:tc>
          <w:tcPr>
            <w:tcW w:w="20" w:type="dxa"/>
            <w:vAlign w:val="bottom"/>
          </w:tcPr>
          <w:p>
            <w:pPr>
              <w:spacing w:after="0"/>
              <w:rPr>
                <w:sz w:val="20"/>
                <w:szCs w:val="20"/>
                <w:color w:val="auto"/>
              </w:rPr>
            </w:pPr>
          </w:p>
        </w:tc>
      </w:tr>
      <w:tr>
        <w:trPr>
          <w:trHeight w:val="33"/>
        </w:trPr>
        <w:tc>
          <w:tcPr>
            <w:tcW w:w="66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(3,055,708)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(555,607)</w:t>
            </w:r>
          </w:p>
        </w:tc>
        <w:tc>
          <w:tcPr>
            <w:tcW w:w="20" w:type="dxa"/>
            <w:vAlign w:val="bottom"/>
          </w:tcPr>
          <w:p>
            <w:pPr>
              <w:spacing w:after="0"/>
              <w:rPr>
                <w:sz w:val="21"/>
                <w:szCs w:val="21"/>
                <w:color w:val="auto"/>
              </w:rPr>
            </w:pPr>
          </w:p>
        </w:tc>
      </w:tr>
      <w:tr>
        <w:trPr>
          <w:trHeight w:val="237"/>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Total net loss including net loss attributable to non-controlling interest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(3,055,708)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(1,515,219)</w:t>
            </w:r>
          </w:p>
        </w:tc>
        <w:tc>
          <w:tcPr>
            <w:tcW w:w="20" w:type="dxa"/>
            <w:vAlign w:val="bottom"/>
          </w:tcPr>
          <w:p>
            <w:pPr>
              <w:spacing w:after="0"/>
              <w:rPr>
                <w:sz w:val="20"/>
                <w:szCs w:val="20"/>
                <w:color w:val="auto"/>
              </w:rPr>
            </w:pPr>
          </w:p>
        </w:tc>
      </w:tr>
      <w:tr>
        <w:trPr>
          <w:trHeight w:val="33"/>
        </w:trPr>
        <w:tc>
          <w:tcPr>
            <w:tcW w:w="66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37"/>
        </w:trPr>
        <w:tc>
          <w:tcPr>
            <w:tcW w:w="67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2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33"/>
        </w:trPr>
        <w:tc>
          <w:tcPr>
            <w:tcW w:w="6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40"/>
          </w:cols>
          <w:pgMar w:left="240" w:top="122" w:right="919" w:bottom="1440" w:gutter="0" w:footer="0" w:header="0"/>
        </w:sectPr>
      </w:pPr>
    </w:p>
    <w:bookmarkStart w:id="55" w:name="page56"/>
    <w:bookmarkEnd w:id="5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without limitation, statements as to:</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66"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right="5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21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26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211" w:lineRule="exact"/>
        <w:rPr>
          <w:sz w:val="20"/>
          <w:szCs w:val="20"/>
          <w:color w:val="auto"/>
        </w:rPr>
      </w:pPr>
    </w:p>
    <w:p>
      <w:pPr>
        <w:ind w:right="60" w:firstLine="351"/>
        <w:spacing w:after="0" w:line="29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We are an externally managed, non-diversified closed-end management investment company that has elected to be regulated as a BDC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73" w:lineRule="exact"/>
        <w:rPr>
          <w:sz w:val="20"/>
          <w:szCs w:val="20"/>
          <w:color w:val="auto"/>
        </w:rPr>
      </w:pPr>
    </w:p>
    <w:p>
      <w:pPr>
        <w:ind w:right="60" w:firstLine="351"/>
        <w:spacing w:after="0" w:line="264" w:lineRule="auto"/>
        <w:rPr>
          <w:sz w:val="20"/>
          <w:szCs w:val="20"/>
          <w:color w:val="auto"/>
        </w:rPr>
      </w:pPr>
      <w:r>
        <w:rPr>
          <w:rFonts w:ascii="Arial" w:cs="Arial" w:eastAsia="Arial" w:hAnsi="Arial"/>
          <w:sz w:val="18"/>
          <w:szCs w:val="18"/>
          <w:color w:val="auto"/>
        </w:rPr>
        <w:t>We acquire our investments in portfolio companies through offerings of the prospective portfolio companies, transactions on secondary marketplaces for private companies and negotiations with selling stockholders. Our investment activities are managed by GSV Asset Management. GSV Capital Service Company provides the administrative services necessary for us to operate.</w:t>
      </w:r>
    </w:p>
    <w:p>
      <w:pPr>
        <w:spacing w:after="0" w:line="181" w:lineRule="exact"/>
        <w:rPr>
          <w:sz w:val="20"/>
          <w:szCs w:val="20"/>
          <w:color w:val="auto"/>
        </w:rPr>
      </w:pPr>
    </w:p>
    <w:p>
      <w:pPr>
        <w:ind w:right="280" w:firstLine="351"/>
        <w:spacing w:after="0" w:line="273" w:lineRule="auto"/>
        <w:rPr>
          <w:sz w:val="20"/>
          <w:szCs w:val="20"/>
          <w:color w:val="auto"/>
        </w:rPr>
      </w:pPr>
      <w:r>
        <w:rPr>
          <w:rFonts w:ascii="Arial" w:cs="Arial" w:eastAsia="Arial" w:hAnsi="Arial"/>
          <w:sz w:val="17"/>
          <w:szCs w:val="17"/>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178"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73"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GSV Asset Management’s investment professionals to focus our investments in companies and industries that are more likely to result in beneficial returns to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2, 2018, GSV Asset Management voluntarily agreed to reduce the fees payable under the Investment Advisory Agreement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Waiver Agreement. The Waiver Agreement is effective February 1, 2018 and changes the fee structure set forth in the Investment Advisory Agreement by:</w:t>
      </w:r>
    </w:p>
    <w:p>
      <w:pPr>
        <w:spacing w:after="0" w:line="32" w:lineRule="exact"/>
        <w:rPr>
          <w:sz w:val="20"/>
          <w:szCs w:val="20"/>
          <w:color w:val="auto"/>
        </w:rPr>
      </w:pPr>
    </w:p>
    <w:p>
      <w:pPr>
        <w:ind w:firstLine="8"/>
        <w:spacing w:after="0" w:line="254" w:lineRule="auto"/>
        <w:tabs>
          <w:tab w:leader="none" w:pos="2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reducing the base management fee from 2.00% to 1.75%; and (ii) creating certain high-water marks that must be reached before we pay any incentive fee to GSV Asset Management. In addition to the foregoing changes to the fee structure, GSV Asset Management also agreed to forfeit $5.0 million of previously accrued but unpaid incentive fees. “Note 3 - Related-Party Arrangements” to our condensed consolidated financial statements as of June 30, 2018 for more information regarding the Waiver Agreement.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Transition</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May 22, 2018, William Tanona resigned from his positions as our President, Chief Financial Officer, Treasurer and Secretary, effective June 12, 2018. In addition, Michael Moe, the former Executive Chairman of our board of directors, transitioned to the role of Chairman of the board of directors effective May 29, 2018.</w:t>
      </w:r>
    </w:p>
    <w:p>
      <w:pPr>
        <w:spacing w:after="0" w:line="181"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On May 29, 2018, our board of directors appointed Mark Klein to serve as our President, effective June 12, 2018, in order to fill the vacancy created by Mr. Tanona’s resignation. Mr. Klein continues to also serve as our Chief Executive Officer.</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May 29, 2018, our board of directors appointed Allison Green to serve as our Senior Vice President of Finance, effective May 29, 2018, and our Treasurer and Secretary, effective June 12, 2018. Ms. Green continues to also serve as our Controller.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more information regarding Mr. Klein and Ms. Green, please refer to our current report on Form 8-K filed with the SEC on May 29,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2018, of all of our portfolio investments, excluding U.S. Treasury bills, was $216,266,561.</w:t>
      </w:r>
    </w:p>
    <w:p>
      <w:pPr>
        <w:spacing w:after="0" w:line="181" w:lineRule="exact"/>
        <w:rPr>
          <w:sz w:val="20"/>
          <w:szCs w:val="20"/>
          <w:color w:val="auto"/>
        </w:rPr>
      </w:pPr>
    </w:p>
    <w:p>
      <w:pPr>
        <w:ind w:right="160" w:firstLine="351"/>
        <w:spacing w:after="0" w:line="277" w:lineRule="auto"/>
        <w:rPr>
          <w:sz w:val="20"/>
          <w:szCs w:val="20"/>
          <w:color w:val="auto"/>
        </w:rPr>
      </w:pPr>
      <w:r>
        <w:rPr>
          <w:rFonts w:ascii="Arial" w:cs="Arial" w:eastAsia="Arial" w:hAnsi="Arial"/>
          <w:sz w:val="18"/>
          <w:szCs w:val="18"/>
          <w:color w:val="auto"/>
        </w:rPr>
        <w:t>During the six months ended June 30, 2018, we funded investments in an aggregate amount of $200,221 (not including capitalized transaction costs) as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2"/>
              </w:rPr>
              <w:t>Gross Payments</w:t>
            </w:r>
          </w:p>
        </w:tc>
        <w:tc>
          <w:tcPr>
            <w:tcW w:w="0" w:type="dxa"/>
            <w:vAlign w:val="bottom"/>
          </w:tcPr>
          <w:p>
            <w:pPr>
              <w:spacing w:after="0"/>
              <w:rPr>
                <w:sz w:val="1"/>
                <w:szCs w:val="1"/>
                <w:color w:val="auto"/>
              </w:rPr>
            </w:pPr>
          </w:p>
        </w:tc>
      </w:tr>
      <w:tr>
        <w:trPr>
          <w:trHeight w:val="256"/>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Ozy Media, Inc.</w:t>
            </w:r>
            <w:r>
              <w:rPr>
                <w:rFonts w:ascii="Arial" w:cs="Arial" w:eastAsia="Arial" w:hAnsi="Arial"/>
                <w:sz w:val="21"/>
                <w:szCs w:val="21"/>
                <w:color w:val="auto"/>
                <w:vertAlign w:val="superscript"/>
              </w:rPr>
              <w:t>(1)</w:t>
            </w:r>
          </w:p>
        </w:tc>
        <w:tc>
          <w:tcPr>
            <w:tcW w:w="4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Promissory Note 10% Due 2/12/2018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1/12/2018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SharesPost, Inc.</w:t>
            </w:r>
            <w:r>
              <w:rPr>
                <w:rFonts w:ascii="Arial" w:cs="Arial" w:eastAsia="Arial" w:hAnsi="Arial"/>
                <w:sz w:val="21"/>
                <w:szCs w:val="21"/>
                <w:color w:val="auto"/>
                <w:vertAlign w:val="superscript"/>
              </w:rPr>
              <w:t>(2)</w:t>
            </w:r>
          </w:p>
        </w:tc>
        <w:tc>
          <w:tcPr>
            <w:tcW w:w="40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8"/>
              </w:rPr>
              <w:t>Common shares</w:t>
            </w: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6/15/2018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100,221</w:t>
            </w: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200,221</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6"/>
                <w:szCs w:val="16"/>
                <w:b w:val="1"/>
                <w:bCs w:val="1"/>
                <w:color w:val="auto"/>
              </w:rPr>
              <w:t>__________________</w:t>
            </w:r>
          </w:p>
        </w:tc>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right="60" w:hanging="492"/>
        <w:spacing w:after="0" w:line="246"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During the period, Ozy Media, Inc.’s obligations under its financing arrangements with us became past due. Effective April 9, 2018, the term of Ozy Media Inc.'s notes were extended through the issuance of a new convertible promissory note, which extended the maturity date of the existing notes to October 31, 2018, or December 31, 2018 if certain conditions are satisfied. In consideration for amending and restating the existing notes, we were issued warrants exercisable for 34,483 shares of Ozy Media Inc.'s common stock.</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June 15, 2018 we exercised our 770,934 warrants to purchase shares of SharePost, Inc.'s common stock, with a $0.13 strike price.</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 months ended June 30, 2018, we capitalized fees of $9,435.</w:t>
      </w:r>
    </w:p>
    <w:p>
      <w:pPr>
        <w:spacing w:after="0" w:line="225" w:lineRule="exact"/>
        <w:rPr>
          <w:sz w:val="20"/>
          <w:szCs w:val="20"/>
          <w:color w:val="auto"/>
        </w:rPr>
      </w:pPr>
    </w:p>
    <w:p>
      <w:pPr>
        <w:ind w:right="140" w:firstLine="351"/>
        <w:spacing w:after="0" w:line="342" w:lineRule="auto"/>
        <w:rPr>
          <w:sz w:val="20"/>
          <w:szCs w:val="20"/>
          <w:color w:val="auto"/>
        </w:rPr>
      </w:pPr>
      <w:r>
        <w:rPr>
          <w:rFonts w:ascii="Arial" w:cs="Arial" w:eastAsia="Arial" w:hAnsi="Arial"/>
          <w:sz w:val="16"/>
          <w:szCs w:val="16"/>
          <w:color w:val="auto"/>
        </w:rPr>
        <w:t>During the six months ended June 30, 2018, we sold investments or received repayments from portfolio companies in an amount of $23,782,430, net of transaction costs, and realized a net gain on investments of approximately $2,586,608 (including U.S. Treasury investments) as shown in following table: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2"/>
        </w:trPr>
        <w:tc>
          <w:tcPr>
            <w:tcW w:w="33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3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Investment</w:t>
            </w:r>
          </w:p>
        </w:tc>
        <w:tc>
          <w:tcPr>
            <w:tcW w:w="100" w:type="dxa"/>
            <w:vAlign w:val="bottom"/>
            <w:vMerge w:val="restart"/>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Transaction</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Shares Sold</w:t>
            </w:r>
          </w:p>
        </w:tc>
        <w:tc>
          <w:tcPr>
            <w:tcW w:w="100" w:type="dxa"/>
            <w:vAlign w:val="bottom"/>
            <w:vMerge w:val="restart"/>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Net Share</w:t>
            </w:r>
          </w:p>
        </w:tc>
        <w:tc>
          <w:tcPr>
            <w:tcW w:w="200" w:type="dxa"/>
            <w:vAlign w:val="bottom"/>
          </w:tcPr>
          <w:p>
            <w:pPr>
              <w:spacing w:after="0"/>
              <w:rPr>
                <w:sz w:val="24"/>
                <w:szCs w:val="24"/>
                <w:color w:val="auto"/>
              </w:rPr>
            </w:pPr>
          </w:p>
        </w:tc>
        <w:tc>
          <w:tcPr>
            <w:tcW w:w="11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Net Proceeds</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32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Gain/(Loss)</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36"/>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Chegg, Inc.</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1/3/2018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9,018</w:t>
            </w:r>
          </w:p>
        </w:tc>
        <w:tc>
          <w:tcPr>
            <w:tcW w:w="0" w:type="dxa"/>
            <w:vAlign w:val="bottom"/>
          </w:tcPr>
          <w:p>
            <w:pPr>
              <w:spacing w:after="0"/>
              <w:rPr>
                <w:sz w:val="1"/>
                <w:szCs w:val="1"/>
                <w:color w:val="auto"/>
              </w:rPr>
            </w:pPr>
          </w:p>
        </w:tc>
      </w:tr>
      <w:tr>
        <w:trPr>
          <w:trHeight w:val="237"/>
        </w:trPr>
        <w:tc>
          <w:tcPr>
            <w:tcW w:w="3380" w:type="dxa"/>
            <w:vAlign w:val="bottom"/>
            <w:gridSpan w:val="2"/>
          </w:tcPr>
          <w:p>
            <w:pPr>
              <w:ind w:left="40"/>
              <w:spacing w:after="0"/>
              <w:rPr>
                <w:sz w:val="20"/>
                <w:szCs w:val="20"/>
                <w:color w:val="auto"/>
              </w:rPr>
            </w:pPr>
            <w:r>
              <w:rPr>
                <w:rFonts w:ascii="Arial" w:cs="Arial" w:eastAsia="Arial" w:hAnsi="Arial"/>
                <w:sz w:val="16"/>
                <w:szCs w:val="16"/>
                <w:color w:val="auto"/>
              </w:rPr>
              <w:t>Chegg, Inc.</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1/4/2018</w:t>
            </w:r>
          </w:p>
        </w:tc>
        <w:tc>
          <w:tcPr>
            <w:tcW w:w="1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9,103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152,799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43,327</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Chegg, Inc.</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1/5/2018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172,139</w:t>
            </w:r>
          </w:p>
        </w:tc>
        <w:tc>
          <w:tcPr>
            <w:tcW w:w="0" w:type="dxa"/>
            <w:vAlign w:val="bottom"/>
          </w:tcPr>
          <w:p>
            <w:pPr>
              <w:spacing w:after="0"/>
              <w:rPr>
                <w:sz w:val="1"/>
                <w:szCs w:val="1"/>
                <w:color w:val="auto"/>
              </w:rPr>
            </w:pPr>
          </w:p>
        </w:tc>
      </w:tr>
      <w:tr>
        <w:trPr>
          <w:trHeight w:val="237"/>
        </w:trPr>
        <w:tc>
          <w:tcPr>
            <w:tcW w:w="3380" w:type="dxa"/>
            <w:vAlign w:val="bottom"/>
            <w:gridSpan w:val="2"/>
          </w:tcPr>
          <w:p>
            <w:pPr>
              <w:ind w:left="40"/>
              <w:spacing w:after="0"/>
              <w:rPr>
                <w:sz w:val="20"/>
                <w:szCs w:val="20"/>
                <w:color w:val="auto"/>
              </w:rPr>
            </w:pPr>
            <w:r>
              <w:rPr>
                <w:rFonts w:ascii="Arial" w:cs="Arial" w:eastAsia="Arial" w:hAnsi="Arial"/>
                <w:sz w:val="16"/>
                <w:szCs w:val="16"/>
                <w:color w:val="auto"/>
              </w:rPr>
              <w:t>Chegg, Inc.</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1/8/2018</w:t>
            </w:r>
          </w:p>
        </w:tc>
        <w:tc>
          <w:tcPr>
            <w:tcW w:w="1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15,888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267,905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76,837</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Chegg, Inc.</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1/9/2018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619,356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175,598</w:t>
            </w:r>
          </w:p>
        </w:tc>
        <w:tc>
          <w:tcPr>
            <w:tcW w:w="0" w:type="dxa"/>
            <w:vAlign w:val="bottom"/>
          </w:tcPr>
          <w:p>
            <w:pPr>
              <w:spacing w:after="0"/>
              <w:rPr>
                <w:sz w:val="1"/>
                <w:szCs w:val="1"/>
                <w:color w:val="auto"/>
              </w:rPr>
            </w:pPr>
          </w:p>
        </w:tc>
      </w:tr>
      <w:tr>
        <w:trPr>
          <w:trHeight w:val="237"/>
        </w:trPr>
        <w:tc>
          <w:tcPr>
            <w:tcW w:w="3380" w:type="dxa"/>
            <w:vAlign w:val="bottom"/>
            <w:gridSpan w:val="2"/>
          </w:tcPr>
          <w:p>
            <w:pPr>
              <w:ind w:left="40"/>
              <w:spacing w:after="0"/>
              <w:rPr>
                <w:sz w:val="20"/>
                <w:szCs w:val="20"/>
                <w:color w:val="auto"/>
              </w:rPr>
            </w:pPr>
            <w:r>
              <w:rPr>
                <w:rFonts w:ascii="Arial" w:cs="Arial" w:eastAsia="Arial" w:hAnsi="Arial"/>
                <w:sz w:val="16"/>
                <w:szCs w:val="16"/>
                <w:color w:val="auto"/>
              </w:rPr>
              <w:t>Chegg, Inc.</w:t>
            </w: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2/13/2018</w:t>
            </w:r>
          </w:p>
        </w:tc>
        <w:tc>
          <w:tcPr>
            <w:tcW w:w="1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3,861,271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1,457,883</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Chegg, Inc.</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2/20/2018</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19.53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3,905,530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1,503,045</w:t>
            </w:r>
          </w:p>
        </w:tc>
        <w:tc>
          <w:tcPr>
            <w:tcW w:w="0" w:type="dxa"/>
            <w:vAlign w:val="bottom"/>
          </w:tcPr>
          <w:p>
            <w:pPr>
              <w:spacing w:after="0"/>
              <w:rPr>
                <w:sz w:val="1"/>
                <w:szCs w:val="1"/>
                <w:color w:val="auto"/>
              </w:rPr>
            </w:pPr>
          </w:p>
        </w:tc>
      </w:tr>
      <w:tr>
        <w:trPr>
          <w:trHeight w:val="231"/>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9,446,315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3,437,847</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NestGSV, Inc. (d/b/a GSV Labs, Inc.)</w:t>
            </w:r>
            <w:r>
              <w:rPr>
                <w:rFonts w:ascii="Arial" w:cs="Arial" w:eastAsia="Arial" w:hAnsi="Arial"/>
                <w:sz w:val="21"/>
                <w:szCs w:val="21"/>
                <w:color w:val="auto"/>
                <w:vertAlign w:val="superscript"/>
              </w:rPr>
              <w:t>(3)</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1/12/2018</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592,129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37"/>
        </w:trPr>
        <w:tc>
          <w:tcPr>
            <w:tcW w:w="3380" w:type="dxa"/>
            <w:vAlign w:val="bottom"/>
            <w:gridSpan w:val="2"/>
          </w:tcPr>
          <w:p>
            <w:pPr>
              <w:ind w:left="40"/>
              <w:spacing w:after="0"/>
              <w:rPr>
                <w:sz w:val="20"/>
                <w:szCs w:val="20"/>
                <w:color w:val="auto"/>
              </w:rPr>
            </w:pPr>
            <w:r>
              <w:rPr>
                <w:rFonts w:ascii="Arial" w:cs="Arial" w:eastAsia="Arial" w:hAnsi="Arial"/>
                <w:sz w:val="16"/>
                <w:szCs w:val="16"/>
                <w:color w:val="auto"/>
              </w:rPr>
              <w:t>Avenues Global Holdings, LLC</w:t>
            </w: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1/22/2018</w:t>
            </w:r>
          </w:p>
        </w:tc>
        <w:tc>
          <w:tcPr>
            <w:tcW w:w="1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10,014,270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5,923,795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(4,228,059)</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Assembly Space, Inc.</w:t>
            </w:r>
            <w:r>
              <w:rPr>
                <w:rFonts w:ascii="Arial" w:cs="Arial" w:eastAsia="Arial" w:hAnsi="Arial"/>
                <w:sz w:val="21"/>
                <w:szCs w:val="21"/>
                <w:color w:val="auto"/>
                <w:vertAlign w:val="superscript"/>
              </w:rPr>
              <w:t>(5)</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6/12/2018</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259,765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35.92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7,820,191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3,330,660</w:t>
            </w:r>
          </w:p>
        </w:tc>
        <w:tc>
          <w:tcPr>
            <w:tcW w:w="0" w:type="dxa"/>
            <w:vAlign w:val="bottom"/>
          </w:tcPr>
          <w:p>
            <w:pPr>
              <w:spacing w:after="0"/>
              <w:rPr>
                <w:sz w:val="1"/>
                <w:szCs w:val="1"/>
                <w:color w:val="auto"/>
              </w:rPr>
            </w:pPr>
          </w:p>
        </w:tc>
      </w:tr>
      <w:tr>
        <w:trPr>
          <w:trHeight w:val="244"/>
        </w:trPr>
        <w:tc>
          <w:tcPr>
            <w:tcW w:w="33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23,782,430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2,539,768</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6"/>
                <w:szCs w:val="16"/>
                <w:b w:val="1"/>
                <w:bCs w:val="1"/>
                <w:color w:val="auto"/>
              </w:rPr>
              <w:t>__________________</w:t>
            </w: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46564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February 22, 2018, all remaining shares of Chegg, Inc. held by us had been sold.</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repayment of the 12% Unsecured Promissory Note Due 1/15/2018</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Realized gain/(loss) exclude any realized gain/(loss) incurred on the maturity of our U.S. Treasury investments.</w:t>
      </w:r>
    </w:p>
    <w:p>
      <w:pPr>
        <w:spacing w:after="0" w:line="5" w:lineRule="exact"/>
        <w:rPr>
          <w:rFonts w:ascii="Arial" w:cs="Arial" w:eastAsia="Arial" w:hAnsi="Arial"/>
          <w:sz w:val="16"/>
          <w:szCs w:val="16"/>
          <w:color w:val="auto"/>
        </w:rPr>
      </w:pPr>
    </w:p>
    <w:p>
      <w:pPr>
        <w:ind w:left="500" w:hanging="492"/>
        <w:spacing w:after="0" w:line="252"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April 16, 2018, Adecco Group, a Swiss staffing company, announced that it was acquiring technology education provider General Assembly Space, Inc. for $412.5 million, including debt financing. We received approximately $7.8 million in net proceeds as a result of the transaction, with approximately $1.5 million of additional proceeds currently being held in escrow. We expect to receive the escrow in 2019.</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six months ended June 30, 2018 we did not write-off any investments.</w:t>
      </w:r>
    </w:p>
    <w:p>
      <w:pPr>
        <w:spacing w:after="0" w:line="225" w:lineRule="exact"/>
        <w:rPr>
          <w:sz w:val="20"/>
          <w:szCs w:val="20"/>
          <w:color w:val="auto"/>
        </w:rPr>
      </w:pPr>
    </w:p>
    <w:p>
      <w:pPr>
        <w:ind w:right="80" w:firstLine="351"/>
        <w:spacing w:after="0" w:line="277" w:lineRule="auto"/>
        <w:rPr>
          <w:sz w:val="20"/>
          <w:szCs w:val="20"/>
          <w:color w:val="auto"/>
        </w:rPr>
      </w:pPr>
      <w:r>
        <w:rPr>
          <w:rFonts w:ascii="Arial" w:cs="Arial" w:eastAsia="Arial" w:hAnsi="Arial"/>
          <w:sz w:val="18"/>
          <w:szCs w:val="18"/>
          <w:color w:val="auto"/>
        </w:rPr>
        <w:t>During the six months ended June 30, 2017, we did not purchase or close on any investments. We did, however, pay $280 in capitalized fees. The table below summarized the portfolio investments we wrote-off during the six months ended June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4"/>
          </w:tcPr>
          <w:p>
            <w:pPr>
              <w:jc w:val="right"/>
              <w:ind w:right="1141"/>
              <w:spacing w:after="0"/>
              <w:rPr>
                <w:sz w:val="20"/>
                <w:szCs w:val="20"/>
                <w:color w:val="auto"/>
              </w:rPr>
            </w:pPr>
            <w:r>
              <w:rPr>
                <w:rFonts w:ascii="Arial" w:cs="Arial" w:eastAsia="Arial" w:hAnsi="Arial"/>
                <w:sz w:val="14"/>
                <w:szCs w:val="14"/>
                <w:b w:val="1"/>
                <w:bCs w:val="1"/>
                <w:color w:val="auto"/>
              </w:rPr>
              <w:t>Six Months Ended June 30, 2017</w:t>
            </w:r>
          </w:p>
        </w:tc>
        <w:tc>
          <w:tcPr>
            <w:tcW w:w="0" w:type="dxa"/>
            <w:vAlign w:val="bottom"/>
          </w:tcPr>
          <w:p>
            <w:pPr>
              <w:spacing w:after="0"/>
              <w:rPr>
                <w:sz w:val="1"/>
                <w:szCs w:val="1"/>
                <w:color w:val="auto"/>
              </w:rPr>
            </w:pPr>
          </w:p>
        </w:tc>
      </w:tr>
      <w:tr>
        <w:trPr>
          <w:trHeight w:val="152"/>
        </w:trPr>
        <w:tc>
          <w:tcPr>
            <w:tcW w:w="6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Company</w:t>
            </w:r>
          </w:p>
        </w:tc>
        <w:tc>
          <w:tcPr>
            <w:tcW w:w="140" w:type="dxa"/>
            <w:vAlign w:val="bottom"/>
            <w:vMerge w:val="restart"/>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Proceeds</w:t>
            </w:r>
          </w:p>
        </w:tc>
        <w:tc>
          <w:tcPr>
            <w:tcW w:w="100" w:type="dxa"/>
            <w:vAlign w:val="bottom"/>
            <w:vMerge w:val="restart"/>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tcPr>
          <w:p>
            <w:pPr>
              <w:jc w:val="right"/>
              <w:ind w:right="741"/>
              <w:spacing w:after="0" w:line="153" w:lineRule="exact"/>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92"/>
        </w:trPr>
        <w:tc>
          <w:tcPr>
            <w:tcW w:w="63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Gain/(Loss)</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AliphCom, Inc. (d/b/a Jawbone)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(793,152)</w:t>
            </w:r>
          </w:p>
        </w:tc>
        <w:tc>
          <w:tcPr>
            <w:tcW w:w="0" w:type="dxa"/>
            <w:vAlign w:val="bottom"/>
          </w:tcPr>
          <w:p>
            <w:pPr>
              <w:spacing w:after="0"/>
              <w:rPr>
                <w:sz w:val="1"/>
                <w:szCs w:val="1"/>
                <w:color w:val="auto"/>
              </w:rPr>
            </w:pPr>
          </w:p>
        </w:tc>
      </w:tr>
      <w:tr>
        <w:trPr>
          <w:trHeight w:val="237"/>
        </w:trPr>
        <w:tc>
          <w:tcPr>
            <w:tcW w:w="6500" w:type="dxa"/>
            <w:vAlign w:val="bottom"/>
            <w:gridSpan w:val="2"/>
          </w:tcPr>
          <w:p>
            <w:pPr>
              <w:ind w:left="40"/>
              <w:spacing w:after="0"/>
              <w:rPr>
                <w:sz w:val="20"/>
                <w:szCs w:val="20"/>
                <w:color w:val="auto"/>
              </w:rPr>
            </w:pPr>
            <w:r>
              <w:rPr>
                <w:rFonts w:ascii="Arial" w:cs="Arial" w:eastAsia="Arial" w:hAnsi="Arial"/>
                <w:sz w:val="16"/>
                <w:szCs w:val="16"/>
                <w:color w:val="auto"/>
              </w:rPr>
              <w:t>AlwaysOn, Inc.</w:t>
            </w:r>
          </w:p>
        </w:tc>
        <w:tc>
          <w:tcPr>
            <w:tcW w:w="400" w:type="dxa"/>
            <w:vAlign w:val="bottom"/>
          </w:tcPr>
          <w:p>
            <w:pPr>
              <w:spacing w:after="0"/>
              <w:rPr>
                <w:sz w:val="20"/>
                <w:szCs w:val="20"/>
                <w:color w:val="auto"/>
              </w:rPr>
            </w:pPr>
          </w:p>
        </w:tc>
        <w:tc>
          <w:tcPr>
            <w:tcW w:w="188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(1,903,414)</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Beamreach Solar, Inc. (f/k/a Solexel, Inc.)</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(14,272,840)</w:t>
            </w:r>
          </w:p>
        </w:tc>
        <w:tc>
          <w:tcPr>
            <w:tcW w:w="0" w:type="dxa"/>
            <w:vAlign w:val="bottom"/>
          </w:tcPr>
          <w:p>
            <w:pPr>
              <w:spacing w:after="0"/>
              <w:rPr>
                <w:sz w:val="1"/>
                <w:szCs w:val="1"/>
                <w:color w:val="auto"/>
              </w:rPr>
            </w:pPr>
          </w:p>
        </w:tc>
      </w:tr>
      <w:tr>
        <w:trPr>
          <w:trHeight w:val="237"/>
        </w:trPr>
        <w:tc>
          <w:tcPr>
            <w:tcW w:w="6500" w:type="dxa"/>
            <w:vAlign w:val="bottom"/>
            <w:gridSpan w:val="2"/>
          </w:tcPr>
          <w:p>
            <w:pPr>
              <w:ind w:left="40"/>
              <w:spacing w:after="0"/>
              <w:rPr>
                <w:sz w:val="20"/>
                <w:szCs w:val="20"/>
                <w:color w:val="auto"/>
              </w:rPr>
            </w:pPr>
            <w:r>
              <w:rPr>
                <w:rFonts w:ascii="Arial" w:cs="Arial" w:eastAsia="Arial" w:hAnsi="Arial"/>
                <w:sz w:val="16"/>
                <w:szCs w:val="16"/>
                <w:color w:val="auto"/>
              </w:rPr>
              <w:t>Cricket Media (f/k/a ePals Corporation)</w:t>
            </w:r>
          </w:p>
        </w:tc>
        <w:tc>
          <w:tcPr>
            <w:tcW w:w="400" w:type="dxa"/>
            <w:vAlign w:val="bottom"/>
          </w:tcPr>
          <w:p>
            <w:pPr>
              <w:spacing w:after="0"/>
              <w:rPr>
                <w:sz w:val="20"/>
                <w:szCs w:val="20"/>
                <w:color w:val="auto"/>
              </w:rPr>
            </w:pPr>
          </w:p>
        </w:tc>
        <w:tc>
          <w:tcPr>
            <w:tcW w:w="188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(2,448,959)</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EarlyShares.com, Inc.</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(312,438)</w:t>
            </w:r>
          </w:p>
        </w:tc>
        <w:tc>
          <w:tcPr>
            <w:tcW w:w="0" w:type="dxa"/>
            <w:vAlign w:val="bottom"/>
          </w:tcPr>
          <w:p>
            <w:pPr>
              <w:spacing w:after="0"/>
              <w:rPr>
                <w:sz w:val="1"/>
                <w:szCs w:val="1"/>
                <w:color w:val="auto"/>
              </w:rPr>
            </w:pPr>
          </w:p>
        </w:tc>
      </w:tr>
      <w:tr>
        <w:trPr>
          <w:trHeight w:val="237"/>
        </w:trPr>
        <w:tc>
          <w:tcPr>
            <w:tcW w:w="6500" w:type="dxa"/>
            <w:vAlign w:val="bottom"/>
            <w:gridSpan w:val="2"/>
          </w:tcPr>
          <w:p>
            <w:pPr>
              <w:ind w:left="40"/>
              <w:spacing w:after="0"/>
              <w:rPr>
                <w:sz w:val="20"/>
                <w:szCs w:val="20"/>
                <w:color w:val="auto"/>
              </w:rPr>
            </w:pPr>
            <w:r>
              <w:rPr>
                <w:rFonts w:ascii="Arial" w:cs="Arial" w:eastAsia="Arial" w:hAnsi="Arial"/>
                <w:sz w:val="16"/>
                <w:szCs w:val="16"/>
                <w:color w:val="auto"/>
              </w:rPr>
              <w:t>Orchestra One, Inc. (f/k/a Learnist, Inc.)</w:t>
            </w:r>
          </w:p>
        </w:tc>
        <w:tc>
          <w:tcPr>
            <w:tcW w:w="400" w:type="dxa"/>
            <w:vAlign w:val="bottom"/>
          </w:tcPr>
          <w:p>
            <w:pPr>
              <w:spacing w:after="0"/>
              <w:rPr>
                <w:sz w:val="20"/>
                <w:szCs w:val="20"/>
                <w:color w:val="auto"/>
              </w:rPr>
            </w:pPr>
          </w:p>
        </w:tc>
        <w:tc>
          <w:tcPr>
            <w:tcW w:w="188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(4,959,614)</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Global Education Learning (Holdings) Ltd.</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(675,495)</w:t>
            </w:r>
          </w:p>
        </w:tc>
        <w:tc>
          <w:tcPr>
            <w:tcW w:w="0" w:type="dxa"/>
            <w:vAlign w:val="bottom"/>
          </w:tcPr>
          <w:p>
            <w:pPr>
              <w:spacing w:after="0"/>
              <w:rPr>
                <w:sz w:val="1"/>
                <w:szCs w:val="1"/>
                <w:color w:val="auto"/>
              </w:rPr>
            </w:pPr>
          </w:p>
        </w:tc>
      </w:tr>
      <w:tr>
        <w:trPr>
          <w:trHeight w:val="244"/>
        </w:trPr>
        <w:tc>
          <w:tcPr>
            <w:tcW w:w="6500" w:type="dxa"/>
            <w:vAlign w:val="bottom"/>
            <w:gridSpan w:val="2"/>
          </w:tcPr>
          <w:p>
            <w:pPr>
              <w:ind w:left="180"/>
              <w:spacing w:after="0"/>
              <w:rPr>
                <w:sz w:val="20"/>
                <w:szCs w:val="20"/>
                <w:color w:val="auto"/>
              </w:rPr>
            </w:pPr>
            <w:r>
              <w:rPr>
                <w:rFonts w:ascii="Arial" w:cs="Arial" w:eastAsia="Arial" w:hAnsi="Arial"/>
                <w:sz w:val="16"/>
                <w:szCs w:val="16"/>
                <w:color w:val="auto"/>
              </w:rPr>
              <w:t>Total Disposals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(25,365,912)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Realized gain/(loss) exclude any realized gain/(loss) incurred on the maturity of our U.S. Treasury investments.</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57</w:t>
      </w:r>
    </w:p>
    <w:p>
      <w:pPr>
        <w:sectPr>
          <w:pgSz w:w="11900" w:h="16838" w:orient="portrait"/>
          <w:cols w:equalWidth="0" w:num="1">
            <w:col w:w="11320"/>
          </w:cols>
          <w:pgMar w:left="240" w:top="122" w:right="339" w:bottom="1440" w:gutter="0" w:footer="0" w:header="0"/>
        </w:sectPr>
      </w:pPr>
    </w:p>
    <w:bookmarkStart w:id="59" w:name="page60"/>
    <w:bookmarkEnd w:id="5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 </w:t>
      </w:r>
      <w:r>
        <w:rPr>
          <w:rFonts w:ascii="Arial" w:cs="Arial" w:eastAsia="Arial" w:hAnsi="Arial"/>
          <w:sz w:val="18"/>
          <w:szCs w:val="18"/>
          <w:b w:val="1"/>
          <w:bCs w:val="1"/>
          <w:i w:val="1"/>
          <w:iCs w:val="1"/>
          <w:color w:val="auto"/>
        </w:rPr>
        <w:t>Comparison of the three and six months ended June 30, 2018 and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and six months ended June 30, 2018, and 2017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6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Investment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592,073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370,593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841,408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709,052</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242,073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172,497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491,408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335,956</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Operating Expenses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6,344,272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6,423,452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11,741,078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11,751,925</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Incentive fee waiver</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 waiver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(335,403)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(169,898)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(490,347)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(351,700)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Operating Expenses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6,008,869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6,253,554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6,250,731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11,400,225</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1,286,066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1,359,180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2,609,642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2,813,600</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Incentive fees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2,588,085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2,430,825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4,059,419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4,148,133</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Costs incurred under Administration Agreement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449,110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821,258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980,594</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Directors’ fees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86,250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73,063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155,980</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326,798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702,808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964,998</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1,473,695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1,155,060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2,613,758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2,281,833</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46,490</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expenses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160,036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207,716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649,306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360,297</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Investment Loss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(5,416,796)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(5,882,961)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(5,409,323)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(10,691,173)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Net realized gain/(loss) on investments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3,363,333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(671,492)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2,586,608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(25,360,659)</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Realized loss on partial repurchase of 5.25% Convertible Senior Notes due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2018</w:t>
            </w:r>
          </w:p>
        </w:tc>
        <w:tc>
          <w:tcPr>
            <w:tcW w:w="3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(397,846)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120"/>
              <w:spacing w:after="0"/>
              <w:rPr>
                <w:sz w:val="20"/>
                <w:szCs w:val="20"/>
                <w:color w:val="auto"/>
              </w:rPr>
            </w:pPr>
            <w:r>
              <w:rPr>
                <w:rFonts w:ascii="Arial" w:cs="Arial" w:eastAsia="Arial" w:hAnsi="Arial"/>
                <w:sz w:val="16"/>
                <w:szCs w:val="16"/>
                <w:color w:val="auto"/>
              </w:rPr>
              <w:t>Net change in unrealized appreciation/(depreciation) of investments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9,872,595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12,752,528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18,005,989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46,032,793</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Benefit from taxes on unrealized depreciation of investments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1,010,871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increase in net assets resulting from operations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8,830,003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6,198,075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15,796,299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9,980,961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-3871595</wp:posOffset>
            </wp:positionV>
            <wp:extent cx="32670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right="20" w:firstLine="351"/>
        <w:spacing w:after="0" w:line="312" w:lineRule="auto"/>
        <w:rPr>
          <w:sz w:val="20"/>
          <w:szCs w:val="20"/>
          <w:color w:val="auto"/>
        </w:rPr>
      </w:pPr>
      <w:r>
        <w:rPr>
          <w:rFonts w:ascii="Arial" w:cs="Arial" w:eastAsia="Arial" w:hAnsi="Arial"/>
          <w:sz w:val="16"/>
          <w:szCs w:val="16"/>
          <w:color w:val="auto"/>
        </w:rPr>
        <w:t>Investment income increased to $592,073 for the three months ended June 30, 2018 from $370,593 for the three months ended June 30, 2017. The increase between periods was primarily due to increased dividend income related to our investment in SPBRX, Inc. (f/k/a GSV Sustainability Partners, Inc.) and to a lesser extent increased interest income between periods. The increase in interest income was primarily due to our debt investment in Ozy Media, Inc.</w:t>
      </w:r>
    </w:p>
    <w:p>
      <w:pPr>
        <w:spacing w:after="0" w:line="14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Investment income increased to $841,408 for the six months ended June 30, 2018, from $709,052 for the six months ended June 30, 2017. The increase between periods was primarily due to increased dividend income related to our investment in SPBRX, Inc. (f/k/a GSV Sustainability Partners, Inc.) and to a lesser extent increased interest income between periods. The increase in interest income was primarily due to our debt investments in Ozy Media, Inc. and Declara,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Total operating expenses, net of waiver of management and incentive fees, decreased to $6,008,869 for the three months ended June 30, 2018, from $6,253,554 for the three months ended June 30, 2017. The decrease between periods was primarily due to an increase in GSV Asset Management’s management fee waiver under the Waiver Agreement during the three months ended June 30, 2018 which, resulted primarily from the exclusion of our cash balance from the calculation of the base management fee. The decrease in total operating expenses also resulted from a decrease in professional fees and other expenses. The decrease in total operating expenses between periods was partially offset by an increase in interest expense between periods due to the issuance of the 4.75% Convertible Senior Notes due 2023.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operating expenses, net of waiver of management and incentive fees, decreased to $6,250,731 for the six months ended June 30, 2018,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$11,400,225 for the six months ended June 30, 2017. The decrease between periods was primarily due to GSV Asset Management’s forfeiture of $5.0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previously accrued but unpaid incentive fees pursuant to the Waiver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225" w:lineRule="exact"/>
        <w:rPr>
          <w:sz w:val="20"/>
          <w:szCs w:val="20"/>
          <w:color w:val="auto"/>
        </w:rPr>
      </w:pPr>
    </w:p>
    <w:p>
      <w:pPr>
        <w:ind w:right="200" w:firstLine="351"/>
        <w:spacing w:after="0" w:line="264" w:lineRule="auto"/>
        <w:rPr>
          <w:sz w:val="20"/>
          <w:szCs w:val="20"/>
          <w:color w:val="auto"/>
        </w:rPr>
      </w:pPr>
      <w:r>
        <w:rPr>
          <w:rFonts w:ascii="Arial" w:cs="Arial" w:eastAsia="Arial" w:hAnsi="Arial"/>
          <w:sz w:val="18"/>
          <w:szCs w:val="18"/>
          <w:color w:val="auto"/>
        </w:rPr>
        <w:t>For the three months ended June 30, 2018, we recognized a net investment loss of $5,416,796, compared to a net investment loss of $5,882,961 for the three months ended June 30, 2017. The change between periods resulted from the decrease in operating expenses, net of waiver of management fees, as discussed above, and an increase in total investment income between periods.</w:t>
      </w:r>
    </w:p>
    <w:p>
      <w:pPr>
        <w:spacing w:after="0" w:line="181"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For the six months ended June 30, 2018, we recognized a net investment loss of $5,409,323, compared to a net investment loss of $10,691,173 for the six months ended June 30, 2017. The change between periods resulted from the decrease in operating expenses, net of waiver of management and incentive fees, as discussed above, and an increase in total investment income between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Gain/(Loss) on Investments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three months ended June 30, 2018, we recognized a net realized gain of $3,363,333 on our investments, compared to a net realized loss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$671,492 for the three months ended June 30, 2017. The components of our net realized gains and losses on portfolio investments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 excluding U.S. Treasury investments, are reflected in the tables above, under “—Portfolio and Investment Activity.”</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the six months ended June 30, 2018, we recognized a net realized gain of $2,586,608 on our investments, compared to a net realized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$25,360,659 for the six months ended June 30, 2017. The components of our net realized gains and losses on portfolio investments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 excluding U.S. Treasury investments, are reflected in the tables above, under “—Portfolio and Investment Activity.”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For the three months ended June 30, 2018, we had a net change in unrealized appreciation of $9,872,595. For the three months ended June 30, 2017, we had a net change in unrealized appreciation of $12,752,528. The following tables summarize, by portfolio company, the significant changes in unrealized appreciation and/or depreciation of our investment portfolio for the three months ended June 30, 2018 and 2017.</w:t>
      </w:r>
    </w:p>
    <w:p>
      <w:pPr>
        <w:spacing w:after="0" w:line="9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Appreciation/(Depreciation)</w:t>
            </w: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Appreciation/(Depreciation)</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100" w:type="dxa"/>
            <w:vAlign w:val="bottom"/>
          </w:tcPr>
          <w:p>
            <w:pPr>
              <w:spacing w:after="0"/>
              <w:rPr>
                <w:sz w:val="12"/>
                <w:szCs w:val="12"/>
                <w:color w:val="auto"/>
              </w:rPr>
            </w:pPr>
          </w:p>
        </w:tc>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2"/>
              </w:rPr>
              <w:t>Ended June 30, 2018</w:t>
            </w:r>
          </w:p>
        </w:tc>
        <w:tc>
          <w:tcPr>
            <w:tcW w:w="100" w:type="dxa"/>
            <w:vAlign w:val="bottom"/>
          </w:tcPr>
          <w:p>
            <w:pPr>
              <w:spacing w:after="0"/>
              <w:rPr>
                <w:sz w:val="16"/>
                <w:szCs w:val="16"/>
                <w:color w:val="auto"/>
              </w:rPr>
            </w:pPr>
          </w:p>
        </w:tc>
        <w:tc>
          <w:tcPr>
            <w:tcW w:w="3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Ended June 30, 2017</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Spotify Technology S.A.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8,529,446</w:t>
            </w:r>
          </w:p>
        </w:tc>
        <w:tc>
          <w:tcPr>
            <w:tcW w:w="100" w:type="dxa"/>
            <w:vAlign w:val="bottom"/>
          </w:tcPr>
          <w:p>
            <w:pPr>
              <w:spacing w:after="0"/>
              <w:rPr>
                <w:sz w:val="20"/>
                <w:szCs w:val="20"/>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Spotify Technology S.A.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7,426,444</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DreamBox Learning, Inc.</w:t>
            </w:r>
          </w:p>
        </w:tc>
        <w:tc>
          <w:tcPr>
            <w:tcW w:w="16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3,419,118</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JAMF Holdings, Inc.</w:t>
            </w:r>
          </w:p>
        </w:tc>
        <w:tc>
          <w:tcPr>
            <w:tcW w:w="16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5,686,017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StormWind, LLC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1,810,773</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Chegg,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4,553,750</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A Place for Rover Inc. (f/k/a DogVacay, Inc.)</w:t>
            </w:r>
          </w:p>
        </w:tc>
        <w:tc>
          <w:tcPr>
            <w:tcW w:w="16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1,523,225</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Coursera, Inc.</w:t>
            </w:r>
          </w:p>
        </w:tc>
        <w:tc>
          <w:tcPr>
            <w:tcW w:w="16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3,853,586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Dropbox,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1,468,215</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Aspiration Partners,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2,028,453</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Lyft, Inc.</w:t>
            </w:r>
          </w:p>
        </w:tc>
        <w:tc>
          <w:tcPr>
            <w:tcW w:w="16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1,266,018</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NestGSV, Inc. (d/b/a GSV Labs, Inc.)</w:t>
            </w:r>
          </w:p>
        </w:tc>
        <w:tc>
          <w:tcPr>
            <w:tcW w:w="16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1,684,264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Aspiration Partners,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(1,087,750)</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Lyft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1,116,346</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NestGSV, Inc. (d.b.a. GSV Labs, Inc.)</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(1,132,333)</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Snap Inc. (f/k/aSnapchat, Inc.)</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(1,239,580)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Assembly Space, Inc.</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(3,587,965)</w:t>
            </w:r>
          </w:p>
        </w:tc>
        <w:tc>
          <w:tcPr>
            <w:tcW w:w="100" w:type="dxa"/>
            <w:vAlign w:val="bottom"/>
          </w:tcPr>
          <w:p>
            <w:pPr>
              <w:spacing w:after="0"/>
              <w:rPr>
                <w:sz w:val="23"/>
                <w:szCs w:val="23"/>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Dataminr, Inc.</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(1,619,630)</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General Assembly Space, Inc.</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(2,093,705)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Palantir Technologies,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(2,097,042)</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Dropbox, Inc.</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(2,124,877)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SPBRX, INC. (f/k/a Sustainability Partners,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(2,647,657)</w:t>
            </w: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(2,336,152)</w:t>
            </w:r>
          </w:p>
        </w:tc>
        <w:tc>
          <w:tcPr>
            <w:tcW w:w="100" w:type="dxa"/>
            <w:vAlign w:val="bottom"/>
          </w:tcPr>
          <w:p>
            <w:pPr>
              <w:spacing w:after="0"/>
              <w:rPr>
                <w:sz w:val="23"/>
                <w:szCs w:val="23"/>
                <w:color w:val="auto"/>
              </w:rPr>
            </w:pPr>
          </w:p>
        </w:tc>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(1,773,841)</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9,872,595</w:t>
            </w:r>
          </w:p>
        </w:tc>
        <w:tc>
          <w:tcPr>
            <w:tcW w:w="1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12,752,528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03" w:lineRule="exact"/>
        <w:rPr>
          <w:sz w:val="20"/>
          <w:szCs w:val="20"/>
          <w:color w:val="auto"/>
        </w:rPr>
      </w:pPr>
    </w:p>
    <w:p>
      <w:pPr>
        <w:ind w:left="500" w:right="200" w:hanging="492"/>
        <w:spacing w:after="0" w:line="255"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spacing w:after="0" w:line="1" w:lineRule="exact"/>
        <w:rPr>
          <w:rFonts w:ascii="Arial" w:cs="Arial" w:eastAsia="Arial" w:hAnsi="Arial"/>
          <w:sz w:val="16"/>
          <w:szCs w:val="16"/>
          <w:color w:val="auto"/>
        </w:rPr>
      </w:pPr>
    </w:p>
    <w:p>
      <w:pPr>
        <w:ind w:left="500" w:right="140" w:hanging="492"/>
        <w:spacing w:after="0" w:line="257"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three months ended June 30, 2018 or 2017.</w:t>
      </w:r>
    </w:p>
    <w:p>
      <w:pPr>
        <w:spacing w:after="0" w:line="182"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For the six months ended June 30, 2018, we had a net change in unrealized appreciation of $18,005,989. For the six months ended June 30, 2017, we had a net change in unrealized appreciation of $46,032,793. The following tables summarize, by portfolio company, the significant changes in unrealized appreciation and/or depreciation of our investment portfolio for the six months ended June 30, 2018 and 2017.</w:t>
      </w:r>
    </w:p>
    <w:p>
      <w:pPr>
        <w:spacing w:after="0" w:line="9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Appreciation/(Depreciation)</w:t>
            </w: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Appreciation/(Depreciation)</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For the Six Months Ended</w:t>
            </w:r>
          </w:p>
        </w:tc>
        <w:tc>
          <w:tcPr>
            <w:tcW w:w="100" w:type="dxa"/>
            <w:vAlign w:val="bottom"/>
          </w:tcPr>
          <w:p>
            <w:pPr>
              <w:spacing w:after="0"/>
              <w:rPr>
                <w:sz w:val="12"/>
                <w:szCs w:val="12"/>
                <w:color w:val="auto"/>
              </w:rPr>
            </w:pPr>
          </w:p>
        </w:tc>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6"/>
                <w:szCs w:val="16"/>
                <w:color w:val="auto"/>
              </w:rPr>
            </w:pPr>
          </w:p>
        </w:tc>
        <w:tc>
          <w:tcPr>
            <w:tcW w:w="3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0"/>
              </w:rPr>
              <w:t>June 30, 2017</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Spotify Technology S.A.</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8,867,899</w:t>
            </w:r>
          </w:p>
        </w:tc>
        <w:tc>
          <w:tcPr>
            <w:tcW w:w="100" w:type="dxa"/>
            <w:vAlign w:val="bottom"/>
          </w:tcPr>
          <w:p>
            <w:pPr>
              <w:spacing w:after="0"/>
              <w:rPr>
                <w:sz w:val="22"/>
                <w:szCs w:val="22"/>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Beamreach Solar, Inc. (f/k/a Solexel, Inc.)</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14,272,843</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Dropbox, Inc.</w:t>
            </w:r>
          </w:p>
        </w:tc>
        <w:tc>
          <w:tcPr>
            <w:tcW w:w="28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7,654,762</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Spotify Technology S.A.</w:t>
            </w:r>
          </w:p>
        </w:tc>
        <w:tc>
          <w:tcPr>
            <w:tcW w:w="2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8,101,508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NestGSV, Inc. (d.b.a. GSV Labs, Inc.)</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4,617,495</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JAMF Holdings, Inc.</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6,719,198</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Avenues Global Holdings, LLC</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4,243,435</w:t>
            </w:r>
          </w:p>
        </w:tc>
        <w:tc>
          <w:tcPr>
            <w:tcW w:w="1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Chegg, Inc.</w:t>
            </w:r>
          </w:p>
        </w:tc>
        <w:tc>
          <w:tcPr>
            <w:tcW w:w="28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5,807,509</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DreamBox Learning, Inc.</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3,407,604</w:t>
            </w:r>
          </w:p>
        </w:tc>
        <w:tc>
          <w:tcPr>
            <w:tcW w:w="100" w:type="dxa"/>
            <w:vAlign w:val="bottom"/>
          </w:tcPr>
          <w:p>
            <w:pPr>
              <w:spacing w:after="0"/>
              <w:rPr>
                <w:sz w:val="23"/>
                <w:szCs w:val="23"/>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Orchestra One, Inc. (f/k/a Learnist, Inc.)</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4,959,614</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Lyft, Inc.</w:t>
            </w:r>
          </w:p>
        </w:tc>
        <w:tc>
          <w:tcPr>
            <w:tcW w:w="28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3,379,480</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Coursera, Inc.</w:t>
            </w:r>
          </w:p>
        </w:tc>
        <w:tc>
          <w:tcPr>
            <w:tcW w:w="2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3,853,586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StormWind, LLC</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1,895,438</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NestGSV, Inc. (d/b/a GSV Labs, Inc.)</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3,509,788</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A Place for Rover Inc. (f/k/a DogVacay, Inc.)</w:t>
            </w:r>
          </w:p>
        </w:tc>
        <w:tc>
          <w:tcPr>
            <w:tcW w:w="280" w:type="dxa"/>
            <w:vAlign w:val="bottom"/>
          </w:tcPr>
          <w:p>
            <w:pPr>
              <w:spacing w:after="0"/>
              <w:rPr>
                <w:sz w:val="23"/>
                <w:szCs w:val="23"/>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1,669,824</w:t>
            </w:r>
          </w:p>
        </w:tc>
        <w:tc>
          <w:tcPr>
            <w:tcW w:w="1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Cricket Media (f/k/a ePals, Inc.)</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2,448,959</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Course Hero, Inc.</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1,257,428</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Aspiration Partners, Inc.</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2,044,661</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Lytro, Inc.</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(1,140,570)</w:t>
            </w:r>
          </w:p>
        </w:tc>
        <w:tc>
          <w:tcPr>
            <w:tcW w:w="1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AlwaysOn, Inc.</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1,903,414</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Declara Inc.</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(1,715,261)</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Dropbox, Inc.</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1,746,957</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Chegg, Inc.</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(2,151,532)</w:t>
            </w:r>
          </w:p>
        </w:tc>
        <w:tc>
          <w:tcPr>
            <w:tcW w:w="1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Curious.com Inc.</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(1,051,625)</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Assembly Space, Inc.</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(4,840,905)</w:t>
            </w:r>
          </w:p>
        </w:tc>
        <w:tc>
          <w:tcPr>
            <w:tcW w:w="100" w:type="dxa"/>
            <w:vAlign w:val="bottom"/>
          </w:tcPr>
          <w:p>
            <w:pPr>
              <w:spacing w:after="0"/>
              <w:rPr>
                <w:sz w:val="23"/>
                <w:szCs w:val="23"/>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Dataminr, Inc.</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(1,571,376)</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Curious.com Inc.</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(5,514,077)</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SPBRX, INC. (f/k/a Sustainability Partners, Inc.)</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(2,780,534)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Palantir Technologies, Inc.</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(4,532,388)</w:t>
            </w: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(3,625,031)</w:t>
            </w:r>
          </w:p>
        </w:tc>
        <w:tc>
          <w:tcPr>
            <w:tcW w:w="100" w:type="dxa"/>
            <w:vAlign w:val="bottom"/>
          </w:tcPr>
          <w:p>
            <w:pPr>
              <w:spacing w:after="0"/>
              <w:rPr>
                <w:sz w:val="23"/>
                <w:szCs w:val="23"/>
                <w:color w:val="auto"/>
              </w:rPr>
            </w:pPr>
          </w:p>
        </w:tc>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600,679</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18,005,989</w:t>
            </w:r>
          </w:p>
        </w:tc>
        <w:tc>
          <w:tcPr>
            <w:tcW w:w="1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46,032,793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change in unrealized appreciation for these investments resulted from writing off an investment that was previously reduced in value to zero.</w:t>
      </w:r>
    </w:p>
    <w:p>
      <w:pPr>
        <w:spacing w:after="0" w:line="9" w:lineRule="exact"/>
        <w:rPr>
          <w:rFonts w:ascii="Arial" w:cs="Arial" w:eastAsia="Arial" w:hAnsi="Arial"/>
          <w:sz w:val="16"/>
          <w:szCs w:val="16"/>
          <w:color w:val="auto"/>
        </w:rPr>
      </w:pPr>
    </w:p>
    <w:p>
      <w:pPr>
        <w:ind w:left="500" w:right="200" w:hanging="492"/>
        <w:spacing w:after="0" w:line="246"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ind w:left="500" w:right="140" w:hanging="492"/>
        <w:spacing w:after="0" w:line="257"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six months ended June 30, 2018 or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Please refer to “Note 11—Subsequent Events” to our condensed consolidated financial statements as of June 30, 2018 for details regarding activity in our investment portfolio from July 1, 2018 through August 8, 2018.</w:t>
      </w:r>
    </w:p>
    <w:p>
      <w:pPr>
        <w:spacing w:after="0" w:line="170" w:lineRule="exact"/>
        <w:rPr>
          <w:sz w:val="20"/>
          <w:szCs w:val="20"/>
          <w:color w:val="auto"/>
        </w:rPr>
      </w:pPr>
    </w:p>
    <w:p>
      <w:pPr>
        <w:ind w:right="140" w:firstLine="351"/>
        <w:spacing w:after="0" w:line="276"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260" w:firstLine="351"/>
        <w:spacing w:after="0" w:line="277" w:lineRule="auto"/>
        <w:rPr>
          <w:sz w:val="20"/>
          <w:szCs w:val="20"/>
          <w:color w:val="auto"/>
        </w:rPr>
      </w:pPr>
      <w:r>
        <w:rPr>
          <w:rFonts w:ascii="Arial" w:cs="Arial" w:eastAsia="Arial" w:hAnsi="Arial"/>
          <w:sz w:val="18"/>
          <w:szCs w:val="18"/>
          <w:color w:val="auto"/>
        </w:rPr>
        <w:t>From July 1, 2018 through August 8, 2018, we repurchased 230,623 additional shares under the Share Repurchase Program for an aggregate purchase price of $1.6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351"/>
        <w:spacing w:after="0" w:line="297" w:lineRule="auto"/>
        <w:rPr>
          <w:sz w:val="20"/>
          <w:szCs w:val="20"/>
          <w:color w:val="auto"/>
        </w:rPr>
      </w:pPr>
      <w:r>
        <w:rPr>
          <w:rFonts w:ascii="Arial" w:cs="Arial" w:eastAsia="Arial" w:hAnsi="Arial"/>
          <w:sz w:val="16"/>
          <w:szCs w:val="16"/>
          <w:color w:val="auto"/>
        </w:rPr>
        <w:t>Our liquidity and capital resources are generated primarily from the sales of our investments and advances from our $12.0 million Credit Facility. In addition, during the six months ended June 30, 2018, we issued $40.0 million aggregate principal amount of 4.75% Convertible Senior Notes due 2023, as discussed further below and in “Note 10—Debt Capital Activities” to our condensed consolidated financial statements as of June 30, 2018. In management’s view, we have sufficient liquidity and capital resources to pay our operating expenses and conduct investment activities. With regard to the 5.25% Convertible Senior Notes due 2018, which mature on September 15, 2018, we are actively managing our liquidity in anticipation of meeting our obligations thereunder.</w:t>
      </w:r>
    </w:p>
    <w:p>
      <w:pPr>
        <w:spacing w:after="0" w:line="158"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Our primary uses of cash are to make investments, pay our operating expenses and make distributions to our stockholders. For the six months ended June 30, 2018 and 2017, our operating expenses, net of any fee waivers, were $6,250,731 and $11,400,225,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Reserves and Liquid Securities</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36"/>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93,485,576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59,838,600</w:t>
            </w:r>
          </w:p>
        </w:tc>
        <w:tc>
          <w:tcPr>
            <w:tcW w:w="0" w:type="dxa"/>
            <w:vAlign w:val="bottom"/>
          </w:tcPr>
          <w:p>
            <w:pPr>
              <w:spacing w:after="0"/>
              <w:rPr>
                <w:sz w:val="1"/>
                <w:szCs w:val="1"/>
                <w:color w:val="auto"/>
              </w:rPr>
            </w:pPr>
          </w:p>
        </w:tc>
      </w:tr>
      <w:tr>
        <w:trPr>
          <w:trHeight w:val="270"/>
        </w:trPr>
        <w:tc>
          <w:tcPr>
            <w:tcW w:w="6900" w:type="dxa"/>
            <w:vAlign w:val="bottom"/>
            <w:gridSpan w:val="2"/>
          </w:tcPr>
          <w:p>
            <w:pPr>
              <w:ind w:left="40"/>
              <w:spacing w:after="0"/>
              <w:rPr>
                <w:sz w:val="20"/>
                <w:szCs w:val="20"/>
                <w:color w:val="auto"/>
              </w:rPr>
            </w:pPr>
            <w:r>
              <w:rPr>
                <w:rFonts w:ascii="Arial" w:cs="Arial" w:eastAsia="Arial" w:hAnsi="Arial"/>
                <w:sz w:val="16"/>
                <w:szCs w:val="16"/>
                <w:color w:val="auto"/>
              </w:rPr>
              <w:t>Borrowing availability under the Credit Facility</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12,000,000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12,000,000</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Securities of publicly traded portfolio companies:</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00" w:type="dxa"/>
            <w:vAlign w:val="bottom"/>
            <w:gridSpan w:val="2"/>
          </w:tcPr>
          <w:p>
            <w:pPr>
              <w:ind w:left="220"/>
              <w:spacing w:after="0"/>
              <w:rPr>
                <w:sz w:val="20"/>
                <w:szCs w:val="20"/>
                <w:color w:val="auto"/>
              </w:rPr>
            </w:pPr>
            <w:r>
              <w:rPr>
                <w:rFonts w:ascii="Arial" w:cs="Arial" w:eastAsia="Arial" w:hAnsi="Arial"/>
                <w:sz w:val="16"/>
                <w:szCs w:val="16"/>
                <w:color w:val="auto"/>
              </w:rPr>
              <w:t>Unrestricted securities</w:t>
            </w:r>
            <w:r>
              <w:rPr>
                <w:rFonts w:ascii="Arial" w:cs="Arial" w:eastAsia="Arial" w:hAnsi="Arial"/>
                <w:sz w:val="21"/>
                <w:szCs w:val="21"/>
                <w:color w:val="auto"/>
                <w:vertAlign w:val="superscript"/>
              </w:rPr>
              <w:t>(2)</w:t>
            </w:r>
          </w:p>
        </w:tc>
        <w:tc>
          <w:tcPr>
            <w:tcW w:w="400" w:type="dxa"/>
            <w:vAlign w:val="bottom"/>
          </w:tcPr>
          <w:p>
            <w:pPr>
              <w:spacing w:after="0"/>
              <w:rPr>
                <w:sz w:val="23"/>
                <w:szCs w:val="23"/>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39,596,966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8,160,000</w:t>
            </w:r>
          </w:p>
        </w:tc>
        <w:tc>
          <w:tcPr>
            <w:tcW w:w="0" w:type="dxa"/>
            <w:vAlign w:val="bottom"/>
          </w:tcPr>
          <w:p>
            <w:pPr>
              <w:spacing w:after="0"/>
              <w:rPr>
                <w:sz w:val="1"/>
                <w:szCs w:val="1"/>
                <w:color w:val="auto"/>
              </w:rPr>
            </w:pPr>
          </w:p>
        </w:tc>
      </w:tr>
      <w:tr>
        <w:trPr>
          <w:trHeight w:val="270"/>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Subject to other sales restrictions</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25,530,458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900" w:type="dxa"/>
            <w:vAlign w:val="bottom"/>
            <w:gridSpan w:val="2"/>
          </w:tcPr>
          <w:p>
            <w:pPr>
              <w:ind w:left="40"/>
              <w:spacing w:after="0"/>
              <w:rPr>
                <w:sz w:val="20"/>
                <w:szCs w:val="20"/>
                <w:color w:val="auto"/>
              </w:rPr>
            </w:pPr>
            <w:r>
              <w:rPr>
                <w:rFonts w:ascii="Arial" w:cs="Arial" w:eastAsia="Arial" w:hAnsi="Arial"/>
                <w:sz w:val="16"/>
                <w:szCs w:val="16"/>
                <w:color w:val="auto"/>
              </w:rPr>
              <w:t>Total securities of publicly traded portfolio companies</w:t>
            </w:r>
          </w:p>
        </w:tc>
        <w:tc>
          <w:tcPr>
            <w:tcW w:w="400" w:type="dxa"/>
            <w:vAlign w:val="bottom"/>
          </w:tcPr>
          <w:p>
            <w:pPr>
              <w:spacing w:after="0"/>
              <w:rPr>
                <w:sz w:val="18"/>
                <w:szCs w:val="18"/>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65,127,424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8,160,000</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Cash Reserves and Liquid Securities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170,613,000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79,998,600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43053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ind w:left="500" w:right="160" w:hanging="492"/>
        <w:spacing w:after="0" w:line="246"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Subject to leverage and borrowing base restrictions and other requirements under the Credit Facility as of June 30, 2018 and December 31, 2017. Refer to “Note 10— Debt Capital Activities” to our condensed consolidated financial statements as of June 30, 2018 for details.</w:t>
      </w:r>
    </w:p>
    <w:p>
      <w:pPr>
        <w:jc w:val="both"/>
        <w:ind w:left="500" w:right="520" w:hanging="492"/>
        <w:spacing w:after="0" w:line="246"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“Unrestricted securities” represents common stock of our publicly traded companies that are not subject to any restrictions upon sale. We may incur losses if we liquidate these positions to pay operating expenses or fund new investments. As of June 30, 2018, this balance represents our shares of common stock of Spotify Technology S.A.</w:t>
      </w:r>
    </w:p>
    <w:p>
      <w:pPr>
        <w:spacing w:after="0" w:line="1" w:lineRule="exact"/>
        <w:rPr>
          <w:rFonts w:ascii="Arial" w:cs="Arial" w:eastAsia="Arial" w:hAnsi="Arial"/>
          <w:sz w:val="16"/>
          <w:szCs w:val="16"/>
          <w:color w:val="auto"/>
        </w:rPr>
      </w:pPr>
    </w:p>
    <w:p>
      <w:pPr>
        <w:ind w:left="500" w:right="100" w:hanging="492"/>
        <w:spacing w:after="0" w:line="257"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of June 30, 2018, this balance represents our shares of common stock of Dropbox, Inc. The Company's shares of common stock in Dropbox, Inc. are restricted until September 19, 2018.</w:t>
      </w:r>
    </w:p>
    <w:p>
      <w:pPr>
        <w:spacing w:after="0" w:line="182" w:lineRule="exact"/>
        <w:rPr>
          <w:sz w:val="20"/>
          <w:szCs w:val="20"/>
          <w:color w:val="auto"/>
        </w:rPr>
      </w:pPr>
    </w:p>
    <w:p>
      <w:pPr>
        <w:ind w:firstLine="351"/>
        <w:spacing w:after="0" w:line="276" w:lineRule="auto"/>
        <w:rPr>
          <w:sz w:val="20"/>
          <w:szCs w:val="20"/>
          <w:color w:val="auto"/>
        </w:rPr>
      </w:pPr>
      <w:r>
        <w:rPr>
          <w:rFonts w:ascii="Arial" w:cs="Arial" w:eastAsia="Arial" w:hAnsi="Arial"/>
          <w:sz w:val="17"/>
          <w:szCs w:val="17"/>
          <w:color w:val="auto"/>
        </w:rPr>
        <w:t>During the six months ended June 30, 2018, cash increased to $93,485,576 from $59,838,600 at the beginning of the year. The increase in cash was primarily due to the receipt of net proceeds from the issuance of $40.0 million aggregate principal amount of 4.75% Convertible Senior Notes due 2023 and approximately $23.8 million in net proceeds from the sale of certain portfolio investments, partially offset primarily by the use of approximately $19.3 million in cash to repurchase a portion of the outstanding 5.25% Convertible Senior Notes due 2018, approximately $3.4 million in cash used under the Share Repurchase Program, and approximately $0.2 million in cash used to make additional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Payments Due By Period (dollars in millions)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Payable for securities purchased</w:t>
            </w:r>
            <w:r>
              <w:rPr>
                <w:rFonts w:ascii="Arial" w:cs="Arial" w:eastAsia="Arial" w:hAnsi="Arial"/>
                <w:sz w:val="21"/>
                <w:szCs w:val="21"/>
                <w:color w:val="auto"/>
                <w:vertAlign w:val="superscript"/>
              </w:rPr>
              <w:t>(1)</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Credit Facility payable</w:t>
            </w:r>
            <w:r>
              <w:rPr>
                <w:rFonts w:ascii="Arial" w:cs="Arial" w:eastAsia="Arial" w:hAnsi="Arial"/>
                <w:sz w:val="21"/>
                <w:szCs w:val="21"/>
                <w:color w:val="auto"/>
                <w:vertAlign w:val="superscript"/>
              </w:rPr>
              <w:t>(2)(3)</w:t>
            </w:r>
          </w:p>
        </w:tc>
        <w:tc>
          <w:tcPr>
            <w:tcW w:w="9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3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Senior Notes</w:t>
            </w:r>
            <w:r>
              <w:rPr>
                <w:rFonts w:ascii="Arial" w:cs="Arial" w:eastAsia="Arial" w:hAnsi="Arial"/>
                <w:sz w:val="21"/>
                <w:szCs w:val="21"/>
                <w:color w:val="auto"/>
                <w:vertAlign w:val="superscript"/>
              </w:rPr>
              <w:t>(4)</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179.6</w:t>
            </w:r>
          </w:p>
        </w:tc>
        <w:tc>
          <w:tcPr>
            <w:tcW w:w="12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139.6</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right="660" w:hanging="492"/>
        <w:spacing w:after="0" w:line="263" w:lineRule="auto"/>
        <w:tabs>
          <w:tab w:leader="none" w:pos="5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“Payable for securities purchased” relates to the purchase of the U.S. Treasury bill on margin. This balance was subsequently repaid on July 5, 2018, when the $100.0 million United States Treasury bill matured and the $10.5 million margin deposit that we posted as collateral was returned.</w:t>
      </w:r>
    </w:p>
    <w:p>
      <w:pPr>
        <w:ind w:left="500" w:hanging="492"/>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total unused amount available under the Credit Facility as of June 30, 2018 was $12.0 million.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52"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weighted-average interest rate incurred under the Credit Facility was 0.00% for the six months ended June 30, 2018.</w:t>
      </w:r>
    </w:p>
    <w:p>
      <w:pPr>
        <w:spacing w:after="0" w:line="19" w:lineRule="exact"/>
        <w:rPr>
          <w:rFonts w:ascii="Arial" w:cs="Arial" w:eastAsia="Arial" w:hAnsi="Arial"/>
          <w:sz w:val="16"/>
          <w:szCs w:val="16"/>
          <w:color w:val="auto"/>
        </w:rPr>
      </w:pPr>
    </w:p>
    <w:p>
      <w:pPr>
        <w:ind w:left="500" w:right="220" w:hanging="492"/>
        <w:spacing w:after="0" w:line="252"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balance shown for the "Convertible Senior Notes" reflects the principal balance payable to investors for both the 5.25% Convertible Senior Notes due 2018 and 4.75% Convertible Senior Notes due 2023 as of June 30, 2018. Refer to “Note 10—Debt Capital Activities” to our condensed consolidated financial statements as of June 30, 2018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During the six months ended June 30, 2018, we repurchased 495,432 shares of our common stock pursuant to the Share Repurchase Program at an average price of $6.88 per share, or approximately $3.4 million in aggregate. As of June 30, 2018, the dollar value of shares that remained available to be purchased under the Share Repurchase Program was approximately $6.7 million. For more information on the Share Repurchase Program, see "Part II. Item 2. Unregistered Sales of Equity Securities and Use of Proceeds".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June 30, 2018, we had no off-balance sheet arrangements, including any risk management of commodity pricing or other hedging practices.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employ hedging and other risk management techniques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Pursuant to the Loan Agreement, Western Alliance Bank has agreed to provide us with the $12.0 million Credit Facility, which, among other things, matures on May 31, 2019 and bears interest at a per annum rate equal to the prime rate plus 3.50%. In addition, the Loan Agreement requires payment of a fee for unused amounts during the revolving period in an amount equal to 0.50% per annum of the average unused portion of the Credit Facility payable quarterly in arrears. Refer to “Note 10—Debt Capital Activities” to our condensed consolidated financial statements as of June 30, 2018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made no sales of our equity securities during the six months ended June 30, 2018 or the year ended December 31, 2017.</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5.25% Convertible Senior Notes due 2018 - Tender Offer and Repurchase</w:t>
      </w:r>
    </w:p>
    <w:p>
      <w:pPr>
        <w:spacing w:after="0" w:line="229" w:lineRule="exact"/>
        <w:rPr>
          <w:sz w:val="20"/>
          <w:szCs w:val="20"/>
          <w:color w:val="auto"/>
        </w:rPr>
      </w:pPr>
    </w:p>
    <w:p>
      <w:pPr>
        <w:ind w:right="20" w:firstLine="351"/>
        <w:spacing w:after="0" w:line="293" w:lineRule="auto"/>
        <w:rPr>
          <w:sz w:val="20"/>
          <w:szCs w:val="20"/>
          <w:color w:val="auto"/>
        </w:rPr>
      </w:pPr>
      <w:r>
        <w:rPr>
          <w:rFonts w:ascii="Arial" w:cs="Arial" w:eastAsia="Arial" w:hAnsi="Arial"/>
          <w:sz w:val="16"/>
          <w:szCs w:val="16"/>
          <w:color w:val="auto"/>
        </w:rPr>
        <w:t>On December 15, 2017, we announced the commencement of the Tender Offer to purchase any and all of the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 tendered and not validly withdrawn pursuant to the Tender Offer. On March 27, 2018, we repurchased an additional $14.2 million aggregate principal amount of the outstanding 5.25% Convertible Senior Notes due 2018. Refer to “Note 10—Debt Capital Activities” to our condensed consolidated financial statements as of June 30, 2018 for more information regarding the 5.25% Convertible Senior Notes due 2018.</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4.75% Convertible Senior Notes due 2023 - Issuance</w:t>
      </w:r>
    </w:p>
    <w:p>
      <w:pPr>
        <w:spacing w:after="0" w:line="229"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On March 28, 2018, we issued $40.0 million aggregate principal amount of 4.75% Convertible Senior Notes due 2023, which bear interest at a fixed rate of 4.75% per year, payable semi-annually in arrears on March 31 and September 30 of each year, commencing on September 30, 2018. We received $38.2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the issuance of the 4.75% Convertible Senior Notes due 2023, we are required under the terms of the Credit Facility to deposit the proceeds from the 4.75% Convertible Senior Notes due 2023 offering into an account at Western Alliance Bank and are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 Refer to “Note 10—Debt Capital Activities” to our condensed consolidated financial statements as of June 30, 2018 for more information regarding the 4.75% Convertible Senior Notes due 2023.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June 30, 2018. The table is divided by fiscal year according to record date:</w:t>
      </w:r>
    </w:p>
    <w:p>
      <w:pPr>
        <w:spacing w:after="0" w:line="186"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4"/>
              </w:rPr>
              <w:t>Payment Date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 per Share</w:t>
            </w: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2015:</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473"/>
        </w:trPr>
        <w:tc>
          <w:tcPr>
            <w:tcW w:w="2760" w:type="dxa"/>
            <w:vAlign w:val="bottom"/>
            <w:gridSpan w:val="2"/>
          </w:tcPr>
          <w:p>
            <w:pPr>
              <w:ind w:left="200"/>
              <w:spacing w:after="0"/>
              <w:rPr>
                <w:sz w:val="20"/>
                <w:szCs w:val="20"/>
                <w:color w:val="auto"/>
              </w:rPr>
            </w:pPr>
            <w:r>
              <w:rPr>
                <w:rFonts w:ascii="Arial" w:cs="Arial" w:eastAsia="Arial" w:hAnsi="Arial"/>
                <w:sz w:val="16"/>
                <w:szCs w:val="16"/>
                <w:color w:val="auto"/>
              </w:rPr>
              <w:t>November 4, 2015</w:t>
            </w:r>
            <w:r>
              <w:rPr>
                <w:rFonts w:ascii="Arial" w:cs="Arial" w:eastAsia="Arial" w:hAnsi="Arial"/>
                <w:sz w:val="21"/>
                <w:szCs w:val="21"/>
                <w:color w:val="auto"/>
                <w:vertAlign w:val="superscript"/>
              </w:rPr>
              <w:t>(1)</w:t>
            </w: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November 16, 2015</w:t>
            </w:r>
          </w:p>
        </w:tc>
        <w:tc>
          <w:tcPr>
            <w:tcW w:w="2000" w:type="dxa"/>
            <w:vAlign w:val="bottom"/>
            <w:gridSpan w:val="2"/>
          </w:tcPr>
          <w:p>
            <w:pPr>
              <w:jc w:val="center"/>
              <w:spacing w:after="0"/>
              <w:rPr>
                <w:sz w:val="20"/>
                <w:szCs w:val="20"/>
                <w:color w:val="auto"/>
              </w:rPr>
            </w:pPr>
            <w:r>
              <w:rPr>
                <w:rFonts w:ascii="Arial" w:cs="Arial" w:eastAsia="Arial" w:hAnsi="Arial"/>
                <w:sz w:val="16"/>
                <w:szCs w:val="16"/>
                <w:color w:val="auto"/>
                <w:w w:val="91"/>
              </w:rPr>
              <w:t>December 31, 2015</w:t>
            </w:r>
          </w:p>
        </w:tc>
        <w:tc>
          <w:tcPr>
            <w:tcW w:w="64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2016:</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473"/>
        </w:trPr>
        <w:tc>
          <w:tcPr>
            <w:tcW w:w="2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August 3, 2016</w:t>
            </w:r>
            <w:r>
              <w:rPr>
                <w:rFonts w:ascii="Arial" w:cs="Arial" w:eastAsia="Arial" w:hAnsi="Arial"/>
                <w:sz w:val="21"/>
                <w:szCs w:val="21"/>
                <w:color w:val="auto"/>
                <w:vertAlign w:val="superscript"/>
              </w:rPr>
              <w:t>(2)</w:t>
            </w:r>
          </w:p>
        </w:tc>
        <w:tc>
          <w:tcPr>
            <w:tcW w:w="21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August 16, 2016</w:t>
            </w:r>
          </w:p>
        </w:tc>
        <w:tc>
          <w:tcPr>
            <w:tcW w:w="20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2"/>
              </w:rPr>
              <w:t>August 24, 2016</w:t>
            </w: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244"/>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0"/>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___________________________</w:t>
      </w:r>
    </w:p>
    <w:p>
      <w:pPr>
        <w:spacing w:after="0" w:line="22" w:lineRule="exact"/>
        <w:rPr>
          <w:sz w:val="20"/>
          <w:szCs w:val="20"/>
          <w:color w:val="auto"/>
        </w:rPr>
      </w:pPr>
    </w:p>
    <w:p>
      <w:pPr>
        <w:ind w:left="980" w:right="60" w:hanging="324"/>
        <w:spacing w:after="0" w:line="248"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3" w:lineRule="exact"/>
        <w:rPr>
          <w:rFonts w:ascii="Arial" w:cs="Arial" w:eastAsia="Arial" w:hAnsi="Arial"/>
          <w:sz w:val="16"/>
          <w:szCs w:val="16"/>
          <w:color w:val="auto"/>
        </w:rPr>
      </w:pPr>
    </w:p>
    <w:p>
      <w:pPr>
        <w:ind w:left="980" w:hanging="324"/>
        <w:spacing w:after="0"/>
        <w:tabs>
          <w:tab w:leader="none" w:pos="9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Of the total distribution of $887,240 on August 24, 2016, $820,753 represented a distribution from realized gains and $66,487 represented a return of capital.</w:t>
      </w:r>
    </w:p>
    <w:p>
      <w:pPr>
        <w:spacing w:after="0" w:line="214"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business development companies that primarily make debt investments. If there are earnings or realized capital gains to be distributed, we intend to declare and pay a distribution at least annually. The amount of realized capital gains available for distribution to stockholders will be impacted by our treatment as a RIC.</w:t>
      </w:r>
    </w:p>
    <w:p>
      <w:pPr>
        <w:spacing w:after="0" w:line="188"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current intention is to make any future distributions out of assets legally available in the form of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 Stockholders who hold shares in the name of a broker or financial intermediary should contact the broker or financial intermediary regarding any election to receive distributions in cash.</w:t>
      </w:r>
    </w:p>
    <w:p>
      <w:pPr>
        <w:spacing w:after="0" w:line="169"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 xml:space="preserve">We elected to be treated as a RIC under Subchapter M of the Code beginning with our taxable year ended December 31, 2014 and continue to qualify to be treated as a RIC. 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 order to qualify as a RIC and to avoid corporate-level income tax on the income we distribute to our stockholders, we are required, under Subchapter M of the Code, to distribute at least 90% of our ordinary income and short-term capital gains to our stockholders on an annual basis. See “Note 2 - Significant Accounting Policies - </w:t>
      </w:r>
      <w:r>
        <w:rPr>
          <w:rFonts w:ascii="Arial" w:cs="Arial" w:eastAsia="Arial" w:hAnsi="Arial"/>
          <w:sz w:val="18"/>
          <w:szCs w:val="18"/>
          <w:i w:val="1"/>
          <w:iCs w:val="1"/>
          <w:color w:val="auto"/>
        </w:rPr>
        <w:t>U.S. Federal and State Income Taxes</w:t>
      </w:r>
      <w:r>
        <w:rPr>
          <w:rFonts w:ascii="Arial" w:cs="Arial" w:eastAsia="Arial" w:hAnsi="Arial"/>
          <w:sz w:val="18"/>
          <w:szCs w:val="18"/>
          <w:color w:val="auto"/>
        </w:rPr>
        <w:t>” and “Note 9 - Income Taxes” to our condensed consolidated financial statements as of June 30, 2018 for more information.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51"/>
        <w:spacing w:after="0" w:line="272" w:lineRule="auto"/>
        <w:rPr>
          <w:sz w:val="20"/>
          <w:szCs w:val="20"/>
          <w:color w:val="auto"/>
        </w:rPr>
      </w:pPr>
      <w:r>
        <w:rPr>
          <w:rFonts w:ascii="Arial" w:cs="Arial" w:eastAsia="Arial" w:hAnsi="Arial"/>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June 30, 2018 for further detail regarding our critical accounting policies and recently issued or adopted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3—Related-Party Arrangements” to our condensed consolidated financial statements as of June 30, 2018 for more information.</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122" w:right="319" w:bottom="1440" w:gutter="0" w:footer="0" w:header="0"/>
        </w:sectPr>
      </w:pPr>
    </w:p>
    <w:bookmarkStart w:id="66" w:name="page67"/>
    <w:bookmarkEnd w:id="6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140" w:firstLine="351"/>
        <w:spacing w:after="0" w:line="276"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As of June 30, 2018, all of our debt investments and outstanding borrowings bore fixed rates of interest. The Credit Facility, however, is indexed to the prime rate. We do not expect a significant impact on our net investment income or loss due to changes in the prime rate; however, the table below indicates the impact on our net investment income or loss should the prime rate change. Based on our June 30, 2018 Condensed Consolidated Statement of Assets and Liabilities, the following table shows the various, incremental impact of changes in interest rates on our net income or loss related to the Credit Facility for the six months ended June 30, 2018, assuming no changes in our investment income and borrowing structure. Although we believe that this measure is indicative of our sensitivity to the below-referenced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Basis Point Change(1)</w:t>
            </w:r>
          </w:p>
        </w:tc>
        <w:tc>
          <w:tcPr>
            <w:tcW w:w="120" w:type="dxa"/>
            <w:vAlign w:val="bottom"/>
            <w:vMerge w:val="restart"/>
          </w:tcPr>
          <w:p>
            <w:pPr>
              <w:spacing w:after="0"/>
              <w:rPr>
                <w:sz w:val="14"/>
                <w:szCs w:val="14"/>
                <w:color w:val="auto"/>
              </w:rPr>
            </w:pP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Interest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260" w:type="dxa"/>
            <w:vAlign w:val="bottom"/>
          </w:tcPr>
          <w:p>
            <w:pPr>
              <w:jc w:val="right"/>
              <w:ind w:right="54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Income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8"/>
              </w:rPr>
              <w:t>Income/(Loss)</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Up 300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Up 200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120,000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120,000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Up 100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Down 100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Down 200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Down 300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right="180" w:hanging="492"/>
        <w:spacing w:after="0" w:line="294" w:lineRule="auto"/>
        <w:tabs>
          <w:tab w:leader="none" w:pos="5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Assumes we have borrowed $12.0 million under the Credit Facility for the six months ended June 30, 2018. Our actual borrowings under the Credit Facility will vary based on our needs throughout the year. For the six months ended June 30, 2018, our actual average borrowings under the Credit Facility were $0.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As of June 30, 2018, our management, including our Chief Executive Officer and Principal Financial Officer, evaluated the effectiveness of the design and operation of our disclosure controls and procedures (as defined in Rules 13a-15(e) and 15d-15(e) under the Exchange Act). Based on that evaluation, the Chief Executive Officer and Principal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Principal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60" w:firstLine="351"/>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122" w:right="339" w:bottom="1440" w:gutter="0" w:footer="0" w:header="0"/>
        </w:sectPr>
      </w:pPr>
    </w:p>
    <w:bookmarkStart w:id="68" w:name="page69"/>
    <w:bookmarkEnd w:id="6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500" w:firstLine="351"/>
        <w:spacing w:after="0" w:line="308" w:lineRule="auto"/>
        <w:rPr>
          <w:sz w:val="20"/>
          <w:szCs w:val="20"/>
          <w:color w:val="auto"/>
        </w:rPr>
      </w:pPr>
      <w:r>
        <w:rPr>
          <w:rFonts w:ascii="Arial" w:cs="Arial" w:eastAsia="Arial" w:hAnsi="Arial"/>
          <w:sz w:val="17"/>
          <w:szCs w:val="17"/>
          <w:color w:val="auto"/>
        </w:rPr>
        <w:t>Although we and our subsidiaries may, from time to time, be involved in litigation arising out of our and our subsidiaries’ operations in the normal course of business or otherwise, neither we nor any of our subsidiaries are currently a party to any pending material legal proceedings.</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Investing in our securities involves a number of significant risks. In addition to the other information contained in this report, you should carefully consider the factors discussed in our annual report on Form 10-K for the fiscal year ended December 31, 2017, filed with the SEC on March 16, 2018, and in our quarterly report on Form 10-Q for the fiscal quarter ended March 31, 2018, filed with the SEC on May 10, 2018, which could materially affect our business, financial condition and/or operating results. Although the risks described in our annual report on Form 10-K for the fiscal year ended December 31, 2017 and in our quarterly report on Form 10-Q for the quarter ended March 31, 2018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During the three months ended June 30, 2018, there have been no material changes to the risk factors discussed in "Item 1A. Risk Factors" of Part I of our annual report on Form 10-K for the fiscal year ended December 31, 2017 and in “Item 1A Risk Factors” of Part II of our quarterly report on Form 10-Q for the quarter ended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did not sell any equity securities during the period covered in this report that were not registered under the Securities Act of 1933, as amended.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relating to the Company’s purchases of its common stock during the six months ended June 30,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Under the Share</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Purchased</w:t>
            </w:r>
            <w:r>
              <w:rPr>
                <w:rFonts w:ascii="Arial" w:cs="Arial" w:eastAsia="Arial" w:hAnsi="Arial"/>
                <w:sz w:val="8"/>
                <w:szCs w:val="8"/>
                <w:b w:val="1"/>
                <w:bCs w:val="1"/>
                <w:color w:val="auto"/>
                <w:w w:val="93"/>
              </w:rPr>
              <w:t>(2)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Program</w:t>
            </w:r>
            <w:r>
              <w:rPr>
                <w:rFonts w:ascii="Arial" w:cs="Arial" w:eastAsia="Arial" w:hAnsi="Arial"/>
                <w:sz w:val="8"/>
                <w:szCs w:val="8"/>
                <w:b w:val="1"/>
                <w:bCs w:val="1"/>
                <w:color w:val="auto"/>
                <w:w w:val="94"/>
              </w:rPr>
              <w:t>(4)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through January 31, 2018</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5,066,123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February 1 through February 28, 2018</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179,807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179,807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3,825,455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through March 31, 2018</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3,825,455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April 1 through April 30, 2018</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3,825,455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 through May 31, 2018</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105,047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90,047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8,200,529</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June 1 through June 30, 2018</w:t>
            </w:r>
            <w:r>
              <w:rPr>
                <w:rFonts w:ascii="Arial" w:cs="Arial" w:eastAsia="Arial" w:hAnsi="Arial"/>
                <w:sz w:val="25"/>
                <w:szCs w:val="25"/>
                <w:color w:val="auto"/>
                <w:vertAlign w:val="superscript"/>
              </w:rPr>
              <w:t>(3)</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227,006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225,578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6,655,571</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511,860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495,432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hanging="492"/>
        <w:spacing w:after="0" w:line="263" w:lineRule="auto"/>
        <w:tabs>
          <w:tab w:leader="none" w:pos="5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June 30, 2018, we repurchased 315,625 shares of our common stock for approximately $2.2 million under the Share Repurchase Program.</w:t>
      </w:r>
    </w:p>
    <w:p>
      <w:pPr>
        <w:spacing w:after="0" w:line="4" w:lineRule="exact"/>
        <w:rPr>
          <w:rFonts w:ascii="Arial" w:cs="Arial" w:eastAsia="Arial" w:hAnsi="Arial"/>
          <w:sz w:val="15"/>
          <w:szCs w:val="15"/>
          <w:color w:val="auto"/>
        </w:rPr>
      </w:pPr>
    </w:p>
    <w:p>
      <w:pPr>
        <w:ind w:left="500" w:right="160" w:hanging="492"/>
        <w:spacing w:after="0" w:line="246"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purchases of our common stock made on the open market by or on behalf of any “affiliated purchaser,” as defined in Exchange Act Rule 10b-18(a)(3), of the Company.</w:t>
      </w:r>
    </w:p>
    <w:p>
      <w:pPr>
        <w:ind w:left="500" w:right="200" w:hanging="492"/>
        <w:spacing w:after="0" w:line="246"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Subsequent to period-end, through August 8, 2018, we repurchased 230,623 additional shares of our common stock pursuant to the Share Repurchase Program for an aggregate purchase price of $1.6 million.</w:t>
      </w:r>
    </w:p>
    <w:p>
      <w:pPr>
        <w:ind w:left="500" w:hanging="492"/>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August 8, 2018, the dollar value of shares that may yet be purchased by us under the Share Repurchase Program is approximately $5.0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310" w:lineRule="exact"/>
        <w:rPr>
          <w:sz w:val="20"/>
          <w:szCs w:val="20"/>
          <w:color w:val="auto"/>
        </w:rPr>
      </w:pPr>
    </w:p>
    <w:p>
      <w:pPr>
        <w:jc w:val="center"/>
        <w:ind w:right="87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71"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88">
        <w:r>
          <w:rPr>
            <w:rFonts w:ascii="Arial" w:cs="Arial" w:eastAsia="Arial" w:hAnsi="Arial"/>
            <w:sz w:val="16"/>
            <w:szCs w:val="16"/>
            <w:u w:val="single" w:color="auto"/>
            <w:color w:val="0000FF"/>
          </w:rPr>
          <w:t>Articles of Amendment and Restatement</w:t>
        </w:r>
      </w:hyperlink>
      <w:r>
        <w:rPr>
          <w:rFonts w:ascii="Arial" w:cs="Arial" w:eastAsia="Arial" w:hAnsi="Arial"/>
          <w:sz w:val="22"/>
          <w:szCs w:val="22"/>
          <w:color w:val="000000"/>
          <w:vertAlign w:val="superscript"/>
        </w:rPr>
        <w:t>(1)</w:t>
      </w:r>
    </w:p>
    <w:p>
      <w:pPr>
        <w:spacing w:after="0" w:line="2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89">
        <w:r>
          <w:rPr>
            <w:rFonts w:ascii="Arial" w:cs="Arial" w:eastAsia="Arial" w:hAnsi="Arial"/>
            <w:sz w:val="16"/>
            <w:szCs w:val="16"/>
            <w:u w:val="single" w:color="auto"/>
            <w:color w:val="0000FF"/>
          </w:rPr>
          <w:t>Articles of Amendment</w:t>
        </w:r>
      </w:hyperlink>
      <w:r>
        <w:rPr>
          <w:rFonts w:ascii="Arial" w:cs="Arial" w:eastAsia="Arial" w:hAnsi="Arial"/>
          <w:sz w:val="22"/>
          <w:szCs w:val="22"/>
          <w:color w:val="000000"/>
          <w:vertAlign w:val="superscript"/>
        </w:rPr>
        <w:t>(2)</w:t>
      </w:r>
    </w:p>
    <w:p>
      <w:pPr>
        <w:spacing w:after="0" w:line="1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r:id="rId90">
        <w:r>
          <w:rPr>
            <w:rFonts w:ascii="Arial" w:cs="Arial" w:eastAsia="Arial" w:hAnsi="Arial"/>
            <w:sz w:val="16"/>
            <w:szCs w:val="16"/>
            <w:u w:val="single" w:color="auto"/>
            <w:color w:val="0000FF"/>
          </w:rPr>
          <w:t>Bylaws</w:t>
        </w:r>
      </w:hyperlink>
      <w:r>
        <w:rPr>
          <w:rFonts w:ascii="Arial" w:cs="Arial" w:eastAsia="Arial" w:hAnsi="Arial"/>
          <w:sz w:val="22"/>
          <w:szCs w:val="22"/>
          <w:color w:val="000000"/>
          <w:vertAlign w:val="superscript"/>
        </w:rPr>
        <w:t>(1)</w:t>
      </w:r>
    </w:p>
    <w:p>
      <w:pPr>
        <w:spacing w:after="0" w:line="2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11.1</w:t>
      </w:r>
      <w:r>
        <w:rPr>
          <w:sz w:val="20"/>
          <w:szCs w:val="20"/>
          <w:color w:val="auto"/>
        </w:rPr>
        <w:tab/>
      </w:r>
      <w:hyperlink w:anchor="page48">
        <w:r>
          <w:rPr>
            <w:rFonts w:ascii="Arial" w:cs="Arial" w:eastAsia="Arial" w:hAnsi="Arial"/>
            <w:sz w:val="16"/>
            <w:szCs w:val="16"/>
            <w:u w:val="single" w:color="auto"/>
            <w:color w:val="0000EE"/>
          </w:rPr>
          <w:t>Statement re Computation of Per Share Earnings (Included in the notes to the consolidated financial statements contained in this report)*</w:t>
        </w:r>
      </w:hyperlink>
    </w:p>
    <w:p>
      <w:pPr>
        <w:spacing w:after="0" w:line="47"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73">
        <w:r>
          <w:rPr>
            <w:rFonts w:ascii="Arial" w:cs="Arial" w:eastAsia="Arial" w:hAnsi="Arial"/>
            <w:sz w:val="16"/>
            <w:szCs w:val="16"/>
            <w:u w:val="single" w:color="auto"/>
            <w:color w:val="0000FF"/>
          </w:rPr>
          <w:t>Certification of Chief Executive Officer pursuant to Rule 13a-14 of the Securities Exchange Act of 1934, as amended*</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74">
        <w:r>
          <w:rPr>
            <w:rFonts w:ascii="Arial" w:cs="Arial" w:eastAsia="Arial" w:hAnsi="Arial"/>
            <w:sz w:val="16"/>
            <w:szCs w:val="16"/>
            <w:u w:val="single" w:color="auto"/>
            <w:color w:val="0000FF"/>
          </w:rPr>
          <w:t>Certification of Principal Financial Officer pursuant to Rule 13a-14 of the Securities Exchange Act of 1934, as amended*</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75">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76">
        <w:r>
          <w:rPr>
            <w:rFonts w:ascii="Arial" w:cs="Arial" w:eastAsia="Arial" w:hAnsi="Arial"/>
            <w:sz w:val="16"/>
            <w:szCs w:val="16"/>
            <w:u w:val="single" w:color="auto"/>
            <w:color w:val="0000FF"/>
          </w:rPr>
          <w:t>Certification of Principal Financial Officer pursuant to Section 906 of the Sarbanes-Oxley Act of 2002*</w:t>
        </w:r>
      </w:hyperlink>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0"/>
          <w:szCs w:val="20"/>
          <w:color w:val="auto"/>
        </w:rPr>
      </w:pPr>
    </w:p>
    <w:p>
      <w:pPr>
        <w:ind w:left="500" w:hanging="492"/>
        <w:spacing w:after="0" w:line="258"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ind w:left="500" w:right="120" w:hanging="492"/>
        <w:spacing w:after="0" w:line="250"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1"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240" w:top="122" w:right="559" w:bottom="1440" w:gutter="0" w:footer="0" w:header="0"/>
        </w:sectPr>
      </w:pPr>
    </w:p>
    <w:bookmarkStart w:id="71" w:name="page72"/>
    <w:bookmarkEnd w:id="7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GSV CAPITAL CORP.</w:t>
      </w:r>
    </w:p>
    <w:p>
      <w:pPr>
        <w:spacing w:after="0" w:line="202" w:lineRule="exact"/>
        <w:rPr>
          <w:sz w:val="20"/>
          <w:szCs w:val="20"/>
          <w:color w:val="auto"/>
        </w:rPr>
      </w:pPr>
    </w:p>
    <w:p>
      <w:pPr>
        <w:ind w:left="40"/>
        <w:spacing w:after="0"/>
        <w:tabs>
          <w:tab w:leader="none" w:pos="45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7"/>
          <w:szCs w:val="17"/>
          <w:color w:val="auto"/>
        </w:rPr>
        <w:t>By: /s/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6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Mark D. Klein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pacing w:after="0" w:line="386" w:lineRule="exact"/>
        <w:rPr>
          <w:sz w:val="20"/>
          <w:szCs w:val="20"/>
          <w:color w:val="auto"/>
        </w:rPr>
      </w:pPr>
    </w:p>
    <w:p>
      <w:pPr>
        <w:ind w:left="40"/>
        <w:spacing w:after="0"/>
        <w:tabs>
          <w:tab w:leader="none" w:pos="45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6"/>
          <w:szCs w:val="16"/>
          <w:color w:val="auto"/>
        </w:rPr>
        <w:t>By: /s/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6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Allison Green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SVP Finance, Controller, Treasurer and Secretary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640"/>
          </w:cols>
          <w:pgMar w:left="240" w:top="122" w:right="10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of GSV Capital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48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9th day of August,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31750</wp:posOffset>
            </wp:positionV>
            <wp:extent cx="14408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Mark D. Klein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of 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48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9th day of August,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31750</wp:posOffset>
            </wp:positionV>
            <wp:extent cx="17068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Allison Green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connection with the quarterly report on Form 10-Q for the quarter ended June 30, 2018 (the “Report”) of GSV Capital Corp. (the “Registrant”), as filed with the Securities and Exchange Commission on the date hereof, I, Mark D. Klein, the Chief Executive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5591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Name: Mark D. Klein</w:t>
      </w:r>
    </w:p>
    <w:p>
      <w:pPr>
        <w:spacing w:after="0" w:line="6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Date: August 9, 2018</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on Form 10-Q for the quarter ended June 30, 2018 (the “Report”) of GSV Capital Corp. (the “Registrant”), as filed with the Securities and Exchange Commission on the date hereof, I, Allison Green, the Principal Financial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Name: Allison Green</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August 9,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3"/>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2"/>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lowerRoman"/>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2"/>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2"/>
    </w:lvl>
  </w:abstractNum>
  <w:abstractNum w:abstractNumId="21">
    <w:nsid w:val="5C482A97"/>
    <w:multiLevelType w:val="hybridMultilevel"/>
    <w:lvl w:ilvl="0">
      <w:lvlJc w:val="left"/>
      <w:lvlText w:val="(%1)"/>
      <w:numFmt w:val="decimal"/>
      <w:start w:val="2"/>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8"/>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lowerRoman"/>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3"/>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88" Type="http://schemas.openxmlformats.org/officeDocument/2006/relationships/hyperlink" Target="http://www.sec.gov/Archives/edgar/data/1509470/000113379611000069/k216228_ex99-2a.htm" TargetMode="External"/><Relationship Id="rId89" Type="http://schemas.openxmlformats.org/officeDocument/2006/relationships/hyperlink" Target="http://www.sec.gov/Archives/edgar/data/1509470/000114420411033389/v224342_ex3-1.htm" TargetMode="External"/><Relationship Id="rId90" Type="http://schemas.openxmlformats.org/officeDocument/2006/relationships/hyperlink" Target="http://www.sec.gov/Archives/edgar/data/1509470/000113379611000069/k216228_ex99-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2019-12-28T19:46:17Z</dcterms:created>
  <dcterms:modified xsi:type="dcterms:W3CDTF">2019-12-28T19:46:17Z</dcterms:modified>
</cp:coreProperties>
</file>